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Ind w:w="-414" w:type="dxa"/>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335063">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335063">
              <w:rPr>
                <w:rFonts w:asciiTheme="minorHAnsi" w:hAnsiTheme="minorHAnsi" w:cstheme="minorHAnsi"/>
                <w:b/>
                <w:iCs/>
                <w:color w:val="FFFFFF" w:themeColor="background1"/>
                <w:sz w:val="24"/>
              </w:rPr>
              <w:t>Research on Multi-Unit Level 3 PSA</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2C62C2" w:rsidRDefault="00335063" w:rsidP="00335063">
            <w:pPr>
              <w:pStyle w:val="TSNumberedParagraph11"/>
              <w:tabs>
                <w:tab w:val="left" w:pos="0"/>
              </w:tabs>
              <w:overflowPunct w:val="0"/>
              <w:autoSpaceDE w:val="0"/>
              <w:autoSpaceDN w:val="0"/>
              <w:adjustRightInd w:val="0"/>
              <w:textAlignment w:val="baseline"/>
              <w:rPr>
                <w:rFonts w:asciiTheme="minorHAnsi" w:hAnsiTheme="minorHAnsi" w:cstheme="minorHAnsi"/>
              </w:rPr>
            </w:pPr>
            <w:r>
              <w:rPr>
                <w:rFonts w:asciiTheme="minorHAnsi" w:hAnsiTheme="minorHAnsi" w:cstheme="minorHAnsi"/>
              </w:rPr>
              <w:t>ONR is looking to conduct research on multi-unit level 3 PSA, building upon ongoing engagement with international research projects on level 1 multi-unit PSA.</w:t>
            </w:r>
          </w:p>
          <w:p w:rsidR="00335063" w:rsidRDefault="00335063" w:rsidP="00335063">
            <w:pPr>
              <w:pStyle w:val="TSNumberedParagraph11"/>
              <w:rPr>
                <w:rFonts w:asciiTheme="minorHAnsi" w:hAnsiTheme="minorHAnsi" w:cstheme="minorHAnsi"/>
              </w:rPr>
            </w:pPr>
            <w:r w:rsidRPr="00335063">
              <w:rPr>
                <w:rFonts w:asciiTheme="minorHAnsi" w:hAnsiTheme="minorHAnsi" w:cstheme="minorHAnsi"/>
              </w:rPr>
              <w:t xml:space="preserve">Research </w:t>
            </w:r>
            <w:r w:rsidR="00EF144D">
              <w:rPr>
                <w:rFonts w:asciiTheme="minorHAnsi" w:hAnsiTheme="minorHAnsi" w:cstheme="minorHAnsi"/>
              </w:rPr>
              <w:t>item</w:t>
            </w:r>
            <w:r w:rsidRPr="00335063">
              <w:rPr>
                <w:rFonts w:asciiTheme="minorHAnsi" w:hAnsiTheme="minorHAnsi" w:cstheme="minorHAnsi"/>
              </w:rPr>
              <w:t xml:space="preserve"> ONR-RRR-084 is for a TSC to conduct research on the topic of multi-unit PSA for ONR, under the guidance and direction of ONR, with the ultimate goal of providing recommendations to update ONR guidance. </w:t>
            </w:r>
            <w:r w:rsidR="00EF144D">
              <w:rPr>
                <w:rFonts w:asciiTheme="minorHAnsi" w:hAnsiTheme="minorHAnsi" w:cstheme="minorHAnsi"/>
              </w:rPr>
              <w:t>This work is running in parallel to research item</w:t>
            </w:r>
            <w:r w:rsidRPr="00335063">
              <w:rPr>
                <w:rFonts w:asciiTheme="minorHAnsi" w:hAnsiTheme="minorHAnsi" w:cstheme="minorHAnsi"/>
              </w:rPr>
              <w:t xml:space="preserve"> ONR-RRR-009, international engagement on the topic of multi-unit PSA.</w:t>
            </w:r>
          </w:p>
          <w:p w:rsidR="00DC6311" w:rsidRDefault="00335063" w:rsidP="00335063">
            <w:pPr>
              <w:pStyle w:val="TSNumberedParagraph11"/>
              <w:rPr>
                <w:rFonts w:asciiTheme="minorHAnsi" w:hAnsiTheme="minorHAnsi" w:cstheme="minorHAnsi"/>
              </w:rPr>
            </w:pPr>
            <w:r w:rsidRPr="00335063">
              <w:rPr>
                <w:rFonts w:asciiTheme="minorHAnsi" w:hAnsiTheme="minorHAnsi" w:cstheme="minorHAnsi"/>
              </w:rPr>
              <w:t xml:space="preserve">Following ONR engagement at IAEA and WGRISK on the topic of multi-unit and site level PSA, the need for further dedicated research on the impact of multi-unit, multi-facility and site level considerations on Level 3 PSA has been identified.  </w:t>
            </w:r>
          </w:p>
          <w:p w:rsidR="00335063" w:rsidRPr="002C62C2" w:rsidRDefault="00335063" w:rsidP="00335063">
            <w:pPr>
              <w:pStyle w:val="TSNumberedParagraph11"/>
              <w:rPr>
                <w:rFonts w:asciiTheme="minorHAnsi" w:hAnsiTheme="minorHAnsi" w:cstheme="minorHAnsi"/>
              </w:rPr>
            </w:pPr>
            <w:r w:rsidRPr="00335063">
              <w:rPr>
                <w:rFonts w:asciiTheme="minorHAnsi" w:hAnsiTheme="minorHAnsi" w:cstheme="minorHAnsi"/>
              </w:rPr>
              <w:t>The focus of this package of work is to explore the impact of concurrent and off-set releases from reactors and other facilities on the same site on the off-site consequence calculations</w:t>
            </w:r>
            <w:r>
              <w:rPr>
                <w:rFonts w:asciiTheme="minorHAnsi" w:hAnsiTheme="minorHAnsi" w:cstheme="minorHAnsi"/>
              </w:rPr>
              <w:t xml:space="preserve"> used in the Level 3 PSA.</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SCOPE OF THE SERVICES REQUIRED</w:t>
            </w:r>
          </w:p>
          <w:p w:rsidR="00335063" w:rsidRPr="00335063" w:rsidRDefault="00335063" w:rsidP="00335063">
            <w:pPr>
              <w:pStyle w:val="TSNumberedParagraph11"/>
              <w:rPr>
                <w:rFonts w:asciiTheme="minorHAnsi" w:hAnsiTheme="minorHAnsi" w:cstheme="minorHAnsi"/>
              </w:rPr>
            </w:pPr>
            <w:r w:rsidRPr="00335063">
              <w:rPr>
                <w:rFonts w:asciiTheme="minorHAnsi" w:hAnsiTheme="minorHAnsi" w:cstheme="minorHAnsi"/>
              </w:rPr>
              <w:t>The work is to take place in four parts, some of which may be done in parallel:</w:t>
            </w:r>
          </w:p>
          <w:p w:rsidR="00335063" w:rsidRPr="00335063" w:rsidRDefault="00335063" w:rsidP="00335063">
            <w:pPr>
              <w:pStyle w:val="TSNumberedParagraph11"/>
              <w:numPr>
                <w:ilvl w:val="1"/>
                <w:numId w:val="32"/>
              </w:numPr>
              <w:tabs>
                <w:tab w:val="clear" w:pos="-31680"/>
              </w:tabs>
              <w:spacing w:after="0"/>
              <w:ind w:left="1549" w:hanging="425"/>
              <w:rPr>
                <w:rFonts w:asciiTheme="minorHAnsi" w:hAnsiTheme="minorHAnsi" w:cstheme="minorHAnsi"/>
              </w:rPr>
            </w:pPr>
            <w:r w:rsidRPr="00335063">
              <w:rPr>
                <w:rFonts w:asciiTheme="minorHAnsi" w:hAnsiTheme="minorHAnsi" w:cstheme="minorHAnsi"/>
              </w:rPr>
              <w:t>Scoping of work and agreement of milestones and outputs with ONR. (</w:t>
            </w:r>
            <w:r w:rsidR="00A5726B">
              <w:rPr>
                <w:rFonts w:asciiTheme="minorHAnsi" w:hAnsiTheme="minorHAnsi" w:cstheme="minorHAnsi"/>
              </w:rPr>
              <w:t>March 2019</w:t>
            </w:r>
            <w:r w:rsidRPr="00335063">
              <w:rPr>
                <w:rFonts w:asciiTheme="minorHAnsi" w:hAnsiTheme="minorHAnsi" w:cstheme="minorHAnsi"/>
              </w:rPr>
              <w:t>)</w:t>
            </w:r>
          </w:p>
          <w:p w:rsidR="00335063" w:rsidRPr="00335063" w:rsidRDefault="00335063" w:rsidP="00335063">
            <w:pPr>
              <w:pStyle w:val="TSNumberedParagraph11"/>
              <w:numPr>
                <w:ilvl w:val="1"/>
                <w:numId w:val="32"/>
              </w:numPr>
              <w:tabs>
                <w:tab w:val="clear" w:pos="-31680"/>
              </w:tabs>
              <w:spacing w:after="0"/>
              <w:ind w:left="1549" w:hanging="425"/>
              <w:rPr>
                <w:rFonts w:asciiTheme="minorHAnsi" w:hAnsiTheme="minorHAnsi" w:cstheme="minorHAnsi"/>
              </w:rPr>
            </w:pPr>
            <w:r w:rsidRPr="00335063">
              <w:rPr>
                <w:rFonts w:asciiTheme="minorHAnsi" w:hAnsiTheme="minorHAnsi" w:cstheme="minorHAnsi"/>
              </w:rPr>
              <w:t>Literature review of research, guidance and practices (</w:t>
            </w:r>
            <w:r>
              <w:rPr>
                <w:rFonts w:asciiTheme="minorHAnsi" w:hAnsiTheme="minorHAnsi" w:cstheme="minorHAnsi"/>
              </w:rPr>
              <w:t>UK and international) for multi-</w:t>
            </w:r>
            <w:r w:rsidRPr="00335063">
              <w:rPr>
                <w:rFonts w:asciiTheme="minorHAnsi" w:hAnsiTheme="minorHAnsi" w:cstheme="minorHAnsi"/>
              </w:rPr>
              <w:t>unit/multi-facility Level 3 PSA. (</w:t>
            </w:r>
            <w:r w:rsidR="00A5726B">
              <w:rPr>
                <w:rFonts w:asciiTheme="minorHAnsi" w:hAnsiTheme="minorHAnsi" w:cstheme="minorHAnsi"/>
              </w:rPr>
              <w:t>March 2019</w:t>
            </w:r>
            <w:r w:rsidRPr="00335063">
              <w:rPr>
                <w:rFonts w:asciiTheme="minorHAnsi" w:hAnsiTheme="minorHAnsi" w:cstheme="minorHAnsi"/>
              </w:rPr>
              <w:t>)</w:t>
            </w:r>
          </w:p>
          <w:p w:rsidR="00335063" w:rsidRPr="00335063" w:rsidRDefault="00335063" w:rsidP="00335063">
            <w:pPr>
              <w:pStyle w:val="TSNumberedParagraph11"/>
              <w:numPr>
                <w:ilvl w:val="1"/>
                <w:numId w:val="32"/>
              </w:numPr>
              <w:tabs>
                <w:tab w:val="clear" w:pos="-31680"/>
              </w:tabs>
              <w:spacing w:after="0"/>
              <w:ind w:left="1549" w:hanging="425"/>
              <w:rPr>
                <w:rFonts w:asciiTheme="minorHAnsi" w:hAnsiTheme="minorHAnsi" w:cstheme="minorHAnsi"/>
              </w:rPr>
            </w:pPr>
            <w:r w:rsidRPr="00335063">
              <w:rPr>
                <w:rFonts w:asciiTheme="minorHAnsi" w:hAnsiTheme="minorHAnsi" w:cstheme="minorHAnsi"/>
              </w:rPr>
              <w:t xml:space="preserve">Create and analyse a suitable number of consequence analysis models for multi-unit/multi-facility sites, identifying and exploring the attributes which could have a noticeable impact on the consequence analysis conducted for Level 3 PSA. (Scope of work and input data to be defined by the TSC and agreed with ONR in </w:t>
            </w:r>
            <w:r w:rsidR="00A5726B">
              <w:rPr>
                <w:rFonts w:asciiTheme="minorHAnsi" w:hAnsiTheme="minorHAnsi" w:cstheme="minorHAnsi"/>
              </w:rPr>
              <w:t>March 2019</w:t>
            </w:r>
            <w:r w:rsidRPr="00335063">
              <w:rPr>
                <w:rFonts w:asciiTheme="minorHAnsi" w:hAnsiTheme="minorHAnsi" w:cstheme="minorHAnsi"/>
              </w:rPr>
              <w:t xml:space="preserve">, work conducted in </w:t>
            </w:r>
            <w:r w:rsidR="00A5726B">
              <w:rPr>
                <w:rFonts w:asciiTheme="minorHAnsi" w:hAnsiTheme="minorHAnsi" w:cstheme="minorHAnsi"/>
              </w:rPr>
              <w:t>April – May 2019</w:t>
            </w:r>
            <w:r w:rsidRPr="00335063">
              <w:rPr>
                <w:rFonts w:asciiTheme="minorHAnsi" w:hAnsiTheme="minorHAnsi" w:cstheme="minorHAnsi"/>
              </w:rPr>
              <w:t>) [See below for further info]</w:t>
            </w:r>
          </w:p>
          <w:p w:rsidR="00335063" w:rsidRPr="00335063" w:rsidRDefault="00335063" w:rsidP="00335063">
            <w:pPr>
              <w:pStyle w:val="TSNumberedParagraph11"/>
              <w:numPr>
                <w:ilvl w:val="1"/>
                <w:numId w:val="32"/>
              </w:numPr>
              <w:tabs>
                <w:tab w:val="clear" w:pos="-31680"/>
              </w:tabs>
              <w:ind w:left="1549" w:hanging="425"/>
              <w:rPr>
                <w:rFonts w:asciiTheme="minorHAnsi" w:hAnsiTheme="minorHAnsi" w:cstheme="minorHAnsi"/>
              </w:rPr>
            </w:pPr>
            <w:r w:rsidRPr="00335063">
              <w:rPr>
                <w:rFonts w:asciiTheme="minorHAnsi" w:hAnsiTheme="minorHAnsi" w:cstheme="minorHAnsi"/>
              </w:rPr>
              <w:t xml:space="preserve">Report findings of literature review and consequence analysis, including any relevant recommendations for improvements to ONR’s PSA TAG to reflect the results of the research. (Draft early </w:t>
            </w:r>
            <w:r w:rsidR="00A5726B">
              <w:rPr>
                <w:rFonts w:asciiTheme="minorHAnsi" w:hAnsiTheme="minorHAnsi" w:cstheme="minorHAnsi"/>
              </w:rPr>
              <w:t>May 2019</w:t>
            </w:r>
            <w:r w:rsidRPr="00335063">
              <w:rPr>
                <w:rFonts w:asciiTheme="minorHAnsi" w:hAnsiTheme="minorHAnsi" w:cstheme="minorHAnsi"/>
              </w:rPr>
              <w:t>, issued end of M</w:t>
            </w:r>
            <w:r w:rsidR="00A5726B">
              <w:rPr>
                <w:rFonts w:asciiTheme="minorHAnsi" w:hAnsiTheme="minorHAnsi" w:cstheme="minorHAnsi"/>
              </w:rPr>
              <w:t>ay</w:t>
            </w:r>
            <w:r w:rsidRPr="00335063">
              <w:rPr>
                <w:rFonts w:asciiTheme="minorHAnsi" w:hAnsiTheme="minorHAnsi" w:cstheme="minorHAnsi"/>
              </w:rPr>
              <w:t xml:space="preserve"> 2019).</w:t>
            </w:r>
          </w:p>
          <w:p w:rsidR="00335063" w:rsidRPr="00335063" w:rsidRDefault="00335063" w:rsidP="00335063">
            <w:pPr>
              <w:pStyle w:val="TSNumberedParagraph11"/>
              <w:rPr>
                <w:rFonts w:asciiTheme="minorHAnsi" w:hAnsiTheme="minorHAnsi" w:cstheme="minorHAnsi"/>
              </w:rPr>
            </w:pPr>
            <w:r w:rsidRPr="00335063">
              <w:rPr>
                <w:rFonts w:asciiTheme="minorHAnsi" w:hAnsiTheme="minorHAnsi" w:cstheme="minorHAnsi"/>
              </w:rPr>
              <w:t xml:space="preserve">Point 3 of the scope is expected to </w:t>
            </w:r>
            <w:r w:rsidR="00EF144D">
              <w:rPr>
                <w:rFonts w:asciiTheme="minorHAnsi" w:hAnsiTheme="minorHAnsi" w:cstheme="minorHAnsi"/>
              </w:rPr>
              <w:t>form the main part of the work.  W</w:t>
            </w:r>
            <w:r w:rsidRPr="00335063">
              <w:rPr>
                <w:rFonts w:asciiTheme="minorHAnsi" w:hAnsiTheme="minorHAnsi" w:cstheme="minorHAnsi"/>
              </w:rPr>
              <w:t xml:space="preserve">hilst the precise scope of work is to be defined by the TSC and agreed with ONR within </w:t>
            </w:r>
            <w:r w:rsidR="00A5726B">
              <w:rPr>
                <w:rFonts w:asciiTheme="minorHAnsi" w:hAnsiTheme="minorHAnsi" w:cstheme="minorHAnsi"/>
              </w:rPr>
              <w:t>March 2019</w:t>
            </w:r>
            <w:r w:rsidRPr="00335063">
              <w:rPr>
                <w:rFonts w:asciiTheme="minorHAnsi" w:hAnsiTheme="minorHAnsi" w:cstheme="minorHAnsi"/>
              </w:rPr>
              <w:t>, the following should be considered as a minimum:</w:t>
            </w:r>
          </w:p>
          <w:p w:rsidR="00335063" w:rsidRPr="00335063" w:rsidRDefault="00335063" w:rsidP="00335063">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t>Impact of multi-unit releases on consequences used to evaluate against SAPs Target 9 (Societal Risk)</w:t>
            </w:r>
          </w:p>
          <w:p w:rsidR="00335063" w:rsidRPr="00335063" w:rsidRDefault="00335063" w:rsidP="00335063">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t>Impact of multi-unit releases on consequences used to evaluate against SAPs Target 7 (Individual Risk)</w:t>
            </w:r>
          </w:p>
          <w:p w:rsidR="00335063" w:rsidRPr="00335063" w:rsidRDefault="00335063" w:rsidP="00335063">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t>Impact of concurrent vs off-set releases, including consideration of changing weather over time of release.</w:t>
            </w:r>
          </w:p>
          <w:p w:rsidR="00335063" w:rsidRPr="00335063" w:rsidRDefault="00335063" w:rsidP="00335063">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t xml:space="preserve">Impact of different releases (e.g. reactor combined with SFP release, containment failure </w:t>
            </w:r>
            <w:r w:rsidRPr="00335063">
              <w:rPr>
                <w:rFonts w:asciiTheme="minorHAnsi" w:hAnsiTheme="minorHAnsi" w:cstheme="minorHAnsi"/>
              </w:rPr>
              <w:lastRenderedPageBreak/>
              <w:t>combined with containment venting).</w:t>
            </w:r>
          </w:p>
          <w:p w:rsidR="00335063" w:rsidRPr="00335063" w:rsidRDefault="00335063" w:rsidP="00335063">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t xml:space="preserve">The work should specifically include analysis of a large release on all units/facilities following a seismic event to test the sensitivity of the consequence analysis to a conservative assumption that a seismic event </w:t>
            </w:r>
            <w:r w:rsidR="00EF144D">
              <w:rPr>
                <w:rFonts w:asciiTheme="minorHAnsi" w:hAnsiTheme="minorHAnsi" w:cstheme="minorHAnsi"/>
              </w:rPr>
              <w:t>resulting in</w:t>
            </w:r>
            <w:r w:rsidRPr="00335063">
              <w:rPr>
                <w:rFonts w:asciiTheme="minorHAnsi" w:hAnsiTheme="minorHAnsi" w:cstheme="minorHAnsi"/>
              </w:rPr>
              <w:t xml:space="preserve"> a large release on one unit would </w:t>
            </w:r>
            <w:r w:rsidR="00EF144D">
              <w:rPr>
                <w:rFonts w:asciiTheme="minorHAnsi" w:hAnsiTheme="minorHAnsi" w:cstheme="minorHAnsi"/>
              </w:rPr>
              <w:t>likely result in</w:t>
            </w:r>
            <w:r w:rsidRPr="00335063">
              <w:rPr>
                <w:rFonts w:asciiTheme="minorHAnsi" w:hAnsiTheme="minorHAnsi" w:cstheme="minorHAnsi"/>
              </w:rPr>
              <w:t xml:space="preserve"> a large release on all units.</w:t>
            </w:r>
          </w:p>
          <w:p w:rsidR="00335063" w:rsidRPr="00335063" w:rsidRDefault="00335063" w:rsidP="00335063">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t>Ideally realistic source term and other input data should be used, industry is being approached for input data, otherwise representative source term and other input data should be derived (to be discussed and agreed with ONR).</w:t>
            </w:r>
          </w:p>
          <w:p w:rsidR="00335063" w:rsidRPr="00335063" w:rsidRDefault="00335063" w:rsidP="00335063">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t>Results should be presented with and without the counter measure of a food ban at CFIL levels.</w:t>
            </w:r>
          </w:p>
          <w:p w:rsidR="00335063" w:rsidRPr="00335063" w:rsidRDefault="00335063" w:rsidP="00335063">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t>The dose assessment parameters chosen (</w:t>
            </w:r>
            <w:proofErr w:type="spellStart"/>
            <w:r w:rsidRPr="00335063">
              <w:rPr>
                <w:rFonts w:asciiTheme="minorHAnsi" w:hAnsiTheme="minorHAnsi" w:cstheme="minorHAnsi"/>
              </w:rPr>
              <w:t>e.g</w:t>
            </w:r>
            <w:proofErr w:type="spellEnd"/>
            <w:r w:rsidRPr="00335063">
              <w:rPr>
                <w:rFonts w:asciiTheme="minorHAnsi" w:hAnsiTheme="minorHAnsi" w:cstheme="minorHAnsi"/>
              </w:rPr>
              <w:t xml:space="preserve"> deposition velocities, wet deposition, activity migration, food consumption, indoor/outdoor occupancy, shielding factors, dose conversion factors) should as far as possible be consistent</w:t>
            </w:r>
            <w:r w:rsidR="00A5726B">
              <w:rPr>
                <w:rFonts w:asciiTheme="minorHAnsi" w:hAnsiTheme="minorHAnsi" w:cstheme="minorHAnsi"/>
              </w:rPr>
              <w:t xml:space="preserve"> with UK relevant good practice </w:t>
            </w:r>
            <w:r w:rsidRPr="00335063">
              <w:rPr>
                <w:rFonts w:asciiTheme="minorHAnsi" w:hAnsiTheme="minorHAnsi" w:cstheme="minorHAnsi"/>
              </w:rPr>
              <w:t>(RGP). Where this isn’t the case the reason should be given and the impact quantified. Current UK RGP includes but is not limited to; NRPB-R91/R322/W41/Vol 5 No1 1994 and HPA-RPD-043.</w:t>
            </w:r>
          </w:p>
          <w:p w:rsidR="00335063" w:rsidRPr="00335063" w:rsidRDefault="00335063" w:rsidP="00335063">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t>ONR TAG-45 and SAPS 2014 criteria for assessment of target 9 should be used. In particular dose assessment must be limited to the UK population.</w:t>
            </w:r>
          </w:p>
          <w:p w:rsidR="00335063" w:rsidRPr="00335063" w:rsidRDefault="00335063" w:rsidP="00335063">
            <w:pPr>
              <w:pStyle w:val="TSNumberedParagraph11"/>
              <w:numPr>
                <w:ilvl w:val="1"/>
                <w:numId w:val="35"/>
              </w:numPr>
              <w:tabs>
                <w:tab w:val="clear" w:pos="-31680"/>
              </w:tabs>
              <w:ind w:left="1549" w:hanging="425"/>
              <w:rPr>
                <w:rFonts w:asciiTheme="minorHAnsi" w:hAnsiTheme="minorHAnsi" w:cstheme="minorHAnsi"/>
              </w:rPr>
            </w:pPr>
            <w:r w:rsidRPr="00335063">
              <w:rPr>
                <w:rFonts w:asciiTheme="minorHAnsi" w:hAnsiTheme="minorHAnsi" w:cstheme="minorHAnsi"/>
              </w:rPr>
              <w:t>Choice of geographic location(s) considered should be representative of UK nuclear sites.</w:t>
            </w:r>
          </w:p>
          <w:p w:rsidR="00335063" w:rsidRDefault="00335063" w:rsidP="00335063">
            <w:pPr>
              <w:pStyle w:val="TSNumberedParagraph11"/>
              <w:rPr>
                <w:rFonts w:asciiTheme="minorHAnsi" w:hAnsiTheme="minorHAnsi" w:cstheme="minorHAnsi"/>
              </w:rPr>
            </w:pPr>
            <w:r w:rsidRPr="00335063">
              <w:rPr>
                <w:rFonts w:asciiTheme="minorHAnsi" w:hAnsiTheme="minorHAnsi" w:cstheme="minorHAnsi"/>
              </w:rPr>
              <w:t>The TSC is expected to propose a list of analysis cases to run, for agreement with ONR, in the time and budget available.</w:t>
            </w:r>
            <w:r w:rsidR="00EF144D">
              <w:rPr>
                <w:rFonts w:asciiTheme="minorHAnsi" w:hAnsiTheme="minorHAnsi" w:cstheme="minorHAnsi"/>
              </w:rPr>
              <w:t xml:space="preserve"> </w:t>
            </w:r>
          </w:p>
          <w:p w:rsidR="00A5726B" w:rsidRPr="00335063" w:rsidRDefault="00A5726B" w:rsidP="00335063">
            <w:pPr>
              <w:pStyle w:val="TSNumberedParagraph11"/>
              <w:rPr>
                <w:rFonts w:asciiTheme="minorHAnsi" w:hAnsiTheme="minorHAnsi" w:cstheme="minorHAnsi"/>
              </w:rPr>
            </w:pPr>
            <w:r>
              <w:rPr>
                <w:rFonts w:asciiTheme="minorHAnsi" w:hAnsiTheme="minorHAnsi" w:cstheme="minorHAnsi"/>
              </w:rPr>
              <w:t>The software intended to be used should be specified by the TSC, with a justification for its selection.   ONR’s preference is for modern consequence analysis code to be used, such as PACE developed by Public Health England.  Public Health England has agreed to provide technical support and guidance on PACE as part of the research if required.  The TSC should have a license for use of the code selected.</w:t>
            </w:r>
          </w:p>
          <w:p w:rsidR="00335063" w:rsidRPr="00335063" w:rsidRDefault="00335063" w:rsidP="00335063">
            <w:pPr>
              <w:pStyle w:val="TSNumberedParagraph11"/>
              <w:rPr>
                <w:rFonts w:asciiTheme="minorHAnsi" w:hAnsiTheme="minorHAnsi" w:cstheme="minorHAnsi"/>
              </w:rPr>
            </w:pPr>
            <w:r w:rsidRPr="00335063">
              <w:rPr>
                <w:rFonts w:asciiTheme="minorHAnsi" w:hAnsiTheme="minorHAnsi" w:cstheme="minorHAnsi"/>
              </w:rPr>
              <w:t>The overall aims of the work package are:</w:t>
            </w:r>
          </w:p>
          <w:p w:rsidR="00335063" w:rsidRPr="00335063" w:rsidRDefault="00335063" w:rsidP="00335063">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t>Record the current state of practice, guidance and research for multi-unit Level 3 PSA</w:t>
            </w:r>
            <w:r w:rsidR="008E207C">
              <w:rPr>
                <w:rFonts w:asciiTheme="minorHAnsi" w:hAnsiTheme="minorHAnsi" w:cstheme="minorHAnsi"/>
              </w:rPr>
              <w:t>.</w:t>
            </w:r>
          </w:p>
          <w:p w:rsidR="00335063" w:rsidRPr="00335063" w:rsidRDefault="00335063" w:rsidP="00335063">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t>Aid ONR understanding on the impact of releases from multiple units or facilities on the off-site consequence results and Level 3 PSA.</w:t>
            </w:r>
          </w:p>
          <w:p w:rsidR="00335063" w:rsidRPr="00335063" w:rsidRDefault="00335063" w:rsidP="00335063">
            <w:pPr>
              <w:pStyle w:val="TSNumberedParagraph11"/>
              <w:numPr>
                <w:ilvl w:val="1"/>
                <w:numId w:val="35"/>
              </w:numPr>
              <w:tabs>
                <w:tab w:val="clear" w:pos="-31680"/>
              </w:tabs>
              <w:ind w:left="1549" w:hanging="425"/>
              <w:rPr>
                <w:rFonts w:asciiTheme="minorHAnsi" w:hAnsiTheme="minorHAnsi" w:cstheme="minorHAnsi"/>
              </w:rPr>
            </w:pPr>
            <w:r w:rsidRPr="00335063">
              <w:rPr>
                <w:rFonts w:asciiTheme="minorHAnsi" w:hAnsiTheme="minorHAnsi" w:cstheme="minorHAnsi"/>
              </w:rPr>
              <w:t>Recommend any relevant improvements to the ONR PSA TAG.</w:t>
            </w:r>
          </w:p>
          <w:p w:rsidR="00AF4C0F" w:rsidRPr="00A5726B" w:rsidRDefault="00335063" w:rsidP="00335063">
            <w:pPr>
              <w:pStyle w:val="TSNumberedParagraph11"/>
              <w:rPr>
                <w:rFonts w:asciiTheme="minorHAnsi" w:hAnsiTheme="minorHAnsi" w:cstheme="minorHAnsi"/>
                <w:iCs/>
                <w:sz w:val="20"/>
                <w:szCs w:val="20"/>
              </w:rPr>
            </w:pPr>
            <w:r w:rsidRPr="00335063">
              <w:rPr>
                <w:rFonts w:asciiTheme="minorHAnsi" w:hAnsiTheme="minorHAnsi" w:cstheme="minorHAnsi"/>
              </w:rPr>
              <w:t xml:space="preserve">ONR is attempting to obtain representative source terms and other information from industry to be used in this research.  However, if the information is not available, the TSC should develop representative source term data to be used. </w:t>
            </w:r>
          </w:p>
          <w:p w:rsidR="00A5726B" w:rsidRPr="000F3715" w:rsidRDefault="00A5726B" w:rsidP="00335063">
            <w:pPr>
              <w:pStyle w:val="TSNumberedParagraph11"/>
              <w:rPr>
                <w:rFonts w:asciiTheme="minorHAnsi" w:hAnsiTheme="minorHAnsi" w:cstheme="minorHAnsi"/>
                <w:iCs/>
                <w:sz w:val="20"/>
                <w:szCs w:val="20"/>
              </w:rPr>
            </w:pPr>
            <w:r>
              <w:rPr>
                <w:rFonts w:asciiTheme="minorHAnsi" w:hAnsiTheme="minorHAnsi" w:cstheme="minorHAnsi"/>
              </w:rPr>
              <w:t>All results and data files should be provided to ONR at the end of the contract.</w:t>
            </w:r>
          </w:p>
          <w:p w:rsidR="000F3715" w:rsidRDefault="000F3715" w:rsidP="000F3715">
            <w:pPr>
              <w:pStyle w:val="TSNumberedParagraph11"/>
              <w:rPr>
                <w:rFonts w:asciiTheme="minorHAnsi" w:hAnsiTheme="minorHAnsi" w:cstheme="minorHAnsi"/>
              </w:rPr>
            </w:pPr>
            <w:r w:rsidRPr="000F3715">
              <w:rPr>
                <w:rFonts w:asciiTheme="minorHAnsi" w:hAnsiTheme="minorHAnsi" w:cstheme="minorHAnsi"/>
              </w:rPr>
              <w:t xml:space="preserve">A total of </w:t>
            </w:r>
            <w:r w:rsidR="00A95C8A">
              <w:rPr>
                <w:rFonts w:asciiTheme="minorHAnsi" w:hAnsiTheme="minorHAnsi" w:cstheme="minorHAnsi"/>
              </w:rPr>
              <w:t>128 hours (16 days)</w:t>
            </w:r>
            <w:r w:rsidRPr="000F3715">
              <w:rPr>
                <w:rFonts w:asciiTheme="minorHAnsi" w:hAnsiTheme="minorHAnsi" w:cstheme="minorHAnsi"/>
              </w:rPr>
              <w:t xml:space="preserve"> is expected to be sufficient to complete and report this work.</w:t>
            </w:r>
          </w:p>
          <w:p w:rsidR="00EF144D" w:rsidRPr="000F3715" w:rsidRDefault="00EF144D" w:rsidP="000F3715">
            <w:pPr>
              <w:pStyle w:val="TSNumberedParagraph11"/>
              <w:rPr>
                <w:rFonts w:asciiTheme="minorHAnsi" w:hAnsiTheme="minorHAnsi" w:cstheme="minorHAnsi"/>
              </w:rPr>
            </w:pPr>
            <w:r>
              <w:rPr>
                <w:rFonts w:asciiTheme="minorHAnsi" w:hAnsiTheme="minorHAnsi" w:cstheme="minorHAnsi"/>
              </w:rPr>
              <w:t xml:space="preserve">A kick of meeting should be held within </w:t>
            </w:r>
            <w:r w:rsidR="00A5726B">
              <w:rPr>
                <w:rFonts w:asciiTheme="minorHAnsi" w:hAnsiTheme="minorHAnsi" w:cstheme="minorHAnsi"/>
              </w:rPr>
              <w:t>March 2019</w:t>
            </w:r>
            <w:r>
              <w:rPr>
                <w:rFonts w:asciiTheme="minorHAnsi" w:hAnsiTheme="minorHAnsi" w:cstheme="minorHAnsi"/>
              </w:rPr>
              <w:t>, which may be at ONR’s offices (Bootle, London or Cheltenham) or in the TSC offices.  Progress updates should be delivered on a regular basis (at least monthly) either by teleconference or face to face.</w:t>
            </w:r>
          </w:p>
          <w:p w:rsidR="000F3715" w:rsidRPr="002C62C2" w:rsidRDefault="000F3715" w:rsidP="000F3715">
            <w:pPr>
              <w:pStyle w:val="TSNumberedParagraph11"/>
              <w:rPr>
                <w:rFonts w:asciiTheme="minorHAnsi" w:hAnsiTheme="minorHAnsi" w:cstheme="minorHAnsi"/>
                <w:iCs/>
                <w:sz w:val="20"/>
                <w:szCs w:val="20"/>
              </w:rPr>
            </w:pPr>
            <w:r w:rsidRPr="000F3715">
              <w:rPr>
                <w:rFonts w:asciiTheme="minorHAnsi" w:hAnsiTheme="minorHAnsi" w:cstheme="minorHAnsi"/>
              </w:rPr>
              <w:t>The report and any analysis or calculations should be verified for accuracy and quality.</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8E207C" w:rsidRPr="00335063" w:rsidRDefault="008E207C" w:rsidP="008E207C">
            <w:pPr>
              <w:pStyle w:val="TSNumberedParagraph11"/>
              <w:rPr>
                <w:rFonts w:asciiTheme="minorHAnsi" w:hAnsiTheme="minorHAnsi" w:cstheme="minorHAnsi"/>
              </w:rPr>
            </w:pPr>
            <w:r w:rsidRPr="00335063">
              <w:rPr>
                <w:rFonts w:asciiTheme="minorHAnsi" w:hAnsiTheme="minorHAnsi" w:cstheme="minorHAnsi"/>
              </w:rPr>
              <w:t>The overall aims of the work package are:</w:t>
            </w:r>
          </w:p>
          <w:p w:rsidR="008E207C" w:rsidRPr="00335063" w:rsidRDefault="008E207C" w:rsidP="008E207C">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lastRenderedPageBreak/>
              <w:t>Record the current state of practice, guidance and research for multi-unit Level 3 PSA</w:t>
            </w:r>
            <w:r>
              <w:rPr>
                <w:rFonts w:asciiTheme="minorHAnsi" w:hAnsiTheme="minorHAnsi" w:cstheme="minorHAnsi"/>
              </w:rPr>
              <w:t>.</w:t>
            </w:r>
          </w:p>
          <w:p w:rsidR="008E207C" w:rsidRPr="00335063" w:rsidRDefault="008E207C" w:rsidP="008E207C">
            <w:pPr>
              <w:pStyle w:val="TSNumberedParagraph11"/>
              <w:numPr>
                <w:ilvl w:val="1"/>
                <w:numId w:val="35"/>
              </w:numPr>
              <w:tabs>
                <w:tab w:val="clear" w:pos="-31680"/>
              </w:tabs>
              <w:spacing w:after="0"/>
              <w:ind w:left="1549" w:hanging="425"/>
              <w:rPr>
                <w:rFonts w:asciiTheme="minorHAnsi" w:hAnsiTheme="minorHAnsi" w:cstheme="minorHAnsi"/>
              </w:rPr>
            </w:pPr>
            <w:r w:rsidRPr="00335063">
              <w:rPr>
                <w:rFonts w:asciiTheme="minorHAnsi" w:hAnsiTheme="minorHAnsi" w:cstheme="minorHAnsi"/>
              </w:rPr>
              <w:t>Aid ONR understanding on the impact of releases from multiple units or facilities on the off-site consequence results and Level 3 PSA.</w:t>
            </w:r>
          </w:p>
          <w:p w:rsidR="00AF4C0F" w:rsidRPr="000F3715" w:rsidRDefault="008E207C" w:rsidP="000F3715">
            <w:pPr>
              <w:pStyle w:val="TSNumberedParagraph11"/>
              <w:numPr>
                <w:ilvl w:val="1"/>
                <w:numId w:val="35"/>
              </w:numPr>
              <w:tabs>
                <w:tab w:val="clear" w:pos="-31680"/>
              </w:tabs>
              <w:ind w:left="1549" w:hanging="425"/>
              <w:rPr>
                <w:rFonts w:asciiTheme="minorHAnsi" w:hAnsiTheme="minorHAnsi" w:cstheme="minorHAnsi"/>
                <w:iCs/>
                <w:sz w:val="20"/>
                <w:szCs w:val="20"/>
              </w:rPr>
            </w:pPr>
            <w:r w:rsidRPr="00335063">
              <w:rPr>
                <w:rFonts w:asciiTheme="minorHAnsi" w:hAnsiTheme="minorHAnsi" w:cstheme="minorHAnsi"/>
              </w:rPr>
              <w:t>Recommend any relevant improvements to the ONR PSA TAG.</w:t>
            </w:r>
          </w:p>
          <w:p w:rsidR="000F3715" w:rsidRPr="002C62C2" w:rsidRDefault="000F3715" w:rsidP="000F3715">
            <w:pPr>
              <w:pStyle w:val="TSNumberedParagraph11"/>
              <w:rPr>
                <w:rFonts w:asciiTheme="minorHAnsi" w:hAnsiTheme="minorHAnsi" w:cstheme="minorHAnsi"/>
                <w:iCs/>
                <w:sz w:val="20"/>
                <w:szCs w:val="20"/>
              </w:rPr>
            </w:pPr>
            <w:r>
              <w:rPr>
                <w:rFonts w:asciiTheme="minorHAnsi" w:hAnsiTheme="minorHAnsi" w:cstheme="minorHAnsi"/>
              </w:rPr>
              <w:t>From this research ONR</w:t>
            </w:r>
            <w:r w:rsidRPr="000F3715">
              <w:rPr>
                <w:rFonts w:asciiTheme="minorHAnsi" w:hAnsiTheme="minorHAnsi" w:cstheme="minorHAnsi"/>
              </w:rPr>
              <w:t xml:space="preserve"> would like to understand if concurrent or offset releases </w:t>
            </w:r>
            <w:r>
              <w:rPr>
                <w:rFonts w:asciiTheme="minorHAnsi" w:hAnsiTheme="minorHAnsi" w:cstheme="minorHAnsi"/>
              </w:rPr>
              <w:t xml:space="preserve">from multiple sources on the same site </w:t>
            </w:r>
            <w:r w:rsidRPr="000F3715">
              <w:rPr>
                <w:rFonts w:asciiTheme="minorHAnsi" w:hAnsiTheme="minorHAnsi" w:cstheme="minorHAnsi"/>
              </w:rPr>
              <w:t>ha</w:t>
            </w:r>
            <w:r>
              <w:rPr>
                <w:rFonts w:asciiTheme="minorHAnsi" w:hAnsiTheme="minorHAnsi" w:cstheme="minorHAnsi"/>
              </w:rPr>
              <w:t>ve</w:t>
            </w:r>
            <w:r w:rsidRPr="000F3715">
              <w:rPr>
                <w:rFonts w:asciiTheme="minorHAnsi" w:hAnsiTheme="minorHAnsi" w:cstheme="minorHAnsi"/>
              </w:rPr>
              <w:t xml:space="preserve"> a noticeable impact on radiological consequences and comparison against our regulatory targets and</w:t>
            </w:r>
            <w:r>
              <w:rPr>
                <w:rFonts w:asciiTheme="minorHAnsi" w:hAnsiTheme="minorHAnsi" w:cstheme="minorHAnsi"/>
              </w:rPr>
              <w:t>,</w:t>
            </w:r>
            <w:r w:rsidRPr="000F3715">
              <w:rPr>
                <w:rFonts w:asciiTheme="minorHAnsi" w:hAnsiTheme="minorHAnsi" w:cstheme="minorHAnsi"/>
              </w:rPr>
              <w:t xml:space="preserve"> if so, what </w:t>
            </w:r>
            <w:r>
              <w:rPr>
                <w:rFonts w:asciiTheme="minorHAnsi" w:hAnsiTheme="minorHAnsi" w:cstheme="minorHAnsi"/>
              </w:rPr>
              <w:t>the important factors may be.  ONR</w:t>
            </w:r>
            <w:r w:rsidRPr="000F3715">
              <w:rPr>
                <w:rFonts w:asciiTheme="minorHAnsi" w:hAnsiTheme="minorHAnsi" w:cstheme="minorHAnsi"/>
              </w:rPr>
              <w:t xml:space="preserve"> would also like to understand if concurrent release from two units is the most significant or if a delay between the first and the second release has a larger consequence (e.g. due to changes in weather, wind direction etc.)</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lastRenderedPageBreak/>
              <w:t>CONSTRAINTS</w:t>
            </w:r>
            <w:r w:rsidRPr="002C62C2">
              <w:rPr>
                <w:rFonts w:asciiTheme="minorHAnsi" w:hAnsiTheme="minorHAnsi" w:cstheme="minorHAnsi"/>
              </w:rPr>
              <w:t xml:space="preserve"> </w:t>
            </w:r>
          </w:p>
          <w:p w:rsidR="008E207C" w:rsidRDefault="008E207C" w:rsidP="00DC6311">
            <w:pPr>
              <w:pStyle w:val="TSNumberedParagraph11"/>
              <w:tabs>
                <w:tab w:val="left" w:pos="0"/>
              </w:tabs>
              <w:jc w:val="both"/>
              <w:rPr>
                <w:rFonts w:asciiTheme="minorHAnsi" w:hAnsiTheme="minorHAnsi" w:cstheme="minorHAnsi"/>
              </w:rPr>
            </w:pPr>
            <w:r>
              <w:rPr>
                <w:rFonts w:asciiTheme="minorHAnsi" w:hAnsiTheme="minorHAnsi" w:cstheme="minorHAnsi"/>
              </w:rPr>
              <w:t xml:space="preserve">Work is </w:t>
            </w:r>
            <w:r w:rsidR="00232CFF">
              <w:rPr>
                <w:rFonts w:asciiTheme="minorHAnsi" w:hAnsiTheme="minorHAnsi" w:cstheme="minorHAnsi"/>
              </w:rPr>
              <w:t>expected to start in March 2019 with</w:t>
            </w:r>
            <w:r w:rsidR="00DC6311">
              <w:rPr>
                <w:rFonts w:asciiTheme="minorHAnsi" w:hAnsiTheme="minorHAnsi" w:cstheme="minorHAnsi"/>
              </w:rPr>
              <w:t xml:space="preserve"> an indicative schedule is included in part 2 above.</w:t>
            </w:r>
          </w:p>
          <w:p w:rsidR="00AF4C0F" w:rsidRPr="002C62C2" w:rsidRDefault="008E207C" w:rsidP="008E207C">
            <w:pPr>
              <w:pStyle w:val="TSNumberedParagraph11"/>
              <w:tabs>
                <w:tab w:val="left" w:pos="0"/>
              </w:tabs>
              <w:ind w:left="0" w:firstLine="0"/>
              <w:jc w:val="both"/>
              <w:rPr>
                <w:rFonts w:asciiTheme="minorHAnsi" w:hAnsiTheme="minorHAnsi" w:cstheme="minorHAnsi"/>
                <w:iCs/>
                <w:sz w:val="20"/>
                <w:szCs w:val="20"/>
              </w:rPr>
            </w:pPr>
            <w:r>
              <w:rPr>
                <w:rFonts w:asciiTheme="minorHAnsi" w:hAnsiTheme="minorHAnsi" w:cstheme="minorHAnsi"/>
              </w:rPr>
              <w:t>Consultants experienced</w:t>
            </w:r>
            <w:r w:rsidR="000F3715">
              <w:rPr>
                <w:rFonts w:asciiTheme="minorHAnsi" w:hAnsiTheme="minorHAnsi" w:cstheme="minorHAnsi"/>
              </w:rPr>
              <w:t xml:space="preserve"> in Level 3 PSA for the UK nuclear i</w:t>
            </w:r>
            <w:r>
              <w:rPr>
                <w:rFonts w:asciiTheme="minorHAnsi" w:hAnsiTheme="minorHAnsi" w:cstheme="minorHAnsi"/>
              </w:rPr>
              <w:t>ndustry should be used</w:t>
            </w:r>
            <w:r w:rsidR="000F3715">
              <w:rPr>
                <w:rFonts w:asciiTheme="minorHAnsi" w:hAnsiTheme="minorHAnsi" w:cstheme="minorHAnsi"/>
              </w:rPr>
              <w:t xml:space="preserve"> for this project</w:t>
            </w:r>
            <w:r>
              <w:rPr>
                <w:rFonts w:asciiTheme="minorHAnsi" w:hAnsiTheme="minorHAnsi" w:cstheme="minorHAnsi"/>
              </w:rPr>
              <w:t>.</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CONTRACT MANAGEMENT</w:t>
            </w:r>
          </w:p>
          <w:p w:rsidR="00894478" w:rsidRPr="00894478" w:rsidRDefault="00AF4C0F" w:rsidP="00894478">
            <w:pPr>
              <w:pStyle w:val="TSNumberedParagraph11"/>
              <w:tabs>
                <w:tab w:val="left" w:pos="0"/>
              </w:tabs>
              <w:ind w:left="0" w:firstLine="0"/>
              <w:jc w:val="both"/>
              <w:rPr>
                <w:rFonts w:asciiTheme="minorHAnsi" w:hAnsiTheme="minorHAnsi" w:cstheme="minorHAnsi"/>
                <w:iCs/>
                <w:sz w:val="20"/>
                <w:szCs w:val="20"/>
              </w:rPr>
            </w:pPr>
            <w:r w:rsidRPr="002C62C2">
              <w:rPr>
                <w:rFonts w:asciiTheme="minorHAnsi" w:hAnsiTheme="minorHAnsi" w:cstheme="minorHAnsi"/>
              </w:rPr>
              <w:t>ONR will require to be kept updated about progress and delivery of the required work via monthly meetings</w:t>
            </w:r>
            <w:r w:rsidR="00894478">
              <w:rPr>
                <w:rFonts w:asciiTheme="minorHAnsi" w:hAnsiTheme="minorHAnsi" w:cstheme="minorHAnsi"/>
              </w:rPr>
              <w:t xml:space="preserve">.  </w:t>
            </w:r>
          </w:p>
          <w:p w:rsidR="00AF4C0F" w:rsidRPr="002C62C2" w:rsidRDefault="00894478" w:rsidP="00232CFF">
            <w:pPr>
              <w:pStyle w:val="TSNumberedParagraph11"/>
              <w:tabs>
                <w:tab w:val="left" w:pos="0"/>
              </w:tabs>
              <w:ind w:left="0" w:firstLine="0"/>
              <w:jc w:val="both"/>
              <w:rPr>
                <w:rFonts w:asciiTheme="minorHAnsi" w:hAnsiTheme="minorHAnsi" w:cstheme="minorHAnsi"/>
                <w:iCs/>
                <w:sz w:val="20"/>
                <w:szCs w:val="20"/>
              </w:rPr>
            </w:pPr>
            <w:r>
              <w:rPr>
                <w:rFonts w:asciiTheme="minorHAnsi" w:hAnsiTheme="minorHAnsi" w:cstheme="minorHAnsi"/>
              </w:rPr>
              <w:t xml:space="preserve">A kick of meeting should be held within </w:t>
            </w:r>
            <w:r w:rsidR="00232CFF">
              <w:rPr>
                <w:rFonts w:asciiTheme="minorHAnsi" w:hAnsiTheme="minorHAnsi" w:cstheme="minorHAnsi"/>
              </w:rPr>
              <w:t>March 2019</w:t>
            </w:r>
            <w:r>
              <w:rPr>
                <w:rFonts w:asciiTheme="minorHAnsi" w:hAnsiTheme="minorHAnsi" w:cstheme="minorHAnsi"/>
              </w:rPr>
              <w:t>, which may be at ONR’s offices (Bootle, London or Cheltenham) or in the TSC’s offices.  Progress updates should be delivered on a regular basis (at least monthly) either by teleconference or face to face.</w:t>
            </w: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 xml:space="preserve">Please provide </w:t>
            </w:r>
          </w:p>
          <w:p w:rsidR="00971BA8" w:rsidRPr="002C62C2" w:rsidRDefault="00971BA8" w:rsidP="00971BA8">
            <w:pPr>
              <w:pStyle w:val="TSBullet1Square"/>
              <w:tabs>
                <w:tab w:val="left" w:pos="0"/>
              </w:tabs>
              <w:spacing w:after="0"/>
              <w:ind w:left="0" w:firstLine="0"/>
              <w:rPr>
                <w:rFonts w:asciiTheme="minorHAnsi" w:hAnsiTheme="minorHAnsi" w:cstheme="minorHAnsi"/>
              </w:rPr>
            </w:pPr>
            <w:r w:rsidRPr="002C62C2">
              <w:rPr>
                <w:rFonts w:asciiTheme="minorHAnsi" w:hAnsiTheme="minorHAnsi" w:cstheme="minorHAnsi"/>
              </w:rPr>
              <w:t xml:space="preserve">a description of how you will deliver the </w:t>
            </w:r>
            <w:r>
              <w:rPr>
                <w:rFonts w:asciiTheme="minorHAnsi" w:hAnsiTheme="minorHAnsi" w:cstheme="minorHAnsi"/>
              </w:rPr>
              <w:t xml:space="preserve">scope of </w:t>
            </w:r>
            <w:r w:rsidRPr="002C62C2">
              <w:rPr>
                <w:rFonts w:asciiTheme="minorHAnsi" w:hAnsiTheme="minorHAnsi" w:cstheme="minorHAnsi"/>
              </w:rPr>
              <w:t xml:space="preserve">work </w:t>
            </w:r>
            <w:r>
              <w:rPr>
                <w:rFonts w:asciiTheme="minorHAnsi" w:hAnsiTheme="minorHAnsi" w:cstheme="minorHAnsi"/>
              </w:rPr>
              <w:t xml:space="preserve">(methodology) </w:t>
            </w:r>
            <w:r w:rsidRPr="002C62C2">
              <w:rPr>
                <w:rFonts w:asciiTheme="minorHAnsi" w:hAnsiTheme="minorHAnsi" w:cstheme="minorHAnsi"/>
              </w:rPr>
              <w:t xml:space="preserve">and the </w:t>
            </w:r>
            <w:r>
              <w:rPr>
                <w:rFonts w:asciiTheme="minorHAnsi" w:hAnsiTheme="minorHAnsi" w:cstheme="minorHAnsi"/>
              </w:rPr>
              <w:t>proposed delivery team</w:t>
            </w:r>
            <w:r w:rsidRPr="002C62C2">
              <w:rPr>
                <w:rFonts w:asciiTheme="minorHAnsi" w:hAnsiTheme="minorHAnsi" w:cstheme="minorHAnsi"/>
              </w:rPr>
              <w:t xml:space="preserve"> you will use,</w:t>
            </w:r>
            <w:r>
              <w:rPr>
                <w:rFonts w:asciiTheme="minorHAnsi" w:hAnsiTheme="minorHAnsi" w:cstheme="minorHAnsi"/>
              </w:rPr>
              <w:t xml:space="preserve"> clearly signposting to relevant sections within your Capability Prospectus where appropriate/relevant </w:t>
            </w:r>
            <w:r w:rsidRPr="002C62C2">
              <w:rPr>
                <w:rFonts w:asciiTheme="minorHAnsi" w:hAnsiTheme="minorHAnsi" w:cstheme="minorHAnsi"/>
              </w:rPr>
              <w:t>;</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 description of proposed deliverables and/or outputs</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an outline of anticipated engagement (project meetings &amp; management)</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 xml:space="preserve">details of proposed cost and associated effort assumptions </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 xml:space="preserve">a project delivery plan showing activities and milestones </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 planned invoice schedule</w:t>
            </w:r>
          </w:p>
          <w:p w:rsidR="00971BA8" w:rsidRPr="002C62C2"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details of any assumptions or constraints</w:t>
            </w:r>
          </w:p>
          <w:p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CEA" w:rsidRDefault="00144CEA">
      <w:r>
        <w:separator/>
      </w:r>
    </w:p>
  </w:endnote>
  <w:endnote w:type="continuationSeparator" w:id="0">
    <w:p w:rsidR="00144CEA" w:rsidRDefault="001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7D545C">
    <w:pPr>
      <w:pStyle w:val="Header"/>
      <w:jc w:val="center"/>
      <w:rPr>
        <w:b/>
        <w:color w:val="006D68"/>
        <w:sz w:val="14"/>
        <w:szCs w:val="14"/>
      </w:rPr>
    </w:pPr>
    <w:r w:rsidRPr="009962B1">
      <w:rPr>
        <w:b/>
        <w:color w:val="006D68"/>
        <w:sz w:val="20"/>
        <w:szCs w:val="20"/>
      </w:rPr>
      <w:t>SECURITY CLASSIFICATION (delete or add as required</w:t>
    </w:r>
    <w:r>
      <w:rPr>
        <w:b/>
        <w:color w:val="006D68"/>
        <w:sz w:val="24"/>
        <w:szCs w:val="14"/>
      </w:rPr>
      <w:t>)</w:t>
    </w: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E24F7E">
      <w:rPr>
        <w:b/>
        <w:noProof/>
        <w:color w:val="006D68"/>
        <w:sz w:val="14"/>
        <w:szCs w:val="14"/>
      </w:rPr>
      <w:t>3</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E24F7E">
      <w:rPr>
        <w:b/>
        <w:noProof/>
        <w:color w:val="006D68"/>
        <w:sz w:val="14"/>
        <w:szCs w:val="14"/>
      </w:rPr>
      <w:t>3</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7D545C">
    <w:pPr>
      <w:pStyle w:val="Header"/>
      <w:jc w:val="center"/>
      <w:rPr>
        <w:b/>
        <w:color w:val="006D68"/>
        <w:sz w:val="14"/>
        <w:szCs w:val="14"/>
      </w:rPr>
    </w:pPr>
    <w:r>
      <w:rPr>
        <w:b/>
        <w:color w:val="006D68"/>
        <w:sz w:val="24"/>
        <w:szCs w:val="14"/>
      </w:rPr>
      <w:t>SECURITY CLASSIFICATION (delete or add as required)</w:t>
    </w: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E24F7E">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E24F7E">
      <w:rPr>
        <w:b/>
        <w:noProof/>
        <w:color w:val="006D68"/>
        <w:sz w:val="14"/>
        <w:szCs w:val="14"/>
      </w:rPr>
      <w:t>3</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CEA" w:rsidRDefault="00144CEA">
      <w:r>
        <w:separator/>
      </w:r>
    </w:p>
  </w:footnote>
  <w:footnote w:type="continuationSeparator" w:id="0">
    <w:p w:rsidR="00144CEA" w:rsidRDefault="00144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Pr="00AF4C0F" w:rsidRDefault="00D75DA2" w:rsidP="007D545C">
    <w:pPr>
      <w:pStyle w:val="Header"/>
      <w:jc w:val="center"/>
      <w:rPr>
        <w:b/>
        <w:color w:val="006D68"/>
        <w:sz w:val="20"/>
        <w:szCs w:val="20"/>
      </w:rPr>
    </w:pPr>
    <w:r w:rsidRPr="00AF4C0F">
      <w:rPr>
        <w:b/>
        <w:color w:val="006D68"/>
        <w:sz w:val="20"/>
        <w:szCs w:val="20"/>
      </w:rPr>
      <w:t>SECURITY CLASSIFICATION (delete or add as required)</w:t>
    </w: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68" w:rsidRDefault="00457068" w:rsidP="00457068">
    <w:pPr>
      <w:pStyle w:val="Header"/>
      <w:rPr>
        <w:b/>
        <w:sz w:val="20"/>
        <w:szCs w:val="20"/>
      </w:rPr>
    </w:pPr>
    <w:r>
      <w:rPr>
        <w:b/>
        <w:noProof/>
        <w:sz w:val="20"/>
        <w:szCs w:val="20"/>
        <w:lang w:eastAsia="en-GB"/>
      </w:rPr>
      <w:drawing>
        <wp:inline distT="0" distB="0" distL="0" distR="0" wp14:anchorId="601C771C" wp14:editId="3F126967">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proofErr w:type="gramStart"/>
    <w:r w:rsidR="00457068">
      <w:rPr>
        <w:b/>
        <w:sz w:val="20"/>
        <w:szCs w:val="20"/>
      </w:rPr>
      <w:t>:</w:t>
    </w:r>
    <w:r w:rsidR="00477B6A">
      <w:rPr>
        <w:b/>
        <w:sz w:val="20"/>
        <w:szCs w:val="20"/>
      </w:rPr>
      <w:t>3372</w:t>
    </w:r>
    <w:proofErr w:type="gramEnd"/>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9">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30625CAD"/>
    <w:multiLevelType w:val="multilevel"/>
    <w:tmpl w:val="49C812D6"/>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Wingdings" w:hAnsi="Wingding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5">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7">
    <w:nsid w:val="3CEF6D63"/>
    <w:multiLevelType w:val="multilevel"/>
    <w:tmpl w:val="587C0932"/>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3F2BE1"/>
    <w:multiLevelType w:val="multilevel"/>
    <w:tmpl w:val="3AD210F4"/>
    <w:lvl w:ilvl="0">
      <w:start w:val="1"/>
      <w:numFmt w:val="decimal"/>
      <w:lvlText w:val="%1"/>
      <w:lvlJc w:val="left"/>
      <w:pPr>
        <w:tabs>
          <w:tab w:val="num" w:pos="-31538"/>
        </w:tabs>
        <w:ind w:left="862" w:hanging="720"/>
      </w:pPr>
      <w:rPr>
        <w:rFonts w:hint="default"/>
        <w:sz w:val="22"/>
      </w:rPr>
    </w:lvl>
    <w:lvl w:ilvl="1">
      <w:start w:val="1"/>
      <w:numFmt w:val="decimal"/>
      <w:lvlText w:val="%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1">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2">
    <w:nsid w:val="5BC55C66"/>
    <w:multiLevelType w:val="multilevel"/>
    <w:tmpl w:val="D8DE4B34"/>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6">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8">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2"/>
  </w:num>
  <w:num w:numId="3">
    <w:abstractNumId w:val="16"/>
  </w:num>
  <w:num w:numId="4">
    <w:abstractNumId w:val="0"/>
  </w:num>
  <w:num w:numId="5">
    <w:abstractNumId w:val="14"/>
  </w:num>
  <w:num w:numId="6">
    <w:abstractNumId w:val="30"/>
  </w:num>
  <w:num w:numId="7">
    <w:abstractNumId w:val="25"/>
  </w:num>
  <w:num w:numId="8">
    <w:abstractNumId w:val="21"/>
  </w:num>
  <w:num w:numId="9">
    <w:abstractNumId w:val="31"/>
  </w:num>
  <w:num w:numId="10">
    <w:abstractNumId w:val="2"/>
  </w:num>
  <w:num w:numId="11">
    <w:abstractNumId w:val="6"/>
  </w:num>
  <w:num w:numId="12">
    <w:abstractNumId w:val="9"/>
  </w:num>
  <w:num w:numId="13">
    <w:abstractNumId w:val="1"/>
  </w:num>
  <w:num w:numId="14">
    <w:abstractNumId w:val="23"/>
  </w:num>
  <w:num w:numId="15">
    <w:abstractNumId w:val="12"/>
  </w:num>
  <w:num w:numId="16">
    <w:abstractNumId w:val="28"/>
  </w:num>
  <w:num w:numId="17">
    <w:abstractNumId w:val="7"/>
  </w:num>
  <w:num w:numId="18">
    <w:abstractNumId w:val="18"/>
  </w:num>
  <w:num w:numId="19">
    <w:abstractNumId w:val="15"/>
  </w:num>
  <w:num w:numId="20">
    <w:abstractNumId w:val="3"/>
  </w:num>
  <w:num w:numId="21">
    <w:abstractNumId w:val="29"/>
  </w:num>
  <w:num w:numId="22">
    <w:abstractNumId w:val="4"/>
  </w:num>
  <w:num w:numId="23">
    <w:abstractNumId w:val="24"/>
  </w:num>
  <w:num w:numId="24">
    <w:abstractNumId w:val="26"/>
  </w:num>
  <w:num w:numId="25">
    <w:abstractNumId w:val="13"/>
  </w:num>
  <w:num w:numId="26">
    <w:abstractNumId w:val="5"/>
  </w:num>
  <w:num w:numId="27">
    <w:abstractNumId w:val="10"/>
  </w:num>
  <w:num w:numId="28">
    <w:abstractNumId w:val="27"/>
  </w:num>
  <w:num w:numId="29">
    <w:abstractNumId w:val="20"/>
  </w:num>
  <w:num w:numId="30">
    <w:abstractNumId w:val="28"/>
  </w:num>
  <w:num w:numId="31">
    <w:abstractNumId w:val="9"/>
  </w:num>
  <w:num w:numId="32">
    <w:abstractNumId w:val="19"/>
  </w:num>
  <w:num w:numId="33">
    <w:abstractNumId w:val="17"/>
  </w:num>
  <w:num w:numId="34">
    <w:abstractNumId w:val="11"/>
  </w:num>
  <w:num w:numId="35">
    <w:abstractNumId w:val="22"/>
  </w:num>
  <w:num w:numId="36">
    <w:abstractNumId w:val="9"/>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30D3C"/>
    <w:rsid w:val="000312D3"/>
    <w:rsid w:val="000375D1"/>
    <w:rsid w:val="000715BD"/>
    <w:rsid w:val="00096F71"/>
    <w:rsid w:val="000B1830"/>
    <w:rsid w:val="000B4E40"/>
    <w:rsid w:val="000D6244"/>
    <w:rsid w:val="000F3715"/>
    <w:rsid w:val="00121C8F"/>
    <w:rsid w:val="00131ECC"/>
    <w:rsid w:val="00144CEA"/>
    <w:rsid w:val="00164F4F"/>
    <w:rsid w:val="00193C9A"/>
    <w:rsid w:val="001A58B1"/>
    <w:rsid w:val="001C3DB8"/>
    <w:rsid w:val="001D78A1"/>
    <w:rsid w:val="00200CB7"/>
    <w:rsid w:val="0021074A"/>
    <w:rsid w:val="00216018"/>
    <w:rsid w:val="00232CFF"/>
    <w:rsid w:val="0028011F"/>
    <w:rsid w:val="0028356A"/>
    <w:rsid w:val="00297401"/>
    <w:rsid w:val="002C62C2"/>
    <w:rsid w:val="0031706E"/>
    <w:rsid w:val="00335063"/>
    <w:rsid w:val="003B4AA2"/>
    <w:rsid w:val="003B551B"/>
    <w:rsid w:val="003D005E"/>
    <w:rsid w:val="003E0530"/>
    <w:rsid w:val="003E2CA6"/>
    <w:rsid w:val="003E452E"/>
    <w:rsid w:val="00457068"/>
    <w:rsid w:val="004750A2"/>
    <w:rsid w:val="00477B6A"/>
    <w:rsid w:val="00487A22"/>
    <w:rsid w:val="004A7B1B"/>
    <w:rsid w:val="004F24BC"/>
    <w:rsid w:val="00505F6E"/>
    <w:rsid w:val="005322E6"/>
    <w:rsid w:val="005556C6"/>
    <w:rsid w:val="00562F2F"/>
    <w:rsid w:val="005A1570"/>
    <w:rsid w:val="005A5A87"/>
    <w:rsid w:val="005F0722"/>
    <w:rsid w:val="00604F23"/>
    <w:rsid w:val="006A667F"/>
    <w:rsid w:val="006B2DA6"/>
    <w:rsid w:val="006C519A"/>
    <w:rsid w:val="006F1199"/>
    <w:rsid w:val="006F5420"/>
    <w:rsid w:val="00715C62"/>
    <w:rsid w:val="0072164C"/>
    <w:rsid w:val="007B4EE0"/>
    <w:rsid w:val="007D545C"/>
    <w:rsid w:val="007F7246"/>
    <w:rsid w:val="00842FD6"/>
    <w:rsid w:val="00863CDC"/>
    <w:rsid w:val="00891423"/>
    <w:rsid w:val="00894478"/>
    <w:rsid w:val="008A7BDD"/>
    <w:rsid w:val="008D71E9"/>
    <w:rsid w:val="008E207C"/>
    <w:rsid w:val="008E67CB"/>
    <w:rsid w:val="0091041C"/>
    <w:rsid w:val="00932851"/>
    <w:rsid w:val="009678DE"/>
    <w:rsid w:val="00971BA8"/>
    <w:rsid w:val="009765DB"/>
    <w:rsid w:val="00987AA6"/>
    <w:rsid w:val="009962B1"/>
    <w:rsid w:val="009B5159"/>
    <w:rsid w:val="009D3CD0"/>
    <w:rsid w:val="009F1B6F"/>
    <w:rsid w:val="00A25EB0"/>
    <w:rsid w:val="00A41FDA"/>
    <w:rsid w:val="00A442D1"/>
    <w:rsid w:val="00A5726B"/>
    <w:rsid w:val="00A95C8A"/>
    <w:rsid w:val="00AB2BB0"/>
    <w:rsid w:val="00AB7147"/>
    <w:rsid w:val="00AD5635"/>
    <w:rsid w:val="00AE199F"/>
    <w:rsid w:val="00AF4C0F"/>
    <w:rsid w:val="00B255B3"/>
    <w:rsid w:val="00B43C54"/>
    <w:rsid w:val="00B504F7"/>
    <w:rsid w:val="00B56CCE"/>
    <w:rsid w:val="00B81B18"/>
    <w:rsid w:val="00BC24ED"/>
    <w:rsid w:val="00BC5FC8"/>
    <w:rsid w:val="00BD2F5F"/>
    <w:rsid w:val="00C25583"/>
    <w:rsid w:val="00C75298"/>
    <w:rsid w:val="00C75A1C"/>
    <w:rsid w:val="00CA3B14"/>
    <w:rsid w:val="00CD7B5F"/>
    <w:rsid w:val="00CE5958"/>
    <w:rsid w:val="00CE6571"/>
    <w:rsid w:val="00D3061A"/>
    <w:rsid w:val="00D55197"/>
    <w:rsid w:val="00D55FE7"/>
    <w:rsid w:val="00D75DA2"/>
    <w:rsid w:val="00D7747E"/>
    <w:rsid w:val="00DC6311"/>
    <w:rsid w:val="00DC6611"/>
    <w:rsid w:val="00DE4417"/>
    <w:rsid w:val="00DF3697"/>
    <w:rsid w:val="00E12A39"/>
    <w:rsid w:val="00E24F7E"/>
    <w:rsid w:val="00E32F3B"/>
    <w:rsid w:val="00E71B0C"/>
    <w:rsid w:val="00E87C8C"/>
    <w:rsid w:val="00E9478E"/>
    <w:rsid w:val="00E97293"/>
    <w:rsid w:val="00EA5EB4"/>
    <w:rsid w:val="00ED5F2B"/>
    <w:rsid w:val="00EF144D"/>
    <w:rsid w:val="00FA4225"/>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859856069">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AAD27-00E7-4FC1-BC28-FFAC07C2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6418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2019-01-29T15:57:00Z</cp:lastPrinted>
  <dcterms:created xsi:type="dcterms:W3CDTF">2019-06-10T12:29:00Z</dcterms:created>
  <dcterms:modified xsi:type="dcterms:W3CDTF">2019-06-10T12:29:00Z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