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tabs>
          <w:tab w:val="left" w:leader="none" w:pos="270"/>
        </w:tabs>
        <w:spacing w:after="240" w:lineRule="auto"/>
        <w:ind w:right="-187"/>
        <w:jc w:val="center"/>
        <w:rPr>
          <w:rFonts w:ascii="Arial" w:cs="Arial" w:eastAsia="Arial" w:hAnsi="Arial"/>
          <w:b w:val="1"/>
          <w:sz w:val="24"/>
          <w:szCs w:val="24"/>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-95246</wp:posOffset>
            </wp:positionH>
            <wp:positionV relativeFrom="paragraph">
              <wp:posOffset>104775</wp:posOffset>
            </wp:positionV>
            <wp:extent cx="1062038" cy="824141"/>
            <wp:effectExtent b="0" l="0" r="0" t="0"/>
            <wp:wrapSquare wrapText="bothSides" distB="0" distT="0" distL="114300" distR="114300"/>
            <wp:docPr descr="CCS_2935_SML_AW" id="4"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leader="none" w:pos="270"/>
        </w:tabs>
        <w:spacing w:after="240" w:lineRule="auto"/>
        <w:ind w:right="-187"/>
        <w:jc w:val="center"/>
        <w:rPr>
          <w:rFonts w:ascii="Arial" w:cs="Arial" w:eastAsia="Arial" w:hAnsi="Arial"/>
          <w:b w:val="1"/>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tabs>
          <w:tab w:val="left" w:leader="none" w:pos="270"/>
        </w:tabs>
        <w:spacing w:after="240" w:lineRule="auto"/>
        <w:ind w:right="-187"/>
        <w:jc w:val="center"/>
        <w:rPr>
          <w:rFonts w:ascii="Arial" w:cs="Arial" w:eastAsia="Arial" w:hAnsi="Arial"/>
          <w:b w:val="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tabs>
          <w:tab w:val="left" w:leader="none" w:pos="270"/>
        </w:tabs>
        <w:spacing w:after="240" w:lineRule="auto"/>
        <w:ind w:right="-187"/>
        <w:jc w:val="center"/>
        <w:rPr>
          <w:rFonts w:ascii="Arial" w:cs="Arial" w:eastAsia="Arial" w:hAnsi="Arial"/>
          <w:b w:val="1"/>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05">
      <w:pPr>
        <w:tabs>
          <w:tab w:val="left" w:leader="none" w:pos="270"/>
        </w:tabs>
        <w:spacing w:after="240" w:lineRule="auto"/>
        <w:ind w:right="-187"/>
        <w:jc w:val="center"/>
        <w:rPr>
          <w:rFonts w:ascii="Arial" w:cs="Arial" w:eastAsia="Arial" w:hAnsi="Arial"/>
          <w:b w:val="1"/>
          <w:sz w:val="28"/>
          <w:szCs w:val="28"/>
        </w:rPr>
      </w:pPr>
      <w:bookmarkStart w:colFirst="0" w:colLast="0" w:name="_heading=h.2et92p0" w:id="4"/>
      <w:bookmarkEnd w:id="4"/>
      <w:r w:rsidDel="00000000" w:rsidR="00000000" w:rsidRPr="00000000">
        <w:rPr>
          <w:rFonts w:ascii="Arial" w:cs="Arial" w:eastAsia="Arial" w:hAnsi="Arial"/>
          <w:b w:val="1"/>
          <w:sz w:val="28"/>
          <w:szCs w:val="28"/>
          <w:rtl w:val="0"/>
        </w:rPr>
        <w:t xml:space="preserve">Attachment 2b.i – Lot 1 Enterprise Software</w:t>
      </w:r>
    </w:p>
    <w:p w:rsidR="00000000" w:rsidDel="00000000" w:rsidP="00000000" w:rsidRDefault="00000000" w:rsidRPr="00000000" w14:paraId="00000006">
      <w:pPr>
        <w:tabs>
          <w:tab w:val="left" w:leader="none" w:pos="270"/>
        </w:tabs>
        <w:spacing w:after="240" w:lineRule="auto"/>
        <w:ind w:right="-187"/>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7">
      <w:pPr>
        <w:tabs>
          <w:tab w:val="left" w:leader="none" w:pos="270"/>
        </w:tabs>
        <w:spacing w:after="240" w:lineRule="auto"/>
        <w:ind w:right="-187"/>
        <w:jc w:val="center"/>
        <w:rPr>
          <w:rFonts w:ascii="Arial" w:cs="Arial" w:eastAsia="Arial" w:hAnsi="Arial"/>
          <w:b w:val="1"/>
          <w:sz w:val="28"/>
          <w:szCs w:val="28"/>
          <w:highlight w:val="white"/>
        </w:rPr>
      </w:pPr>
      <w:bookmarkStart w:colFirst="0" w:colLast="0" w:name="_heading=h.tyjcwt" w:id="5"/>
      <w:bookmarkEnd w:id="5"/>
      <w:r w:rsidDel="00000000" w:rsidR="00000000" w:rsidRPr="00000000">
        <w:rPr>
          <w:rFonts w:ascii="Arial" w:cs="Arial" w:eastAsia="Arial" w:hAnsi="Arial"/>
          <w:b w:val="1"/>
          <w:sz w:val="28"/>
          <w:szCs w:val="28"/>
          <w:highlight w:val="white"/>
          <w:rtl w:val="0"/>
        </w:rPr>
        <w:t xml:space="preserve">RM6285 – Back Office Software 2</w:t>
      </w:r>
    </w:p>
    <w:p w:rsidR="00000000" w:rsidDel="00000000" w:rsidP="00000000" w:rsidRDefault="00000000" w:rsidRPr="00000000" w14:paraId="00000008">
      <w:pPr>
        <w:tabs>
          <w:tab w:val="left" w:leader="none" w:pos="270"/>
        </w:tabs>
        <w:spacing w:after="240" w:lineRule="auto"/>
        <w:ind w:right="-187"/>
        <w:jc w:val="center"/>
        <w:rPr>
          <w:rFonts w:ascii="Arial" w:cs="Arial" w:eastAsia="Arial" w:hAnsi="Arial"/>
          <w:b w:val="1"/>
          <w:sz w:val="28"/>
          <w:szCs w:val="28"/>
          <w:highlight w:val="white"/>
        </w:rPr>
      </w:pPr>
      <w:bookmarkStart w:colFirst="0" w:colLast="0" w:name="_heading=h.3dy6vkm" w:id="6"/>
      <w:bookmarkEnd w:id="6"/>
      <w:r w:rsidDel="00000000" w:rsidR="00000000" w:rsidRPr="00000000">
        <w:rPr>
          <w:rtl w:val="0"/>
        </w:rPr>
      </w:r>
    </w:p>
    <w:p w:rsidR="00000000" w:rsidDel="00000000" w:rsidP="00000000" w:rsidRDefault="00000000" w:rsidRPr="00000000" w14:paraId="00000009">
      <w:pPr>
        <w:tabs>
          <w:tab w:val="left" w:leader="none"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tabs>
          <w:tab w:val="left" w:leader="none" w:pos="270"/>
        </w:tabs>
        <w:spacing w:after="120" w:line="36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w:t>
      </w:r>
      <w:r w:rsidDel="00000000" w:rsidR="00000000" w:rsidRPr="00000000">
        <w:rPr>
          <w:rFonts w:ascii="Arial" w:cs="Arial" w:eastAsia="Arial" w:hAnsi="Arial"/>
          <w:rtl w:val="0"/>
        </w:rPr>
        <w:t xml:space="preserve">d the Scope of Deliverables</w:t>
      </w:r>
      <w:r w:rsidDel="00000000" w:rsidR="00000000" w:rsidRPr="00000000">
        <w:rPr>
          <w:rFonts w:ascii="Arial" w:cs="Arial" w:eastAsia="Arial" w:hAnsi="Arial"/>
          <w:rtl w:val="0"/>
        </w:rPr>
        <w:t xml:space="preserve"> within the scope of Lot 1. The </w:t>
      </w:r>
      <w:r w:rsidDel="00000000" w:rsidR="00000000" w:rsidRPr="00000000">
        <w:rPr>
          <w:rFonts w:ascii="Arial" w:cs="Arial" w:eastAsia="Arial" w:hAnsi="Arial"/>
          <w:rtl w:val="0"/>
        </w:rPr>
        <w:t xml:space="preserve">Scope of Deliverables is set out in Section 2 (Scope of Deliverables) in Attachment 1a -  Specification (Framework Schedule 1):</w:t>
      </w:r>
      <w:r w:rsidDel="00000000" w:rsidR="00000000" w:rsidRPr="00000000">
        <w:rPr>
          <w:rFonts w:ascii="Arial" w:cs="Arial" w:eastAsia="Arial" w:hAnsi="Arial"/>
          <w:rtl w:val="0"/>
        </w:rPr>
        <w:t xml:space="preserve"> For the assessment of Technical and Professional ability the relevant Services are listed within Section A of this Certificate of Technical and Professional ability (COTPA). You are required to submit one (1) Certificate of Technical and Professional ability (COTPA).</w:t>
      </w:r>
    </w:p>
    <w:p w:rsidR="00000000" w:rsidDel="00000000" w:rsidP="00000000" w:rsidRDefault="00000000" w:rsidRPr="00000000" w14:paraId="0000000B">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C">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0D">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E">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0F">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0">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1">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1 by uploading this file to question 1.26.3</w:t>
      </w:r>
      <w:r w:rsidDel="00000000" w:rsidR="00000000" w:rsidRPr="00000000">
        <w:rPr>
          <w:rtl w:val="0"/>
        </w:rPr>
      </w:r>
    </w:p>
    <w:p w:rsidR="00000000" w:rsidDel="00000000" w:rsidP="00000000" w:rsidRDefault="00000000" w:rsidRPr="00000000" w14:paraId="00000012">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w:t>
      </w:r>
    </w:p>
    <w:p w:rsidR="00000000" w:rsidDel="00000000" w:rsidP="00000000" w:rsidRDefault="00000000" w:rsidRPr="00000000" w14:paraId="00000013">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4">
      <w:pPr>
        <w:tabs>
          <w:tab w:val="left" w:leader="none"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w:t>
      </w:r>
      <w:r w:rsidDel="00000000" w:rsidR="00000000" w:rsidRPr="00000000">
        <w:rPr>
          <w:rFonts w:ascii="Arial" w:cs="Arial" w:eastAsia="Arial" w:hAnsi="Arial"/>
          <w:rtl w:val="0"/>
        </w:rPr>
        <w:t xml:space="preserve">ur </w:t>
      </w:r>
      <w:r w:rsidDel="00000000" w:rsidR="00000000" w:rsidRPr="00000000">
        <w:rPr>
          <w:rFonts w:ascii="Arial" w:cs="Arial" w:eastAsia="Arial" w:hAnsi="Arial"/>
          <w:rtl w:val="0"/>
        </w:rPr>
        <w:t xml:space="preserve">file in the following format: </w:t>
      </w:r>
      <w:r w:rsidDel="00000000" w:rsidR="00000000" w:rsidRPr="00000000">
        <w:rPr>
          <w:rFonts w:ascii="Arial" w:cs="Arial" w:eastAsia="Arial" w:hAnsi="Arial"/>
          <w:b w:val="1"/>
          <w:i w:val="1"/>
          <w:rtl w:val="0"/>
        </w:rPr>
        <w:t xml:space="preserve">organisation name_Lot 1COTPA</w:t>
      </w:r>
    </w:p>
    <w:p w:rsidR="00000000" w:rsidDel="00000000" w:rsidP="00000000" w:rsidRDefault="00000000" w:rsidRPr="00000000" w14:paraId="00000015">
      <w:pPr>
        <w:tabs>
          <w:tab w:val="left" w:leader="none"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6">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7">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8">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9">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 in order to pass:</w:t>
      </w:r>
    </w:p>
    <w:p w:rsidR="00000000" w:rsidDel="00000000" w:rsidP="00000000" w:rsidRDefault="00000000" w:rsidRPr="00000000" w14:paraId="0000001B">
      <w:pPr>
        <w:tabs>
          <w:tab w:val="left" w:leader="none"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1C">
      <w:pPr>
        <w:numPr>
          <w:ilvl w:val="0"/>
          <w:numId w:val="3"/>
        </w:numPr>
        <w:tabs>
          <w:tab w:val="left" w:leader="none" w:pos="270"/>
        </w:tabs>
        <w:spacing w:after="0" w:afterAutospacing="0" w:line="360" w:lineRule="auto"/>
        <w:ind w:left="720" w:right="-187" w:hanging="360"/>
        <w:rPr>
          <w:rFonts w:ascii="Arial" w:cs="Arial" w:eastAsia="Arial" w:hAnsi="Arial"/>
          <w:u w:val="none"/>
        </w:rPr>
      </w:pPr>
      <w:r w:rsidDel="00000000" w:rsidR="00000000" w:rsidRPr="00000000">
        <w:rPr>
          <w:rFonts w:ascii="Arial" w:cs="Arial" w:eastAsia="Arial" w:hAnsi="Arial"/>
          <w:rtl w:val="0"/>
        </w:rPr>
        <w:t xml:space="preserve">Bidders must have provided at least one of the services in Table A</w:t>
      </w:r>
    </w:p>
    <w:p w:rsidR="00000000" w:rsidDel="00000000" w:rsidP="00000000" w:rsidRDefault="00000000" w:rsidRPr="00000000" w14:paraId="0000001D">
      <w:pPr>
        <w:numPr>
          <w:ilvl w:val="0"/>
          <w:numId w:val="3"/>
        </w:numPr>
        <w:tabs>
          <w:tab w:val="left" w:leader="none" w:pos="270"/>
        </w:tabs>
        <w:spacing w:after="0" w:afterAutospacing="0" w:line="360" w:lineRule="auto"/>
        <w:ind w:left="720" w:right="-187" w:hanging="360"/>
        <w:rPr>
          <w:rFonts w:ascii="Arial" w:cs="Arial" w:eastAsia="Arial" w:hAnsi="Arial"/>
          <w:u w:val="none"/>
        </w:rPr>
      </w:pPr>
      <w:r w:rsidDel="00000000" w:rsidR="00000000" w:rsidRPr="00000000">
        <w:rPr>
          <w:rFonts w:ascii="Arial" w:cs="Arial" w:eastAsia="Arial" w:hAnsi="Arial"/>
          <w:rtl w:val="0"/>
        </w:rPr>
        <w:t xml:space="preserve">The Scope of Deliverables must have been deployed and the contract fully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E">
      <w:pPr>
        <w:numPr>
          <w:ilvl w:val="0"/>
          <w:numId w:val="3"/>
        </w:numPr>
        <w:spacing w:after="0" w:afterAutospacing="0" w:before="0" w:beforeAutospacing="0" w:line="360" w:lineRule="auto"/>
        <w:ind w:left="720" w:right="160" w:hanging="360"/>
        <w:rPr>
          <w:rFonts w:ascii="Arial" w:cs="Arial" w:eastAsia="Arial" w:hAnsi="Arial"/>
          <w:u w:val="none"/>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value</w:t>
      </w:r>
      <w:r w:rsidDel="00000000" w:rsidR="00000000" w:rsidRPr="00000000">
        <w:rPr>
          <w:rFonts w:ascii="Arial" w:cs="Arial" w:eastAsia="Arial" w:hAnsi="Arial"/>
          <w:rtl w:val="0"/>
        </w:rPr>
        <w:t xml:space="preserve"> of the customer contract used for the certification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exceed </w:t>
      </w:r>
      <w:r w:rsidDel="00000000" w:rsidR="00000000" w:rsidRPr="00000000">
        <w:rPr>
          <w:rFonts w:ascii="Arial" w:cs="Arial" w:eastAsia="Arial" w:hAnsi="Arial"/>
          <w:rtl w:val="0"/>
        </w:rPr>
        <w:t xml:space="preserve">£200,000 </w:t>
      </w:r>
      <w:r w:rsidDel="00000000" w:rsidR="00000000" w:rsidRPr="00000000">
        <w:rPr>
          <w:rFonts w:ascii="Arial" w:cs="Arial" w:eastAsia="Arial" w:hAnsi="Arial"/>
          <w:rtl w:val="0"/>
        </w:rPr>
        <w:t xml:space="preserve">(Two Hundred Thousand Pounds Sterling)</w:t>
      </w:r>
      <w:r w:rsidDel="00000000" w:rsidR="00000000" w:rsidRPr="00000000">
        <w:rPr>
          <w:rFonts w:ascii="Arial" w:cs="Arial" w:eastAsia="Arial" w:hAnsi="Arial"/>
          <w:rtl w:val="0"/>
        </w:rPr>
        <w:t xml:space="preserve"> in Total Contract Value (TCV).    </w:t>
      </w:r>
    </w:p>
    <w:p w:rsidR="00000000" w:rsidDel="00000000" w:rsidP="00000000" w:rsidRDefault="00000000" w:rsidRPr="00000000" w14:paraId="0000001F">
      <w:pPr>
        <w:numPr>
          <w:ilvl w:val="0"/>
          <w:numId w:val="3"/>
        </w:numPr>
        <w:spacing w:after="0" w:afterAutospacing="0" w:line="360" w:lineRule="auto"/>
        <w:ind w:left="720" w:right="-187" w:hanging="360"/>
        <w:rPr>
          <w:rFonts w:ascii="Arial" w:cs="Arial" w:eastAsia="Arial" w:hAnsi="Arial"/>
          <w:u w:val="none"/>
        </w:rPr>
      </w:pPr>
      <w:r w:rsidDel="00000000" w:rsidR="00000000" w:rsidRPr="00000000">
        <w:rPr>
          <w:rFonts w:ascii="Arial" w:cs="Arial" w:eastAsia="Arial" w:hAnsi="Arial"/>
          <w:rtl w:val="0"/>
        </w:rPr>
        <w:t xml:space="preserve">the COTPA must evidence a contract that you have delivered, or are currently delivering to the customer within the last 18 months prior to the publication of the contract notice for this competition. You cannot use a contract where you have not yet started to deliver the services. </w:t>
      </w:r>
    </w:p>
    <w:p w:rsidR="00000000" w:rsidDel="00000000" w:rsidP="00000000" w:rsidRDefault="00000000" w:rsidRPr="00000000" w14:paraId="00000020">
      <w:pPr>
        <w:numPr>
          <w:ilvl w:val="0"/>
          <w:numId w:val="3"/>
        </w:numPr>
        <w:tabs>
          <w:tab w:val="left" w:leader="none" w:pos="270"/>
        </w:tabs>
        <w:spacing w:after="0" w:afterAutospacing="0" w:line="360" w:lineRule="auto"/>
        <w:ind w:left="720" w:right="-187" w:hanging="360"/>
        <w:rPr>
          <w:rFonts w:ascii="Arial" w:cs="Arial" w:eastAsia="Arial" w:hAnsi="Arial"/>
          <w:u w:val="none"/>
        </w:rPr>
      </w:pPr>
      <w:r w:rsidDel="00000000" w:rsidR="00000000" w:rsidRPr="00000000">
        <w:rPr>
          <w:rFonts w:ascii="Arial" w:cs="Arial" w:eastAsia="Arial" w:hAnsi="Arial"/>
          <w:rtl w:val="0"/>
        </w:rPr>
        <w:t xml:space="preserve">the contract must evidence the </w:t>
      </w:r>
      <w:r w:rsidDel="00000000" w:rsidR="00000000" w:rsidRPr="00000000">
        <w:rPr>
          <w:rFonts w:ascii="Arial" w:cs="Arial" w:eastAsia="Arial" w:hAnsi="Arial"/>
          <w:rtl w:val="0"/>
        </w:rPr>
        <w:t xml:space="preserve">Scope </w:t>
      </w:r>
      <w:r w:rsidDel="00000000" w:rsidR="00000000" w:rsidRPr="00000000">
        <w:rPr>
          <w:rFonts w:ascii="Arial" w:cs="Arial" w:eastAsia="Arial" w:hAnsi="Arial"/>
          <w:rtl w:val="0"/>
        </w:rPr>
        <w:t xml:space="preserve">of Deliverables are being delivered to a Customer </w:t>
      </w:r>
      <w:r w:rsidDel="00000000" w:rsidR="00000000" w:rsidRPr="00000000">
        <w:rPr>
          <w:rFonts w:ascii="Arial" w:cs="Arial" w:eastAsia="Arial" w:hAnsi="Arial"/>
          <w:b w:val="1"/>
          <w:rtl w:val="0"/>
        </w:rPr>
        <w:t xml:space="preserve">within the United Kingdom</w:t>
      </w:r>
      <w:r w:rsidDel="00000000" w:rsidR="00000000" w:rsidRPr="00000000">
        <w:rPr>
          <w:rtl w:val="0"/>
        </w:rPr>
      </w:r>
    </w:p>
    <w:p w:rsidR="00000000" w:rsidDel="00000000" w:rsidP="00000000" w:rsidRDefault="00000000" w:rsidRPr="00000000" w14:paraId="00000021">
      <w:pPr>
        <w:numPr>
          <w:ilvl w:val="0"/>
          <w:numId w:val="3"/>
        </w:numPr>
        <w:tabs>
          <w:tab w:val="left" w:leader="none" w:pos="270"/>
        </w:tabs>
        <w:spacing w:after="120" w:line="360" w:lineRule="auto"/>
        <w:ind w:left="720" w:right="-187" w:hanging="360"/>
        <w:rPr>
          <w:rFonts w:ascii="Arial" w:cs="Arial" w:eastAsia="Arial" w:hAnsi="Arial"/>
          <w:u w:val="none"/>
        </w:rPr>
      </w:pPr>
      <w:r w:rsidDel="00000000" w:rsidR="00000000" w:rsidRPr="00000000">
        <w:rPr>
          <w:rFonts w:ascii="Arial" w:cs="Arial" w:eastAsia="Arial" w:hAnsi="Arial"/>
          <w:rtl w:val="0"/>
        </w:rPr>
        <w:t xml:space="preserve">the contract can be from the </w:t>
      </w:r>
      <w:r w:rsidDel="00000000" w:rsidR="00000000" w:rsidRPr="00000000">
        <w:rPr>
          <w:rFonts w:ascii="Arial" w:cs="Arial" w:eastAsia="Arial" w:hAnsi="Arial"/>
          <w:b w:val="1"/>
          <w:rtl w:val="0"/>
        </w:rPr>
        <w:t xml:space="preserve">Public, Private or Third Sector </w:t>
      </w:r>
      <w:r w:rsidDel="00000000" w:rsidR="00000000" w:rsidRPr="00000000">
        <w:rPr>
          <w:rFonts w:ascii="Arial" w:cs="Arial" w:eastAsia="Arial" w:hAnsi="Arial"/>
          <w:rtl w:val="0"/>
        </w:rPr>
        <w:t xml:space="preserve">(e.g. Charity). </w:t>
      </w:r>
      <w:r w:rsidDel="00000000" w:rsidR="00000000" w:rsidRPr="00000000">
        <w:rPr>
          <w:rtl w:val="0"/>
        </w:rPr>
      </w:r>
    </w:p>
    <w:p w:rsidR="00000000" w:rsidDel="00000000" w:rsidP="00000000" w:rsidRDefault="00000000" w:rsidRPr="00000000" w14:paraId="00000022">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3">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Additional Information:</w:t>
      </w:r>
    </w:p>
    <w:p w:rsidR="00000000" w:rsidDel="00000000" w:rsidP="00000000" w:rsidRDefault="00000000" w:rsidRPr="00000000" w14:paraId="00000024">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5">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6">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7">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8">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9">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A">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service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2B">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2C">
      <w:pPr>
        <w:widowControl w:val="1"/>
        <w:numPr>
          <w:ilvl w:val="0"/>
          <w:numId w:val="9"/>
        </w:numPr>
        <w:spacing w:line="256" w:lineRule="auto"/>
        <w:ind w:left="720" w:right="-620" w:hanging="360"/>
        <w:rPr>
          <w:rFonts w:ascii="Arial" w:cs="Arial" w:eastAsia="Arial" w:hAnsi="Arial"/>
          <w:sz w:val="24"/>
          <w:szCs w:val="24"/>
        </w:rPr>
      </w:pPr>
      <w:r w:rsidDel="00000000" w:rsidR="00000000" w:rsidRPr="00000000">
        <w:rPr>
          <w:rFonts w:ascii="Arial" w:cs="Arial" w:eastAsia="Arial" w:hAnsi="Arial"/>
          <w:rtl w:val="0"/>
        </w:rPr>
        <w:t xml:space="preserve">COTPAs may be provided for contracts where the supplier that delivered the services is a consortium member or a Key Subcontractor named in your bid. </w:t>
      </w:r>
    </w:p>
    <w:p w:rsidR="00000000" w:rsidDel="00000000" w:rsidP="00000000" w:rsidRDefault="00000000" w:rsidRPr="00000000" w14:paraId="0000002D">
      <w:pPr>
        <w:widowControl w:val="1"/>
        <w:numPr>
          <w:ilvl w:val="0"/>
          <w:numId w:val="9"/>
        </w:numPr>
        <w:spacing w:line="256" w:lineRule="auto"/>
        <w:ind w:left="720" w:right="-620" w:hanging="360"/>
        <w:rPr>
          <w:rFonts w:ascii="Arial" w:cs="Arial" w:eastAsia="Arial" w:hAnsi="Arial"/>
          <w:sz w:val="24"/>
          <w:szCs w:val="24"/>
        </w:rPr>
      </w:pPr>
      <w:r w:rsidDel="00000000" w:rsidR="00000000" w:rsidRPr="00000000">
        <w:rPr>
          <w:rFonts w:ascii="Arial" w:cs="Arial" w:eastAsia="Arial" w:hAnsi="Arial"/>
          <w:rtl w:val="0"/>
        </w:rPr>
        <w:t xml:space="preserve">Where you are relying on a Key Subcontractor to demonstrate technical and professional ability, remember that they must complete Attachment 4 - Information and Declaration Workbook. This must be submitted as part of your bid, in accordance with the guidance set out in Attachment 1 - About the Framework.</w:t>
      </w:r>
    </w:p>
    <w:p w:rsidR="00000000" w:rsidDel="00000000" w:rsidP="00000000" w:rsidRDefault="00000000" w:rsidRPr="00000000" w14:paraId="0000002E">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0">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tabs>
          <w:tab w:val="left" w:leader="none"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3">
      <w:pPr>
        <w:tabs>
          <w:tab w:val="left" w:leader="none"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4">
      <w:pPr>
        <w:tabs>
          <w:tab w:val="left" w:leader="none"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5">
      <w:pPr>
        <w:tabs>
          <w:tab w:val="left" w:leader="none"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6">
      <w:pPr>
        <w:tabs>
          <w:tab w:val="left" w:leader="none"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7">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will fail </w:t>
      </w:r>
      <w:r w:rsidDel="00000000" w:rsidR="00000000" w:rsidRPr="00000000">
        <w:rPr>
          <w:rFonts w:ascii="Arial" w:cs="Arial" w:eastAsia="Arial" w:hAnsi="Arial"/>
          <w:rtl w:val="0"/>
        </w:rPr>
        <w:t xml:space="preserve">Part 1.26. – Technical and Professional Capability of the selection questionnaire</w:t>
      </w:r>
    </w:p>
    <w:p w:rsidR="00000000" w:rsidDel="00000000" w:rsidP="00000000" w:rsidRDefault="00000000" w:rsidRPr="00000000" w14:paraId="00000038">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9">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A">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B">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you have not completed all of the information r</w:t>
      </w:r>
      <w:r w:rsidDel="00000000" w:rsidR="00000000" w:rsidRPr="00000000">
        <w:rPr>
          <w:rFonts w:ascii="Arial" w:cs="Arial" w:eastAsia="Arial" w:hAnsi="Arial"/>
          <w:rtl w:val="0"/>
        </w:rPr>
        <w:t xml:space="preserve">equested in the Certificate of Technical    and Professional Ability</w:t>
      </w:r>
    </w:p>
    <w:p w:rsidR="00000000" w:rsidDel="00000000" w:rsidP="00000000" w:rsidRDefault="00000000" w:rsidRPr="00000000" w14:paraId="0000003C">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D">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E">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F">
      <w:pPr>
        <w:tabs>
          <w:tab w:val="left" w:leader="none"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40">
      <w:pPr>
        <w:tabs>
          <w:tab w:val="left" w:leader="none"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1">
      <w:pPr>
        <w:tabs>
          <w:tab w:val="left" w:leader="none"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2">
      <w:pPr>
        <w:tabs>
          <w:tab w:val="left" w:leader="none"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1.26 – Technical and Professional Capability of the</w:t>
      </w:r>
    </w:p>
    <w:p w:rsidR="00000000" w:rsidDel="00000000" w:rsidP="00000000" w:rsidRDefault="00000000" w:rsidRPr="00000000" w14:paraId="00000044">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5">
      <w:pPr>
        <w:tabs>
          <w:tab w:val="left" w:leader="none"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widowControl w:val="1"/>
        <w:spacing w:after="160" w:line="259" w:lineRule="auto"/>
        <w:ind w:hanging="567"/>
        <w:rPr>
          <w:rFonts w:ascii="Arial" w:cs="Arial" w:eastAsia="Arial" w:hAnsi="Arial"/>
          <w:b w:val="1"/>
          <w:sz w:val="24"/>
          <w:szCs w:val="24"/>
        </w:rPr>
      </w:pPr>
      <w:r w:rsidDel="00000000" w:rsidR="00000000" w:rsidRPr="00000000">
        <w:rPr>
          <w:rtl w:val="0"/>
        </w:rPr>
      </w:r>
    </w:p>
    <w:tbl>
      <w:tblPr>
        <w:tblStyle w:val="Table1"/>
        <w:tblW w:w="9300.0" w:type="dxa"/>
        <w:jc w:val="left"/>
        <w:tblInd w:w="-6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4260"/>
        <w:tblGridChange w:id="0">
          <w:tblGrid>
            <w:gridCol w:w="5040"/>
            <w:gridCol w:w="4260"/>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7">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9">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1 – Enterprise Software</w:t>
            </w:r>
          </w:p>
        </w:tc>
      </w:tr>
      <w:tr>
        <w:trPr>
          <w:cantSplit w:val="0"/>
          <w:tblHeader w:val="0"/>
        </w:trPr>
        <w:tc>
          <w:tcPr>
            <w:vAlign w:val="center"/>
          </w:tcPr>
          <w:p w:rsidR="00000000" w:rsidDel="00000000" w:rsidP="00000000" w:rsidRDefault="00000000" w:rsidRPr="00000000" w14:paraId="0000004B">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C">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D">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F">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0">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1">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52">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53">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4">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w:t>
            </w:r>
            <w:r w:rsidDel="00000000" w:rsidR="00000000" w:rsidRPr="00000000">
              <w:rPr>
                <w:rFonts w:ascii="Arial" w:cs="Arial" w:eastAsia="Arial" w:hAnsi="Arial"/>
                <w:b w:val="1"/>
                <w:highlight w:val="yellow"/>
                <w:rtl w:val="0"/>
              </w:rPr>
              <w:t xml:space="preserve">To that end please complete Attachment 4 - Information and Declaration workbook for each entity</w:t>
            </w:r>
            <w:r w:rsidDel="00000000" w:rsidR="00000000" w:rsidRPr="00000000">
              <w:rPr>
                <w:rFonts w:ascii="Arial" w:cs="Arial" w:eastAsia="Arial" w:hAnsi="Arial"/>
                <w:b w:val="1"/>
                <w:rtl w:val="0"/>
              </w:rPr>
              <w:t xml:space="preserve">.</w:t>
            </w:r>
          </w:p>
        </w:tc>
        <w:tc>
          <w:tcPr>
            <w:shd w:fill="ffffff" w:val="clear"/>
            <w:vAlign w:val="center"/>
          </w:tcPr>
          <w:p w:rsidR="00000000" w:rsidDel="00000000" w:rsidP="00000000" w:rsidRDefault="00000000" w:rsidRPr="00000000" w14:paraId="00000055">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6">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7">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9">
            <w:pPr>
              <w:widowControl w:val="1"/>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A">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5B">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C">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Total Contract Value (TCV)</w:t>
            </w:r>
          </w:p>
        </w:tc>
        <w:tc>
          <w:tcPr>
            <w:shd w:fill="ffffff" w:val="clear"/>
            <w:vAlign w:val="center"/>
          </w:tcPr>
          <w:p w:rsidR="00000000" w:rsidDel="00000000" w:rsidP="00000000" w:rsidRDefault="00000000" w:rsidRPr="00000000" w14:paraId="0000005D">
            <w:pPr>
              <w:widowControl w:val="1"/>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insert value</w:t>
            </w:r>
          </w:p>
        </w:tc>
      </w:tr>
      <w:tr>
        <w:trPr>
          <w:cantSplit w:val="0"/>
          <w:trHeight w:val="540" w:hRule="atLeast"/>
          <w:tblHeader w:val="0"/>
        </w:trPr>
        <w:tc>
          <w:tcPr>
            <w:shd w:fill="ffffff" w:val="clear"/>
            <w:vAlign w:val="center"/>
          </w:tcPr>
          <w:p w:rsidR="00000000" w:rsidDel="00000000" w:rsidP="00000000" w:rsidRDefault="00000000" w:rsidRPr="00000000" w14:paraId="0000005E">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 confirm that </w:t>
            </w:r>
            <w:r w:rsidDel="00000000" w:rsidR="00000000" w:rsidRPr="00000000">
              <w:rPr>
                <w:rFonts w:ascii="Arial" w:cs="Arial" w:eastAsia="Arial" w:hAnsi="Arial"/>
                <w:b w:val="1"/>
                <w:rtl w:val="0"/>
              </w:rPr>
              <w:t xml:space="preserve">Scope of Deliverables</w:t>
            </w:r>
            <w:r w:rsidDel="00000000" w:rsidR="00000000" w:rsidRPr="00000000">
              <w:rPr>
                <w:rFonts w:ascii="Arial" w:cs="Arial" w:eastAsia="Arial" w:hAnsi="Arial"/>
                <w:b w:val="1"/>
                <w:rtl w:val="0"/>
              </w:rPr>
              <w:t xml:space="preserve"> have been delivered in the UK</w:t>
            </w:r>
          </w:p>
        </w:tc>
        <w:tc>
          <w:tcPr>
            <w:shd w:fill="ffffff" w:val="clear"/>
            <w:vAlign w:val="center"/>
          </w:tcPr>
          <w:p w:rsidR="00000000" w:rsidDel="00000000" w:rsidP="00000000" w:rsidRDefault="00000000" w:rsidRPr="00000000" w14:paraId="0000005F">
            <w:pPr>
              <w:widowControl w:val="1"/>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569" w:hRule="atLeast"/>
          <w:tblHeader w:val="0"/>
        </w:trPr>
        <w:tc>
          <w:tcPr>
            <w:shd w:fill="ffffff" w:val="clear"/>
            <w:vAlign w:val="center"/>
          </w:tcPr>
          <w:p w:rsidR="00000000" w:rsidDel="00000000" w:rsidP="00000000" w:rsidRDefault="00000000" w:rsidRPr="00000000" w14:paraId="00000060">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61">
            <w:pPr>
              <w:widowControl w:val="1"/>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2">
            <w:pPr>
              <w:widowControl w:val="1"/>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3">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64">
            <w:pPr>
              <w:widowControl w:val="1"/>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5">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6">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confirm which of the  following Scope Elements/Services were delivered or are currently being delivered under the contract:</w:t>
            </w:r>
          </w:p>
          <w:p w:rsidR="00000000" w:rsidDel="00000000" w:rsidP="00000000" w:rsidRDefault="00000000" w:rsidRPr="00000000" w14:paraId="00000067">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8">
            <w:pPr>
              <w:spacing w:after="120" w:before="120" w:lineRule="auto"/>
              <w:ind w:right="160"/>
              <w:rPr>
                <w:rFonts w:ascii="Arial" w:cs="Arial" w:eastAsia="Arial" w:hAnsi="Arial"/>
                <w:b w:val="1"/>
              </w:rPr>
            </w:pPr>
            <w:r w:rsidDel="00000000" w:rsidR="00000000" w:rsidRPr="00000000">
              <w:rPr>
                <w:rFonts w:ascii="Arial" w:cs="Arial" w:eastAsia="Arial" w:hAnsi="Arial"/>
                <w:b w:val="1"/>
                <w:highlight w:val="white"/>
                <w:rtl w:val="0"/>
              </w:rPr>
              <w:t xml:space="preserve">Scope</w:t>
            </w:r>
            <w:r w:rsidDel="00000000" w:rsidR="00000000" w:rsidRPr="00000000">
              <w:rPr>
                <w:rFonts w:ascii="Arial" w:cs="Arial" w:eastAsia="Arial" w:hAnsi="Arial"/>
                <w:b w:val="1"/>
                <w:rtl w:val="0"/>
              </w:rPr>
              <w:t xml:space="preserve"> of Deliverables for Back Office Software 2 - Lot 1 (Enterprise Software): </w:t>
            </w:r>
          </w:p>
          <w:p w:rsidR="00000000" w:rsidDel="00000000" w:rsidP="00000000" w:rsidRDefault="00000000" w:rsidRPr="00000000" w14:paraId="00000069">
            <w:pPr>
              <w:widowControl w:val="1"/>
              <w:rPr>
                <w:rFonts w:ascii="Arial" w:cs="Arial" w:eastAsia="Arial" w:hAnsi="Arial"/>
                <w:b w:val="1"/>
              </w:rPr>
            </w:pPr>
            <w:r w:rsidDel="00000000" w:rsidR="00000000" w:rsidRPr="00000000">
              <w:rPr>
                <w:rtl w:val="0"/>
              </w:rPr>
            </w:r>
          </w:p>
          <w:tbl>
            <w:tblPr>
              <w:tblStyle w:val="Table2"/>
              <w:tblW w:w="9075.0" w:type="dxa"/>
              <w:jc w:val="left"/>
              <w:tblLayout w:type="fixed"/>
              <w:tblLook w:val="0400"/>
            </w:tblPr>
            <w:tblGrid>
              <w:gridCol w:w="1590"/>
              <w:gridCol w:w="6075"/>
              <w:gridCol w:w="1410"/>
              <w:tblGridChange w:id="0">
                <w:tblGrid>
                  <w:gridCol w:w="1590"/>
                  <w:gridCol w:w="6075"/>
                  <w:gridCol w:w="141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widowControl w:val="1"/>
                    <w:spacing w:after="200" w:lineRule="auto"/>
                    <w:ind w:left="-30" w:firstLine="30"/>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Enterprise Resource Planning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widowControl w:val="1"/>
                    <w:spacing w:after="200" w:lineRule="auto"/>
                    <w:ind w:left="-30" w:firstLine="30"/>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Including but not limited to Core ERP systems and solutions.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widowControl w:val="1"/>
                    <w:numPr>
                      <w:ilvl w:val="0"/>
                      <w:numId w:val="2"/>
                    </w:numPr>
                    <w:spacing w:after="200" w:lineRule="auto"/>
                    <w:ind w:left="720" w:hanging="360"/>
                    <w:jc w:val="center"/>
                    <w:rPr>
                      <w:rFonts w:ascii="Arial" w:cs="Arial" w:eastAsia="Arial" w:hAnsi="Arial"/>
                      <w:color w:val="000000"/>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widowControl w:val="1"/>
                    <w:spacing w:after="200" w:lineRule="auto"/>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HR &amp; Payroll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widowControl w:val="1"/>
                    <w:spacing w:after="200" w:lineRule="auto"/>
                    <w:ind w:left="-30" w:firstLine="30"/>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Including but not limited to Workforce, Time Recording, Learning, Payroll, Benefits, Absence Management, Talent, Recruitment, Training.</w:t>
                  </w:r>
                  <w:r w:rsidDel="00000000" w:rsidR="00000000" w:rsidRPr="00000000">
                    <w:rPr>
                      <w:rtl w:val="0"/>
                    </w:rPr>
                  </w:r>
                </w:p>
                <w:p w:rsidR="00000000" w:rsidDel="00000000" w:rsidP="00000000" w:rsidRDefault="00000000" w:rsidRPr="00000000" w14:paraId="0000006F">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widowControl w:val="1"/>
                    <w:numPr>
                      <w:ilvl w:val="0"/>
                      <w:numId w:val="5"/>
                    </w:numPr>
                    <w:spacing w:after="200" w:lineRule="auto"/>
                    <w:ind w:left="720" w:hanging="360"/>
                    <w:jc w:val="center"/>
                    <w:rPr>
                      <w:rFonts w:ascii="Arial" w:cs="Arial" w:eastAsia="Arial" w:hAnsi="Arial"/>
                      <w:color w:val="000000"/>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widowControl w:val="1"/>
                    <w:spacing w:after="200" w:lineRule="auto"/>
                    <w:ind w:left="-30" w:firstLine="30"/>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Financial / Accounting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widowControl w:val="1"/>
                    <w:spacing w:after="200" w:lineRule="auto"/>
                    <w:ind w:left="-30" w:firstLine="30"/>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Including but not limited to Budgets, Expenses, Revenue Management, Asset Management, Financials, Accounts Payable, Accounts Receivable, General Ledger, Tax, Inventory.</w:t>
                  </w:r>
                  <w:r w:rsidDel="00000000" w:rsidR="00000000" w:rsidRPr="00000000">
                    <w:rPr>
                      <w:rtl w:val="0"/>
                    </w:rPr>
                  </w:r>
                </w:p>
                <w:p w:rsidR="00000000" w:rsidDel="00000000" w:rsidP="00000000" w:rsidRDefault="00000000" w:rsidRPr="00000000" w14:paraId="00000073">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widowControl w:val="1"/>
                    <w:numPr>
                      <w:ilvl w:val="0"/>
                      <w:numId w:val="6"/>
                    </w:numPr>
                    <w:spacing w:after="200" w:lineRule="auto"/>
                    <w:ind w:left="720" w:hanging="360"/>
                    <w:jc w:val="center"/>
                    <w:rPr>
                      <w:rFonts w:ascii="Arial" w:cs="Arial" w:eastAsia="Arial" w:hAnsi="Arial"/>
                      <w:color w:val="000000"/>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widowControl w:val="1"/>
                    <w:spacing w:after="200" w:lineRule="auto"/>
                    <w:ind w:left="-30" w:firstLine="30"/>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Procurement and Supply Chain Management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widowControl w:val="1"/>
                    <w:spacing w:after="200" w:lineRule="auto"/>
                    <w:ind w:left="-30" w:firstLine="30"/>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Including but not limited to eSourcing, Procure to Pay, Source to Pay, Catalogues, Contract Management, Supply Chain Management, and Service Portal.</w:t>
                  </w:r>
                  <w:r w:rsidDel="00000000" w:rsidR="00000000" w:rsidRPr="00000000">
                    <w:rPr>
                      <w:rtl w:val="0"/>
                    </w:rPr>
                  </w:r>
                </w:p>
                <w:p w:rsidR="00000000" w:rsidDel="00000000" w:rsidP="00000000" w:rsidRDefault="00000000" w:rsidRPr="00000000" w14:paraId="00000077">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widowControl w:val="1"/>
                    <w:numPr>
                      <w:ilvl w:val="0"/>
                      <w:numId w:val="4"/>
                    </w:numPr>
                    <w:spacing w:after="200" w:lineRule="auto"/>
                    <w:ind w:left="720" w:hanging="360"/>
                    <w:jc w:val="center"/>
                    <w:rPr>
                      <w:rFonts w:ascii="Arial" w:cs="Arial" w:eastAsia="Arial" w:hAnsi="Arial"/>
                      <w:color w:val="000000"/>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widowControl w:val="1"/>
                    <w:spacing w:after="200" w:lineRule="auto"/>
                    <w:ind w:left="-30" w:firstLine="30"/>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Customer Relationship Management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widowControl w:val="1"/>
                    <w:spacing w:after="200" w:lineRule="auto"/>
                    <w:ind w:left="-30" w:firstLine="30"/>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Including but not limited to Teleservice, Contact Management, Sales Lead Management, Forecasting, Case Management, Web Chat, Election Management Software.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widowControl w:val="1"/>
                    <w:numPr>
                      <w:ilvl w:val="0"/>
                      <w:numId w:val="1"/>
                    </w:numPr>
                    <w:spacing w:after="200" w:lineRule="auto"/>
                    <w:ind w:left="720" w:hanging="360"/>
                    <w:jc w:val="center"/>
                    <w:rPr>
                      <w:rFonts w:ascii="Arial" w:cs="Arial" w:eastAsia="Arial" w:hAnsi="Arial"/>
                      <w:color w:val="000000"/>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widowControl w:val="1"/>
                    <w:spacing w:after="200" w:lineRule="auto"/>
                    <w:ind w:left="-30" w:firstLine="30"/>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Productivity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widowControl w:val="1"/>
                    <w:spacing w:after="200" w:lineRule="auto"/>
                    <w:ind w:left="-30" w:firstLine="30"/>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Including but not limited to Business Information, Dashboards, Analytics, Consolidation, Process Automation Technology, Identity Services, Document Management and Imaging Solutions, Knowledge Sharing, Data Archiving.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widowControl w:val="1"/>
                    <w:numPr>
                      <w:ilvl w:val="0"/>
                      <w:numId w:val="8"/>
                    </w:numPr>
                    <w:spacing w:after="200" w:lineRule="auto"/>
                    <w:ind w:left="720" w:hanging="360"/>
                    <w:jc w:val="center"/>
                    <w:rPr>
                      <w:rFonts w:ascii="Arial" w:cs="Arial" w:eastAsia="Arial" w:hAnsi="Arial"/>
                      <w:color w:val="000000"/>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07F">
                  <w:pPr>
                    <w:widowControl w:val="1"/>
                    <w:spacing w:after="200" w:lineRule="auto"/>
                    <w:ind w:left="-30" w:firstLine="30"/>
                    <w:jc w:val="center"/>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Integration Software</w:t>
                  </w:r>
                  <w:r w:rsidDel="00000000" w:rsidR="00000000" w:rsidRPr="00000000">
                    <w:rPr>
                      <w:rtl w:val="0"/>
                    </w:rPr>
                  </w:r>
                </w:p>
                <w:p w:rsidR="00000000" w:rsidDel="00000000" w:rsidP="00000000" w:rsidRDefault="00000000" w:rsidRPr="00000000" w14:paraId="00000080">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081">
                  <w:pPr>
                    <w:widowControl w:val="1"/>
                    <w:spacing w:after="200" w:lineRule="auto"/>
                    <w:ind w:left="-30" w:firstLine="30"/>
                    <w:rPr>
                      <w:rFonts w:ascii="Times New Roman" w:cs="Times New Roman" w:eastAsia="Times New Roman" w:hAnsi="Times New Roman"/>
                    </w:rPr>
                  </w:pPr>
                  <w:r w:rsidDel="00000000" w:rsidR="00000000" w:rsidRPr="00000000">
                    <w:rPr>
                      <w:rFonts w:ascii="Arial" w:cs="Arial" w:eastAsia="Arial" w:hAnsi="Arial"/>
                      <w:color w:val="000000"/>
                      <w:rtl w:val="0"/>
                    </w:rPr>
                    <w:t xml:space="preserve">Including but not limited to software to integrate myCSP, Training, Education, Mobility, Accessibility etc.</w:t>
                  </w:r>
                  <w:r w:rsidDel="00000000" w:rsidR="00000000" w:rsidRPr="00000000">
                    <w:rPr>
                      <w:rtl w:val="0"/>
                    </w:rPr>
                  </w:r>
                </w:p>
                <w:p w:rsidR="00000000" w:rsidDel="00000000" w:rsidP="00000000" w:rsidRDefault="00000000" w:rsidRPr="00000000" w14:paraId="00000082">
                  <w:pPr>
                    <w:widowControl w:val="1"/>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15.0" w:type="dxa"/>
                    <w:bottom w:w="100.0" w:type="dxa"/>
                    <w:right w:w="115.0" w:type="dxa"/>
                  </w:tcMar>
                </w:tcPr>
                <w:p w:rsidR="00000000" w:rsidDel="00000000" w:rsidP="00000000" w:rsidRDefault="00000000" w:rsidRPr="00000000" w14:paraId="00000083">
                  <w:pPr>
                    <w:widowControl w:val="1"/>
                    <w:numPr>
                      <w:ilvl w:val="0"/>
                      <w:numId w:val="7"/>
                    </w:numPr>
                    <w:spacing w:after="200" w:lineRule="auto"/>
                    <w:ind w:left="720" w:hanging="360"/>
                    <w:jc w:val="center"/>
                    <w:rPr>
                      <w:rFonts w:ascii="Arial" w:cs="Arial" w:eastAsia="Arial" w:hAnsi="Arial"/>
                      <w:color w:val="000000"/>
                      <w:u w:val="none"/>
                    </w:rPr>
                  </w:pPr>
                  <w:r w:rsidDel="00000000" w:rsidR="00000000" w:rsidRPr="00000000">
                    <w:rPr>
                      <w:rtl w:val="0"/>
                    </w:rPr>
                  </w:r>
                </w:p>
              </w:tc>
            </w:tr>
          </w:tbl>
          <w:p w:rsidR="00000000" w:rsidDel="00000000" w:rsidP="00000000" w:rsidRDefault="00000000" w:rsidRPr="00000000" w14:paraId="00000084">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86">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7">
            <w:pPr>
              <w:spacing w:after="120" w:before="120" w:lineRule="auto"/>
              <w:ind w:right="160"/>
              <w:rPr>
                <w:rFonts w:ascii="Arial" w:cs="Arial" w:eastAsia="Arial" w:hAnsi="Arial"/>
              </w:rPr>
            </w:pPr>
            <w:r w:rsidDel="00000000" w:rsidR="00000000" w:rsidRPr="00000000">
              <w:rPr>
                <w:rtl w:val="0"/>
              </w:rPr>
            </w:r>
          </w:p>
        </w:tc>
      </w:tr>
    </w:tbl>
    <w:p w:rsidR="00000000" w:rsidDel="00000000" w:rsidP="00000000" w:rsidRDefault="00000000" w:rsidRPr="00000000" w14:paraId="00000089">
      <w:pPr>
        <w:widowControl w:val="1"/>
        <w:spacing w:after="160" w:line="259" w:lineRule="auto"/>
        <w:rPr>
          <w:sz w:val="2"/>
          <w:szCs w:val="2"/>
        </w:rPr>
      </w:pPr>
      <w:r w:rsidDel="00000000" w:rsidR="00000000" w:rsidRPr="00000000">
        <w:rPr>
          <w:rtl w:val="0"/>
        </w:rPr>
      </w:r>
    </w:p>
    <w:p w:rsidR="00000000" w:rsidDel="00000000" w:rsidP="00000000" w:rsidRDefault="00000000" w:rsidRPr="00000000" w14:paraId="0000008A">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8B">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8C">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8D">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8E">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8F">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0">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1">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2">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3">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4">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5">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6">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7">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8">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9">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A">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B">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C">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D">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E">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9F">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0">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1">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2">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3">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4">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5">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6">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7">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8">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9">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A">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B">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C">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D">
      <w:pPr>
        <w:tabs>
          <w:tab w:val="left" w:leader="none"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AE">
      <w:pPr>
        <w:tabs>
          <w:tab w:val="left" w:leader="none" w:pos="0"/>
        </w:tabs>
        <w:spacing w:after="120" w:lineRule="auto"/>
        <w:ind w:right="-187"/>
        <w:rPr>
          <w:sz w:val="2"/>
          <w:szCs w:val="2"/>
        </w:rPr>
      </w:pPr>
      <w:r w:rsidDel="00000000" w:rsidR="00000000" w:rsidRPr="00000000">
        <w:rPr>
          <w:rtl w:val="0"/>
        </w:rPr>
      </w:r>
    </w:p>
    <w:tbl>
      <w:tblPr>
        <w:tblStyle w:val="Table3"/>
        <w:tblW w:w="9075.0" w:type="dxa"/>
        <w:jc w:val="center"/>
        <w:tblLayout w:type="fixed"/>
        <w:tblLook w:val="0000"/>
      </w:tblPr>
      <w:tblGrid>
        <w:gridCol w:w="4537"/>
        <w:gridCol w:w="4538"/>
        <w:tblGridChange w:id="0">
          <w:tblGrid>
            <w:gridCol w:w="4537"/>
            <w:gridCol w:w="4538"/>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3">
            <w:pPr>
              <w:rPr>
                <w:rFonts w:ascii="Arial" w:cs="Arial" w:eastAsia="Arial" w:hAnsi="Arial"/>
                <w:b w:val="1"/>
              </w:rPr>
            </w:pPr>
            <w:r w:rsidDel="00000000" w:rsidR="00000000" w:rsidRPr="00000000">
              <w:rPr>
                <w:rtl w:val="0"/>
              </w:rPr>
            </w:r>
          </w:p>
          <w:p w:rsidR="00000000" w:rsidDel="00000000" w:rsidP="00000000" w:rsidRDefault="00000000" w:rsidRPr="00000000" w14:paraId="000000B4">
            <w:pPr>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B5">
            <w:pPr>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7">
            <w:pPr>
              <w:rPr>
                <w:rFonts w:ascii="Arial" w:cs="Arial" w:eastAsia="Arial" w:hAnsi="Arial"/>
                <w:b w:val="1"/>
              </w:rPr>
            </w:pPr>
            <w:r w:rsidDel="00000000" w:rsidR="00000000" w:rsidRPr="00000000">
              <w:rPr>
                <w:rtl w:val="0"/>
              </w:rPr>
            </w:r>
          </w:p>
          <w:p w:rsidR="00000000" w:rsidDel="00000000" w:rsidP="00000000" w:rsidRDefault="00000000" w:rsidRPr="00000000" w14:paraId="000000B8">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A">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BB">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C">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BE">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BF">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0">
            <w:pPr>
              <w:rPr>
                <w:rFonts w:ascii="Arial" w:cs="Arial" w:eastAsia="Arial" w:hAnsi="Arial"/>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3">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C4">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8">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C9">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A">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CB">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D">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CE">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CF">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0">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1">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D2">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D3">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9">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DA">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DB">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 w:lineRule="auto"/>
              <w:ind w:right="9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0E6">
      <w:pPr>
        <w:rPr/>
      </w:pPr>
      <w:bookmarkStart w:colFirst="0" w:colLast="0" w:name="_heading=h.1t3h5sf" w:id="7"/>
      <w:bookmarkEnd w:id="7"/>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7">
    <w:pPr>
      <w:rPr>
        <w:rFonts w:ascii="Arial" w:cs="Arial" w:eastAsia="Arial" w:hAnsi="Arial"/>
        <w:sz w:val="16"/>
        <w:szCs w:val="16"/>
      </w:rPr>
    </w:pPr>
    <w:r w:rsidDel="00000000" w:rsidR="00000000" w:rsidRPr="00000000">
      <w:rPr>
        <w:rFonts w:ascii="Arial" w:cs="Arial" w:eastAsia="Arial" w:hAnsi="Arial"/>
        <w:sz w:val="16"/>
        <w:szCs w:val="16"/>
        <w:rtl w:val="0"/>
      </w:rPr>
      <w:t xml:space="preserve">RM6285 – Back Office Software 2 </w:t>
    </w:r>
  </w:p>
  <w:p w:rsidR="00000000" w:rsidDel="00000000" w:rsidP="00000000" w:rsidRDefault="00000000" w:rsidRPr="00000000" w14:paraId="000000E8">
    <w:pPr>
      <w:rPr>
        <w:rFonts w:ascii="Arial" w:cs="Arial" w:eastAsia="Arial" w:hAnsi="Arial"/>
        <w:sz w:val="16"/>
        <w:szCs w:val="16"/>
      </w:rPr>
    </w:pPr>
    <w:r w:rsidDel="00000000" w:rsidR="00000000" w:rsidRPr="00000000">
      <w:rPr>
        <w:rFonts w:ascii="Arial" w:cs="Arial" w:eastAsia="Arial" w:hAnsi="Arial"/>
        <w:sz w:val="16"/>
        <w:szCs w:val="16"/>
        <w:rtl w:val="0"/>
      </w:rPr>
      <w:t xml:space="preserve">Lot 1 Certificate of Technical and Professional Ability</w:t>
    </w:r>
  </w:p>
  <w:p w:rsidR="00000000" w:rsidDel="00000000" w:rsidP="00000000" w:rsidRDefault="00000000" w:rsidRPr="00000000" w14:paraId="000000E9">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2024</w:t>
    </w:r>
  </w:p>
  <w:p w:rsidR="00000000" w:rsidDel="00000000" w:rsidP="00000000" w:rsidRDefault="00000000" w:rsidRPr="00000000" w14:paraId="000000E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0SsWsX0Erd297/upZJ2Lkmfp/A==">CgMxLjAyCGguZ2pkZ3hzMgloLjMwajB6bGwyCWguMWZvYjl0ZTIJaC4zem55c2g3MgloLjJldDkycDAyCGgudHlqY3d0MgloLjNkeTZ2a20yCWguMXQzaDVzZjgAaiIKFHN1Z2dlc3QuNGE4cWhsZGh3OGNlEgpQYXVsIEJyb3duaiQKFHN1Z2dlc3QuaXJrbnZwaGlsbGpkEgxQZXRlciBUYWthY3NqIgoUc3VnZ2VzdC5wd2poODN5MGVwOG0SClBhdWwgQnJvd25qIgoUc3VnZ2VzdC43NGJibDA2ZnhoMjgSClBhdWwgQnJvd25qIwoTc3VnZ2VzdC5jcmJ3cmp0cWlnMxIMUGV0ZXIgVGFrYWNzaiIKFHN1Z2dlc3Qub3poMmVzaWJ0ZWNnEgpQYXVsIEJyb3duaiQKFHN1Z2dlc3QuNnB5cDFyYWd1aTl4EgxQZXRlciBUYWthY3NqIgoUc3VnZ2VzdC5nZ3JmcGhzYWJzdG8SClBhdWwgQnJvd25qIgoUc3VnZ2VzdC50N2M2a3c4NXgwemQSClBhdWwgQnJvd25qJAoUc3VnZ2VzdC54ODllNmgyNDF3czASDFBldGVyIFRha2Fjc2okChRzdWdnZXN0Lm9kMjdzNHFkYnB0ZBIMUGV0ZXIgVGFrYWNzaiQKFHN1Z2dlc3QuZDMyc2owbzc5ZWpkEgxQZXRlciBUYWthY3NqIgoUc3VnZ2VzdC51ajlpNnM4ajNxanMSClBhdWwgQnJvd25qJAoUc3VnZ2VzdC5pa3p3MGxsbXFmOHQSDFBldGVyIFRha2Fjc2oiChRzdWdnZXN0Lmtvbm1mOTJrNjRhYhIKUGF1bCBCcm93bnIhMVVSdF91Y29CUVZkM3hxWlpiNTJaQ000NHRaOFU4aG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