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9095"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68E57D4A" wp14:editId="4704658F">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775157E7"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06A62678"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2F1E6C49" w14:textId="77777777" w:rsidR="0098637C" w:rsidRPr="000E0EA9" w:rsidRDefault="0098637C" w:rsidP="0098637C">
      <w:pPr>
        <w:pStyle w:val="BodyText1"/>
        <w:spacing w:line="360" w:lineRule="auto"/>
        <w:jc w:val="center"/>
        <w:rPr>
          <w:rFonts w:cs="Arial"/>
          <w:b/>
          <w:lang w:val="en-GB"/>
        </w:rPr>
      </w:pPr>
    </w:p>
    <w:p w14:paraId="3D2D0A2E"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03EC6281" w14:textId="7BB6F859" w:rsidR="0098637C" w:rsidRPr="00FC7EB6" w:rsidRDefault="00BF55BD" w:rsidP="0098637C">
      <w:pPr>
        <w:pStyle w:val="BodyText1"/>
        <w:spacing w:line="360" w:lineRule="auto"/>
        <w:jc w:val="center"/>
        <w:rPr>
          <w:rFonts w:cs="Arial"/>
          <w:b/>
          <w:sz w:val="32"/>
          <w:szCs w:val="32"/>
          <w:lang w:val="en-GB"/>
        </w:rPr>
      </w:pPr>
      <w:r>
        <w:rPr>
          <w:rFonts w:cs="Arial"/>
          <w:b/>
          <w:sz w:val="32"/>
          <w:szCs w:val="32"/>
          <w:lang w:val="en-GB"/>
        </w:rPr>
        <w:t>Internal Remodelling of Carn Gwaval Well-being centre</w:t>
      </w:r>
    </w:p>
    <w:p w14:paraId="1E8B8F89" w14:textId="77777777" w:rsidR="0098637C" w:rsidRDefault="0098637C" w:rsidP="0098637C">
      <w:pPr>
        <w:pStyle w:val="BodyText1"/>
        <w:spacing w:line="360" w:lineRule="auto"/>
        <w:jc w:val="center"/>
        <w:rPr>
          <w:rFonts w:cs="Arial"/>
          <w:b/>
          <w:lang w:val="en-GB"/>
        </w:rPr>
      </w:pPr>
    </w:p>
    <w:p w14:paraId="6B0E35BC"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1B306BA1" w14:textId="6B01DC63" w:rsidR="0098637C" w:rsidRDefault="00192137" w:rsidP="0098637C">
      <w:pPr>
        <w:jc w:val="center"/>
        <w:rPr>
          <w:rFonts w:cs="Arial"/>
          <w:bCs/>
          <w:color w:val="3366FF"/>
          <w:szCs w:val="24"/>
        </w:rPr>
      </w:pPr>
      <w:r>
        <w:rPr>
          <w:rFonts w:cs="Arial"/>
          <w:color w:val="3366FF"/>
          <w:szCs w:val="24"/>
        </w:rPr>
        <w:t>CIoS_241</w:t>
      </w:r>
      <w:r w:rsidR="00BF55BD">
        <w:rPr>
          <w:rFonts w:cs="Arial"/>
          <w:color w:val="3366FF"/>
          <w:szCs w:val="24"/>
        </w:rPr>
        <w:t>213</w:t>
      </w:r>
    </w:p>
    <w:p w14:paraId="2B9DBC8E" w14:textId="77777777" w:rsidR="0098637C" w:rsidRPr="00A25BB6" w:rsidRDefault="0098637C" w:rsidP="0098637C">
      <w:pPr>
        <w:pStyle w:val="Style11ptBoldCentered"/>
      </w:pPr>
    </w:p>
    <w:p w14:paraId="5D576ED9" w14:textId="77777777" w:rsidR="0098637C" w:rsidRPr="00A25BB6" w:rsidRDefault="0098637C" w:rsidP="0098637C">
      <w:pPr>
        <w:pStyle w:val="Style11ptBoldCentered"/>
      </w:pPr>
    </w:p>
    <w:p w14:paraId="7E445DCF" w14:textId="77777777" w:rsidR="0098637C" w:rsidRPr="00A25BB6" w:rsidRDefault="0098637C" w:rsidP="0098637C">
      <w:pPr>
        <w:pStyle w:val="Style11ptBoldCentered"/>
      </w:pPr>
    </w:p>
    <w:p w14:paraId="1FCFCC61" w14:textId="77777777" w:rsidR="0098637C" w:rsidRPr="00A25BB6" w:rsidRDefault="0098637C" w:rsidP="0098637C">
      <w:pPr>
        <w:pStyle w:val="Style11ptBoldCentered"/>
      </w:pPr>
    </w:p>
    <w:p w14:paraId="01E07A96" w14:textId="77777777" w:rsidR="0098637C" w:rsidRDefault="0098637C" w:rsidP="0098637C">
      <w:pPr>
        <w:jc w:val="center"/>
        <w:rPr>
          <w:rFonts w:cs="Arial"/>
          <w:b/>
          <w:bCs/>
          <w:szCs w:val="24"/>
        </w:rPr>
      </w:pPr>
      <w:r w:rsidRPr="001F54E7">
        <w:rPr>
          <w:rFonts w:cs="Arial"/>
          <w:b/>
          <w:bCs/>
          <w:szCs w:val="24"/>
        </w:rPr>
        <w:t>DATE OF ISSUE</w:t>
      </w:r>
    </w:p>
    <w:p w14:paraId="2D9C81E4" w14:textId="17009259" w:rsidR="003722B1" w:rsidRDefault="003722B1" w:rsidP="0098637C">
      <w:pPr>
        <w:jc w:val="center"/>
        <w:rPr>
          <w:rFonts w:cs="Arial"/>
          <w:b/>
          <w:bCs/>
          <w:szCs w:val="24"/>
        </w:rPr>
      </w:pPr>
      <w:r>
        <w:rPr>
          <w:rFonts w:cs="Arial"/>
          <w:b/>
          <w:bCs/>
          <w:szCs w:val="24"/>
        </w:rPr>
        <w:t>ddmmyyyy</w:t>
      </w:r>
    </w:p>
    <w:p w14:paraId="70A0DE74" w14:textId="77777777" w:rsidR="00192137" w:rsidRPr="001F54E7" w:rsidRDefault="00192137" w:rsidP="0098637C">
      <w:pPr>
        <w:jc w:val="center"/>
        <w:rPr>
          <w:rFonts w:cs="Arial"/>
          <w:b/>
          <w:bCs/>
          <w:szCs w:val="24"/>
        </w:rPr>
      </w:pPr>
    </w:p>
    <w:p w14:paraId="68554623" w14:textId="77777777"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2A70A1D4" w14:textId="77777777" w:rsidR="0098637C" w:rsidRDefault="00F216ED"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3DFD182F" w14:textId="77777777" w:rsidR="0098637C" w:rsidRDefault="0098637C">
      <w:pPr>
        <w:spacing w:after="160" w:line="259" w:lineRule="auto"/>
        <w:rPr>
          <w:rFonts w:ascii="Verdana" w:hAnsi="Verdana"/>
        </w:rPr>
      </w:pPr>
      <w:r>
        <w:rPr>
          <w:rFonts w:ascii="Verdana" w:hAnsi="Verdana"/>
        </w:rPr>
        <w:br w:type="page"/>
      </w:r>
    </w:p>
    <w:p w14:paraId="43BFEC36" w14:textId="2FECB509" w:rsidR="0098637C" w:rsidRDefault="003722B1" w:rsidP="0098637C">
      <w:pPr>
        <w:pStyle w:val="Heading1"/>
      </w:pPr>
      <w:r>
        <w:lastRenderedPageBreak/>
        <w:t>Core information</w:t>
      </w:r>
    </w:p>
    <w:tbl>
      <w:tblPr>
        <w:tblW w:w="8698" w:type="dxa"/>
        <w:tblLook w:val="04A0" w:firstRow="1" w:lastRow="0" w:firstColumn="1" w:lastColumn="0" w:noHBand="0" w:noVBand="1"/>
      </w:tblPr>
      <w:tblGrid>
        <w:gridCol w:w="2405"/>
        <w:gridCol w:w="284"/>
        <w:gridCol w:w="6009"/>
      </w:tblGrid>
      <w:tr w:rsidR="00BF55BD" w:rsidRPr="00192137" w14:paraId="6435B58A" w14:textId="77777777" w:rsidTr="00705112">
        <w:trPr>
          <w:trHeight w:val="1560"/>
        </w:trPr>
        <w:tc>
          <w:tcPr>
            <w:tcW w:w="2405" w:type="dxa"/>
            <w:tcBorders>
              <w:top w:val="single" w:sz="4" w:space="0" w:color="auto"/>
              <w:left w:val="single" w:sz="4" w:space="0" w:color="auto"/>
              <w:bottom w:val="single" w:sz="4" w:space="0" w:color="auto"/>
              <w:right w:val="single" w:sz="4" w:space="0" w:color="auto"/>
            </w:tcBorders>
            <w:shd w:val="clear" w:color="000000" w:fill="FFF2CC"/>
            <w:noWrap/>
            <w:hideMark/>
          </w:tcPr>
          <w:p w14:paraId="520393C1" w14:textId="71094238" w:rsidR="00BF55BD" w:rsidRPr="00192137" w:rsidRDefault="00BF55BD" w:rsidP="00BF55BD">
            <w:pPr>
              <w:spacing w:after="0"/>
              <w:rPr>
                <w:rFonts w:ascii="Calibri" w:hAnsi="Calibri" w:cs="Calibri"/>
                <w:color w:val="000000"/>
                <w:sz w:val="24"/>
                <w:szCs w:val="24"/>
                <w:lang w:eastAsia="en-GB"/>
              </w:rPr>
            </w:pPr>
            <w:r w:rsidRPr="005D7070">
              <w:t>Title</w:t>
            </w:r>
          </w:p>
        </w:tc>
        <w:tc>
          <w:tcPr>
            <w:tcW w:w="284" w:type="dxa"/>
            <w:tcBorders>
              <w:top w:val="nil"/>
              <w:left w:val="nil"/>
              <w:bottom w:val="nil"/>
              <w:right w:val="nil"/>
            </w:tcBorders>
            <w:shd w:val="clear" w:color="000000" w:fill="DDEBF7"/>
            <w:noWrap/>
            <w:hideMark/>
          </w:tcPr>
          <w:p w14:paraId="6E482DA0" w14:textId="0B3E5B67"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nil"/>
              <w:bottom w:val="nil"/>
              <w:right w:val="nil"/>
            </w:tcBorders>
            <w:shd w:val="clear" w:color="000000" w:fill="FFF2CC"/>
            <w:hideMark/>
          </w:tcPr>
          <w:p w14:paraId="620B3D26" w14:textId="36E11191" w:rsidR="00BF55BD" w:rsidRPr="00192137" w:rsidRDefault="00BF55BD" w:rsidP="00BF55BD">
            <w:pPr>
              <w:spacing w:after="0"/>
              <w:jc w:val="center"/>
              <w:rPr>
                <w:rFonts w:cs="Arial"/>
                <w:b/>
                <w:bCs/>
                <w:color w:val="000000"/>
                <w:sz w:val="32"/>
                <w:szCs w:val="32"/>
                <w:lang w:eastAsia="en-GB"/>
              </w:rPr>
            </w:pPr>
            <w:r w:rsidRPr="005D7070">
              <w:t>Remodelling works</w:t>
            </w:r>
            <w:r w:rsidR="00797DF6">
              <w:t xml:space="preserve"> to </w:t>
            </w:r>
            <w:r w:rsidR="00797DF6" w:rsidRPr="005D7070">
              <w:t>Carn</w:t>
            </w:r>
            <w:r w:rsidRPr="005D7070">
              <w:t xml:space="preserve"> Gwaval Wellbeing Centre</w:t>
            </w:r>
          </w:p>
        </w:tc>
      </w:tr>
      <w:tr w:rsidR="00BF55BD" w:rsidRPr="00192137" w14:paraId="3A8824B4" w14:textId="77777777" w:rsidTr="00705112">
        <w:trPr>
          <w:trHeight w:val="345"/>
        </w:trPr>
        <w:tc>
          <w:tcPr>
            <w:tcW w:w="2405" w:type="dxa"/>
            <w:tcBorders>
              <w:top w:val="nil"/>
              <w:left w:val="single" w:sz="4" w:space="0" w:color="auto"/>
              <w:bottom w:val="single" w:sz="4" w:space="0" w:color="auto"/>
              <w:right w:val="single" w:sz="4" w:space="0" w:color="auto"/>
            </w:tcBorders>
            <w:shd w:val="clear" w:color="000000" w:fill="FFF2CC"/>
            <w:noWrap/>
            <w:hideMark/>
          </w:tcPr>
          <w:p w14:paraId="7B826E0F" w14:textId="0AB2CDB4" w:rsidR="00BF55BD" w:rsidRPr="00192137" w:rsidRDefault="00BF55BD" w:rsidP="00BF55BD">
            <w:pPr>
              <w:spacing w:after="0"/>
              <w:rPr>
                <w:rFonts w:ascii="Calibri" w:hAnsi="Calibri" w:cs="Calibri"/>
                <w:color w:val="000000"/>
                <w:sz w:val="24"/>
                <w:szCs w:val="24"/>
                <w:lang w:eastAsia="en-GB"/>
              </w:rPr>
            </w:pPr>
            <w:r w:rsidRPr="005D7070">
              <w:t>Our ref:</w:t>
            </w:r>
          </w:p>
        </w:tc>
        <w:tc>
          <w:tcPr>
            <w:tcW w:w="284" w:type="dxa"/>
            <w:tcBorders>
              <w:top w:val="nil"/>
              <w:left w:val="nil"/>
              <w:bottom w:val="nil"/>
              <w:right w:val="nil"/>
            </w:tcBorders>
            <w:shd w:val="clear" w:color="000000" w:fill="DDEBF7"/>
            <w:noWrap/>
            <w:hideMark/>
          </w:tcPr>
          <w:p w14:paraId="55C52A1D" w14:textId="088A29EB" w:rsidR="00BF55BD" w:rsidRPr="00192137" w:rsidRDefault="00BF55BD" w:rsidP="00BF55BD">
            <w:pPr>
              <w:spacing w:after="0"/>
              <w:jc w:val="right"/>
              <w:rPr>
                <w:rFonts w:ascii="Calibri" w:hAnsi="Calibri" w:cs="Calibri"/>
                <w:color w:val="000000"/>
                <w:szCs w:val="22"/>
                <w:lang w:eastAsia="en-GB"/>
              </w:rPr>
            </w:pPr>
          </w:p>
        </w:tc>
        <w:tc>
          <w:tcPr>
            <w:tcW w:w="6009" w:type="dxa"/>
            <w:tcBorders>
              <w:top w:val="single" w:sz="4" w:space="0" w:color="auto"/>
              <w:left w:val="single" w:sz="4" w:space="0" w:color="auto"/>
              <w:bottom w:val="single" w:sz="4" w:space="0" w:color="auto"/>
              <w:right w:val="single" w:sz="4" w:space="0" w:color="auto"/>
            </w:tcBorders>
            <w:shd w:val="clear" w:color="000000" w:fill="FFF2CC"/>
            <w:noWrap/>
            <w:hideMark/>
          </w:tcPr>
          <w:p w14:paraId="07ED6D56" w14:textId="61BD8446" w:rsidR="00BF55BD" w:rsidRPr="00192137" w:rsidRDefault="00BF55BD" w:rsidP="00BF55BD">
            <w:pPr>
              <w:spacing w:after="0"/>
              <w:jc w:val="right"/>
              <w:rPr>
                <w:rFonts w:ascii="Calibri" w:hAnsi="Calibri" w:cs="Calibri"/>
                <w:color w:val="000000"/>
                <w:sz w:val="26"/>
                <w:szCs w:val="26"/>
                <w:lang w:eastAsia="en-GB"/>
              </w:rPr>
            </w:pPr>
            <w:r w:rsidRPr="005D7070">
              <w:t>CIoS_241213</w:t>
            </w:r>
          </w:p>
        </w:tc>
      </w:tr>
      <w:tr w:rsidR="00BF55BD" w:rsidRPr="00192137" w14:paraId="795AA0AC"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13F4EA88" w14:textId="0F06F8DE" w:rsidR="00BF55BD" w:rsidRPr="00192137" w:rsidRDefault="00BF55BD" w:rsidP="00BF55BD">
            <w:pPr>
              <w:spacing w:after="0"/>
              <w:rPr>
                <w:rFonts w:ascii="Calibri" w:hAnsi="Calibri" w:cs="Calibri"/>
                <w:color w:val="000000"/>
                <w:sz w:val="24"/>
                <w:szCs w:val="24"/>
                <w:lang w:eastAsia="en-GB"/>
              </w:rPr>
            </w:pPr>
            <w:r w:rsidRPr="005D7070">
              <w:t>Procurement type</w:t>
            </w:r>
          </w:p>
        </w:tc>
        <w:tc>
          <w:tcPr>
            <w:tcW w:w="284" w:type="dxa"/>
            <w:tcBorders>
              <w:top w:val="nil"/>
              <w:left w:val="nil"/>
              <w:bottom w:val="nil"/>
              <w:right w:val="nil"/>
            </w:tcBorders>
            <w:shd w:val="clear" w:color="000000" w:fill="DDEBF7"/>
            <w:noWrap/>
            <w:hideMark/>
          </w:tcPr>
          <w:p w14:paraId="35D60E6B" w14:textId="1986287B"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6FF3DC62" w14:textId="01434478" w:rsidR="00BF55BD" w:rsidRPr="00192137" w:rsidRDefault="00BF55BD" w:rsidP="00BF55BD">
            <w:pPr>
              <w:spacing w:after="0"/>
              <w:jc w:val="right"/>
              <w:rPr>
                <w:rFonts w:ascii="Calibri" w:hAnsi="Calibri" w:cs="Calibri"/>
                <w:color w:val="000000"/>
                <w:sz w:val="24"/>
                <w:szCs w:val="24"/>
                <w:lang w:eastAsia="en-GB"/>
              </w:rPr>
            </w:pPr>
            <w:r w:rsidRPr="005D7070">
              <w:t>Works</w:t>
            </w:r>
          </w:p>
        </w:tc>
      </w:tr>
      <w:tr w:rsidR="00BF55BD" w:rsidRPr="00192137" w14:paraId="75DA7CC0" w14:textId="77777777" w:rsidTr="00705112">
        <w:trPr>
          <w:trHeight w:val="1875"/>
        </w:trPr>
        <w:tc>
          <w:tcPr>
            <w:tcW w:w="2405" w:type="dxa"/>
            <w:tcBorders>
              <w:top w:val="nil"/>
              <w:left w:val="single" w:sz="4" w:space="0" w:color="auto"/>
              <w:bottom w:val="single" w:sz="4" w:space="0" w:color="auto"/>
              <w:right w:val="single" w:sz="4" w:space="0" w:color="auto"/>
            </w:tcBorders>
            <w:shd w:val="clear" w:color="000000" w:fill="FFF2CC"/>
            <w:noWrap/>
            <w:hideMark/>
          </w:tcPr>
          <w:p w14:paraId="24D2D71B" w14:textId="6575C3BF" w:rsidR="00BF55BD" w:rsidRPr="00192137" w:rsidRDefault="00BF55BD" w:rsidP="00BF55BD">
            <w:pPr>
              <w:spacing w:after="0"/>
              <w:rPr>
                <w:rFonts w:ascii="Calibri" w:hAnsi="Calibri" w:cs="Calibri"/>
                <w:color w:val="000000"/>
                <w:sz w:val="24"/>
                <w:szCs w:val="24"/>
                <w:lang w:eastAsia="en-GB"/>
              </w:rPr>
            </w:pPr>
            <w:r w:rsidRPr="005D7070">
              <w:t>Description</w:t>
            </w:r>
          </w:p>
        </w:tc>
        <w:tc>
          <w:tcPr>
            <w:tcW w:w="284" w:type="dxa"/>
            <w:tcBorders>
              <w:top w:val="nil"/>
              <w:left w:val="nil"/>
              <w:bottom w:val="nil"/>
              <w:right w:val="nil"/>
            </w:tcBorders>
            <w:shd w:val="clear" w:color="000000" w:fill="DDEBF7"/>
            <w:noWrap/>
            <w:hideMark/>
          </w:tcPr>
          <w:p w14:paraId="4792DA95" w14:textId="71E35EB9"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hideMark/>
          </w:tcPr>
          <w:p w14:paraId="67D873AC" w14:textId="6B09D657" w:rsidR="00BF55BD" w:rsidRPr="00192137" w:rsidRDefault="00BF55BD" w:rsidP="00BF55BD">
            <w:pPr>
              <w:spacing w:after="0"/>
              <w:rPr>
                <w:rFonts w:cs="Arial"/>
                <w:color w:val="000000"/>
                <w:szCs w:val="22"/>
                <w:lang w:eastAsia="en-GB"/>
              </w:rPr>
            </w:pPr>
            <w:r w:rsidRPr="005D7070">
              <w:t>The Council of the Isles of Scilly are seeking tenders from suitably qualified and experienced contractors to undertake the internal re-modelling of the Carn Gwaval Wellbeing centre.</w:t>
            </w:r>
          </w:p>
        </w:tc>
      </w:tr>
      <w:tr w:rsidR="00BF55BD" w:rsidRPr="00192137" w14:paraId="7AC5A9FD"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59F0C7D6" w14:textId="4535E9FC" w:rsidR="00BF55BD" w:rsidRPr="00192137" w:rsidRDefault="00BF55BD" w:rsidP="00BF55BD">
            <w:pPr>
              <w:spacing w:after="0"/>
              <w:rPr>
                <w:rFonts w:ascii="Calibri" w:hAnsi="Calibri" w:cs="Calibri"/>
                <w:color w:val="000000"/>
                <w:sz w:val="24"/>
                <w:szCs w:val="24"/>
                <w:lang w:eastAsia="en-GB"/>
              </w:rPr>
            </w:pPr>
            <w:r w:rsidRPr="005D7070">
              <w:t>CPV Code1</w:t>
            </w:r>
          </w:p>
        </w:tc>
        <w:tc>
          <w:tcPr>
            <w:tcW w:w="284" w:type="dxa"/>
            <w:tcBorders>
              <w:top w:val="nil"/>
              <w:left w:val="nil"/>
              <w:bottom w:val="nil"/>
              <w:right w:val="nil"/>
            </w:tcBorders>
            <w:shd w:val="clear" w:color="000000" w:fill="DDEBF7"/>
            <w:noWrap/>
            <w:hideMark/>
          </w:tcPr>
          <w:p w14:paraId="052F40C6" w14:textId="405E3101"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00D4B237" w14:textId="7DE6CCF8" w:rsidR="00BF55BD" w:rsidRPr="00192137" w:rsidRDefault="00BF55BD" w:rsidP="00BF55BD">
            <w:pPr>
              <w:spacing w:after="0"/>
              <w:jc w:val="right"/>
              <w:rPr>
                <w:rFonts w:ascii="Symbol" w:hAnsi="Symbol" w:cs="Calibri"/>
                <w:color w:val="000000"/>
                <w:szCs w:val="22"/>
                <w:lang w:eastAsia="en-GB"/>
              </w:rPr>
            </w:pPr>
            <w:r w:rsidRPr="005D7070">
              <w:t>45000000</w:t>
            </w:r>
          </w:p>
        </w:tc>
      </w:tr>
      <w:tr w:rsidR="00BF55BD" w:rsidRPr="00192137" w14:paraId="39CDF70E"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3673822A" w14:textId="3D5875C6" w:rsidR="00BF55BD" w:rsidRPr="00192137" w:rsidRDefault="00BF55BD" w:rsidP="00BF55BD">
            <w:pPr>
              <w:spacing w:after="0"/>
              <w:rPr>
                <w:rFonts w:ascii="Calibri" w:hAnsi="Calibri" w:cs="Calibri"/>
                <w:color w:val="000000"/>
                <w:sz w:val="24"/>
                <w:szCs w:val="24"/>
                <w:lang w:eastAsia="en-GB"/>
              </w:rPr>
            </w:pPr>
          </w:p>
        </w:tc>
        <w:tc>
          <w:tcPr>
            <w:tcW w:w="284" w:type="dxa"/>
            <w:tcBorders>
              <w:top w:val="nil"/>
              <w:left w:val="nil"/>
              <w:bottom w:val="nil"/>
              <w:right w:val="nil"/>
            </w:tcBorders>
            <w:shd w:val="clear" w:color="000000" w:fill="DDEBF7"/>
            <w:noWrap/>
            <w:hideMark/>
          </w:tcPr>
          <w:p w14:paraId="0855476C" w14:textId="05AB0BB8"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4AA1BC9F" w14:textId="0DED3CB5" w:rsidR="00BF55BD" w:rsidRPr="00192137" w:rsidRDefault="00BF55BD" w:rsidP="00BF55BD">
            <w:pPr>
              <w:spacing w:after="0"/>
              <w:jc w:val="right"/>
              <w:rPr>
                <w:rFonts w:ascii="Calibri" w:hAnsi="Calibri" w:cs="Calibri"/>
                <w:color w:val="000000"/>
                <w:sz w:val="24"/>
                <w:szCs w:val="24"/>
                <w:lang w:eastAsia="en-GB"/>
              </w:rPr>
            </w:pPr>
          </w:p>
        </w:tc>
      </w:tr>
      <w:tr w:rsidR="00BF55BD" w:rsidRPr="00192137" w14:paraId="3FCD70E1"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2D8B9F04" w14:textId="39D9F2D5" w:rsidR="00BF55BD" w:rsidRPr="00192137" w:rsidRDefault="00BF55BD" w:rsidP="00BF55BD">
            <w:pPr>
              <w:spacing w:after="0"/>
              <w:rPr>
                <w:rFonts w:ascii="Calibri" w:hAnsi="Calibri" w:cs="Calibri"/>
                <w:color w:val="000000"/>
                <w:sz w:val="24"/>
                <w:szCs w:val="24"/>
                <w:lang w:eastAsia="en-GB"/>
              </w:rPr>
            </w:pPr>
            <w:r w:rsidRPr="005D7070">
              <w:t>Estimated contract value</w:t>
            </w:r>
          </w:p>
        </w:tc>
        <w:tc>
          <w:tcPr>
            <w:tcW w:w="284" w:type="dxa"/>
            <w:tcBorders>
              <w:top w:val="nil"/>
              <w:left w:val="nil"/>
              <w:bottom w:val="nil"/>
              <w:right w:val="nil"/>
            </w:tcBorders>
            <w:shd w:val="clear" w:color="000000" w:fill="DDEBF7"/>
            <w:noWrap/>
            <w:hideMark/>
          </w:tcPr>
          <w:p w14:paraId="60602881" w14:textId="79459EE1"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63FEC4B6" w14:textId="6AB94BAD" w:rsidR="00BF55BD" w:rsidRPr="00192137" w:rsidRDefault="00BF55BD" w:rsidP="00BF55BD">
            <w:pPr>
              <w:spacing w:after="0"/>
              <w:jc w:val="right"/>
              <w:rPr>
                <w:rFonts w:ascii="Calibri" w:hAnsi="Calibri" w:cs="Calibri"/>
                <w:color w:val="000000"/>
                <w:sz w:val="24"/>
                <w:szCs w:val="24"/>
                <w:lang w:eastAsia="en-GB"/>
              </w:rPr>
            </w:pPr>
            <w:r w:rsidRPr="005D7070">
              <w:t xml:space="preserve"> £160,000.00 </w:t>
            </w:r>
          </w:p>
        </w:tc>
      </w:tr>
      <w:tr w:rsidR="00BF55BD" w:rsidRPr="00192137" w14:paraId="43622926"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47703DC1" w14:textId="49C35CD9" w:rsidR="00BF55BD" w:rsidRPr="00192137" w:rsidRDefault="00BF55BD" w:rsidP="00BF55BD">
            <w:pPr>
              <w:spacing w:after="0"/>
              <w:rPr>
                <w:rFonts w:ascii="Calibri" w:hAnsi="Calibri" w:cs="Calibri"/>
                <w:color w:val="000000"/>
                <w:sz w:val="24"/>
                <w:szCs w:val="24"/>
                <w:lang w:eastAsia="en-GB"/>
              </w:rPr>
            </w:pPr>
            <w:r w:rsidRPr="005D7070">
              <w:t>Quality:Price ratio</w:t>
            </w:r>
          </w:p>
        </w:tc>
        <w:tc>
          <w:tcPr>
            <w:tcW w:w="284" w:type="dxa"/>
            <w:tcBorders>
              <w:top w:val="nil"/>
              <w:left w:val="nil"/>
              <w:bottom w:val="nil"/>
              <w:right w:val="nil"/>
            </w:tcBorders>
            <w:shd w:val="clear" w:color="000000" w:fill="DDEBF7"/>
            <w:noWrap/>
            <w:hideMark/>
          </w:tcPr>
          <w:p w14:paraId="37FE0309" w14:textId="66CDBC22"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26C735A8" w14:textId="7D016B21" w:rsidR="00BF55BD" w:rsidRPr="00192137" w:rsidRDefault="00BF55BD" w:rsidP="00BF55BD">
            <w:pPr>
              <w:spacing w:after="0"/>
              <w:jc w:val="right"/>
              <w:rPr>
                <w:rFonts w:ascii="Calibri" w:hAnsi="Calibri" w:cs="Calibri"/>
                <w:color w:val="000000"/>
                <w:sz w:val="24"/>
                <w:szCs w:val="24"/>
                <w:lang w:eastAsia="en-GB"/>
              </w:rPr>
            </w:pPr>
            <w:r w:rsidRPr="005D7070">
              <w:t>30:70</w:t>
            </w:r>
          </w:p>
        </w:tc>
      </w:tr>
      <w:tr w:rsidR="00BF55BD" w:rsidRPr="00192137" w14:paraId="6442C777"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27D17CB5" w14:textId="3A77C9B3" w:rsidR="00BF55BD" w:rsidRPr="00192137" w:rsidRDefault="00BF55BD" w:rsidP="00BF55BD">
            <w:pPr>
              <w:spacing w:after="0"/>
              <w:rPr>
                <w:rFonts w:ascii="Calibri" w:hAnsi="Calibri" w:cs="Calibri"/>
                <w:color w:val="000000"/>
                <w:sz w:val="24"/>
                <w:szCs w:val="24"/>
                <w:lang w:eastAsia="en-GB"/>
              </w:rPr>
            </w:pPr>
          </w:p>
        </w:tc>
        <w:tc>
          <w:tcPr>
            <w:tcW w:w="284" w:type="dxa"/>
            <w:tcBorders>
              <w:top w:val="nil"/>
              <w:left w:val="nil"/>
              <w:bottom w:val="nil"/>
              <w:right w:val="nil"/>
            </w:tcBorders>
            <w:shd w:val="clear" w:color="000000" w:fill="DDEBF7"/>
            <w:noWrap/>
            <w:hideMark/>
          </w:tcPr>
          <w:p w14:paraId="2AAA06CB" w14:textId="2081A37B"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57D367D2" w14:textId="28697C27" w:rsidR="00BF55BD" w:rsidRPr="00192137" w:rsidRDefault="00BF55BD" w:rsidP="00BF55BD">
            <w:pPr>
              <w:spacing w:after="0"/>
              <w:jc w:val="right"/>
              <w:rPr>
                <w:rFonts w:ascii="Calibri" w:hAnsi="Calibri" w:cs="Calibri"/>
                <w:color w:val="0563C1"/>
                <w:szCs w:val="22"/>
                <w:u w:val="single"/>
                <w:lang w:eastAsia="en-GB"/>
              </w:rPr>
            </w:pPr>
          </w:p>
        </w:tc>
      </w:tr>
      <w:tr w:rsidR="00BF55BD" w:rsidRPr="00192137" w14:paraId="343FF66F"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70EB1ACF" w14:textId="5468FE01" w:rsidR="00BF55BD" w:rsidRPr="00192137" w:rsidRDefault="00BF55BD" w:rsidP="00BF55BD">
            <w:pPr>
              <w:spacing w:after="0"/>
              <w:rPr>
                <w:rFonts w:ascii="Calibri" w:hAnsi="Calibri" w:cs="Calibri"/>
                <w:color w:val="000000"/>
                <w:sz w:val="24"/>
                <w:szCs w:val="24"/>
                <w:lang w:eastAsia="en-GB"/>
              </w:rPr>
            </w:pPr>
            <w:r w:rsidRPr="005D7070">
              <w:t>Primary contact</w:t>
            </w:r>
          </w:p>
        </w:tc>
        <w:tc>
          <w:tcPr>
            <w:tcW w:w="284" w:type="dxa"/>
            <w:tcBorders>
              <w:top w:val="nil"/>
              <w:left w:val="nil"/>
              <w:bottom w:val="nil"/>
              <w:right w:val="nil"/>
            </w:tcBorders>
            <w:shd w:val="clear" w:color="000000" w:fill="DDEBF7"/>
            <w:noWrap/>
            <w:hideMark/>
          </w:tcPr>
          <w:p w14:paraId="06707DB3" w14:textId="5AE55017"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2492F14E" w14:textId="39C7A945" w:rsidR="00BF55BD" w:rsidRPr="00192137" w:rsidRDefault="00BF55BD" w:rsidP="00BF55BD">
            <w:pPr>
              <w:spacing w:after="0"/>
              <w:jc w:val="right"/>
              <w:rPr>
                <w:rFonts w:ascii="Calibri" w:hAnsi="Calibri" w:cs="Calibri"/>
                <w:color w:val="000000"/>
                <w:sz w:val="24"/>
                <w:szCs w:val="24"/>
                <w:lang w:eastAsia="en-GB"/>
              </w:rPr>
            </w:pPr>
            <w:r w:rsidRPr="005D7070">
              <w:t>procurement@scilly.gov.uk</w:t>
            </w:r>
          </w:p>
        </w:tc>
      </w:tr>
      <w:tr w:rsidR="00BF55BD" w:rsidRPr="00192137" w14:paraId="758AB12F"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14DDC38A" w14:textId="403097DC" w:rsidR="00BF55BD" w:rsidRPr="00192137" w:rsidRDefault="00BF55BD" w:rsidP="00BF55BD">
            <w:pPr>
              <w:spacing w:after="0"/>
              <w:rPr>
                <w:rFonts w:ascii="Calibri" w:hAnsi="Calibri" w:cs="Calibri"/>
                <w:color w:val="000000"/>
                <w:sz w:val="24"/>
                <w:szCs w:val="24"/>
                <w:lang w:eastAsia="en-GB"/>
              </w:rPr>
            </w:pPr>
            <w:r w:rsidRPr="005D7070">
              <w:t>Clarifications and tenders to;</w:t>
            </w:r>
          </w:p>
        </w:tc>
        <w:tc>
          <w:tcPr>
            <w:tcW w:w="284" w:type="dxa"/>
            <w:tcBorders>
              <w:top w:val="nil"/>
              <w:left w:val="nil"/>
              <w:bottom w:val="nil"/>
              <w:right w:val="nil"/>
            </w:tcBorders>
            <w:shd w:val="clear" w:color="000000" w:fill="DDEBF7"/>
            <w:noWrap/>
            <w:hideMark/>
          </w:tcPr>
          <w:p w14:paraId="1AA335FD" w14:textId="233EA2CC"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025AEEE0" w14:textId="317E2586" w:rsidR="00BF55BD" w:rsidRPr="00192137" w:rsidRDefault="00BF55BD" w:rsidP="00BF55BD">
            <w:pPr>
              <w:spacing w:after="0"/>
              <w:jc w:val="right"/>
              <w:rPr>
                <w:rFonts w:ascii="Calibri" w:hAnsi="Calibri" w:cs="Calibri"/>
                <w:color w:val="000000"/>
                <w:sz w:val="24"/>
                <w:szCs w:val="24"/>
                <w:lang w:eastAsia="en-GB"/>
              </w:rPr>
            </w:pPr>
            <w:r w:rsidRPr="005D7070">
              <w:t>procurement@scilly.gov.uk</w:t>
            </w:r>
          </w:p>
        </w:tc>
      </w:tr>
      <w:tr w:rsidR="00BF55BD" w:rsidRPr="00192137" w14:paraId="07690683"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64BC3F8D" w14:textId="4F724871" w:rsidR="00BF55BD" w:rsidRPr="00192137" w:rsidRDefault="00BF55BD" w:rsidP="00BF55BD">
            <w:pPr>
              <w:spacing w:after="0"/>
              <w:rPr>
                <w:rFonts w:ascii="Calibri" w:hAnsi="Calibri" w:cs="Calibri"/>
                <w:color w:val="000000"/>
                <w:sz w:val="24"/>
                <w:szCs w:val="24"/>
                <w:lang w:eastAsia="en-GB"/>
              </w:rPr>
            </w:pPr>
          </w:p>
        </w:tc>
        <w:tc>
          <w:tcPr>
            <w:tcW w:w="284" w:type="dxa"/>
            <w:tcBorders>
              <w:top w:val="nil"/>
              <w:left w:val="nil"/>
              <w:bottom w:val="nil"/>
              <w:right w:val="nil"/>
            </w:tcBorders>
            <w:shd w:val="clear" w:color="000000" w:fill="DDEBF7"/>
            <w:noWrap/>
            <w:hideMark/>
          </w:tcPr>
          <w:p w14:paraId="24DEEF26" w14:textId="6E51EAD1"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17894000" w14:textId="57AA56F9" w:rsidR="00BF55BD" w:rsidRPr="00192137" w:rsidRDefault="00BF55BD" w:rsidP="00BF55BD">
            <w:pPr>
              <w:spacing w:after="0"/>
              <w:jc w:val="right"/>
              <w:rPr>
                <w:rFonts w:ascii="Calibri" w:hAnsi="Calibri" w:cs="Calibri"/>
                <w:color w:val="000000"/>
                <w:sz w:val="24"/>
                <w:szCs w:val="24"/>
                <w:lang w:eastAsia="en-GB"/>
              </w:rPr>
            </w:pPr>
          </w:p>
        </w:tc>
      </w:tr>
      <w:tr w:rsidR="00BF55BD" w:rsidRPr="00192137" w14:paraId="16CEDB07"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632B8024" w14:textId="32C28F80" w:rsidR="00BF55BD" w:rsidRPr="00192137" w:rsidRDefault="00BF55BD" w:rsidP="00BF55BD">
            <w:pPr>
              <w:spacing w:after="0"/>
              <w:rPr>
                <w:rFonts w:ascii="Calibri" w:hAnsi="Calibri" w:cs="Calibri"/>
                <w:color w:val="000000"/>
                <w:sz w:val="24"/>
                <w:szCs w:val="24"/>
                <w:lang w:eastAsia="en-GB"/>
              </w:rPr>
            </w:pPr>
            <w:r w:rsidRPr="005D7070">
              <w:t>Tender publication date:</w:t>
            </w:r>
          </w:p>
        </w:tc>
        <w:tc>
          <w:tcPr>
            <w:tcW w:w="284" w:type="dxa"/>
            <w:tcBorders>
              <w:top w:val="nil"/>
              <w:left w:val="nil"/>
              <w:bottom w:val="nil"/>
              <w:right w:val="nil"/>
            </w:tcBorders>
            <w:shd w:val="clear" w:color="000000" w:fill="DDEBF7"/>
            <w:noWrap/>
            <w:hideMark/>
          </w:tcPr>
          <w:p w14:paraId="16DFD9E5" w14:textId="6D07F9D7"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24B6E07D" w14:textId="7110D984" w:rsidR="00BF55BD" w:rsidRPr="00192137" w:rsidRDefault="00BF55BD" w:rsidP="00BF55BD">
            <w:pPr>
              <w:spacing w:after="0"/>
              <w:jc w:val="right"/>
              <w:rPr>
                <w:rFonts w:ascii="Calibri" w:hAnsi="Calibri" w:cs="Calibri"/>
                <w:color w:val="000000"/>
                <w:sz w:val="24"/>
                <w:szCs w:val="24"/>
                <w:lang w:eastAsia="en-GB"/>
              </w:rPr>
            </w:pPr>
            <w:r w:rsidRPr="005D7070">
              <w:t>13 December 2024</w:t>
            </w:r>
          </w:p>
        </w:tc>
      </w:tr>
      <w:tr w:rsidR="00BF55BD" w:rsidRPr="00192137" w14:paraId="3C10D4F3"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18B55730" w14:textId="70548246" w:rsidR="00BF55BD" w:rsidRPr="00192137" w:rsidRDefault="00BF55BD" w:rsidP="00BF55BD">
            <w:pPr>
              <w:spacing w:after="0"/>
              <w:rPr>
                <w:rFonts w:ascii="Calibri" w:hAnsi="Calibri" w:cs="Calibri"/>
                <w:color w:val="000000"/>
                <w:sz w:val="24"/>
                <w:szCs w:val="24"/>
                <w:lang w:eastAsia="en-GB"/>
              </w:rPr>
            </w:pPr>
            <w:r w:rsidRPr="005D7070">
              <w:t>Clarifications upto date:</w:t>
            </w:r>
          </w:p>
        </w:tc>
        <w:tc>
          <w:tcPr>
            <w:tcW w:w="284" w:type="dxa"/>
            <w:tcBorders>
              <w:top w:val="nil"/>
              <w:left w:val="nil"/>
              <w:bottom w:val="nil"/>
              <w:right w:val="nil"/>
            </w:tcBorders>
            <w:shd w:val="clear" w:color="000000" w:fill="DDEBF7"/>
            <w:noWrap/>
            <w:hideMark/>
          </w:tcPr>
          <w:p w14:paraId="7FDE9663" w14:textId="7516AE90"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193C5EE2" w14:textId="16D9081E" w:rsidR="00BF55BD" w:rsidRPr="00192137" w:rsidRDefault="00BF55BD" w:rsidP="00BF55BD">
            <w:pPr>
              <w:spacing w:after="0"/>
              <w:jc w:val="right"/>
              <w:rPr>
                <w:rFonts w:ascii="Calibri" w:hAnsi="Calibri" w:cs="Calibri"/>
                <w:color w:val="000000"/>
                <w:sz w:val="24"/>
                <w:szCs w:val="24"/>
                <w:lang w:eastAsia="en-GB"/>
              </w:rPr>
            </w:pPr>
            <w:r w:rsidRPr="005D7070">
              <w:t>03 January 2025</w:t>
            </w:r>
          </w:p>
        </w:tc>
      </w:tr>
      <w:tr w:rsidR="00BF55BD" w:rsidRPr="00192137" w14:paraId="26A3630B"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6CC647BD" w14:textId="23DBBD9C" w:rsidR="00BF55BD" w:rsidRPr="00192137" w:rsidRDefault="00BF55BD" w:rsidP="00BF55BD">
            <w:pPr>
              <w:spacing w:after="0"/>
              <w:rPr>
                <w:rFonts w:ascii="Calibri" w:hAnsi="Calibri" w:cs="Calibri"/>
                <w:color w:val="000000"/>
                <w:sz w:val="24"/>
                <w:szCs w:val="24"/>
                <w:lang w:eastAsia="en-GB"/>
              </w:rPr>
            </w:pPr>
            <w:r w:rsidRPr="005D7070">
              <w:t>Tender submission date</w:t>
            </w:r>
          </w:p>
        </w:tc>
        <w:tc>
          <w:tcPr>
            <w:tcW w:w="284" w:type="dxa"/>
            <w:tcBorders>
              <w:top w:val="nil"/>
              <w:left w:val="nil"/>
              <w:bottom w:val="nil"/>
              <w:right w:val="nil"/>
            </w:tcBorders>
            <w:shd w:val="clear" w:color="000000" w:fill="DDEBF7"/>
            <w:noWrap/>
            <w:hideMark/>
          </w:tcPr>
          <w:p w14:paraId="0DBB1938" w14:textId="4005C58A"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5DC3410C" w14:textId="73237176" w:rsidR="00BF55BD" w:rsidRPr="00192137" w:rsidRDefault="00BF55BD" w:rsidP="00BF55BD">
            <w:pPr>
              <w:spacing w:after="0"/>
              <w:jc w:val="right"/>
              <w:rPr>
                <w:rFonts w:ascii="Calibri" w:hAnsi="Calibri" w:cs="Calibri"/>
                <w:color w:val="000000"/>
                <w:sz w:val="24"/>
                <w:szCs w:val="24"/>
                <w:lang w:eastAsia="en-GB"/>
              </w:rPr>
            </w:pPr>
            <w:r w:rsidRPr="005D7070">
              <w:t>20 January 2025</w:t>
            </w:r>
          </w:p>
        </w:tc>
      </w:tr>
      <w:tr w:rsidR="00BF55BD" w:rsidRPr="00192137" w14:paraId="248D3C29"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651B763C" w14:textId="623C3E0C" w:rsidR="00BF55BD" w:rsidRPr="00192137" w:rsidRDefault="00BF55BD" w:rsidP="00BF55BD">
            <w:pPr>
              <w:spacing w:after="0"/>
              <w:rPr>
                <w:rFonts w:ascii="Calibri" w:hAnsi="Calibri" w:cs="Calibri"/>
                <w:color w:val="000000"/>
                <w:sz w:val="24"/>
                <w:szCs w:val="24"/>
                <w:lang w:eastAsia="en-GB"/>
              </w:rPr>
            </w:pPr>
            <w:r w:rsidRPr="005D7070">
              <w:t>Tender submission time</w:t>
            </w:r>
          </w:p>
        </w:tc>
        <w:tc>
          <w:tcPr>
            <w:tcW w:w="284" w:type="dxa"/>
            <w:tcBorders>
              <w:top w:val="nil"/>
              <w:left w:val="nil"/>
              <w:bottom w:val="nil"/>
              <w:right w:val="nil"/>
            </w:tcBorders>
            <w:shd w:val="clear" w:color="000000" w:fill="DDEBF7"/>
            <w:noWrap/>
            <w:hideMark/>
          </w:tcPr>
          <w:p w14:paraId="6993C272" w14:textId="3C253EB5"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649789C5" w14:textId="5FA312E9" w:rsidR="00BF55BD" w:rsidRPr="00192137" w:rsidRDefault="00BF55BD" w:rsidP="00BF55BD">
            <w:pPr>
              <w:spacing w:after="0"/>
              <w:jc w:val="right"/>
              <w:rPr>
                <w:rFonts w:ascii="Calibri" w:hAnsi="Calibri" w:cs="Calibri"/>
                <w:color w:val="000000"/>
                <w:sz w:val="24"/>
                <w:szCs w:val="24"/>
                <w:lang w:eastAsia="en-GB"/>
              </w:rPr>
            </w:pPr>
            <w:r w:rsidRPr="005D7070">
              <w:t>16:00</w:t>
            </w:r>
          </w:p>
        </w:tc>
      </w:tr>
      <w:tr w:rsidR="00BF55BD" w:rsidRPr="00192137" w14:paraId="775F8FA6"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5949B275" w14:textId="7C85B579" w:rsidR="00BF55BD" w:rsidRPr="00192137" w:rsidRDefault="00BF55BD" w:rsidP="00BF55BD">
            <w:pPr>
              <w:spacing w:after="0"/>
              <w:rPr>
                <w:rFonts w:ascii="Calibri" w:hAnsi="Calibri" w:cs="Calibri"/>
                <w:color w:val="000000"/>
                <w:sz w:val="24"/>
                <w:szCs w:val="24"/>
                <w:lang w:eastAsia="en-GB"/>
              </w:rPr>
            </w:pPr>
            <w:r w:rsidRPr="005D7070">
              <w:t>Tender evalaution period</w:t>
            </w:r>
          </w:p>
        </w:tc>
        <w:tc>
          <w:tcPr>
            <w:tcW w:w="284" w:type="dxa"/>
            <w:tcBorders>
              <w:top w:val="nil"/>
              <w:left w:val="nil"/>
              <w:bottom w:val="nil"/>
              <w:right w:val="nil"/>
            </w:tcBorders>
            <w:shd w:val="clear" w:color="000000" w:fill="DDEBF7"/>
            <w:noWrap/>
            <w:hideMark/>
          </w:tcPr>
          <w:p w14:paraId="7B5009DE" w14:textId="308FE21D"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489781E8" w14:textId="72434277" w:rsidR="00BF55BD" w:rsidRPr="00192137" w:rsidRDefault="00BF55BD" w:rsidP="00BF55BD">
            <w:pPr>
              <w:spacing w:after="0"/>
              <w:jc w:val="right"/>
              <w:rPr>
                <w:rFonts w:ascii="Calibri" w:hAnsi="Calibri" w:cs="Calibri"/>
                <w:color w:val="000000"/>
                <w:sz w:val="24"/>
                <w:szCs w:val="24"/>
                <w:lang w:eastAsia="en-GB"/>
              </w:rPr>
            </w:pPr>
            <w:r w:rsidRPr="005D7070">
              <w:t>31 January 2025</w:t>
            </w:r>
          </w:p>
        </w:tc>
      </w:tr>
      <w:tr w:rsidR="00BF55BD" w:rsidRPr="00192137" w14:paraId="7357CF1C"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2816C280" w14:textId="2252CB49" w:rsidR="00BF55BD" w:rsidRPr="00192137" w:rsidRDefault="00BF55BD" w:rsidP="00BF55BD">
            <w:pPr>
              <w:spacing w:after="0"/>
              <w:rPr>
                <w:rFonts w:ascii="Calibri" w:hAnsi="Calibri" w:cs="Calibri"/>
                <w:color w:val="000000"/>
                <w:sz w:val="24"/>
                <w:szCs w:val="24"/>
                <w:lang w:eastAsia="en-GB"/>
              </w:rPr>
            </w:pPr>
            <w:r w:rsidRPr="005D7070">
              <w:t>Contract award date</w:t>
            </w:r>
          </w:p>
        </w:tc>
        <w:tc>
          <w:tcPr>
            <w:tcW w:w="284" w:type="dxa"/>
            <w:tcBorders>
              <w:top w:val="nil"/>
              <w:left w:val="nil"/>
              <w:bottom w:val="nil"/>
              <w:right w:val="nil"/>
            </w:tcBorders>
            <w:shd w:val="clear" w:color="000000" w:fill="DDEBF7"/>
            <w:noWrap/>
            <w:hideMark/>
          </w:tcPr>
          <w:p w14:paraId="0C307142" w14:textId="5D4D6C82"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3975B2C4" w14:textId="45DD1234" w:rsidR="00BF55BD" w:rsidRPr="00192137" w:rsidRDefault="00BF55BD" w:rsidP="00BF55BD">
            <w:pPr>
              <w:spacing w:after="0"/>
              <w:jc w:val="right"/>
              <w:rPr>
                <w:rFonts w:ascii="Calibri" w:hAnsi="Calibri" w:cs="Calibri"/>
                <w:color w:val="000000"/>
                <w:sz w:val="24"/>
                <w:szCs w:val="24"/>
                <w:lang w:eastAsia="en-GB"/>
              </w:rPr>
            </w:pPr>
            <w:r w:rsidRPr="005D7070">
              <w:t>03 February 2025</w:t>
            </w:r>
          </w:p>
        </w:tc>
      </w:tr>
      <w:tr w:rsidR="00BF55BD" w:rsidRPr="00192137" w14:paraId="332E4F87"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0AB15112" w14:textId="008191C0" w:rsidR="00BF55BD" w:rsidRPr="00192137" w:rsidRDefault="00BF55BD" w:rsidP="00BF55BD">
            <w:pPr>
              <w:spacing w:after="0"/>
              <w:rPr>
                <w:rFonts w:ascii="Calibri" w:hAnsi="Calibri" w:cs="Calibri"/>
                <w:color w:val="000000"/>
                <w:sz w:val="24"/>
                <w:szCs w:val="24"/>
                <w:lang w:eastAsia="en-GB"/>
              </w:rPr>
            </w:pPr>
            <w:r w:rsidRPr="005D7070">
              <w:t>Standstill period</w:t>
            </w:r>
          </w:p>
        </w:tc>
        <w:tc>
          <w:tcPr>
            <w:tcW w:w="284" w:type="dxa"/>
            <w:tcBorders>
              <w:top w:val="nil"/>
              <w:left w:val="nil"/>
              <w:bottom w:val="nil"/>
              <w:right w:val="nil"/>
            </w:tcBorders>
            <w:shd w:val="clear" w:color="000000" w:fill="DDEBF7"/>
            <w:noWrap/>
            <w:hideMark/>
          </w:tcPr>
          <w:p w14:paraId="4F7FE898" w14:textId="05C11033"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790AECE0" w14:textId="761CD20D" w:rsidR="00BF55BD" w:rsidRPr="00192137" w:rsidRDefault="00BF55BD" w:rsidP="00BF55BD">
            <w:pPr>
              <w:spacing w:after="0"/>
              <w:jc w:val="right"/>
              <w:rPr>
                <w:rFonts w:ascii="Calibri" w:hAnsi="Calibri" w:cs="Calibri"/>
                <w:color w:val="000000"/>
                <w:sz w:val="24"/>
                <w:szCs w:val="24"/>
                <w:lang w:eastAsia="en-GB"/>
              </w:rPr>
            </w:pPr>
            <w:r w:rsidRPr="005D7070">
              <w:t>na</w:t>
            </w:r>
          </w:p>
        </w:tc>
      </w:tr>
      <w:tr w:rsidR="00BF55BD" w:rsidRPr="00192137" w14:paraId="167A6053"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12ADB527" w14:textId="5943811F" w:rsidR="00BF55BD" w:rsidRPr="00192137" w:rsidRDefault="00BF55BD" w:rsidP="00BF55BD">
            <w:pPr>
              <w:spacing w:after="0"/>
              <w:rPr>
                <w:rFonts w:ascii="Calibri" w:hAnsi="Calibri" w:cs="Calibri"/>
                <w:color w:val="000000"/>
                <w:sz w:val="24"/>
                <w:szCs w:val="24"/>
                <w:lang w:eastAsia="en-GB"/>
              </w:rPr>
            </w:pPr>
            <w:r w:rsidRPr="005D7070">
              <w:t>Earliest date contract award</w:t>
            </w:r>
          </w:p>
        </w:tc>
        <w:tc>
          <w:tcPr>
            <w:tcW w:w="284" w:type="dxa"/>
            <w:tcBorders>
              <w:top w:val="nil"/>
              <w:left w:val="nil"/>
              <w:bottom w:val="nil"/>
              <w:right w:val="nil"/>
            </w:tcBorders>
            <w:shd w:val="clear" w:color="000000" w:fill="DDEBF7"/>
            <w:noWrap/>
            <w:hideMark/>
          </w:tcPr>
          <w:p w14:paraId="2D0B5B1B" w14:textId="0DBD6D6A"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27B2EEA8" w14:textId="371B253E" w:rsidR="00BF55BD" w:rsidRPr="00192137" w:rsidRDefault="00BF55BD" w:rsidP="00BF55BD">
            <w:pPr>
              <w:spacing w:after="0"/>
              <w:jc w:val="right"/>
              <w:rPr>
                <w:rFonts w:ascii="Calibri" w:hAnsi="Calibri" w:cs="Calibri"/>
                <w:color w:val="000000"/>
                <w:sz w:val="24"/>
                <w:szCs w:val="24"/>
                <w:lang w:eastAsia="en-GB"/>
              </w:rPr>
            </w:pPr>
          </w:p>
        </w:tc>
      </w:tr>
      <w:tr w:rsidR="00BF55BD" w:rsidRPr="00192137" w14:paraId="5891722B"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6FCE19F4" w14:textId="261EB6F3" w:rsidR="00BF55BD" w:rsidRPr="00192137" w:rsidRDefault="00BF55BD" w:rsidP="00BF55BD">
            <w:pPr>
              <w:spacing w:after="0"/>
              <w:rPr>
                <w:rFonts w:ascii="Calibri" w:hAnsi="Calibri" w:cs="Calibri"/>
                <w:color w:val="000000"/>
                <w:sz w:val="24"/>
                <w:szCs w:val="24"/>
                <w:lang w:eastAsia="en-GB"/>
              </w:rPr>
            </w:pPr>
            <w:r w:rsidRPr="005D7070">
              <w:t>Anticipated contract commencement</w:t>
            </w:r>
          </w:p>
        </w:tc>
        <w:tc>
          <w:tcPr>
            <w:tcW w:w="284" w:type="dxa"/>
            <w:tcBorders>
              <w:top w:val="nil"/>
              <w:left w:val="nil"/>
              <w:bottom w:val="nil"/>
              <w:right w:val="nil"/>
            </w:tcBorders>
            <w:shd w:val="clear" w:color="000000" w:fill="DDEBF7"/>
            <w:noWrap/>
            <w:hideMark/>
          </w:tcPr>
          <w:p w14:paraId="50C6A29F" w14:textId="035D4C2B"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6F5986B3" w14:textId="7F618A76" w:rsidR="00BF55BD" w:rsidRPr="00192137" w:rsidRDefault="00BF55BD" w:rsidP="00BF55BD">
            <w:pPr>
              <w:spacing w:after="0"/>
              <w:jc w:val="right"/>
              <w:rPr>
                <w:rFonts w:ascii="Calibri" w:hAnsi="Calibri" w:cs="Calibri"/>
                <w:color w:val="000000"/>
                <w:sz w:val="24"/>
                <w:szCs w:val="24"/>
                <w:lang w:eastAsia="en-GB"/>
              </w:rPr>
            </w:pPr>
            <w:r w:rsidRPr="005D7070">
              <w:t>01 March 2025</w:t>
            </w:r>
          </w:p>
        </w:tc>
      </w:tr>
      <w:tr w:rsidR="00BF55BD" w:rsidRPr="00192137" w14:paraId="194D141B"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5ED5C040" w14:textId="7EB4FC25" w:rsidR="00BF55BD" w:rsidRPr="00192137" w:rsidRDefault="00BF55BD" w:rsidP="00BF55BD">
            <w:pPr>
              <w:spacing w:after="0"/>
              <w:rPr>
                <w:rFonts w:ascii="Calibri" w:hAnsi="Calibri" w:cs="Calibri"/>
                <w:color w:val="000000"/>
                <w:sz w:val="24"/>
                <w:szCs w:val="24"/>
                <w:lang w:eastAsia="en-GB"/>
              </w:rPr>
            </w:pPr>
            <w:r w:rsidRPr="005D7070">
              <w:t>Contract end date</w:t>
            </w:r>
          </w:p>
        </w:tc>
        <w:tc>
          <w:tcPr>
            <w:tcW w:w="284" w:type="dxa"/>
            <w:tcBorders>
              <w:top w:val="nil"/>
              <w:left w:val="nil"/>
              <w:bottom w:val="nil"/>
              <w:right w:val="nil"/>
            </w:tcBorders>
            <w:shd w:val="clear" w:color="000000" w:fill="DDEBF7"/>
            <w:noWrap/>
            <w:hideMark/>
          </w:tcPr>
          <w:p w14:paraId="493D2EEA" w14:textId="003A1F11"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4B3DB4C7" w14:textId="6941A157" w:rsidR="00BF55BD" w:rsidRPr="00192137" w:rsidRDefault="00BF55BD" w:rsidP="00BF55BD">
            <w:pPr>
              <w:spacing w:after="0"/>
              <w:jc w:val="right"/>
              <w:rPr>
                <w:rFonts w:ascii="Calibri" w:hAnsi="Calibri" w:cs="Calibri"/>
                <w:color w:val="000000"/>
                <w:sz w:val="24"/>
                <w:szCs w:val="24"/>
                <w:lang w:eastAsia="en-GB"/>
              </w:rPr>
            </w:pPr>
            <w:r w:rsidRPr="005D7070">
              <w:t>30 July 2025</w:t>
            </w:r>
          </w:p>
        </w:tc>
      </w:tr>
      <w:tr w:rsidR="00BF55BD" w:rsidRPr="00192137" w14:paraId="6E48BF03"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3D09132B" w14:textId="15D78011" w:rsidR="00BF55BD" w:rsidRPr="00192137" w:rsidRDefault="00BF55BD" w:rsidP="00BF55BD">
            <w:pPr>
              <w:spacing w:after="0"/>
              <w:rPr>
                <w:rFonts w:ascii="Calibri" w:hAnsi="Calibri" w:cs="Calibri"/>
                <w:color w:val="000000"/>
                <w:sz w:val="24"/>
                <w:szCs w:val="24"/>
                <w:lang w:eastAsia="en-GB"/>
              </w:rPr>
            </w:pPr>
          </w:p>
        </w:tc>
        <w:tc>
          <w:tcPr>
            <w:tcW w:w="284" w:type="dxa"/>
            <w:tcBorders>
              <w:top w:val="nil"/>
              <w:left w:val="nil"/>
              <w:bottom w:val="nil"/>
              <w:right w:val="nil"/>
            </w:tcBorders>
            <w:shd w:val="clear" w:color="000000" w:fill="DDEBF7"/>
            <w:noWrap/>
            <w:hideMark/>
          </w:tcPr>
          <w:p w14:paraId="20313DC7" w14:textId="0758D084"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1C1BB703" w14:textId="7543FE3D" w:rsidR="00BF55BD" w:rsidRPr="00192137" w:rsidRDefault="00BF55BD" w:rsidP="00BF55BD">
            <w:pPr>
              <w:spacing w:after="0"/>
              <w:jc w:val="right"/>
              <w:rPr>
                <w:rFonts w:ascii="Calibri" w:hAnsi="Calibri" w:cs="Calibri"/>
                <w:color w:val="000000"/>
                <w:sz w:val="24"/>
                <w:szCs w:val="24"/>
                <w:lang w:eastAsia="en-GB"/>
              </w:rPr>
            </w:pPr>
          </w:p>
        </w:tc>
      </w:tr>
      <w:tr w:rsidR="00BF55BD" w:rsidRPr="00192137" w14:paraId="107576DB" w14:textId="77777777" w:rsidTr="00705112">
        <w:trPr>
          <w:trHeight w:val="315"/>
        </w:trPr>
        <w:tc>
          <w:tcPr>
            <w:tcW w:w="2405" w:type="dxa"/>
            <w:tcBorders>
              <w:top w:val="nil"/>
              <w:left w:val="single" w:sz="4" w:space="0" w:color="auto"/>
              <w:bottom w:val="single" w:sz="4" w:space="0" w:color="auto"/>
              <w:right w:val="single" w:sz="4" w:space="0" w:color="auto"/>
            </w:tcBorders>
            <w:shd w:val="clear" w:color="000000" w:fill="FFF2CC"/>
            <w:noWrap/>
            <w:hideMark/>
          </w:tcPr>
          <w:p w14:paraId="77D4B685" w14:textId="015AEFA3" w:rsidR="00BF55BD" w:rsidRPr="00192137" w:rsidRDefault="00BF55BD" w:rsidP="00BF55BD">
            <w:pPr>
              <w:spacing w:after="0"/>
              <w:jc w:val="right"/>
              <w:rPr>
                <w:rFonts w:ascii="Calibri" w:hAnsi="Calibri" w:cs="Calibri"/>
                <w:color w:val="000000"/>
                <w:sz w:val="24"/>
                <w:szCs w:val="24"/>
                <w:lang w:eastAsia="en-GB"/>
              </w:rPr>
            </w:pPr>
            <w:r w:rsidRPr="005D7070">
              <w:t>Contract suitable for  SME?</w:t>
            </w:r>
          </w:p>
        </w:tc>
        <w:tc>
          <w:tcPr>
            <w:tcW w:w="284" w:type="dxa"/>
            <w:tcBorders>
              <w:top w:val="nil"/>
              <w:left w:val="nil"/>
              <w:bottom w:val="nil"/>
              <w:right w:val="nil"/>
            </w:tcBorders>
            <w:shd w:val="clear" w:color="000000" w:fill="DDEBF7"/>
            <w:noWrap/>
            <w:hideMark/>
          </w:tcPr>
          <w:p w14:paraId="366B03D4" w14:textId="18A800CE" w:rsidR="00BF55BD" w:rsidRPr="00192137" w:rsidRDefault="00BF55BD" w:rsidP="00BF55BD">
            <w:pPr>
              <w:spacing w:after="0"/>
              <w:jc w:val="right"/>
              <w:rPr>
                <w:rFonts w:ascii="Calibri" w:hAnsi="Calibri" w:cs="Calibri"/>
                <w:color w:val="000000"/>
                <w:szCs w:val="22"/>
                <w:lang w:eastAsia="en-GB"/>
              </w:rPr>
            </w:pPr>
          </w:p>
        </w:tc>
        <w:tc>
          <w:tcPr>
            <w:tcW w:w="6009" w:type="dxa"/>
            <w:tcBorders>
              <w:top w:val="nil"/>
              <w:left w:val="single" w:sz="4" w:space="0" w:color="auto"/>
              <w:bottom w:val="single" w:sz="4" w:space="0" w:color="auto"/>
              <w:right w:val="single" w:sz="4" w:space="0" w:color="auto"/>
            </w:tcBorders>
            <w:shd w:val="clear" w:color="000000" w:fill="FFF2CC"/>
            <w:noWrap/>
            <w:hideMark/>
          </w:tcPr>
          <w:p w14:paraId="427EAB11" w14:textId="58CDFE36" w:rsidR="00BF55BD" w:rsidRPr="00192137" w:rsidRDefault="00BF55BD" w:rsidP="00BF55BD">
            <w:pPr>
              <w:spacing w:after="0"/>
              <w:jc w:val="right"/>
              <w:rPr>
                <w:rFonts w:ascii="Calibri" w:hAnsi="Calibri" w:cs="Calibri"/>
                <w:color w:val="000000"/>
                <w:sz w:val="24"/>
                <w:szCs w:val="24"/>
                <w:lang w:eastAsia="en-GB"/>
              </w:rPr>
            </w:pPr>
            <w:r w:rsidRPr="005D7070">
              <w:t>Yes</w:t>
            </w:r>
          </w:p>
        </w:tc>
      </w:tr>
    </w:tbl>
    <w:p w14:paraId="34D5AB0F"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04103751" w14:textId="77777777" w:rsidR="0098637C" w:rsidRDefault="0098637C" w:rsidP="0098637C"/>
    <w:p w14:paraId="7D26E23C" w14:textId="21099300" w:rsidR="0098637C" w:rsidRDefault="00AD3913" w:rsidP="003722B1">
      <w:r>
        <w:t>The Council of the Isles of Scilly is looking</w:t>
      </w:r>
      <w:r w:rsidRPr="00F55605">
        <w:t xml:space="preserve"> for </w:t>
      </w:r>
      <w:r w:rsidRPr="00AD3913">
        <w:t>a single</w:t>
      </w:r>
      <w:r w:rsidRPr="00F55605">
        <w:t xml:space="preserve"> </w:t>
      </w:r>
      <w:r w:rsidRPr="00442859">
        <w:t>Provider</w:t>
      </w:r>
      <w:r>
        <w:t xml:space="preserve"> to be appointed </w:t>
      </w:r>
      <w:r w:rsidR="00BF55BD">
        <w:t>to undertake the internal remodelling of the Carn Gwaval Well-Being Centre</w:t>
      </w:r>
      <w:r w:rsidR="00555881">
        <w:t>.</w:t>
      </w:r>
    </w:p>
    <w:p w14:paraId="48961269" w14:textId="09C69CF7" w:rsidR="0098637C" w:rsidRPr="003722B1" w:rsidRDefault="0098637C" w:rsidP="003722B1">
      <w:pPr>
        <w:pStyle w:val="Heading2"/>
        <w:numPr>
          <w:ilvl w:val="1"/>
          <w:numId w:val="1"/>
        </w:numPr>
        <w:rPr>
          <w:sz w:val="24"/>
        </w:rPr>
      </w:pPr>
      <w:r>
        <w:t xml:space="preserve">This is a sub threshold level </w:t>
      </w:r>
      <w:r w:rsidR="00BF55BD">
        <w:t>works</w:t>
      </w:r>
      <w:r>
        <w:t xml:space="preserve">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68D103BA" w14:textId="4C057717" w:rsidR="0098637C" w:rsidRDefault="0098637C" w:rsidP="001A607A">
      <w:pPr>
        <w:pStyle w:val="Heading2"/>
        <w:numPr>
          <w:ilvl w:val="1"/>
          <w:numId w:val="1"/>
        </w:numPr>
      </w:pPr>
      <w:r>
        <w:t>Section</w:t>
      </w:r>
      <w:r w:rsidR="003722B1">
        <w:t xml:space="preserve"> B</w:t>
      </w:r>
      <w:r>
        <w:t xml:space="preserve"> provides details on the required response format</w:t>
      </w:r>
      <w:r w:rsidR="005832A8">
        <w:t xml:space="preserve">, qualitative questions for tender appraisal, sections for the priced return and an explanation of the </w:t>
      </w:r>
      <w:r>
        <w:t xml:space="preserve">evaluation process. There is also a checklist of additional certificates to complete and </w:t>
      </w:r>
      <w:r w:rsidR="005832A8">
        <w:t>sign.</w:t>
      </w:r>
      <w:r>
        <w:t xml:space="preserve"> </w:t>
      </w:r>
    </w:p>
    <w:p w14:paraId="3588E577" w14:textId="3DD7D1E5" w:rsidR="0098637C" w:rsidRDefault="0098637C" w:rsidP="001A607A">
      <w:pPr>
        <w:pStyle w:val="Heading2"/>
        <w:numPr>
          <w:ilvl w:val="1"/>
          <w:numId w:val="1"/>
        </w:numPr>
      </w:pPr>
      <w:r>
        <w:t xml:space="preserve">Section </w:t>
      </w:r>
      <w:r w:rsidR="005832A8">
        <w:t>C</w:t>
      </w:r>
      <w:r>
        <w:t xml:space="preserve"> contains the Scope of Services.</w:t>
      </w:r>
    </w:p>
    <w:p w14:paraId="5FD7D979" w14:textId="1A0EDAD7" w:rsidR="0098637C" w:rsidRDefault="0098637C" w:rsidP="001A607A">
      <w:pPr>
        <w:pStyle w:val="Heading2"/>
        <w:numPr>
          <w:ilvl w:val="1"/>
          <w:numId w:val="1"/>
        </w:numPr>
      </w:pPr>
      <w:r>
        <w:t xml:space="preserve">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w:t>
      </w:r>
      <w:r w:rsidR="005832A8">
        <w:t>Section B</w:t>
      </w:r>
      <w:r>
        <w:t>.</w:t>
      </w:r>
    </w:p>
    <w:p w14:paraId="76BEEF97" w14:textId="77777777"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15FA5EA2" w14:textId="77777777" w:rsidR="001A607A" w:rsidRDefault="001A607A">
      <w:pPr>
        <w:spacing w:after="160" w:line="259" w:lineRule="auto"/>
        <w:rPr>
          <w:rFonts w:cs="Arial"/>
          <w:b/>
          <w:bCs/>
          <w:noProof/>
          <w:color w:val="416CBB"/>
          <w:kern w:val="32"/>
          <w:sz w:val="32"/>
          <w:szCs w:val="32"/>
        </w:rPr>
      </w:pPr>
      <w:r>
        <w:br w:type="page"/>
      </w:r>
    </w:p>
    <w:p w14:paraId="410D1A2F" w14:textId="0A33E3DA" w:rsidR="00722AA9" w:rsidRDefault="0098637C" w:rsidP="0098637C">
      <w:pPr>
        <w:pStyle w:val="Heading1"/>
      </w:pPr>
      <w:bookmarkStart w:id="2" w:name="_Toc527552599"/>
      <w:bookmarkStart w:id="3" w:name="_Toc527556918"/>
      <w:r w:rsidRPr="0098637C">
        <w:lastRenderedPageBreak/>
        <w:t>Section</w:t>
      </w:r>
      <w:r>
        <w:t xml:space="preserve"> </w:t>
      </w:r>
      <w:r w:rsidR="005832A8">
        <w:t>A continued</w:t>
      </w:r>
      <w:r>
        <w:t>: Background</w:t>
      </w:r>
      <w:bookmarkEnd w:id="2"/>
      <w:bookmarkEnd w:id="3"/>
    </w:p>
    <w:p w14:paraId="2EB252CB" w14:textId="77777777" w:rsidR="0098637C" w:rsidRDefault="0098637C" w:rsidP="0098637C"/>
    <w:p w14:paraId="637ACC9D" w14:textId="5BC8F374"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555881">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w:t>
      </w:r>
      <w:r w:rsidR="005832A8">
        <w:t xml:space="preserve"> </w:t>
      </w:r>
      <w:r>
        <w:t>The Council also operates St Mary’s Airport, central to the local economy and the 10th busiest regional passenger airport in the United Kingdom.</w:t>
      </w:r>
    </w:p>
    <w:p w14:paraId="79088304"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7F5DE3C8" w14:textId="2DCF89D2" w:rsidR="0098637C" w:rsidRDefault="005832A8" w:rsidP="001A607A">
      <w:pPr>
        <w:pStyle w:val="Heading2"/>
        <w:numPr>
          <w:ilvl w:val="1"/>
          <w:numId w:val="1"/>
        </w:numPr>
      </w:pPr>
      <w:r>
        <w:t>The Isles of Scilly</w:t>
      </w:r>
      <w:r w:rsidR="0098637C">
        <w:t xml:space="preserve"> situated 28 nautical miles south west of Lands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4FF85C9A" w14:textId="77777777"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14:paraId="06055DFC"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16F33E74" w14:textId="70E0132A" w:rsidR="0098637C" w:rsidRDefault="0098637C" w:rsidP="001A607A">
      <w:pPr>
        <w:pStyle w:val="Heading2"/>
        <w:numPr>
          <w:ilvl w:val="1"/>
          <w:numId w:val="1"/>
        </w:numPr>
      </w:pPr>
      <w:r>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 xml:space="preserve">at Section </w:t>
      </w:r>
      <w:r w:rsidR="005832A8">
        <w:t>C</w:t>
      </w:r>
      <w:r>
        <w:t xml:space="preserve"> of this ITT</w:t>
      </w:r>
      <w:r w:rsidRPr="00E5337D">
        <w:t>.</w:t>
      </w:r>
      <w:r>
        <w:t xml:space="preserve"> The Authority shall actively manage the resulting key contract activities including: contract review meetings; KPI management and analysis of management information.</w:t>
      </w:r>
    </w:p>
    <w:p w14:paraId="515D29E5" w14:textId="06EE4500" w:rsidR="00BB4134" w:rsidRDefault="001A607A" w:rsidP="008A64EA">
      <w:pPr>
        <w:spacing w:after="160" w:line="259" w:lineRule="auto"/>
        <w:rPr>
          <w:rFonts w:cs="Arial"/>
          <w:b/>
          <w:bCs/>
          <w:noProof/>
          <w:color w:val="416CBB"/>
          <w:kern w:val="32"/>
          <w:sz w:val="32"/>
          <w:szCs w:val="32"/>
        </w:rPr>
      </w:pPr>
      <w:r>
        <w:br w:type="page"/>
      </w:r>
      <w:bookmarkStart w:id="4" w:name="_Toc226970464"/>
    </w:p>
    <w:p w14:paraId="7E1D0ADB" w14:textId="65967165" w:rsidR="00BB4134" w:rsidRDefault="00BB4134" w:rsidP="00BB4134">
      <w:pPr>
        <w:pStyle w:val="Heading1"/>
      </w:pPr>
      <w:bookmarkStart w:id="5" w:name="_Toc527552624"/>
      <w:bookmarkStart w:id="6" w:name="_Toc527556920"/>
      <w:r>
        <w:lastRenderedPageBreak/>
        <w:t xml:space="preserve">Section </w:t>
      </w:r>
      <w:r w:rsidR="005832A8">
        <w:t>B</w:t>
      </w:r>
      <w:r>
        <w:t>: Response, Submission and Evaluation</w:t>
      </w:r>
      <w:bookmarkEnd w:id="4"/>
      <w:bookmarkEnd w:id="5"/>
      <w:bookmarkEnd w:id="6"/>
    </w:p>
    <w:p w14:paraId="3B367D81" w14:textId="77777777" w:rsidR="00BB4134" w:rsidRDefault="00BB4134" w:rsidP="00BB4134">
      <w:pPr>
        <w:pStyle w:val="Heading3"/>
      </w:pPr>
      <w:bookmarkStart w:id="7" w:name="_Toc527552625"/>
      <w:r w:rsidRPr="00CD42C0">
        <w:t>Required Response Format</w:t>
      </w:r>
      <w:bookmarkEnd w:id="7"/>
    </w:p>
    <w:p w14:paraId="3C0D8626" w14:textId="77777777" w:rsidR="005832A8" w:rsidRDefault="005832A8" w:rsidP="005832A8">
      <w:pPr>
        <w:rPr>
          <w:rFonts w:cs="Arial"/>
          <w:b/>
          <w:bCs/>
          <w:noProof/>
          <w:color w:val="416CBB"/>
          <w:kern w:val="32"/>
          <w:szCs w:val="22"/>
        </w:rPr>
      </w:pPr>
    </w:p>
    <w:p w14:paraId="425E9420" w14:textId="5099EC5D" w:rsidR="005832A8" w:rsidRPr="005832A8" w:rsidRDefault="005832A8" w:rsidP="005832A8">
      <w:pPr>
        <w:rPr>
          <w:rFonts w:cs="Arial"/>
          <w:b/>
          <w:bCs/>
          <w:noProof/>
          <w:color w:val="416CBB"/>
          <w:kern w:val="32"/>
          <w:szCs w:val="22"/>
        </w:rPr>
      </w:pPr>
      <w:r w:rsidRPr="005832A8">
        <w:rPr>
          <w:rFonts w:cs="Arial"/>
          <w:b/>
          <w:bCs/>
          <w:noProof/>
          <w:color w:val="416CBB"/>
          <w:kern w:val="32"/>
          <w:szCs w:val="22"/>
        </w:rPr>
        <w:t>Qualitative evaluation criteria</w:t>
      </w:r>
    </w:p>
    <w:p w14:paraId="2F9EAFFE" w14:textId="77777777" w:rsidR="005832A8" w:rsidRPr="005832A8" w:rsidRDefault="005832A8" w:rsidP="005832A8">
      <w:pPr>
        <w:pStyle w:val="ListParagraph"/>
        <w:numPr>
          <w:ilvl w:val="0"/>
          <w:numId w:val="4"/>
        </w:numPr>
        <w:spacing w:before="240" w:after="60" w:line="276" w:lineRule="auto"/>
        <w:contextualSpacing w:val="0"/>
        <w:jc w:val="both"/>
        <w:outlineLvl w:val="1"/>
        <w:rPr>
          <w:rFonts w:cs="Arial"/>
          <w:b/>
          <w:bCs/>
          <w:iCs/>
          <w:vanish/>
          <w:szCs w:val="28"/>
        </w:rPr>
      </w:pPr>
    </w:p>
    <w:p w14:paraId="267E3A10" w14:textId="77777777" w:rsidR="005832A8" w:rsidRPr="005832A8" w:rsidRDefault="005832A8" w:rsidP="005832A8">
      <w:pPr>
        <w:pStyle w:val="ListParagraph"/>
        <w:numPr>
          <w:ilvl w:val="0"/>
          <w:numId w:val="4"/>
        </w:numPr>
        <w:spacing w:before="240" w:after="60" w:line="276" w:lineRule="auto"/>
        <w:contextualSpacing w:val="0"/>
        <w:jc w:val="both"/>
        <w:outlineLvl w:val="1"/>
        <w:rPr>
          <w:rFonts w:cs="Arial"/>
          <w:b/>
          <w:bCs/>
          <w:iCs/>
          <w:vanish/>
          <w:szCs w:val="28"/>
        </w:rPr>
      </w:pPr>
    </w:p>
    <w:p w14:paraId="1191BCD6" w14:textId="211DDC8F" w:rsidR="005832A8" w:rsidRDefault="00BB4134" w:rsidP="005832A8">
      <w:pPr>
        <w:pStyle w:val="Heading2"/>
      </w:pPr>
      <w:r w:rsidRPr="002515F6">
        <w:rPr>
          <w:b/>
        </w:rPr>
        <w:t>An Executive Summary</w:t>
      </w:r>
      <w:r w:rsidRPr="002515F6">
        <w:t xml:space="preserve"> – highlighting the key elements of the proposed approach and commercial matters. (0%)</w:t>
      </w:r>
      <w:r w:rsidR="00226002">
        <w:t xml:space="preserve"> (Limit 1 side A4)</w:t>
      </w:r>
    </w:p>
    <w:p w14:paraId="0BCE4065" w14:textId="77777777" w:rsidR="005832A8" w:rsidRDefault="00C32FAC" w:rsidP="00EE2C1D">
      <w:pPr>
        <w:pStyle w:val="Heading2"/>
        <w:numPr>
          <w:ilvl w:val="0"/>
          <w:numId w:val="0"/>
        </w:numPr>
        <w:ind w:left="907" w:hanging="907"/>
        <w:rPr>
          <w:b/>
        </w:rPr>
      </w:pPr>
      <w:r w:rsidRPr="005832A8">
        <w:rPr>
          <w:b/>
        </w:rPr>
        <w:t>Meeting the Specification</w:t>
      </w:r>
    </w:p>
    <w:p w14:paraId="3D0971F7" w14:textId="19888357" w:rsidR="008707A3" w:rsidRPr="008707A3" w:rsidRDefault="008707A3" w:rsidP="00402A67">
      <w:pPr>
        <w:pStyle w:val="Heading2"/>
      </w:pPr>
      <w:r w:rsidRPr="00D448E9">
        <w:rPr>
          <w:b/>
          <w:bCs w:val="0"/>
        </w:rPr>
        <w:t xml:space="preserve">Demonstrable </w:t>
      </w:r>
      <w:r w:rsidR="005832A8" w:rsidRPr="00D448E9">
        <w:rPr>
          <w:b/>
          <w:bCs w:val="0"/>
        </w:rPr>
        <w:t xml:space="preserve">experience and </w:t>
      </w:r>
      <w:r w:rsidRPr="00D448E9">
        <w:rPr>
          <w:b/>
          <w:bCs w:val="0"/>
        </w:rPr>
        <w:t xml:space="preserve">qualifications in </w:t>
      </w:r>
      <w:r w:rsidR="00BF55BD">
        <w:rPr>
          <w:b/>
          <w:bCs w:val="0"/>
        </w:rPr>
        <w:t xml:space="preserve">construction </w:t>
      </w:r>
      <w:r>
        <w:tab/>
      </w:r>
      <w:r w:rsidR="00402A67">
        <w:t>as detailed in the Specification</w:t>
      </w:r>
      <w:r w:rsidR="00402A67">
        <w:tab/>
      </w:r>
      <w:r w:rsidR="00402A67">
        <w:tab/>
      </w:r>
      <w:r w:rsidR="00402A67">
        <w:tab/>
      </w:r>
      <w:r w:rsidR="00402A67">
        <w:tab/>
      </w:r>
      <w:r>
        <w:tab/>
      </w:r>
      <w:r w:rsidRPr="00402A67">
        <w:rPr>
          <w:b/>
          <w:bCs w:val="0"/>
        </w:rPr>
        <w:t>Pass/Fail</w:t>
      </w:r>
    </w:p>
    <w:p w14:paraId="22FD78B4" w14:textId="5A04E75B" w:rsidR="00C32FAC" w:rsidRPr="002515F6" w:rsidRDefault="00C32FAC" w:rsidP="00D448E9">
      <w:pPr>
        <w:pStyle w:val="Heading2"/>
        <w:numPr>
          <w:ilvl w:val="2"/>
          <w:numId w:val="4"/>
        </w:numPr>
        <w:rPr>
          <w:b/>
        </w:rPr>
      </w:pPr>
      <w:r w:rsidRPr="002515F6">
        <w:t>T</w:t>
      </w:r>
      <w:r w:rsidR="002515F6">
        <w:t xml:space="preserve">enderers should </w:t>
      </w:r>
      <w:r w:rsidR="00BF55BD">
        <w:t>provide case studies of</w:t>
      </w:r>
      <w:r w:rsidR="002515F6">
        <w:t xml:space="preserve"> their previous experience of </w:t>
      </w:r>
      <w:r w:rsidR="00BF55BD">
        <w:t xml:space="preserve">works of this scale and complexity </w:t>
      </w:r>
      <w:r w:rsidR="002515F6">
        <w:t>(10%)</w:t>
      </w:r>
      <w:r w:rsidR="00226002">
        <w:t xml:space="preserve"> (Limit 1 side A4)</w:t>
      </w:r>
    </w:p>
    <w:p w14:paraId="710C5E7D" w14:textId="4CFC6ABF" w:rsidR="00C32FAC" w:rsidRDefault="002515F6" w:rsidP="00C32FAC">
      <w:pPr>
        <w:pStyle w:val="Heading2"/>
        <w:rPr>
          <w:szCs w:val="24"/>
        </w:rPr>
      </w:pPr>
      <w:r>
        <w:rPr>
          <w:b/>
        </w:rPr>
        <w:t>Environmental considerations</w:t>
      </w:r>
      <w:r w:rsidR="00C32FAC" w:rsidRPr="002515F6">
        <w:rPr>
          <w:szCs w:val="24"/>
        </w:rPr>
        <w:t xml:space="preserve">. </w:t>
      </w:r>
    </w:p>
    <w:p w14:paraId="113FF706" w14:textId="2494F414" w:rsidR="002515F6" w:rsidRPr="002515F6" w:rsidRDefault="002515F6" w:rsidP="002515F6">
      <w:pPr>
        <w:ind w:left="907"/>
      </w:pPr>
      <w:r>
        <w:t xml:space="preserve">Tenderers should describe how they will dispose of waste </w:t>
      </w:r>
      <w:r w:rsidR="00BF55BD">
        <w:t xml:space="preserve">materials </w:t>
      </w:r>
      <w:r w:rsidR="00D448E9">
        <w:t xml:space="preserve">arising from </w:t>
      </w:r>
      <w:r w:rsidR="00BF55BD">
        <w:t>construction</w:t>
      </w:r>
      <w:r w:rsidR="00D448E9">
        <w:t xml:space="preserve"> activity </w:t>
      </w:r>
      <w:r>
        <w:t>(10%)</w:t>
      </w:r>
      <w:r w:rsidR="00226002">
        <w:t xml:space="preserve"> (Limit 1 side A4)</w:t>
      </w:r>
    </w:p>
    <w:p w14:paraId="10ADA925" w14:textId="7F165DFF" w:rsidR="00C32FAC" w:rsidRPr="002515F6" w:rsidRDefault="00F216ED" w:rsidP="00C32FAC">
      <w:pPr>
        <w:pStyle w:val="Heading2"/>
        <w:rPr>
          <w:b/>
        </w:rPr>
      </w:pPr>
      <w:r>
        <w:rPr>
          <w:b/>
        </w:rPr>
        <w:t>Health and safety</w:t>
      </w:r>
    </w:p>
    <w:p w14:paraId="74EE3BD0" w14:textId="413AF419" w:rsidR="00C32FAC" w:rsidRDefault="00C32FAC" w:rsidP="00F216ED">
      <w:pPr>
        <w:pStyle w:val="Heading2"/>
        <w:numPr>
          <w:ilvl w:val="2"/>
          <w:numId w:val="4"/>
        </w:numPr>
      </w:pPr>
      <w:r w:rsidRPr="002515F6">
        <w:t xml:space="preserve">Tenderers should </w:t>
      </w:r>
      <w:r w:rsidR="00F216ED">
        <w:t>review the Contractor Health and Safety document and detail their capacity to comply with the core requirements outlined.</w:t>
      </w:r>
    </w:p>
    <w:p w14:paraId="7C6874C2" w14:textId="25924C7D" w:rsidR="00F216ED" w:rsidRPr="00F216ED" w:rsidRDefault="00F216ED" w:rsidP="00F216ED">
      <w:pPr>
        <w:ind w:left="1134"/>
      </w:pPr>
      <w:r>
        <w:t>(10%, Limit 1 side A4).</w:t>
      </w:r>
    </w:p>
    <w:p w14:paraId="72799212" w14:textId="77777777" w:rsidR="00737360" w:rsidRPr="002515F6" w:rsidRDefault="00737360" w:rsidP="00737360">
      <w:pPr>
        <w:pStyle w:val="Bullet"/>
      </w:pPr>
    </w:p>
    <w:p w14:paraId="3CE5B1F4" w14:textId="1DEE197D" w:rsidR="00737360" w:rsidRPr="002515F6" w:rsidRDefault="00737360" w:rsidP="00737360">
      <w:pPr>
        <w:pStyle w:val="Bullet"/>
        <w:rPr>
          <w:b/>
        </w:rPr>
      </w:pPr>
      <w:r w:rsidRPr="002515F6">
        <w:rPr>
          <w:b/>
        </w:rPr>
        <w:t xml:space="preserve">Total - </w:t>
      </w:r>
      <w:r w:rsidR="002515F6">
        <w:rPr>
          <w:b/>
        </w:rPr>
        <w:t>30</w:t>
      </w:r>
      <w:r w:rsidRPr="002515F6">
        <w:rPr>
          <w:b/>
        </w:rPr>
        <w:t>%</w:t>
      </w:r>
    </w:p>
    <w:p w14:paraId="52E8A964" w14:textId="77777777" w:rsidR="00A6330B" w:rsidRPr="002515F6" w:rsidRDefault="00A6330B" w:rsidP="00737360">
      <w:pPr>
        <w:pStyle w:val="Bullet"/>
        <w:rPr>
          <w:b/>
        </w:rPr>
      </w:pPr>
    </w:p>
    <w:p w14:paraId="3A4BCBDC" w14:textId="77777777" w:rsidR="001C5745" w:rsidRDefault="001C5745">
      <w:pPr>
        <w:spacing w:after="160" w:line="259" w:lineRule="auto"/>
        <w:rPr>
          <w:b/>
        </w:rPr>
      </w:pPr>
      <w:r>
        <w:rPr>
          <w:b/>
        </w:rPr>
        <w:br w:type="page"/>
      </w:r>
    </w:p>
    <w:p w14:paraId="42B753AB" w14:textId="36BAE0B8" w:rsidR="00A6330B" w:rsidRPr="002515F6" w:rsidRDefault="00A6330B" w:rsidP="00A6330B">
      <w:r w:rsidRPr="002515F6">
        <w:rPr>
          <w:b/>
        </w:rPr>
        <w:lastRenderedPageBreak/>
        <w:t>Scoring Methodology:</w:t>
      </w:r>
      <w:r w:rsidRPr="002515F6">
        <w:tab/>
      </w:r>
    </w:p>
    <w:p w14:paraId="0E11A802" w14:textId="77777777" w:rsidR="00A6330B" w:rsidRPr="002515F6" w:rsidRDefault="00A6330B" w:rsidP="00A6330B">
      <w:pPr>
        <w:ind w:left="709"/>
      </w:pPr>
      <w:r w:rsidRPr="002515F6">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8926" w:type="dxa"/>
        <w:tblLook w:val="04A0" w:firstRow="1" w:lastRow="0" w:firstColumn="1" w:lastColumn="0" w:noHBand="0" w:noVBand="1"/>
      </w:tblPr>
      <w:tblGrid>
        <w:gridCol w:w="870"/>
        <w:gridCol w:w="8056"/>
      </w:tblGrid>
      <w:tr w:rsidR="001C5745" w:rsidRPr="001C5745" w14:paraId="1F10A567" w14:textId="77777777" w:rsidTr="001C5745">
        <w:trPr>
          <w:trHeight w:val="184"/>
        </w:trPr>
        <w:tc>
          <w:tcPr>
            <w:tcW w:w="870" w:type="dxa"/>
            <w:tcBorders>
              <w:top w:val="single" w:sz="4" w:space="0" w:color="auto"/>
              <w:left w:val="single" w:sz="4" w:space="0" w:color="auto"/>
              <w:bottom w:val="single" w:sz="4" w:space="0" w:color="auto"/>
              <w:right w:val="single" w:sz="4" w:space="0" w:color="auto"/>
            </w:tcBorders>
            <w:shd w:val="clear" w:color="auto" w:fill="8DB4E3"/>
            <w:noWrap/>
            <w:vAlign w:val="center"/>
            <w:hideMark/>
          </w:tcPr>
          <w:p w14:paraId="4756C2C7" w14:textId="77777777" w:rsidR="001C5745" w:rsidRPr="001C5745" w:rsidRDefault="001C5745" w:rsidP="001C5745">
            <w:pPr>
              <w:pStyle w:val="Bullet"/>
              <w:rPr>
                <w:bCs/>
              </w:rPr>
            </w:pPr>
            <w:r w:rsidRPr="001C5745">
              <w:rPr>
                <w:bCs/>
              </w:rPr>
              <w:t>Score</w:t>
            </w:r>
          </w:p>
        </w:tc>
        <w:tc>
          <w:tcPr>
            <w:tcW w:w="8056" w:type="dxa"/>
            <w:tcBorders>
              <w:top w:val="single" w:sz="4" w:space="0" w:color="auto"/>
              <w:left w:val="nil"/>
              <w:bottom w:val="single" w:sz="4" w:space="0" w:color="auto"/>
              <w:right w:val="single" w:sz="4" w:space="0" w:color="auto"/>
            </w:tcBorders>
            <w:shd w:val="clear" w:color="auto" w:fill="8DB4E3"/>
            <w:noWrap/>
            <w:vAlign w:val="center"/>
            <w:hideMark/>
          </w:tcPr>
          <w:p w14:paraId="667B30EB" w14:textId="77777777" w:rsidR="001C5745" w:rsidRPr="001C5745" w:rsidRDefault="001C5745" w:rsidP="001C5745">
            <w:pPr>
              <w:pStyle w:val="Bullet"/>
              <w:rPr>
                <w:bCs/>
              </w:rPr>
            </w:pPr>
            <w:r w:rsidRPr="001C5745">
              <w:rPr>
                <w:bCs/>
              </w:rPr>
              <w:t>Assessment</w:t>
            </w:r>
          </w:p>
        </w:tc>
      </w:tr>
      <w:tr w:rsidR="001C5745" w:rsidRPr="001C5745" w14:paraId="16EF4398"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5CA627D3" w14:textId="77777777" w:rsidR="001C5745" w:rsidRPr="001C5745" w:rsidRDefault="001C5745" w:rsidP="001C5745">
            <w:pPr>
              <w:pStyle w:val="Bullet"/>
              <w:rPr>
                <w:bCs/>
              </w:rPr>
            </w:pPr>
            <w:r w:rsidRPr="001C5745">
              <w:rPr>
                <w:bCs/>
              </w:rPr>
              <w:t>0</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D52A776" w14:textId="77777777" w:rsidR="001C5745" w:rsidRPr="001C5745" w:rsidRDefault="001C5745" w:rsidP="001C5745">
            <w:pPr>
              <w:pStyle w:val="Bullet"/>
              <w:rPr>
                <w:bCs/>
              </w:rPr>
            </w:pPr>
            <w:r w:rsidRPr="001C5745">
              <w:rPr>
                <w:bCs/>
              </w:rPr>
              <w:t>No comments or information provided; complete rejection of fundamental principles of THE project; meets none of the mandatory requirements and demonstrates a complete misunderstanding of Authority’s brief.</w:t>
            </w:r>
          </w:p>
        </w:tc>
      </w:tr>
      <w:tr w:rsidR="001C5745" w:rsidRPr="001C5745" w14:paraId="6CE67B29"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400DD15" w14:textId="77777777" w:rsidR="001C5745" w:rsidRPr="001C5745" w:rsidRDefault="001C5745" w:rsidP="001C5745">
            <w:pPr>
              <w:pStyle w:val="Bullet"/>
              <w:rPr>
                <w:bCs/>
              </w:rPr>
            </w:pPr>
            <w:r w:rsidRPr="001C5745">
              <w:rPr>
                <w:bCs/>
              </w:rPr>
              <w:t xml:space="preserve">1 </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02E57AD" w14:textId="77777777" w:rsidR="001C5745" w:rsidRPr="001C5745" w:rsidRDefault="001C5745" w:rsidP="001C5745">
            <w:pPr>
              <w:pStyle w:val="Bullet"/>
              <w:rPr>
                <w:bCs/>
              </w:rPr>
            </w:pPr>
            <w:r w:rsidRPr="001C5745">
              <w:rPr>
                <w:bCs/>
              </w:rPr>
              <w:t>Poor submission with limited evidence that the mandatory requirements are met. The response demonstrates a poor understanding of the Authority’s brief and there are issues, weaknesses or omissions which seriously detract from the quality of the response.</w:t>
            </w:r>
          </w:p>
        </w:tc>
      </w:tr>
      <w:tr w:rsidR="001C5745" w:rsidRPr="001C5745" w14:paraId="71E2BC9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610FC2A3" w14:textId="77777777" w:rsidR="001C5745" w:rsidRPr="001C5745" w:rsidRDefault="001C5745" w:rsidP="001C5745">
            <w:pPr>
              <w:pStyle w:val="Bullet"/>
              <w:rPr>
                <w:bCs/>
              </w:rPr>
            </w:pPr>
            <w:r w:rsidRPr="001C5745">
              <w:rPr>
                <w:bCs/>
              </w:rPr>
              <w:t>2</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34AAD30A" w14:textId="77777777" w:rsidR="001C5745" w:rsidRPr="001C5745" w:rsidRDefault="001C5745" w:rsidP="001C5745">
            <w:pPr>
              <w:pStyle w:val="Bullet"/>
              <w:rPr>
                <w:bCs/>
              </w:rPr>
            </w:pPr>
            <w:r w:rsidRPr="001C5745">
              <w:rPr>
                <w:bCs/>
              </w:rPr>
              <w:t>Acceptable submission with identifiable shortcomings – the comments made show areas of weakness and though mandatory requirements are broadly met, there are areas where the evidence of delivering the mandatory requirements is not detailed or clear.</w:t>
            </w:r>
          </w:p>
          <w:p w14:paraId="186EE8B9" w14:textId="77777777" w:rsidR="001C5745" w:rsidRPr="001C5745" w:rsidRDefault="001C5745" w:rsidP="001C5745">
            <w:pPr>
              <w:pStyle w:val="Bullet"/>
              <w:rPr>
                <w:bCs/>
              </w:rPr>
            </w:pPr>
            <w:r w:rsidRPr="001C5745">
              <w:rPr>
                <w:bCs/>
              </w:rPr>
              <w:t>Information has been provided but there are areas where the understanding of the Authority’s brief is not supported by detailed evidence; or there are issues, weaknesses or omissions which detract from the quality of the response more than occasionally.</w:t>
            </w:r>
          </w:p>
        </w:tc>
      </w:tr>
      <w:tr w:rsidR="001C5745" w:rsidRPr="001C5745" w14:paraId="651567A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226B218A" w14:textId="77777777" w:rsidR="001C5745" w:rsidRPr="001C5745" w:rsidRDefault="001C5745" w:rsidP="001C5745">
            <w:pPr>
              <w:pStyle w:val="Bullet"/>
              <w:rPr>
                <w:bCs/>
              </w:rPr>
            </w:pPr>
            <w:r w:rsidRPr="001C5745">
              <w:rPr>
                <w:bCs/>
              </w:rPr>
              <w:t>3</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02F275B1" w14:textId="77777777" w:rsidR="001C5745" w:rsidRPr="001C5745" w:rsidRDefault="001C5745" w:rsidP="001C5745">
            <w:pPr>
              <w:pStyle w:val="Bullet"/>
              <w:rPr>
                <w:bCs/>
              </w:rPr>
            </w:pPr>
            <w:r w:rsidRPr="001C5745">
              <w:rPr>
                <w:bCs/>
              </w:rPr>
              <w:t>Good submission – comments or information submitted are good and meet the mandatory requirements of the question without offering any notable advantages.</w:t>
            </w:r>
          </w:p>
          <w:p w14:paraId="2A99B083" w14:textId="77777777" w:rsidR="001C5745" w:rsidRPr="001C5745" w:rsidRDefault="001C5745" w:rsidP="001C5745">
            <w:pPr>
              <w:pStyle w:val="Bullet"/>
              <w:rPr>
                <w:bCs/>
              </w:rPr>
            </w:pPr>
            <w:r w:rsidRPr="001C5745">
              <w:rPr>
                <w:bCs/>
              </w:rPr>
              <w:t>A good level of information is provided that demonstrates a good understanding of the Authority’s brief and requirements. Though supported by evidence, there are issues, weaknesses or omissions which occasionally detract from the quality or detail of the response.</w:t>
            </w:r>
          </w:p>
        </w:tc>
      </w:tr>
      <w:tr w:rsidR="001C5745" w:rsidRPr="001C5745" w14:paraId="62E46EC4"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01378A1B" w14:textId="77777777" w:rsidR="001C5745" w:rsidRPr="001C5745" w:rsidRDefault="001C5745" w:rsidP="001C5745">
            <w:pPr>
              <w:pStyle w:val="Bullet"/>
              <w:rPr>
                <w:bCs/>
              </w:rPr>
            </w:pPr>
            <w:r w:rsidRPr="001C5745">
              <w:rPr>
                <w:bCs/>
              </w:rPr>
              <w:t>4</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4AB9E601" w14:textId="77777777" w:rsidR="001C5745" w:rsidRPr="001C5745" w:rsidRDefault="001C5745" w:rsidP="001C5745">
            <w:pPr>
              <w:pStyle w:val="Bullet"/>
              <w:rPr>
                <w:bCs/>
              </w:rPr>
            </w:pPr>
            <w:r w:rsidRPr="001C5745">
              <w:rPr>
                <w:bCs/>
              </w:rPr>
              <w:t>Very good submission – comments made demonstrate a sound and complete approach which have the potential to meet the mandatory requirements of the question.</w:t>
            </w:r>
          </w:p>
          <w:p w14:paraId="58B9970B" w14:textId="77777777" w:rsidR="001C5745" w:rsidRPr="001C5745" w:rsidRDefault="001C5745" w:rsidP="001C5745">
            <w:pPr>
              <w:pStyle w:val="Bullet"/>
              <w:rPr>
                <w:bCs/>
              </w:rPr>
            </w:pPr>
            <w:r w:rsidRPr="001C5745">
              <w:rPr>
                <w:bCs/>
              </w:rPr>
              <w:t>Very good level of information provided that demonstrates a very good understanding of the Authority’s brief and requirements. The response is supported with clear and detailed evidence with a few minor issues, weaknesses or omissions.</w:t>
            </w:r>
          </w:p>
        </w:tc>
      </w:tr>
      <w:tr w:rsidR="001C5745" w:rsidRPr="001C5745" w14:paraId="7631396E"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07A3303" w14:textId="77777777" w:rsidR="001C5745" w:rsidRPr="001C5745" w:rsidRDefault="001C5745" w:rsidP="001C5745">
            <w:pPr>
              <w:pStyle w:val="Bullet"/>
              <w:rPr>
                <w:bCs/>
              </w:rPr>
            </w:pPr>
            <w:r w:rsidRPr="001C5745">
              <w:rPr>
                <w:bCs/>
              </w:rPr>
              <w:t>5</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1B03E3D1" w14:textId="77777777" w:rsidR="001C5745" w:rsidRPr="001C5745" w:rsidRDefault="001C5745" w:rsidP="001C5745">
            <w:pPr>
              <w:pStyle w:val="Bullet"/>
              <w:rPr>
                <w:bCs/>
              </w:rPr>
            </w:pPr>
            <w:r w:rsidRPr="001C5745">
              <w:rPr>
                <w:bCs/>
              </w:rPr>
              <w:t xml:space="preserve">Excellent submission – comments made demonstrate a sound and complete approach which will have the potential to meet and exceed the mandatory requirements of the question. </w:t>
            </w:r>
          </w:p>
          <w:p w14:paraId="7F4787C9" w14:textId="77777777" w:rsidR="001C5745" w:rsidRPr="001C5745" w:rsidRDefault="001C5745" w:rsidP="001C5745">
            <w:pPr>
              <w:pStyle w:val="Bullet"/>
              <w:rPr>
                <w:bCs/>
              </w:rPr>
            </w:pPr>
            <w:r w:rsidRPr="001C5745">
              <w:rPr>
                <w:bCs/>
              </w:rPr>
              <w:t>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w:t>
            </w:r>
          </w:p>
        </w:tc>
      </w:tr>
    </w:tbl>
    <w:p w14:paraId="17AB827A" w14:textId="77777777" w:rsidR="00A6330B" w:rsidRPr="00737360" w:rsidRDefault="00A6330B" w:rsidP="00737360">
      <w:pPr>
        <w:pStyle w:val="Bullet"/>
        <w:rPr>
          <w:b/>
        </w:rPr>
      </w:pPr>
    </w:p>
    <w:p w14:paraId="75FFE87A" w14:textId="77777777" w:rsidR="001C5745" w:rsidRDefault="001C5745">
      <w:pPr>
        <w:spacing w:after="160" w:line="259" w:lineRule="auto"/>
        <w:rPr>
          <w:rFonts w:cs="Arial"/>
          <w:b/>
          <w:bCs/>
          <w:iCs/>
          <w:szCs w:val="24"/>
        </w:rPr>
      </w:pPr>
      <w:r>
        <w:rPr>
          <w:b/>
          <w:szCs w:val="24"/>
        </w:rPr>
        <w:br w:type="page"/>
      </w:r>
    </w:p>
    <w:p w14:paraId="29B94B61" w14:textId="18AD9D17" w:rsidR="00737360" w:rsidRPr="00870EF6" w:rsidRDefault="00C32FAC" w:rsidP="00737360">
      <w:pPr>
        <w:pStyle w:val="Heading2"/>
        <w:rPr>
          <w:b/>
          <w:szCs w:val="24"/>
        </w:rPr>
      </w:pPr>
      <w:r w:rsidRPr="00870EF6">
        <w:rPr>
          <w:b/>
          <w:szCs w:val="24"/>
        </w:rPr>
        <w:lastRenderedPageBreak/>
        <w:t>Cost</w:t>
      </w:r>
      <w:r w:rsidR="00737360">
        <w:rPr>
          <w:b/>
          <w:szCs w:val="24"/>
        </w:rPr>
        <w:t xml:space="preserve"> </w:t>
      </w:r>
      <w:r w:rsidR="00737360" w:rsidRPr="00737360">
        <w:rPr>
          <w:b/>
        </w:rPr>
        <w:t>Value</w:t>
      </w:r>
      <w:r w:rsidR="00737360" w:rsidRPr="00870EF6">
        <w:rPr>
          <w:b/>
          <w:szCs w:val="24"/>
        </w:rPr>
        <w:t xml:space="preserve"> for Money</w:t>
      </w:r>
      <w:r w:rsidR="001C5745">
        <w:rPr>
          <w:b/>
          <w:szCs w:val="24"/>
        </w:rPr>
        <w:t xml:space="preserve"> (70%)</w:t>
      </w:r>
    </w:p>
    <w:p w14:paraId="1384FCC7" w14:textId="3C87DCA2" w:rsidR="00C32FAC" w:rsidRDefault="00C32FAC" w:rsidP="00BF55BD">
      <w:pPr>
        <w:pStyle w:val="Heading2"/>
        <w:numPr>
          <w:ilvl w:val="2"/>
          <w:numId w:val="4"/>
        </w:numPr>
        <w:rPr>
          <w:b/>
        </w:rPr>
      </w:pPr>
      <w:r>
        <w:t xml:space="preserve">Tenderers should complete the </w:t>
      </w:r>
      <w:r w:rsidR="00BF55BD" w:rsidRPr="00BF55BD">
        <w:t>Pricing Template</w:t>
      </w:r>
      <w:r w:rsidR="00BF55BD">
        <w:t xml:space="preserve"> </w:t>
      </w:r>
      <w:r w:rsidR="00BF55BD" w:rsidRPr="00BF55BD">
        <w:t>\</w:t>
      </w:r>
      <w:r w:rsidR="00BF55BD">
        <w:t xml:space="preserve"> </w:t>
      </w:r>
      <w:r w:rsidR="00BF55BD" w:rsidRPr="00BF55BD">
        <w:t>PL_4101565_CG Schedule of Works.xlsx</w:t>
      </w:r>
      <w:r w:rsidR="00BF55BD">
        <w:t xml:space="preserve"> provided in the Tender pack</w:t>
      </w:r>
    </w:p>
    <w:p w14:paraId="6FE21EA7" w14:textId="68A11191" w:rsidR="00737360" w:rsidRDefault="00C32FAC" w:rsidP="00C32FAC">
      <w:pPr>
        <w:pStyle w:val="Heading2"/>
        <w:numPr>
          <w:ilvl w:val="2"/>
          <w:numId w:val="4"/>
        </w:numPr>
      </w:pPr>
      <w:r w:rsidRPr="00737360">
        <w:t xml:space="preserve">For clarity, all tender price submissions will be judged on their </w:t>
      </w:r>
      <w:r w:rsidR="00D448E9">
        <w:t>estimated annual fee. T</w:t>
      </w:r>
      <w:r w:rsidRPr="00737360">
        <w: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50BEEDFE"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47BD16E5" w14:textId="77777777" w:rsidR="00737360" w:rsidRDefault="00737360" w:rsidP="00737360">
      <w:pPr>
        <w:pStyle w:val="Bullet"/>
        <w:rPr>
          <w:b/>
        </w:rPr>
      </w:pPr>
    </w:p>
    <w:p w14:paraId="3C241F11" w14:textId="4D1D09A6" w:rsidR="00737360" w:rsidRDefault="00737360" w:rsidP="00737360">
      <w:pPr>
        <w:pStyle w:val="Bullet"/>
        <w:rPr>
          <w:b/>
        </w:rPr>
      </w:pPr>
      <w:r w:rsidRPr="005975EE">
        <w:rPr>
          <w:b/>
        </w:rPr>
        <w:t xml:space="preserve">Total – </w:t>
      </w:r>
      <w:r w:rsidR="00ED1CD3">
        <w:rPr>
          <w:b/>
        </w:rPr>
        <w:t>100</w:t>
      </w:r>
      <w:r w:rsidRPr="005975EE">
        <w:rPr>
          <w:b/>
        </w:rPr>
        <w:t>%</w:t>
      </w:r>
    </w:p>
    <w:p w14:paraId="50C89AC7" w14:textId="77777777" w:rsidR="00A6330B" w:rsidRPr="005975EE" w:rsidRDefault="00A6330B" w:rsidP="00737360">
      <w:pPr>
        <w:pStyle w:val="Bullet"/>
        <w:rPr>
          <w:b/>
        </w:rPr>
      </w:pPr>
    </w:p>
    <w:p w14:paraId="3AE6A8B3" w14:textId="77777777" w:rsidR="00A6330B" w:rsidRDefault="00A6330B" w:rsidP="00A6330B">
      <w:pPr>
        <w:pStyle w:val="Bullet"/>
        <w:rPr>
          <w:b/>
        </w:rPr>
      </w:pPr>
      <w:r w:rsidRPr="00F44A3F">
        <w:rPr>
          <w:b/>
        </w:rPr>
        <w:t>Scoring Methodology:</w:t>
      </w:r>
    </w:p>
    <w:p w14:paraId="3DE29DCA" w14:textId="51818171" w:rsidR="00A6330B" w:rsidRDefault="00A6330B" w:rsidP="00A6330B">
      <w:pPr>
        <w:pStyle w:val="Bullet"/>
        <w:ind w:left="643" w:hanging="360"/>
      </w:pPr>
      <w:r>
        <w:t xml:space="preserve">The Authority will evaluate the </w:t>
      </w:r>
      <w:r w:rsidR="00ED1CD3">
        <w:t>Fixed hourly rate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39CC2227" w14:textId="77777777" w:rsidR="00A6330B" w:rsidRDefault="00A6330B" w:rsidP="00A6330B">
      <w:pPr>
        <w:pStyle w:val="Bullet"/>
        <w:numPr>
          <w:ilvl w:val="0"/>
          <w:numId w:val="36"/>
        </w:numPr>
      </w:pPr>
      <w:r>
        <w:t>All tenderers Price submissions are summed and a mean average price is established.</w:t>
      </w:r>
    </w:p>
    <w:p w14:paraId="67470EDA"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C11B57C"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3E6C2C4A" w14:textId="77777777" w:rsidR="00A6330B" w:rsidRDefault="00A6330B" w:rsidP="00A6330B">
      <w:pPr>
        <w:pStyle w:val="Bullet"/>
        <w:numPr>
          <w:ilvl w:val="0"/>
          <w:numId w:val="36"/>
        </w:numPr>
      </w:pPr>
      <w:r>
        <w:t>Mathematically the process used can be expressed as</w:t>
      </w:r>
    </w:p>
    <w:p w14:paraId="56EBEF58" w14:textId="77777777" w:rsidR="00A6330B" w:rsidRDefault="00A6330B" w:rsidP="00A6330B">
      <w:pPr>
        <w:pStyle w:val="Bullet"/>
        <w:numPr>
          <w:ilvl w:val="1"/>
          <w:numId w:val="36"/>
        </w:numPr>
      </w:pPr>
      <w:r>
        <w:t>Mean Average/Price submission *0.5</w:t>
      </w:r>
    </w:p>
    <w:p w14:paraId="3449E25A" w14:textId="77777777"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14:paraId="117D794E" w14:textId="77777777" w:rsidR="00A6330B" w:rsidRDefault="00A6330B" w:rsidP="00A6330B">
      <w:pPr>
        <w:pStyle w:val="Bullet"/>
        <w:numPr>
          <w:ilvl w:val="2"/>
          <w:numId w:val="36"/>
        </w:numPr>
      </w:pPr>
      <w:r>
        <w:t xml:space="preserve">Tender 1 - 150,000/100,000 *0.5 = 0.75 </w:t>
      </w:r>
    </w:p>
    <w:p w14:paraId="15A35A50" w14:textId="77777777" w:rsidR="00A6330B" w:rsidRDefault="00A6330B" w:rsidP="00A6330B">
      <w:pPr>
        <w:pStyle w:val="Bullet"/>
        <w:numPr>
          <w:ilvl w:val="2"/>
          <w:numId w:val="36"/>
        </w:numPr>
      </w:pPr>
      <w:r>
        <w:t>Tender 2 – 150,000/200,000 *0.5 = 0.375</w:t>
      </w:r>
    </w:p>
    <w:p w14:paraId="36CC72A6"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C571E00" w14:textId="77777777" w:rsidR="00A6330B" w:rsidRDefault="00A6330B" w:rsidP="00A6330B">
      <w:pPr>
        <w:pStyle w:val="Bullet"/>
        <w:numPr>
          <w:ilvl w:val="2"/>
          <w:numId w:val="36"/>
        </w:numPr>
      </w:pPr>
      <w:r>
        <w:t>Tender 1 – 60% x 0.75 = 45%</w:t>
      </w:r>
    </w:p>
    <w:p w14:paraId="1526BBB9" w14:textId="77777777" w:rsidR="00A6330B" w:rsidRDefault="00A6330B" w:rsidP="00A6330B">
      <w:pPr>
        <w:pStyle w:val="Bullet"/>
        <w:numPr>
          <w:ilvl w:val="2"/>
          <w:numId w:val="36"/>
        </w:numPr>
      </w:pPr>
      <w:r>
        <w:lastRenderedPageBreak/>
        <w:t>Tender 2 – 60% x 0.375 = 22.5%</w:t>
      </w:r>
    </w:p>
    <w:p w14:paraId="09FC53E5" w14:textId="77777777" w:rsidR="00A6330B" w:rsidRDefault="00A6330B" w:rsidP="00A6330B">
      <w:pPr>
        <w:pStyle w:val="Bullet"/>
        <w:numPr>
          <w:ilvl w:val="1"/>
          <w:numId w:val="36"/>
        </w:numPr>
      </w:pPr>
      <w:r>
        <w:t>For clarity, the final Price score for Tender 1 and 2 are respectively 45% and 22.5%.</w:t>
      </w:r>
    </w:p>
    <w:p w14:paraId="302B27B2" w14:textId="77777777" w:rsidR="00A6330B" w:rsidRPr="00CD42C0" w:rsidRDefault="00A6330B" w:rsidP="00A6330B">
      <w:pPr>
        <w:pStyle w:val="Heading3"/>
      </w:pPr>
      <w:r w:rsidRPr="00CD42C0">
        <w:t>Documents to Complete and Sign</w:t>
      </w:r>
    </w:p>
    <w:p w14:paraId="029EB7A7" w14:textId="6E2C1FA8" w:rsidR="00A6330B" w:rsidRDefault="00A6330B" w:rsidP="00A6330B">
      <w:pPr>
        <w:pStyle w:val="Heading2"/>
      </w:pPr>
      <w:r>
        <w:t xml:space="preserve">In addition to providing written responses to sections </w:t>
      </w:r>
      <w:r w:rsidR="00D448E9">
        <w:t>B1 to B5</w:t>
      </w:r>
      <w:r>
        <w:t>, the following documents need to be completed and signed.</w:t>
      </w:r>
    </w:p>
    <w:p w14:paraId="1DF828EF"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54471332" w14:textId="2E543FA4" w:rsidR="00A6330B" w:rsidRPr="00226002" w:rsidRDefault="00A6330B" w:rsidP="00A6330B">
      <w:pPr>
        <w:pStyle w:val="ListParagraph"/>
        <w:numPr>
          <w:ilvl w:val="0"/>
          <w:numId w:val="38"/>
        </w:numPr>
        <w:ind w:left="1267"/>
        <w:contextualSpacing w:val="0"/>
      </w:pPr>
      <w:r w:rsidRPr="00226002">
        <w:t xml:space="preserve">Annex B - Specification and Pricing Document </w:t>
      </w:r>
      <w:r w:rsidR="00BF55BD">
        <w:t>(</w:t>
      </w:r>
      <w:r w:rsidR="00BF55BD" w:rsidRPr="00BF55BD">
        <w:t>Pricing Template\PL_4101565_CG Schedule of Works.xlsx</w:t>
      </w:r>
      <w:r w:rsidR="00BF55BD">
        <w:t>)</w:t>
      </w:r>
      <w:r w:rsidRPr="00226002">
        <w:rPr>
          <w:noProof/>
          <w:color w:val="FF0000"/>
        </w:rPr>
        <w:t>(to complete, sign</w:t>
      </w:r>
      <w:r w:rsidR="00ED1CD3" w:rsidRPr="00226002">
        <w:rPr>
          <w:noProof/>
          <w:color w:val="FF0000"/>
        </w:rPr>
        <w:t xml:space="preserve"> </w:t>
      </w:r>
      <w:r w:rsidRPr="00226002">
        <w:rPr>
          <w:noProof/>
          <w:color w:val="FF0000"/>
        </w:rPr>
        <w:t>and return with tender)</w:t>
      </w:r>
    </w:p>
    <w:p w14:paraId="45B842C0"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48E59492" w14:textId="58EB6748" w:rsidR="00A6330B" w:rsidRPr="00971FAD" w:rsidRDefault="00107807" w:rsidP="00A6330B">
      <w:pPr>
        <w:pStyle w:val="ListParagraph"/>
        <w:numPr>
          <w:ilvl w:val="0"/>
          <w:numId w:val="37"/>
        </w:numPr>
        <w:ind w:left="1267"/>
        <w:contextualSpacing w:val="0"/>
      </w:pPr>
      <w:r>
        <w:t xml:space="preserve">Annex D </w:t>
      </w:r>
      <w:r w:rsidR="00A6330B">
        <w:t xml:space="preserve">Expression of Interest Proforma </w:t>
      </w:r>
      <w:r w:rsidR="00A6330B" w:rsidRPr="00290BE2">
        <w:rPr>
          <w:noProof/>
          <w:color w:val="FF0000"/>
        </w:rPr>
        <w:t>(to complete, sign and return as soon as possible)</w:t>
      </w:r>
    </w:p>
    <w:p w14:paraId="2A817032" w14:textId="77777777" w:rsidR="00C32FAC" w:rsidRPr="00CD42C0" w:rsidRDefault="00C32FAC" w:rsidP="00737360">
      <w:pPr>
        <w:pStyle w:val="Heading3"/>
      </w:pPr>
      <w:r w:rsidRPr="00CD42C0">
        <w:t>Submission of Tenders</w:t>
      </w:r>
    </w:p>
    <w:p w14:paraId="42B9E8C2" w14:textId="69D17448" w:rsidR="00C32FAC" w:rsidRPr="008A64EA" w:rsidRDefault="00C32FAC" w:rsidP="008A64EA">
      <w:pPr>
        <w:pStyle w:val="Heading2"/>
      </w:pPr>
      <w:r w:rsidRPr="008A64EA">
        <w:t xml:space="preserve">Tenders should be submitted in accordance with </w:t>
      </w:r>
      <w:r w:rsidR="004C73AF">
        <w:t>the Core Information table</w:t>
      </w:r>
    </w:p>
    <w:p w14:paraId="712335F6" w14:textId="77777777" w:rsidR="00737360" w:rsidRPr="00020DAD" w:rsidRDefault="00737360" w:rsidP="00737360">
      <w:pPr>
        <w:pStyle w:val="Heading3"/>
      </w:pPr>
      <w:r w:rsidRPr="00020DAD">
        <w:t>Evaluation of Tenders</w:t>
      </w:r>
    </w:p>
    <w:p w14:paraId="6EDA1640" w14:textId="2366D5C9" w:rsidR="00737360" w:rsidRPr="008F3132" w:rsidRDefault="00737360" w:rsidP="008A64EA">
      <w:pPr>
        <w:pStyle w:val="Heading2"/>
      </w:pPr>
      <w:r w:rsidRPr="008F3132">
        <w:t>The Tender process will be conducted to ensure that Tenders are evaluated fairly to ascertain the most advantageous tender.</w:t>
      </w:r>
    </w:p>
    <w:p w14:paraId="3F948711" w14:textId="28DE3309" w:rsidR="00737360" w:rsidRDefault="00737360" w:rsidP="008A64EA">
      <w:pPr>
        <w:pStyle w:val="Heading2"/>
      </w:pPr>
      <w:r w:rsidRPr="00A25BB6">
        <w:t xml:space="preserve">The successful </w:t>
      </w:r>
      <w:r>
        <w:t>tenderer</w:t>
      </w:r>
      <w:r w:rsidRPr="00A25BB6">
        <w:t xml:space="preserve">s will be selected on the basis of the most advantageous proposal, having regard to </w:t>
      </w:r>
      <w:r>
        <w:t xml:space="preserve">the evaluation criteria specified </w:t>
      </w:r>
      <w:r w:rsidR="004C73AF">
        <w:t>above</w:t>
      </w:r>
      <w:r w:rsidRPr="00A25BB6">
        <w:t>.</w:t>
      </w:r>
      <w:r>
        <w:t xml:space="preserve"> The Authority</w:t>
      </w:r>
      <w:r w:rsidRPr="00A25BB6">
        <w:t xml:space="preserve"> shall not be bound to accept any proposal received or to award any contract pursuant to this Invitation to Tender.</w:t>
      </w:r>
    </w:p>
    <w:p w14:paraId="400E6DB8" w14:textId="77777777" w:rsidR="00737360" w:rsidRPr="00020DAD" w:rsidRDefault="00737360" w:rsidP="00737360">
      <w:pPr>
        <w:pStyle w:val="Heading3"/>
      </w:pPr>
      <w:r w:rsidRPr="00020DAD">
        <w:t>Evaluation Process</w:t>
      </w:r>
    </w:p>
    <w:p w14:paraId="0493FDD2" w14:textId="77777777" w:rsidR="00737360" w:rsidRDefault="00737360" w:rsidP="008A64EA">
      <w:pPr>
        <w:pStyle w:val="Heading2"/>
      </w:pPr>
      <w:r w:rsidRPr="008F3132">
        <w:t>The evaluation process will feature some, if not all, the following phases:</w:t>
      </w:r>
    </w:p>
    <w:p w14:paraId="3C7D09D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1A722ABB" w14:textId="77777777" w:rsidTr="001F75C8">
        <w:trPr>
          <w:trHeight w:val="599"/>
        </w:trPr>
        <w:tc>
          <w:tcPr>
            <w:tcW w:w="5000" w:type="pct"/>
            <w:gridSpan w:val="2"/>
            <w:shd w:val="clear" w:color="auto" w:fill="416CBB"/>
          </w:tcPr>
          <w:p w14:paraId="23EEC7C2"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4F4DF61E" w14:textId="77777777" w:rsidTr="001F75C8">
        <w:tc>
          <w:tcPr>
            <w:tcW w:w="1130" w:type="pct"/>
          </w:tcPr>
          <w:p w14:paraId="28DE05D3"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68924AD7"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163255C" w14:textId="77777777" w:rsidTr="001F75C8">
        <w:tc>
          <w:tcPr>
            <w:tcW w:w="1130" w:type="pct"/>
          </w:tcPr>
          <w:p w14:paraId="7CE7B8D5"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60AABEB6"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4D50DFC3" w14:textId="77777777" w:rsidTr="001F75C8">
        <w:tc>
          <w:tcPr>
            <w:tcW w:w="1130" w:type="pct"/>
          </w:tcPr>
          <w:p w14:paraId="239CFAB6"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584AEC1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3ECB7E1E" w14:textId="77777777" w:rsidTr="001F75C8">
        <w:tc>
          <w:tcPr>
            <w:tcW w:w="1130" w:type="pct"/>
          </w:tcPr>
          <w:p w14:paraId="32A523C4"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0459ED93"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08FBCBF0"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lastRenderedPageBreak/>
              <w:t>(The consensus scoring process will operate on a mean average basis of each of the independent scores)</w:t>
            </w:r>
          </w:p>
        </w:tc>
      </w:tr>
      <w:tr w:rsidR="00800A05" w:rsidRPr="008F3132" w14:paraId="47AEA439" w14:textId="77777777" w:rsidTr="001F75C8">
        <w:tc>
          <w:tcPr>
            <w:tcW w:w="1130" w:type="pct"/>
          </w:tcPr>
          <w:p w14:paraId="1FB22D20"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lastRenderedPageBreak/>
              <w:t>Phase 5</w:t>
            </w:r>
          </w:p>
        </w:tc>
        <w:tc>
          <w:tcPr>
            <w:tcW w:w="3870" w:type="pct"/>
          </w:tcPr>
          <w:p w14:paraId="1179F18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0E32A347"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5A4AB725" w14:textId="77777777" w:rsidTr="001F75C8">
        <w:tc>
          <w:tcPr>
            <w:tcW w:w="1130" w:type="pct"/>
          </w:tcPr>
          <w:p w14:paraId="11DEF8D9"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31FD640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60F2B65B"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19A0EB0" w14:textId="77777777" w:rsidTr="001F75C8">
        <w:tc>
          <w:tcPr>
            <w:tcW w:w="1130" w:type="pct"/>
          </w:tcPr>
          <w:p w14:paraId="7F60EA78"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440FEA3D"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249CA36B" w14:textId="77777777" w:rsidTr="001F75C8">
        <w:tc>
          <w:tcPr>
            <w:tcW w:w="1130" w:type="pct"/>
          </w:tcPr>
          <w:p w14:paraId="7E323852"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67A79F7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630C76B8" w14:textId="77777777" w:rsidTr="001F75C8">
        <w:tc>
          <w:tcPr>
            <w:tcW w:w="5000" w:type="pct"/>
            <w:gridSpan w:val="2"/>
          </w:tcPr>
          <w:p w14:paraId="283612E5"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3D7F988F"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703369B3"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7F6AF7B4" w14:textId="77777777" w:rsidR="00737360" w:rsidRPr="00020DAD" w:rsidRDefault="00737360" w:rsidP="00737360">
      <w:pPr>
        <w:pStyle w:val="Heading3"/>
      </w:pPr>
      <w:r w:rsidRPr="00020DAD">
        <w:t>Award of Contract</w:t>
      </w:r>
    </w:p>
    <w:p w14:paraId="45ADA203" w14:textId="3550EABD" w:rsidR="00737360" w:rsidRPr="008F3132" w:rsidRDefault="00737360" w:rsidP="008A64EA">
      <w:pPr>
        <w:pStyle w:val="Heading2"/>
      </w:pPr>
      <w:r w:rsidRPr="008F3132">
        <w:t>The Authority will inform all Tenderers in writing of any intention to award a Contract.</w:t>
      </w:r>
      <w:r>
        <w:t xml:space="preserve"> </w:t>
      </w:r>
      <w:r w:rsidRPr="008F3132">
        <w:t xml:space="preserve">Following a minimum standstill period of </w:t>
      </w:r>
      <w:r w:rsidR="004C73AF">
        <w:t>8</w:t>
      </w:r>
      <w:r w:rsidRPr="008F3132">
        <w:t xml:space="preserve"> days, subject to there being no substantive challenge to that intention, a Contract will be formally awarded to the successful Tenderer.</w:t>
      </w:r>
    </w:p>
    <w:p w14:paraId="312D1D0A" w14:textId="0E203C66" w:rsidR="00737360" w:rsidRPr="008A64EA" w:rsidRDefault="00737360" w:rsidP="008A64EA">
      <w:pPr>
        <w:pStyle w:val="Heading2"/>
      </w:pPr>
      <w:r w:rsidRPr="008F3132">
        <w:t>All unsuccessful Tenderers will be provid</w:t>
      </w:r>
      <w:r>
        <w:t>ed with an “unsuccessful letter</w:t>
      </w:r>
      <w:r w:rsidR="004C73AF">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2ABFDB35" w14:textId="77777777" w:rsidR="00737360" w:rsidRPr="008F3132" w:rsidRDefault="00737360" w:rsidP="00737360">
      <w:pPr>
        <w:pStyle w:val="Bullet"/>
        <w:numPr>
          <w:ilvl w:val="0"/>
          <w:numId w:val="28"/>
        </w:numPr>
      </w:pPr>
      <w:r w:rsidRPr="008F3132">
        <w:t>the award criteria;</w:t>
      </w:r>
    </w:p>
    <w:p w14:paraId="1D493A2D" w14:textId="77777777" w:rsidR="00737360" w:rsidRPr="008F3132" w:rsidRDefault="00737360" w:rsidP="00737360">
      <w:pPr>
        <w:pStyle w:val="Bullet"/>
        <w:numPr>
          <w:ilvl w:val="0"/>
          <w:numId w:val="28"/>
        </w:numPr>
      </w:pPr>
      <w:r w:rsidRPr="008F3132">
        <w:t>the score of the Tenderer;</w:t>
      </w:r>
    </w:p>
    <w:p w14:paraId="1D49937C" w14:textId="77777777" w:rsidR="00737360" w:rsidRPr="00540907" w:rsidRDefault="00737360" w:rsidP="00737360">
      <w:pPr>
        <w:pStyle w:val="Bullet"/>
        <w:numPr>
          <w:ilvl w:val="0"/>
          <w:numId w:val="28"/>
        </w:numPr>
      </w:pPr>
      <w:r w:rsidRPr="008F3132">
        <w:t>the name of the successful Tenderer/s</w:t>
      </w:r>
    </w:p>
    <w:p w14:paraId="2AABCC4C" w14:textId="77777777" w:rsidR="00737360" w:rsidRDefault="00737360" w:rsidP="00737360">
      <w:pPr>
        <w:pStyle w:val="Bullet"/>
        <w:numPr>
          <w:ilvl w:val="0"/>
          <w:numId w:val="28"/>
        </w:numPr>
        <w:spacing w:after="240"/>
        <w:ind w:left="1775" w:hanging="357"/>
      </w:pPr>
      <w:r>
        <w:t>t</w:t>
      </w:r>
      <w:r w:rsidRPr="008F3132">
        <w:t>he score for the successful Tenderer/s.</w:t>
      </w:r>
    </w:p>
    <w:p w14:paraId="4360AE2A" w14:textId="77777777" w:rsidR="004C73AF" w:rsidRDefault="00737360" w:rsidP="00440C0B">
      <w:pPr>
        <w:pStyle w:val="Heading2"/>
      </w:pPr>
      <w:r w:rsidRPr="008F3132">
        <w:t>Unsuccessful Tenderers will be able to seek a debrief</w:t>
      </w:r>
      <w:r>
        <w:t xml:space="preserve"> </w:t>
      </w:r>
      <w:bookmarkStart w:id="8" w:name="_Toc527556921"/>
    </w:p>
    <w:p w14:paraId="66DB2CF8" w14:textId="77777777" w:rsidR="004C73AF" w:rsidRPr="004C73AF" w:rsidRDefault="004C73AF" w:rsidP="004C73AF">
      <w:pPr>
        <w:pStyle w:val="ListParagraph"/>
        <w:numPr>
          <w:ilvl w:val="0"/>
          <w:numId w:val="4"/>
        </w:numPr>
        <w:spacing w:before="240" w:after="60" w:line="276" w:lineRule="auto"/>
        <w:contextualSpacing w:val="0"/>
        <w:jc w:val="both"/>
        <w:outlineLvl w:val="1"/>
        <w:rPr>
          <w:rFonts w:cs="Arial"/>
          <w:b/>
          <w:bCs/>
          <w:noProof/>
          <w:vanish/>
          <w:color w:val="416CBB"/>
          <w:kern w:val="32"/>
          <w:sz w:val="32"/>
          <w:szCs w:val="32"/>
        </w:rPr>
      </w:pPr>
    </w:p>
    <w:p w14:paraId="13D0211A" w14:textId="5EC280FC" w:rsidR="00970961" w:rsidRPr="004C73AF" w:rsidRDefault="004C73AF" w:rsidP="004C73AF">
      <w:pPr>
        <w:pStyle w:val="Heading2"/>
        <w:rPr>
          <w:b/>
          <w:iCs w:val="0"/>
          <w:noProof/>
          <w:color w:val="416CBB"/>
          <w:kern w:val="32"/>
          <w:sz w:val="32"/>
          <w:szCs w:val="32"/>
        </w:rPr>
      </w:pPr>
      <w:r w:rsidRPr="004C73AF">
        <w:rPr>
          <w:b/>
          <w:iCs w:val="0"/>
          <w:noProof/>
          <w:color w:val="416CBB"/>
          <w:kern w:val="32"/>
          <w:sz w:val="32"/>
          <w:szCs w:val="32"/>
        </w:rPr>
        <w:t>Section C</w:t>
      </w:r>
      <w:r w:rsidR="00970961" w:rsidRPr="004C73AF">
        <w:rPr>
          <w:b/>
          <w:iCs w:val="0"/>
          <w:noProof/>
          <w:color w:val="416CBB"/>
          <w:kern w:val="32"/>
          <w:sz w:val="32"/>
          <w:szCs w:val="32"/>
        </w:rPr>
        <w:t xml:space="preserve">: </w:t>
      </w:r>
      <w:r w:rsidR="00800A05" w:rsidRPr="004C73AF">
        <w:rPr>
          <w:b/>
          <w:iCs w:val="0"/>
          <w:noProof/>
          <w:color w:val="416CBB"/>
          <w:kern w:val="32"/>
          <w:sz w:val="32"/>
          <w:szCs w:val="32"/>
        </w:rPr>
        <w:t>Scope of Services</w:t>
      </w:r>
      <w:bookmarkEnd w:id="8"/>
    </w:p>
    <w:p w14:paraId="3292A715"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63169B15" w14:textId="77777777" w:rsidR="00ED1CD3" w:rsidRDefault="00ED1CD3">
      <w:pPr>
        <w:spacing w:after="160" w:line="259" w:lineRule="auto"/>
      </w:pPr>
    </w:p>
    <w:p w14:paraId="5FAC3822" w14:textId="302B7ADA" w:rsidR="00970961" w:rsidRDefault="00970961" w:rsidP="00970961">
      <w:pPr>
        <w:pStyle w:val="Heading1"/>
      </w:pPr>
      <w:bookmarkStart w:id="9" w:name="_Toc527556922"/>
      <w:r>
        <w:t xml:space="preserve">Section </w:t>
      </w:r>
      <w:r w:rsidR="00DD7040">
        <w:t>D</w:t>
      </w:r>
      <w:r>
        <w:t>: Draft Contract</w:t>
      </w:r>
      <w:bookmarkEnd w:id="9"/>
    </w:p>
    <w:p w14:paraId="6CF247A4" w14:textId="77777777" w:rsidR="00970961" w:rsidRDefault="00970961" w:rsidP="00970961">
      <w:pPr>
        <w:pStyle w:val="BodyText"/>
        <w:spacing w:line="360" w:lineRule="auto"/>
        <w:rPr>
          <w:b/>
        </w:rPr>
      </w:pPr>
      <w:r w:rsidRPr="00F20A18">
        <w:rPr>
          <w:b/>
        </w:rPr>
        <w:t>Please see draft contract within the tender pack</w:t>
      </w:r>
    </w:p>
    <w:p w14:paraId="179F1E22" w14:textId="77777777" w:rsidR="00DD7040" w:rsidRPr="00F20A18" w:rsidRDefault="00DD7040" w:rsidP="00970961">
      <w:pPr>
        <w:pStyle w:val="BodyText"/>
        <w:spacing w:line="360" w:lineRule="auto"/>
        <w:rPr>
          <w:b/>
        </w:rPr>
      </w:pPr>
    </w:p>
    <w:sectPr w:rsidR="00DD7040" w:rsidRPr="00F20A1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EC3B" w14:textId="77777777" w:rsidR="00C83273" w:rsidRDefault="00C83273" w:rsidP="0098637C">
      <w:pPr>
        <w:spacing w:after="0"/>
      </w:pPr>
      <w:r>
        <w:separator/>
      </w:r>
    </w:p>
  </w:endnote>
  <w:endnote w:type="continuationSeparator" w:id="0">
    <w:p w14:paraId="5CC0FAE9"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0B73" w14:textId="77777777" w:rsidR="00C83273" w:rsidRDefault="00C83273" w:rsidP="0098637C">
      <w:pPr>
        <w:spacing w:after="0"/>
      </w:pPr>
      <w:r>
        <w:separator/>
      </w:r>
    </w:p>
  </w:footnote>
  <w:footnote w:type="continuationSeparator" w:id="0">
    <w:p w14:paraId="47F00440"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2A4A" w14:textId="502113F1" w:rsidR="00C32FAC" w:rsidRPr="00F55605" w:rsidRDefault="00C32FAC" w:rsidP="0098637C">
    <w:pPr>
      <w:autoSpaceDE w:val="0"/>
      <w:autoSpaceDN w:val="0"/>
      <w:adjustRightInd w:val="0"/>
      <w:spacing w:after="0"/>
      <w:ind w:left="360"/>
      <w:jc w:val="center"/>
    </w:pPr>
    <w:r w:rsidRPr="00A42CE0">
      <w:t xml:space="preserve">Invitation To Tender for </w:t>
    </w:r>
    <w:r w:rsidR="00797DF6">
      <w:t>Carn Gwaval Re-Modelling</w:t>
    </w:r>
    <w:r w:rsidR="005062E7">
      <w:t>.</w:t>
    </w:r>
    <w:r w:rsidR="00836E00">
      <w:t xml:space="preserve"> </w:t>
    </w:r>
  </w:p>
  <w:p w14:paraId="504D3E69"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D678555A"/>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1048"/>
        </w:tabs>
        <w:ind w:left="1048" w:hanging="907"/>
      </w:pPr>
      <w:rPr>
        <w:rFonts w:hint="default"/>
        <w:b w:val="0"/>
        <w:bCs w:val="0"/>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12E2D1C8"/>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923456">
    <w:abstractNumId w:val="7"/>
  </w:num>
  <w:num w:numId="2" w16cid:durableId="1650673280">
    <w:abstractNumId w:val="15"/>
  </w:num>
  <w:num w:numId="3" w16cid:durableId="1852256378">
    <w:abstractNumId w:val="13"/>
  </w:num>
  <w:num w:numId="4" w16cid:durableId="441415009">
    <w:abstractNumId w:val="4"/>
  </w:num>
  <w:num w:numId="5" w16cid:durableId="1353529983">
    <w:abstractNumId w:val="0"/>
  </w:num>
  <w:num w:numId="6" w16cid:durableId="1267537926">
    <w:abstractNumId w:val="4"/>
  </w:num>
  <w:num w:numId="7" w16cid:durableId="1252277405">
    <w:abstractNumId w:val="16"/>
  </w:num>
  <w:num w:numId="8" w16cid:durableId="77017948">
    <w:abstractNumId w:val="3"/>
  </w:num>
  <w:num w:numId="9" w16cid:durableId="1314607008">
    <w:abstractNumId w:val="12"/>
  </w:num>
  <w:num w:numId="10" w16cid:durableId="1552771186">
    <w:abstractNumId w:val="4"/>
  </w:num>
  <w:num w:numId="11" w16cid:durableId="722944750">
    <w:abstractNumId w:val="10"/>
  </w:num>
  <w:num w:numId="12" w16cid:durableId="151725870">
    <w:abstractNumId w:val="6"/>
  </w:num>
  <w:num w:numId="13" w16cid:durableId="145706151">
    <w:abstractNumId w:val="14"/>
  </w:num>
  <w:num w:numId="14" w16cid:durableId="77487878">
    <w:abstractNumId w:val="4"/>
  </w:num>
  <w:num w:numId="15" w16cid:durableId="24528192">
    <w:abstractNumId w:val="8"/>
  </w:num>
  <w:num w:numId="16" w16cid:durableId="1934825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067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682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03818">
    <w:abstractNumId w:val="4"/>
  </w:num>
  <w:num w:numId="20" w16cid:durableId="1761759672">
    <w:abstractNumId w:val="4"/>
  </w:num>
  <w:num w:numId="21" w16cid:durableId="1187602489">
    <w:abstractNumId w:val="4"/>
  </w:num>
  <w:num w:numId="22" w16cid:durableId="496772073">
    <w:abstractNumId w:val="4"/>
  </w:num>
  <w:num w:numId="23" w16cid:durableId="1149329012">
    <w:abstractNumId w:val="5"/>
  </w:num>
  <w:num w:numId="24" w16cid:durableId="140387654">
    <w:abstractNumId w:val="4"/>
  </w:num>
  <w:num w:numId="25" w16cid:durableId="1521553975">
    <w:abstractNumId w:val="4"/>
  </w:num>
  <w:num w:numId="26" w16cid:durableId="261031076">
    <w:abstractNumId w:val="4"/>
  </w:num>
  <w:num w:numId="27" w16cid:durableId="887188178">
    <w:abstractNumId w:val="4"/>
  </w:num>
  <w:num w:numId="28" w16cid:durableId="2091924945">
    <w:abstractNumId w:val="11"/>
  </w:num>
  <w:num w:numId="29" w16cid:durableId="354042343">
    <w:abstractNumId w:val="4"/>
  </w:num>
  <w:num w:numId="30" w16cid:durableId="1571192495">
    <w:abstractNumId w:val="4"/>
  </w:num>
  <w:num w:numId="31" w16cid:durableId="221214463">
    <w:abstractNumId w:val="4"/>
  </w:num>
  <w:num w:numId="32" w16cid:durableId="605043230">
    <w:abstractNumId w:val="4"/>
  </w:num>
  <w:num w:numId="33" w16cid:durableId="1316639170">
    <w:abstractNumId w:val="4"/>
  </w:num>
  <w:num w:numId="34" w16cid:durableId="885917342">
    <w:abstractNumId w:val="4"/>
  </w:num>
  <w:num w:numId="35" w16cid:durableId="1995138694">
    <w:abstractNumId w:val="4"/>
  </w:num>
  <w:num w:numId="36" w16cid:durableId="379287909">
    <w:abstractNumId w:val="1"/>
  </w:num>
  <w:num w:numId="37" w16cid:durableId="1340960830">
    <w:abstractNumId w:val="2"/>
  </w:num>
  <w:num w:numId="38" w16cid:durableId="651102023">
    <w:abstractNumId w:val="9"/>
  </w:num>
  <w:num w:numId="39" w16cid:durableId="108044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4006E"/>
    <w:rsid w:val="00107807"/>
    <w:rsid w:val="00192137"/>
    <w:rsid w:val="001A607A"/>
    <w:rsid w:val="001C5745"/>
    <w:rsid w:val="00226002"/>
    <w:rsid w:val="002515F6"/>
    <w:rsid w:val="003722B1"/>
    <w:rsid w:val="00402A67"/>
    <w:rsid w:val="00450FA8"/>
    <w:rsid w:val="004C7030"/>
    <w:rsid w:val="004C73AF"/>
    <w:rsid w:val="005062E7"/>
    <w:rsid w:val="00555881"/>
    <w:rsid w:val="0057274A"/>
    <w:rsid w:val="005832A8"/>
    <w:rsid w:val="005F0CF2"/>
    <w:rsid w:val="006C041C"/>
    <w:rsid w:val="00722AA9"/>
    <w:rsid w:val="00737360"/>
    <w:rsid w:val="00797DF6"/>
    <w:rsid w:val="00800A05"/>
    <w:rsid w:val="008073D1"/>
    <w:rsid w:val="008360D7"/>
    <w:rsid w:val="00836E00"/>
    <w:rsid w:val="008707A3"/>
    <w:rsid w:val="008A64EA"/>
    <w:rsid w:val="00920EDD"/>
    <w:rsid w:val="009568C9"/>
    <w:rsid w:val="00970961"/>
    <w:rsid w:val="0098637C"/>
    <w:rsid w:val="009B0700"/>
    <w:rsid w:val="00A6330B"/>
    <w:rsid w:val="00AC54DC"/>
    <w:rsid w:val="00AD026D"/>
    <w:rsid w:val="00AD3913"/>
    <w:rsid w:val="00BB4134"/>
    <w:rsid w:val="00BF55BD"/>
    <w:rsid w:val="00C32FAC"/>
    <w:rsid w:val="00C83273"/>
    <w:rsid w:val="00D448E9"/>
    <w:rsid w:val="00D62052"/>
    <w:rsid w:val="00D6724B"/>
    <w:rsid w:val="00DD7040"/>
    <w:rsid w:val="00E5547C"/>
    <w:rsid w:val="00EA4CD4"/>
    <w:rsid w:val="00ED1CD3"/>
    <w:rsid w:val="00F04CAD"/>
    <w:rsid w:val="00F21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6644C"/>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tabs>
        <w:tab w:val="clear" w:pos="1048"/>
        <w:tab w:val="num" w:pos="907"/>
      </w:tabs>
      <w:spacing w:before="240" w:after="60" w:line="276" w:lineRule="auto"/>
      <w:ind w:left="907"/>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55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0" Type="http://schemas.openxmlformats.org/officeDocument/2006/relationships/hyperlink" Target="http://www.scilly.gov.uk/business-licensing/contracts/current-%20%20%20%20contract-opportunities"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6</cp:revision>
  <dcterms:created xsi:type="dcterms:W3CDTF">2024-12-05T14:40:00Z</dcterms:created>
  <dcterms:modified xsi:type="dcterms:W3CDTF">2024-12-06T11:35:00Z</dcterms:modified>
</cp:coreProperties>
</file>