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3A16E9">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117510C3" w:rsidR="00FC6860" w:rsidRPr="00574B16" w:rsidRDefault="00DD6C47" w:rsidP="003A16E9">
          <w:pPr>
            <w:pStyle w:val="Heading1"/>
            <w:rPr>
              <w:rStyle w:val="chrSubTitle"/>
              <w:color w:val="B1173B"/>
            </w:rPr>
          </w:pPr>
          <w:r>
            <w:rPr>
              <w:rStyle w:val="chrSubTitle"/>
              <w:color w:val="B1173B"/>
            </w:rPr>
            <w:t>Review of National Highways Whole-life cost approach</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4-10-28T00:00:00Z">
          <w:dateFormat w:val="dd MMMM yyyy"/>
          <w:lid w:val="en-GB"/>
          <w:storeMappedDataAs w:val="dateTime"/>
          <w:calendar w:val="gregorian"/>
        </w:date>
      </w:sdtPr>
      <w:sdtEndPr/>
      <w:sdtContent>
        <w:p w14:paraId="38D7D855" w14:textId="0BA1E9D2" w:rsidR="00FC6860" w:rsidRDefault="00B7219C" w:rsidP="003A16E9">
          <w:pPr>
            <w:pStyle w:val="Date"/>
          </w:pPr>
          <w:r>
            <w:rPr>
              <w:bCs/>
            </w:rPr>
            <w:t>28 October 2024</w:t>
          </w:r>
        </w:p>
      </w:sdtContent>
    </w:sdt>
    <w:p w14:paraId="512B2E87" w14:textId="77777777" w:rsidR="003E5612" w:rsidRDefault="003E5612" w:rsidP="003E5612"/>
    <w:p w14:paraId="772A8C9F" w14:textId="680E8D77" w:rsidR="003E5612" w:rsidRPr="00981F2A" w:rsidRDefault="003E5612" w:rsidP="00981F2A">
      <w:pPr>
        <w:pStyle w:val="NormalBulletround"/>
        <w:rPr>
          <w:b/>
          <w:bCs/>
          <w:color w:val="B1173B"/>
        </w:rPr>
      </w:pPr>
      <w:r w:rsidRPr="003E5612">
        <w:rPr>
          <w:b/>
          <w:bCs/>
        </w:rPr>
        <w:t xml:space="preserve">CPV Code: </w:t>
      </w:r>
      <w:r w:rsidR="00F17082" w:rsidRPr="00F17082">
        <w:rPr>
          <w:b/>
          <w:bCs/>
        </w:rPr>
        <w:t>79400000</w:t>
      </w:r>
    </w:p>
    <w:p w14:paraId="60F6998D" w14:textId="13A4E049" w:rsidR="003E5612" w:rsidRDefault="003E5612" w:rsidP="000D6C1D">
      <w:pPr>
        <w:pStyle w:val="NormalBulletround"/>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r w:rsidRPr="00BB494C">
        <w:rPr>
          <w:b/>
          <w:bCs/>
        </w:rPr>
        <w:t>Tender Reference</w:t>
      </w:r>
      <w:r w:rsidR="00BB494C">
        <w:rPr>
          <w:b/>
          <w:bCs/>
        </w:rPr>
        <w:t xml:space="preserve">: </w:t>
      </w:r>
      <w:r w:rsidR="00BB494C" w:rsidRPr="00BB494C">
        <w:rPr>
          <w:b/>
          <w:bCs/>
        </w:rPr>
        <w:t>ORR/CT/24-58</w:t>
      </w:r>
    </w:p>
    <w:p w14:paraId="6F6DAD95" w14:textId="77777777" w:rsidR="00FC6860" w:rsidRDefault="00FC6860" w:rsidP="003A16E9">
      <w:pPr>
        <w:pStyle w:val="Heading2NoToc"/>
      </w:pPr>
      <w:r>
        <w:lastRenderedPageBreak/>
        <w:t>Contents</w:t>
      </w:r>
    </w:p>
    <w:p w14:paraId="687151DC" w14:textId="4E689EA7" w:rsidR="0079264A" w:rsidRPr="00981F2A" w:rsidRDefault="00FC6860" w:rsidP="00981F2A">
      <w:pPr>
        <w:pStyle w:val="TOC1"/>
        <w:ind w:left="0" w:firstLine="0"/>
        <w:rPr>
          <w:rFonts w:asciiTheme="minorHAnsi" w:eastAsiaTheme="minorEastAsia" w:hAnsiTheme="minorHAnsi"/>
          <w:b w:val="0"/>
          <w:bCs w:val="0"/>
          <w:color w:val="auto"/>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p>
    <w:p w14:paraId="5E5E5324" w14:textId="5B1A8AE7" w:rsidR="0079264A" w:rsidRDefault="0079264A">
      <w:pPr>
        <w:pStyle w:val="TOC1"/>
        <w:rPr>
          <w:rFonts w:asciiTheme="minorHAnsi" w:eastAsiaTheme="minorEastAsia" w:hAnsiTheme="minorHAnsi"/>
          <w:b w:val="0"/>
          <w:bCs w:val="0"/>
          <w:color w:val="auto"/>
          <w:sz w:val="22"/>
          <w:lang w:eastAsia="en-GB"/>
        </w:rPr>
      </w:pPr>
      <w:hyperlink w:anchor="_Toc111551913" w:history="1">
        <w:r w:rsidRPr="000C347F">
          <w:rPr>
            <w:rStyle w:val="Hyperlink"/>
          </w:rPr>
          <w:t>Purpose of the document</w:t>
        </w:r>
        <w:r>
          <w:rPr>
            <w:webHidden/>
          </w:rPr>
          <w:tab/>
        </w:r>
        <w:r>
          <w:rPr>
            <w:webHidden/>
          </w:rPr>
          <w:fldChar w:fldCharType="begin"/>
        </w:r>
        <w:r>
          <w:rPr>
            <w:webHidden/>
          </w:rPr>
          <w:instrText xml:space="preserve"> PAGEREF _Toc111551913 \h </w:instrText>
        </w:r>
        <w:r>
          <w:rPr>
            <w:webHidden/>
          </w:rPr>
        </w:r>
        <w:r>
          <w:rPr>
            <w:webHidden/>
          </w:rPr>
          <w:fldChar w:fldCharType="separate"/>
        </w:r>
        <w:r w:rsidR="00981F2A">
          <w:rPr>
            <w:webHidden/>
          </w:rPr>
          <w:t>3</w:t>
        </w:r>
        <w:r>
          <w:rPr>
            <w:webHidden/>
          </w:rPr>
          <w:fldChar w:fldCharType="end"/>
        </w:r>
      </w:hyperlink>
    </w:p>
    <w:p w14:paraId="63A86D55" w14:textId="6E3AA99B" w:rsidR="0079264A" w:rsidRDefault="0079264A">
      <w:pPr>
        <w:pStyle w:val="TOC1"/>
        <w:rPr>
          <w:rFonts w:asciiTheme="minorHAnsi" w:eastAsiaTheme="minorEastAsia" w:hAnsiTheme="minorHAnsi"/>
          <w:b w:val="0"/>
          <w:bCs w:val="0"/>
          <w:color w:val="auto"/>
          <w:sz w:val="22"/>
          <w:lang w:eastAsia="en-GB"/>
        </w:rPr>
      </w:pPr>
      <w:hyperlink w:anchor="_Toc111551914" w:history="1">
        <w:r w:rsidRPr="000C347F">
          <w:rPr>
            <w:rStyle w:val="Hyperlink"/>
          </w:rPr>
          <w:t>1.</w:t>
        </w:r>
        <w:r>
          <w:rPr>
            <w:rFonts w:asciiTheme="minorHAnsi" w:eastAsiaTheme="minorEastAsia" w:hAnsiTheme="minorHAnsi"/>
            <w:b w:val="0"/>
            <w:bCs w:val="0"/>
            <w:color w:val="auto"/>
            <w:sz w:val="22"/>
            <w:lang w:eastAsia="en-GB"/>
          </w:rPr>
          <w:tab/>
        </w:r>
        <w:r w:rsidRPr="000C347F">
          <w:rPr>
            <w:rStyle w:val="Hyperlink"/>
          </w:rPr>
          <w:t>Introduction to the Office of Rail and Road</w:t>
        </w:r>
        <w:r>
          <w:rPr>
            <w:webHidden/>
          </w:rPr>
          <w:tab/>
        </w:r>
        <w:r>
          <w:rPr>
            <w:webHidden/>
          </w:rPr>
          <w:fldChar w:fldCharType="begin"/>
        </w:r>
        <w:r>
          <w:rPr>
            <w:webHidden/>
          </w:rPr>
          <w:instrText xml:space="preserve"> PAGEREF _Toc111551914 \h </w:instrText>
        </w:r>
        <w:r>
          <w:rPr>
            <w:webHidden/>
          </w:rPr>
        </w:r>
        <w:r>
          <w:rPr>
            <w:webHidden/>
          </w:rPr>
          <w:fldChar w:fldCharType="separate"/>
        </w:r>
        <w:r w:rsidR="00981F2A">
          <w:rPr>
            <w:webHidden/>
          </w:rPr>
          <w:t>4</w:t>
        </w:r>
        <w:r>
          <w:rPr>
            <w:webHidden/>
          </w:rPr>
          <w:fldChar w:fldCharType="end"/>
        </w:r>
      </w:hyperlink>
    </w:p>
    <w:p w14:paraId="4F774D3D" w14:textId="171F1DF5" w:rsidR="0079264A" w:rsidRDefault="0079264A">
      <w:pPr>
        <w:pStyle w:val="TOC2"/>
        <w:tabs>
          <w:tab w:val="right" w:pos="9628"/>
        </w:tabs>
        <w:rPr>
          <w:rFonts w:asciiTheme="minorHAnsi" w:eastAsiaTheme="minorEastAsia" w:hAnsiTheme="minorHAnsi"/>
          <w:noProof/>
          <w:sz w:val="22"/>
          <w:lang w:eastAsia="en-GB"/>
        </w:rPr>
      </w:pPr>
      <w:hyperlink w:anchor="_Toc111551915" w:history="1">
        <w:r w:rsidRPr="000C347F">
          <w:rPr>
            <w:rStyle w:val="Hyperlink"/>
            <w:noProof/>
          </w:rPr>
          <w:t>Our strategic objectives</w:t>
        </w:r>
        <w:r>
          <w:rPr>
            <w:noProof/>
            <w:webHidden/>
          </w:rPr>
          <w:tab/>
        </w:r>
        <w:r>
          <w:rPr>
            <w:noProof/>
            <w:webHidden/>
          </w:rPr>
          <w:fldChar w:fldCharType="begin"/>
        </w:r>
        <w:r>
          <w:rPr>
            <w:noProof/>
            <w:webHidden/>
          </w:rPr>
          <w:instrText xml:space="preserve"> PAGEREF _Toc111551915 \h </w:instrText>
        </w:r>
        <w:r>
          <w:rPr>
            <w:noProof/>
            <w:webHidden/>
          </w:rPr>
        </w:r>
        <w:r>
          <w:rPr>
            <w:noProof/>
            <w:webHidden/>
          </w:rPr>
          <w:fldChar w:fldCharType="separate"/>
        </w:r>
        <w:r w:rsidR="00981F2A">
          <w:rPr>
            <w:noProof/>
            <w:webHidden/>
          </w:rPr>
          <w:t>4</w:t>
        </w:r>
        <w:r>
          <w:rPr>
            <w:noProof/>
            <w:webHidden/>
          </w:rPr>
          <w:fldChar w:fldCharType="end"/>
        </w:r>
      </w:hyperlink>
    </w:p>
    <w:p w14:paraId="2EDB0490" w14:textId="3DD86873" w:rsidR="0079264A" w:rsidRDefault="0079264A">
      <w:pPr>
        <w:pStyle w:val="TOC2"/>
        <w:tabs>
          <w:tab w:val="right" w:pos="9628"/>
        </w:tabs>
        <w:rPr>
          <w:rFonts w:asciiTheme="minorHAnsi" w:eastAsiaTheme="minorEastAsia" w:hAnsiTheme="minorHAnsi"/>
          <w:noProof/>
          <w:sz w:val="22"/>
          <w:lang w:eastAsia="en-GB"/>
        </w:rPr>
      </w:pPr>
      <w:hyperlink w:anchor="_Toc111551916" w:history="1">
        <w:r w:rsidRPr="000C347F">
          <w:rPr>
            <w:rStyle w:val="Hyperlink"/>
            <w:noProof/>
          </w:rPr>
          <w:t>Supplying ORR</w:t>
        </w:r>
        <w:r>
          <w:rPr>
            <w:noProof/>
            <w:webHidden/>
          </w:rPr>
          <w:tab/>
        </w:r>
        <w:r>
          <w:rPr>
            <w:noProof/>
            <w:webHidden/>
          </w:rPr>
          <w:fldChar w:fldCharType="begin"/>
        </w:r>
        <w:r>
          <w:rPr>
            <w:noProof/>
            <w:webHidden/>
          </w:rPr>
          <w:instrText xml:space="preserve"> PAGEREF _Toc111551916 \h </w:instrText>
        </w:r>
        <w:r>
          <w:rPr>
            <w:noProof/>
            <w:webHidden/>
          </w:rPr>
        </w:r>
        <w:r>
          <w:rPr>
            <w:noProof/>
            <w:webHidden/>
          </w:rPr>
          <w:fldChar w:fldCharType="separate"/>
        </w:r>
        <w:r w:rsidR="00981F2A">
          <w:rPr>
            <w:noProof/>
            <w:webHidden/>
          </w:rPr>
          <w:t>4</w:t>
        </w:r>
        <w:r>
          <w:rPr>
            <w:noProof/>
            <w:webHidden/>
          </w:rPr>
          <w:fldChar w:fldCharType="end"/>
        </w:r>
      </w:hyperlink>
    </w:p>
    <w:p w14:paraId="234AD544" w14:textId="24B9E765" w:rsidR="0079264A" w:rsidRDefault="0079264A">
      <w:pPr>
        <w:pStyle w:val="TOC1"/>
        <w:rPr>
          <w:rFonts w:asciiTheme="minorHAnsi" w:eastAsiaTheme="minorEastAsia" w:hAnsiTheme="minorHAnsi"/>
          <w:b w:val="0"/>
          <w:bCs w:val="0"/>
          <w:color w:val="auto"/>
          <w:sz w:val="22"/>
          <w:lang w:eastAsia="en-GB"/>
        </w:rPr>
      </w:pPr>
      <w:hyperlink w:anchor="_Toc111551917" w:history="1">
        <w:r w:rsidRPr="000C347F">
          <w:rPr>
            <w:rStyle w:val="Hyperlink"/>
          </w:rPr>
          <w:t>Small and Medium Enterprises</w:t>
        </w:r>
        <w:r>
          <w:rPr>
            <w:webHidden/>
          </w:rPr>
          <w:tab/>
        </w:r>
        <w:r>
          <w:rPr>
            <w:webHidden/>
          </w:rPr>
          <w:fldChar w:fldCharType="begin"/>
        </w:r>
        <w:r>
          <w:rPr>
            <w:webHidden/>
          </w:rPr>
          <w:instrText xml:space="preserve"> PAGEREF _Toc111551917 \h </w:instrText>
        </w:r>
        <w:r>
          <w:rPr>
            <w:webHidden/>
          </w:rPr>
        </w:r>
        <w:r>
          <w:rPr>
            <w:webHidden/>
          </w:rPr>
          <w:fldChar w:fldCharType="separate"/>
        </w:r>
        <w:r w:rsidR="00981F2A">
          <w:rPr>
            <w:webHidden/>
          </w:rPr>
          <w:t>6</w:t>
        </w:r>
        <w:r>
          <w:rPr>
            <w:webHidden/>
          </w:rPr>
          <w:fldChar w:fldCharType="end"/>
        </w:r>
      </w:hyperlink>
    </w:p>
    <w:p w14:paraId="08E45A16" w14:textId="4240C872" w:rsidR="0079264A" w:rsidRDefault="0079264A">
      <w:pPr>
        <w:pStyle w:val="TOC1"/>
        <w:rPr>
          <w:rFonts w:asciiTheme="minorHAnsi" w:eastAsiaTheme="minorEastAsia" w:hAnsiTheme="minorHAnsi"/>
          <w:b w:val="0"/>
          <w:bCs w:val="0"/>
          <w:color w:val="auto"/>
          <w:sz w:val="22"/>
          <w:lang w:eastAsia="en-GB"/>
        </w:rPr>
      </w:pPr>
      <w:hyperlink w:anchor="_Toc111551918" w:history="1">
        <w:r w:rsidRPr="000C347F">
          <w:rPr>
            <w:rStyle w:val="Hyperlink"/>
          </w:rPr>
          <w:t>2.</w:t>
        </w:r>
        <w:r>
          <w:rPr>
            <w:rFonts w:asciiTheme="minorHAnsi" w:eastAsiaTheme="minorEastAsia" w:hAnsiTheme="minorHAnsi"/>
            <w:b w:val="0"/>
            <w:bCs w:val="0"/>
            <w:color w:val="auto"/>
            <w:sz w:val="22"/>
            <w:lang w:eastAsia="en-GB"/>
          </w:rPr>
          <w:tab/>
        </w:r>
        <w:r w:rsidRPr="000C347F">
          <w:rPr>
            <w:rStyle w:val="Hyperlink"/>
          </w:rPr>
          <w:t>Statement of Requirement</w:t>
        </w:r>
        <w:r>
          <w:rPr>
            <w:webHidden/>
          </w:rPr>
          <w:tab/>
        </w:r>
        <w:r>
          <w:rPr>
            <w:webHidden/>
          </w:rPr>
          <w:fldChar w:fldCharType="begin"/>
        </w:r>
        <w:r>
          <w:rPr>
            <w:webHidden/>
          </w:rPr>
          <w:instrText xml:space="preserve"> PAGEREF _Toc111551918 \h </w:instrText>
        </w:r>
        <w:r>
          <w:rPr>
            <w:webHidden/>
          </w:rPr>
        </w:r>
        <w:r>
          <w:rPr>
            <w:webHidden/>
          </w:rPr>
          <w:fldChar w:fldCharType="separate"/>
        </w:r>
        <w:r w:rsidR="00981F2A">
          <w:rPr>
            <w:webHidden/>
          </w:rPr>
          <w:t>7</w:t>
        </w:r>
        <w:r>
          <w:rPr>
            <w:webHidden/>
          </w:rPr>
          <w:fldChar w:fldCharType="end"/>
        </w:r>
      </w:hyperlink>
    </w:p>
    <w:p w14:paraId="3B60C34D" w14:textId="182A4752" w:rsidR="0079264A" w:rsidRDefault="0079264A">
      <w:pPr>
        <w:pStyle w:val="TOC2"/>
        <w:tabs>
          <w:tab w:val="right" w:pos="9628"/>
        </w:tabs>
        <w:rPr>
          <w:rFonts w:asciiTheme="minorHAnsi" w:eastAsiaTheme="minorEastAsia" w:hAnsiTheme="minorHAnsi"/>
          <w:noProof/>
          <w:sz w:val="22"/>
          <w:lang w:eastAsia="en-GB"/>
        </w:rPr>
      </w:pPr>
      <w:hyperlink w:anchor="_Toc111551919" w:history="1">
        <w:r w:rsidRPr="000C347F">
          <w:rPr>
            <w:rStyle w:val="Hyperlink"/>
            <w:noProof/>
          </w:rPr>
          <w:t>2.1 Background of the project</w:t>
        </w:r>
        <w:r>
          <w:rPr>
            <w:noProof/>
            <w:webHidden/>
          </w:rPr>
          <w:tab/>
        </w:r>
        <w:r>
          <w:rPr>
            <w:noProof/>
            <w:webHidden/>
          </w:rPr>
          <w:fldChar w:fldCharType="begin"/>
        </w:r>
        <w:r>
          <w:rPr>
            <w:noProof/>
            <w:webHidden/>
          </w:rPr>
          <w:instrText xml:space="preserve"> PAGEREF _Toc111551919 \h </w:instrText>
        </w:r>
        <w:r>
          <w:rPr>
            <w:noProof/>
            <w:webHidden/>
          </w:rPr>
        </w:r>
        <w:r>
          <w:rPr>
            <w:noProof/>
            <w:webHidden/>
          </w:rPr>
          <w:fldChar w:fldCharType="separate"/>
        </w:r>
        <w:r w:rsidR="00981F2A">
          <w:rPr>
            <w:noProof/>
            <w:webHidden/>
          </w:rPr>
          <w:t>7</w:t>
        </w:r>
        <w:r>
          <w:rPr>
            <w:noProof/>
            <w:webHidden/>
          </w:rPr>
          <w:fldChar w:fldCharType="end"/>
        </w:r>
      </w:hyperlink>
    </w:p>
    <w:p w14:paraId="0A313B7D" w14:textId="341F689E" w:rsidR="0079264A" w:rsidRDefault="0079264A">
      <w:pPr>
        <w:pStyle w:val="TOC2"/>
        <w:tabs>
          <w:tab w:val="right" w:pos="9628"/>
        </w:tabs>
        <w:rPr>
          <w:rFonts w:asciiTheme="minorHAnsi" w:eastAsiaTheme="minorEastAsia" w:hAnsiTheme="minorHAnsi"/>
          <w:noProof/>
          <w:sz w:val="22"/>
          <w:lang w:eastAsia="en-GB"/>
        </w:rPr>
      </w:pPr>
      <w:hyperlink w:anchor="_Toc111551920" w:history="1">
        <w:r w:rsidRPr="000C347F">
          <w:rPr>
            <w:rStyle w:val="Hyperlink"/>
            <w:noProof/>
          </w:rPr>
          <w:t>2.2 Project Objectives and Scope</w:t>
        </w:r>
        <w:r>
          <w:rPr>
            <w:noProof/>
            <w:webHidden/>
          </w:rPr>
          <w:tab/>
        </w:r>
        <w:r>
          <w:rPr>
            <w:noProof/>
            <w:webHidden/>
          </w:rPr>
          <w:fldChar w:fldCharType="begin"/>
        </w:r>
        <w:r>
          <w:rPr>
            <w:noProof/>
            <w:webHidden/>
          </w:rPr>
          <w:instrText xml:space="preserve"> PAGEREF _Toc111551920 \h </w:instrText>
        </w:r>
        <w:r>
          <w:rPr>
            <w:noProof/>
            <w:webHidden/>
          </w:rPr>
        </w:r>
        <w:r>
          <w:rPr>
            <w:noProof/>
            <w:webHidden/>
          </w:rPr>
          <w:fldChar w:fldCharType="separate"/>
        </w:r>
        <w:r w:rsidR="00981F2A">
          <w:rPr>
            <w:noProof/>
            <w:webHidden/>
          </w:rPr>
          <w:t>8</w:t>
        </w:r>
        <w:r>
          <w:rPr>
            <w:noProof/>
            <w:webHidden/>
          </w:rPr>
          <w:fldChar w:fldCharType="end"/>
        </w:r>
      </w:hyperlink>
    </w:p>
    <w:p w14:paraId="1DC3EE13" w14:textId="776A7972" w:rsidR="0079264A" w:rsidRDefault="0079264A">
      <w:pPr>
        <w:pStyle w:val="TOC2"/>
        <w:tabs>
          <w:tab w:val="right" w:pos="9628"/>
        </w:tabs>
        <w:rPr>
          <w:rFonts w:asciiTheme="minorHAnsi" w:eastAsiaTheme="minorEastAsia" w:hAnsiTheme="minorHAnsi"/>
          <w:noProof/>
          <w:sz w:val="22"/>
          <w:lang w:eastAsia="en-GB"/>
        </w:rPr>
      </w:pPr>
      <w:hyperlink w:anchor="_Toc111551921" w:history="1">
        <w:r w:rsidRPr="000C347F">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_Toc111551921 \h </w:instrText>
        </w:r>
        <w:r>
          <w:rPr>
            <w:noProof/>
            <w:webHidden/>
          </w:rPr>
        </w:r>
        <w:r>
          <w:rPr>
            <w:noProof/>
            <w:webHidden/>
          </w:rPr>
          <w:fldChar w:fldCharType="separate"/>
        </w:r>
        <w:r w:rsidR="00981F2A">
          <w:rPr>
            <w:noProof/>
            <w:webHidden/>
          </w:rPr>
          <w:t>9</w:t>
        </w:r>
        <w:r>
          <w:rPr>
            <w:noProof/>
            <w:webHidden/>
          </w:rPr>
          <w:fldChar w:fldCharType="end"/>
        </w:r>
      </w:hyperlink>
    </w:p>
    <w:p w14:paraId="00910335" w14:textId="0688E2EA" w:rsidR="0079264A" w:rsidRDefault="0079264A">
      <w:pPr>
        <w:pStyle w:val="TOC2"/>
        <w:tabs>
          <w:tab w:val="right" w:pos="9628"/>
        </w:tabs>
        <w:rPr>
          <w:rFonts w:asciiTheme="minorHAnsi" w:eastAsiaTheme="minorEastAsia" w:hAnsiTheme="minorHAnsi"/>
          <w:noProof/>
          <w:sz w:val="22"/>
          <w:lang w:eastAsia="en-GB"/>
        </w:rPr>
      </w:pPr>
      <w:hyperlink w:anchor="_Toc111551922" w:history="1">
        <w:r w:rsidRPr="000C347F">
          <w:rPr>
            <w:rStyle w:val="Hyperlink"/>
            <w:noProof/>
          </w:rPr>
          <w:t>2.4 Project Timescales</w:t>
        </w:r>
        <w:r>
          <w:rPr>
            <w:noProof/>
            <w:webHidden/>
          </w:rPr>
          <w:tab/>
        </w:r>
        <w:r>
          <w:rPr>
            <w:noProof/>
            <w:webHidden/>
          </w:rPr>
          <w:fldChar w:fldCharType="begin"/>
        </w:r>
        <w:r>
          <w:rPr>
            <w:noProof/>
            <w:webHidden/>
          </w:rPr>
          <w:instrText xml:space="preserve"> PAGEREF _Toc111551922 \h </w:instrText>
        </w:r>
        <w:r>
          <w:rPr>
            <w:noProof/>
            <w:webHidden/>
          </w:rPr>
        </w:r>
        <w:r>
          <w:rPr>
            <w:noProof/>
            <w:webHidden/>
          </w:rPr>
          <w:fldChar w:fldCharType="separate"/>
        </w:r>
        <w:r w:rsidR="00981F2A">
          <w:rPr>
            <w:noProof/>
            <w:webHidden/>
          </w:rPr>
          <w:t>11</w:t>
        </w:r>
        <w:r>
          <w:rPr>
            <w:noProof/>
            <w:webHidden/>
          </w:rPr>
          <w:fldChar w:fldCharType="end"/>
        </w:r>
      </w:hyperlink>
    </w:p>
    <w:p w14:paraId="5634B37D" w14:textId="27DBED80" w:rsidR="0079264A" w:rsidRDefault="0079264A">
      <w:pPr>
        <w:pStyle w:val="TOC2"/>
        <w:tabs>
          <w:tab w:val="right" w:pos="9628"/>
        </w:tabs>
        <w:rPr>
          <w:rFonts w:asciiTheme="minorHAnsi" w:eastAsiaTheme="minorEastAsia" w:hAnsiTheme="minorHAnsi"/>
          <w:noProof/>
          <w:sz w:val="22"/>
          <w:lang w:eastAsia="en-GB"/>
        </w:rPr>
      </w:pPr>
      <w:hyperlink w:anchor="_Toc111551923" w:history="1">
        <w:r w:rsidRPr="000C347F">
          <w:rPr>
            <w:rStyle w:val="Hyperlink"/>
            <w:noProof/>
          </w:rPr>
          <w:t>2.5 Budget and Payment Schedule</w:t>
        </w:r>
        <w:r>
          <w:rPr>
            <w:noProof/>
            <w:webHidden/>
          </w:rPr>
          <w:tab/>
        </w:r>
        <w:r>
          <w:rPr>
            <w:noProof/>
            <w:webHidden/>
          </w:rPr>
          <w:fldChar w:fldCharType="begin"/>
        </w:r>
        <w:r>
          <w:rPr>
            <w:noProof/>
            <w:webHidden/>
          </w:rPr>
          <w:instrText xml:space="preserve"> PAGEREF _Toc111551923 \h </w:instrText>
        </w:r>
        <w:r>
          <w:rPr>
            <w:noProof/>
            <w:webHidden/>
          </w:rPr>
        </w:r>
        <w:r>
          <w:rPr>
            <w:noProof/>
            <w:webHidden/>
          </w:rPr>
          <w:fldChar w:fldCharType="separate"/>
        </w:r>
        <w:r w:rsidR="00981F2A">
          <w:rPr>
            <w:noProof/>
            <w:webHidden/>
          </w:rPr>
          <w:t>11</w:t>
        </w:r>
        <w:r>
          <w:rPr>
            <w:noProof/>
            <w:webHidden/>
          </w:rPr>
          <w:fldChar w:fldCharType="end"/>
        </w:r>
      </w:hyperlink>
    </w:p>
    <w:p w14:paraId="3ED694D5" w14:textId="6A39FA97" w:rsidR="0079264A" w:rsidRDefault="0079264A">
      <w:pPr>
        <w:pStyle w:val="TOC2"/>
        <w:tabs>
          <w:tab w:val="right" w:pos="9628"/>
        </w:tabs>
        <w:rPr>
          <w:rFonts w:asciiTheme="minorHAnsi" w:eastAsiaTheme="minorEastAsia" w:hAnsiTheme="minorHAnsi"/>
          <w:noProof/>
          <w:sz w:val="22"/>
          <w:lang w:eastAsia="en-GB"/>
        </w:rPr>
      </w:pPr>
      <w:hyperlink w:anchor="_Toc111551924" w:history="1">
        <w:r w:rsidRPr="000C347F">
          <w:rPr>
            <w:rStyle w:val="Hyperlink"/>
            <w:noProof/>
          </w:rPr>
          <w:t>2.6 Further project related information for bidders</w:t>
        </w:r>
        <w:r>
          <w:rPr>
            <w:noProof/>
            <w:webHidden/>
          </w:rPr>
          <w:tab/>
        </w:r>
        <w:r>
          <w:rPr>
            <w:noProof/>
            <w:webHidden/>
          </w:rPr>
          <w:fldChar w:fldCharType="begin"/>
        </w:r>
        <w:r>
          <w:rPr>
            <w:noProof/>
            <w:webHidden/>
          </w:rPr>
          <w:instrText xml:space="preserve"> PAGEREF _Toc111551924 \h </w:instrText>
        </w:r>
        <w:r>
          <w:rPr>
            <w:noProof/>
            <w:webHidden/>
          </w:rPr>
        </w:r>
        <w:r>
          <w:rPr>
            <w:noProof/>
            <w:webHidden/>
          </w:rPr>
          <w:fldChar w:fldCharType="separate"/>
        </w:r>
        <w:r w:rsidR="00981F2A">
          <w:rPr>
            <w:noProof/>
            <w:webHidden/>
          </w:rPr>
          <w:t>11</w:t>
        </w:r>
        <w:r>
          <w:rPr>
            <w:noProof/>
            <w:webHidden/>
          </w:rPr>
          <w:fldChar w:fldCharType="end"/>
        </w:r>
      </w:hyperlink>
    </w:p>
    <w:p w14:paraId="49188D30" w14:textId="3204EEEA" w:rsidR="0079264A" w:rsidRDefault="0079264A">
      <w:pPr>
        <w:pStyle w:val="TOC1"/>
        <w:rPr>
          <w:rFonts w:asciiTheme="minorHAnsi" w:eastAsiaTheme="minorEastAsia" w:hAnsiTheme="minorHAnsi"/>
          <w:b w:val="0"/>
          <w:bCs w:val="0"/>
          <w:color w:val="auto"/>
          <w:sz w:val="22"/>
          <w:lang w:eastAsia="en-GB"/>
        </w:rPr>
      </w:pPr>
      <w:hyperlink w:anchor="_Toc111551925" w:history="1">
        <w:r w:rsidRPr="000C347F">
          <w:rPr>
            <w:rStyle w:val="Hyperlink"/>
          </w:rPr>
          <w:t>3.</w:t>
        </w:r>
        <w:r>
          <w:rPr>
            <w:rFonts w:asciiTheme="minorHAnsi" w:eastAsiaTheme="minorEastAsia" w:hAnsiTheme="minorHAnsi"/>
            <w:b w:val="0"/>
            <w:bCs w:val="0"/>
            <w:color w:val="auto"/>
            <w:sz w:val="22"/>
            <w:lang w:eastAsia="en-GB"/>
          </w:rPr>
          <w:tab/>
        </w:r>
        <w:r w:rsidRPr="000C347F">
          <w:rPr>
            <w:rStyle w:val="Hyperlink"/>
          </w:rPr>
          <w:t>Tender Response and Evaluation Criteria</w:t>
        </w:r>
        <w:r>
          <w:rPr>
            <w:webHidden/>
          </w:rPr>
          <w:tab/>
        </w:r>
        <w:r>
          <w:rPr>
            <w:webHidden/>
          </w:rPr>
          <w:fldChar w:fldCharType="begin"/>
        </w:r>
        <w:r>
          <w:rPr>
            <w:webHidden/>
          </w:rPr>
          <w:instrText xml:space="preserve"> PAGEREF _Toc111551925 \h </w:instrText>
        </w:r>
        <w:r>
          <w:rPr>
            <w:webHidden/>
          </w:rPr>
        </w:r>
        <w:r>
          <w:rPr>
            <w:webHidden/>
          </w:rPr>
          <w:fldChar w:fldCharType="separate"/>
        </w:r>
        <w:r w:rsidR="00981F2A">
          <w:rPr>
            <w:webHidden/>
          </w:rPr>
          <w:t>13</w:t>
        </w:r>
        <w:r>
          <w:rPr>
            <w:webHidden/>
          </w:rPr>
          <w:fldChar w:fldCharType="end"/>
        </w:r>
      </w:hyperlink>
    </w:p>
    <w:p w14:paraId="4DED5429" w14:textId="4DDDAA8C" w:rsidR="0079264A" w:rsidRDefault="0079264A">
      <w:pPr>
        <w:pStyle w:val="TOC2"/>
        <w:tabs>
          <w:tab w:val="right" w:pos="9628"/>
        </w:tabs>
        <w:rPr>
          <w:rFonts w:asciiTheme="minorHAnsi" w:eastAsiaTheme="minorEastAsia" w:hAnsiTheme="minorHAnsi"/>
          <w:noProof/>
          <w:sz w:val="22"/>
          <w:lang w:eastAsia="en-GB"/>
        </w:rPr>
      </w:pPr>
      <w:hyperlink w:anchor="_Toc111551926" w:history="1">
        <w:r w:rsidRPr="000C347F">
          <w:rPr>
            <w:rStyle w:val="Hyperlink"/>
            <w:noProof/>
          </w:rPr>
          <w:t>3.1 The Tender Response</w:t>
        </w:r>
        <w:r>
          <w:rPr>
            <w:noProof/>
            <w:webHidden/>
          </w:rPr>
          <w:tab/>
        </w:r>
        <w:r>
          <w:rPr>
            <w:noProof/>
            <w:webHidden/>
          </w:rPr>
          <w:fldChar w:fldCharType="begin"/>
        </w:r>
        <w:r>
          <w:rPr>
            <w:noProof/>
            <w:webHidden/>
          </w:rPr>
          <w:instrText xml:space="preserve"> PAGEREF _Toc111551926 \h </w:instrText>
        </w:r>
        <w:r>
          <w:rPr>
            <w:noProof/>
            <w:webHidden/>
          </w:rPr>
        </w:r>
        <w:r>
          <w:rPr>
            <w:noProof/>
            <w:webHidden/>
          </w:rPr>
          <w:fldChar w:fldCharType="separate"/>
        </w:r>
        <w:r w:rsidR="00981F2A">
          <w:rPr>
            <w:noProof/>
            <w:webHidden/>
          </w:rPr>
          <w:t>13</w:t>
        </w:r>
        <w:r>
          <w:rPr>
            <w:noProof/>
            <w:webHidden/>
          </w:rPr>
          <w:fldChar w:fldCharType="end"/>
        </w:r>
      </w:hyperlink>
    </w:p>
    <w:p w14:paraId="24C28E0D" w14:textId="5EAD7340" w:rsidR="0079264A" w:rsidRDefault="0079264A">
      <w:pPr>
        <w:pStyle w:val="TOC2"/>
        <w:tabs>
          <w:tab w:val="right" w:pos="9628"/>
        </w:tabs>
        <w:rPr>
          <w:rFonts w:asciiTheme="minorHAnsi" w:eastAsiaTheme="minorEastAsia" w:hAnsiTheme="minorHAnsi"/>
          <w:noProof/>
          <w:sz w:val="22"/>
          <w:lang w:eastAsia="en-GB"/>
        </w:rPr>
      </w:pPr>
      <w:hyperlink w:anchor="_Toc111551927" w:history="1">
        <w:r w:rsidRPr="000C347F">
          <w:rPr>
            <w:rStyle w:val="Hyperlink"/>
            <w:noProof/>
          </w:rPr>
          <w:t>3.2 Evaluation Criteria</w:t>
        </w:r>
        <w:r>
          <w:rPr>
            <w:noProof/>
            <w:webHidden/>
          </w:rPr>
          <w:tab/>
        </w:r>
        <w:r>
          <w:rPr>
            <w:noProof/>
            <w:webHidden/>
          </w:rPr>
          <w:fldChar w:fldCharType="begin"/>
        </w:r>
        <w:r>
          <w:rPr>
            <w:noProof/>
            <w:webHidden/>
          </w:rPr>
          <w:instrText xml:space="preserve"> PAGEREF _Toc111551927 \h </w:instrText>
        </w:r>
        <w:r>
          <w:rPr>
            <w:noProof/>
            <w:webHidden/>
          </w:rPr>
        </w:r>
        <w:r>
          <w:rPr>
            <w:noProof/>
            <w:webHidden/>
          </w:rPr>
          <w:fldChar w:fldCharType="separate"/>
        </w:r>
        <w:r w:rsidR="00981F2A">
          <w:rPr>
            <w:noProof/>
            <w:webHidden/>
          </w:rPr>
          <w:t>14</w:t>
        </w:r>
        <w:r>
          <w:rPr>
            <w:noProof/>
            <w:webHidden/>
          </w:rPr>
          <w:fldChar w:fldCharType="end"/>
        </w:r>
      </w:hyperlink>
    </w:p>
    <w:p w14:paraId="56D04470" w14:textId="554E55EE" w:rsidR="0079264A" w:rsidRDefault="0079264A">
      <w:pPr>
        <w:pStyle w:val="TOC1"/>
        <w:rPr>
          <w:rFonts w:asciiTheme="minorHAnsi" w:eastAsiaTheme="minorEastAsia" w:hAnsiTheme="minorHAnsi"/>
          <w:b w:val="0"/>
          <w:bCs w:val="0"/>
          <w:color w:val="auto"/>
          <w:sz w:val="22"/>
          <w:lang w:eastAsia="en-GB"/>
        </w:rPr>
      </w:pPr>
      <w:hyperlink w:anchor="_Toc111551928" w:history="1">
        <w:r w:rsidRPr="000C347F">
          <w:rPr>
            <w:rStyle w:val="Hyperlink"/>
          </w:rPr>
          <w:t>4.</w:t>
        </w:r>
        <w:r>
          <w:rPr>
            <w:rFonts w:asciiTheme="minorHAnsi" w:eastAsiaTheme="minorEastAsia" w:hAnsiTheme="minorHAnsi"/>
            <w:b w:val="0"/>
            <w:bCs w:val="0"/>
            <w:color w:val="auto"/>
            <w:sz w:val="22"/>
            <w:lang w:eastAsia="en-GB"/>
          </w:rPr>
          <w:tab/>
        </w:r>
        <w:r w:rsidRPr="000C347F">
          <w:rPr>
            <w:rStyle w:val="Hyperlink"/>
          </w:rPr>
          <w:t>Procurement Procedures</w:t>
        </w:r>
        <w:r>
          <w:rPr>
            <w:webHidden/>
          </w:rPr>
          <w:tab/>
        </w:r>
        <w:r>
          <w:rPr>
            <w:webHidden/>
          </w:rPr>
          <w:fldChar w:fldCharType="begin"/>
        </w:r>
        <w:r>
          <w:rPr>
            <w:webHidden/>
          </w:rPr>
          <w:instrText xml:space="preserve"> PAGEREF _Toc111551928 \h </w:instrText>
        </w:r>
        <w:r>
          <w:rPr>
            <w:webHidden/>
          </w:rPr>
        </w:r>
        <w:r>
          <w:rPr>
            <w:webHidden/>
          </w:rPr>
          <w:fldChar w:fldCharType="separate"/>
        </w:r>
        <w:r w:rsidR="00981F2A">
          <w:rPr>
            <w:webHidden/>
          </w:rPr>
          <w:t>19</w:t>
        </w:r>
        <w:r>
          <w:rPr>
            <w:webHidden/>
          </w:rPr>
          <w:fldChar w:fldCharType="end"/>
        </w:r>
      </w:hyperlink>
    </w:p>
    <w:p w14:paraId="0EDE73FA" w14:textId="5D81E7F3" w:rsidR="0079264A" w:rsidRDefault="0079264A">
      <w:pPr>
        <w:pStyle w:val="TOC2"/>
        <w:tabs>
          <w:tab w:val="right" w:pos="9628"/>
        </w:tabs>
        <w:rPr>
          <w:rFonts w:asciiTheme="minorHAnsi" w:eastAsiaTheme="minorEastAsia" w:hAnsiTheme="minorHAnsi"/>
          <w:noProof/>
          <w:sz w:val="22"/>
          <w:lang w:eastAsia="en-GB"/>
        </w:rPr>
      </w:pPr>
      <w:hyperlink w:anchor="_Toc111551929" w:history="1">
        <w:r w:rsidRPr="000C347F">
          <w:rPr>
            <w:rStyle w:val="Hyperlink"/>
            <w:noProof/>
          </w:rPr>
          <w:t>Tendering Timetable</w:t>
        </w:r>
        <w:r>
          <w:rPr>
            <w:noProof/>
            <w:webHidden/>
          </w:rPr>
          <w:tab/>
        </w:r>
        <w:r>
          <w:rPr>
            <w:noProof/>
            <w:webHidden/>
          </w:rPr>
          <w:fldChar w:fldCharType="begin"/>
        </w:r>
        <w:r>
          <w:rPr>
            <w:noProof/>
            <w:webHidden/>
          </w:rPr>
          <w:instrText xml:space="preserve"> PAGEREF _Toc111551929 \h </w:instrText>
        </w:r>
        <w:r>
          <w:rPr>
            <w:noProof/>
            <w:webHidden/>
          </w:rPr>
        </w:r>
        <w:r>
          <w:rPr>
            <w:noProof/>
            <w:webHidden/>
          </w:rPr>
          <w:fldChar w:fldCharType="separate"/>
        </w:r>
        <w:r w:rsidR="00981F2A">
          <w:rPr>
            <w:noProof/>
            <w:webHidden/>
          </w:rPr>
          <w:t>19</w:t>
        </w:r>
        <w:r>
          <w:rPr>
            <w:noProof/>
            <w:webHidden/>
          </w:rPr>
          <w:fldChar w:fldCharType="end"/>
        </w:r>
      </w:hyperlink>
    </w:p>
    <w:p w14:paraId="0713F7E5" w14:textId="41783D40" w:rsidR="0079264A" w:rsidRDefault="0079264A">
      <w:pPr>
        <w:pStyle w:val="TOC2"/>
        <w:tabs>
          <w:tab w:val="right" w:pos="9628"/>
        </w:tabs>
        <w:rPr>
          <w:rFonts w:asciiTheme="minorHAnsi" w:eastAsiaTheme="minorEastAsia" w:hAnsiTheme="minorHAnsi"/>
          <w:noProof/>
          <w:sz w:val="22"/>
          <w:lang w:eastAsia="en-GB"/>
        </w:rPr>
      </w:pPr>
      <w:hyperlink w:anchor="_Toc111551930" w:history="1">
        <w:r w:rsidRPr="000C347F">
          <w:rPr>
            <w:rStyle w:val="Hyperlink"/>
            <w:noProof/>
          </w:rPr>
          <w:t>Tendering Instructions and Guidance</w:t>
        </w:r>
        <w:r>
          <w:rPr>
            <w:noProof/>
            <w:webHidden/>
          </w:rPr>
          <w:tab/>
        </w:r>
        <w:r>
          <w:rPr>
            <w:noProof/>
            <w:webHidden/>
          </w:rPr>
          <w:fldChar w:fldCharType="begin"/>
        </w:r>
        <w:r>
          <w:rPr>
            <w:noProof/>
            <w:webHidden/>
          </w:rPr>
          <w:instrText xml:space="preserve"> PAGEREF _Toc111551930 \h </w:instrText>
        </w:r>
        <w:r>
          <w:rPr>
            <w:noProof/>
            <w:webHidden/>
          </w:rPr>
        </w:r>
        <w:r>
          <w:rPr>
            <w:noProof/>
            <w:webHidden/>
          </w:rPr>
          <w:fldChar w:fldCharType="separate"/>
        </w:r>
        <w:r w:rsidR="00981F2A">
          <w:rPr>
            <w:noProof/>
            <w:webHidden/>
          </w:rPr>
          <w:t>19</w:t>
        </w:r>
        <w:r>
          <w:rPr>
            <w:noProof/>
            <w:webHidden/>
          </w:rPr>
          <w:fldChar w:fldCharType="end"/>
        </w:r>
      </w:hyperlink>
    </w:p>
    <w:p w14:paraId="6B48D324" w14:textId="2419B6E7" w:rsidR="00FC6860" w:rsidRDefault="00FC6860" w:rsidP="003A16E9">
      <w:pPr>
        <w:sectPr w:rsidR="00FC6860" w:rsidSect="003A16E9">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5CB061E3" w14:textId="307E5A8C" w:rsidR="00A02455" w:rsidRPr="00A9682D" w:rsidRDefault="00A02455" w:rsidP="00A02455">
      <w:pPr>
        <w:rPr>
          <w:b/>
          <w:bCs/>
          <w:color w:val="B1173B"/>
        </w:rPr>
      </w:pPr>
      <w:r>
        <w:t xml:space="preserve">The purpose of this document is to invite proposals for </w:t>
      </w:r>
      <w:r w:rsidR="10CC82CD">
        <w:t xml:space="preserve">a </w:t>
      </w:r>
      <w:sdt>
        <w:sdtPr>
          <w:alias w:val="Subject"/>
          <w:tag w:val=""/>
          <w:id w:val="104852758"/>
          <w:placeholder>
            <w:docPart w:val="7CE49B2CCF2344F5BD6A9B1A25690393"/>
          </w:placeholder>
          <w:dataBinding w:prefixMappings="xmlns:ns0='http://purl.org/dc/elements/1.1/' xmlns:ns1='http://schemas.openxmlformats.org/package/2006/metadata/core-properties' " w:xpath="/ns1:coreProperties[1]/ns0:subject[1]" w:storeItemID="{6C3C8BC8-F283-45AE-878A-BAB7291924A1}"/>
          <w:text/>
        </w:sdtPr>
        <w:sdtEndPr/>
        <w:sdtContent>
          <w:r w:rsidR="00DD6C47" w:rsidRPr="00981F2A">
            <w:t>Review of National Highways Whole-life cost approach</w:t>
          </w:r>
        </w:sdtContent>
      </w:sdt>
      <w:r w:rsidR="00A9682D" w:rsidRPr="00981F2A">
        <w:t xml:space="preserve"> </w:t>
      </w:r>
      <w:r>
        <w:t>for the Office of Rail and Road (ORR).</w:t>
      </w:r>
      <w:r w:rsidRPr="00574B16">
        <w:rPr>
          <w:color w:val="B1173B"/>
        </w:rPr>
        <w:t xml:space="preserve"> </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11551914"/>
      <w:r>
        <w:lastRenderedPageBreak/>
        <w:t>Introduction to the Office of Rail and Road</w:t>
      </w:r>
      <w:bookmarkEnd w:id="5"/>
    </w:p>
    <w:p w14:paraId="0EC8CF73" w14:textId="495C5267" w:rsidR="00490915" w:rsidRDefault="00490915" w:rsidP="00490915">
      <w:r>
        <w:t>The Office of Rail and Road is the independent safety and economic regulator of Britain’s railways who also hold National Highways to account for its day-to-day efficiency and performance, running the strategic road network, and for delivering the five</w:t>
      </w:r>
      <w:r w:rsidR="007C5212">
        <w:t>-</w:t>
      </w:r>
      <w:r>
        <w:t xml:space="preserve">year road investment strategy set by the Department for Transport (DfT). </w:t>
      </w:r>
    </w:p>
    <w:p w14:paraId="352A1B0F" w14:textId="77777777" w:rsidR="00490915" w:rsidRDefault="00490915" w:rsidP="00490915">
      <w:r>
        <w:t>ORR currently employs approximately 360 personnel and operates from 6 locations nationwide. The majority of personnel are located at ORR’s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11551916"/>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service; </w:t>
      </w:r>
    </w:p>
    <w:p w14:paraId="0B92DD7B" w14:textId="74711B91" w:rsidR="00490915" w:rsidRDefault="00490915" w:rsidP="00490915">
      <w:pPr>
        <w:pStyle w:val="NormalBulletround"/>
      </w:pPr>
      <w:r>
        <w:t xml:space="preserve">to achieve value for money by balancing quality and cost; </w:t>
      </w:r>
    </w:p>
    <w:p w14:paraId="1C476475" w14:textId="323B8CE0" w:rsidR="00490915" w:rsidRDefault="00490915" w:rsidP="00490915">
      <w:pPr>
        <w:pStyle w:val="NormalBulletround"/>
      </w:pPr>
      <w:r>
        <w:t xml:space="preserve">to ensure contracts are managed effectively and outputs are delivered;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to ensure that procurement is undertaken with regard to Law and best practice.</w:t>
      </w:r>
    </w:p>
    <w:p w14:paraId="06E7514B" w14:textId="04BD1B8A" w:rsidR="00490915" w:rsidRDefault="00490915" w:rsidP="00490915">
      <w:r>
        <w:t xml:space="preserve">For further information on ORR please visit our website: </w:t>
      </w:r>
      <w:hyperlink r:id="rId19"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lastRenderedPageBreak/>
        <w:t>Small and Medium Enterprises</w:t>
      </w:r>
      <w:bookmarkEnd w:id="8"/>
    </w:p>
    <w:p w14:paraId="37ED9C1E" w14:textId="77777777" w:rsidR="00D776B6" w:rsidRDefault="00D776B6" w:rsidP="00D776B6">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3A16E9">
            <w:pPr>
              <w:pStyle w:val="TblText"/>
            </w:pPr>
            <w:r w:rsidRPr="00D6160E">
              <w:t>≤ € 10 million</w:t>
            </w:r>
          </w:p>
        </w:tc>
        <w:tc>
          <w:tcPr>
            <w:tcW w:w="894" w:type="dxa"/>
            <w:shd w:val="clear" w:color="auto" w:fill="auto"/>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3A16E9">
            <w:pPr>
              <w:pStyle w:val="TblText"/>
            </w:pPr>
            <w:r w:rsidRPr="00D6160E">
              <w:t>&gt; € 50 million</w:t>
            </w:r>
          </w:p>
        </w:tc>
        <w:tc>
          <w:tcPr>
            <w:tcW w:w="894" w:type="dxa"/>
            <w:shd w:val="clear" w:color="auto" w:fill="auto"/>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11551918"/>
      <w:r>
        <w:lastRenderedPageBreak/>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6CD5E1B3" w14:textId="77777777" w:rsidR="00650977" w:rsidRDefault="00650977" w:rsidP="00650977">
      <w:pPr>
        <w:pStyle w:val="NormalBulletround"/>
        <w:numPr>
          <w:ilvl w:val="0"/>
          <w:numId w:val="0"/>
        </w:numPr>
      </w:pPr>
      <w:r>
        <w:t xml:space="preserve">National Highways operates, maintains and improves the strategic road network – the motorways and main ‘A’ roads in England. The Office of Rail and Road (ORR) – through its Highways Monitor function – is responsible for monitoring and enforcing performance and efficiency of National Highways. </w:t>
      </w:r>
    </w:p>
    <w:p w14:paraId="6440812B" w14:textId="77777777" w:rsidR="00650977" w:rsidRDefault="00650977" w:rsidP="00650977">
      <w:pPr>
        <w:pStyle w:val="NormalBulletround"/>
        <w:numPr>
          <w:ilvl w:val="0"/>
          <w:numId w:val="0"/>
        </w:numPr>
      </w:pPr>
      <w:r>
        <w:t xml:space="preserve">National Highways Licence includes both statutory directions and statutory guidance issued by the Secretary of State to the Licence holder – National Highways, as provided for in section 6 of the Infrastructure Act 2015. </w:t>
      </w:r>
    </w:p>
    <w:p w14:paraId="023B4D5A" w14:textId="1B04A359" w:rsidR="00650977" w:rsidRPr="00865AB3" w:rsidRDefault="00650977" w:rsidP="00650977">
      <w:pPr>
        <w:pStyle w:val="NormalBulletround"/>
        <w:numPr>
          <w:ilvl w:val="0"/>
          <w:numId w:val="0"/>
        </w:numPr>
      </w:pPr>
      <w:r w:rsidRPr="00865AB3">
        <w:t xml:space="preserve">The </w:t>
      </w:r>
      <w:hyperlink r:id="rId20" w:history="1">
        <w:r w:rsidRPr="00865AB3">
          <w:rPr>
            <w:rStyle w:val="Hyperlink"/>
          </w:rPr>
          <w:t>Licence</w:t>
        </w:r>
      </w:hyperlink>
      <w:r w:rsidRPr="00865AB3">
        <w:t xml:space="preserve"> includes condition 5.12:  </w:t>
      </w:r>
    </w:p>
    <w:p w14:paraId="0146E7A6" w14:textId="7C50BE22" w:rsidR="00865AB3" w:rsidRPr="00865AB3" w:rsidRDefault="00865AB3" w:rsidP="00260237">
      <w:pPr>
        <w:pStyle w:val="NormalBulletround"/>
        <w:numPr>
          <w:ilvl w:val="0"/>
          <w:numId w:val="0"/>
        </w:numPr>
        <w:rPr>
          <w:lang w:val="en-US"/>
        </w:rPr>
      </w:pPr>
      <w:r w:rsidRPr="00865AB3">
        <w:t xml:space="preserve">In complying with </w:t>
      </w:r>
      <w:r w:rsidR="00260237">
        <w:t>5.12</w:t>
      </w:r>
      <w:r w:rsidRPr="00865AB3">
        <w:t xml:space="preserve">, the Licence holder must: </w:t>
      </w:r>
    </w:p>
    <w:p w14:paraId="3F1B81D8" w14:textId="3411833B" w:rsidR="00865AB3" w:rsidRPr="00865AB3" w:rsidRDefault="00865AB3" w:rsidP="009F04E8">
      <w:pPr>
        <w:pStyle w:val="NormalBulletround"/>
        <w:numPr>
          <w:ilvl w:val="0"/>
          <w:numId w:val="0"/>
        </w:numPr>
        <w:ind w:left="567" w:hanging="567"/>
      </w:pPr>
      <w:r w:rsidRPr="00865AB3">
        <w:t xml:space="preserve">a. Adopt a </w:t>
      </w:r>
      <w:r w:rsidR="009F04E8">
        <w:t>W</w:t>
      </w:r>
      <w:r w:rsidRPr="00865AB3">
        <w:t xml:space="preserve">hole-life cost approach to managing its assets; </w:t>
      </w:r>
    </w:p>
    <w:p w14:paraId="4C254867" w14:textId="53A37066" w:rsidR="00865AB3" w:rsidRPr="00865AB3" w:rsidRDefault="00865AB3" w:rsidP="009F04E8">
      <w:pPr>
        <w:pStyle w:val="NormalBullet-"/>
        <w:numPr>
          <w:ilvl w:val="0"/>
          <w:numId w:val="0"/>
        </w:numPr>
        <w:rPr>
          <w:lang w:val="en-US"/>
        </w:rPr>
      </w:pPr>
      <w:r w:rsidRPr="00865AB3">
        <w:t xml:space="preserve">b. When presented with a significant choice between bearing short-term costs and increasing long-term costs, appraise the different options in line with relevant government policy and guidance to determine which represents the best overall value for money; </w:t>
      </w:r>
    </w:p>
    <w:p w14:paraId="2E5BC5C1" w14:textId="57BF744D" w:rsidR="00865AB3" w:rsidRPr="00865AB3" w:rsidRDefault="00865AB3" w:rsidP="009F04E8">
      <w:pPr>
        <w:pStyle w:val="NormalBulletround"/>
        <w:numPr>
          <w:ilvl w:val="0"/>
          <w:numId w:val="0"/>
        </w:numPr>
        <w:ind w:left="567" w:hanging="567"/>
      </w:pPr>
      <w:r w:rsidRPr="00865AB3">
        <w:t>c. Ensure that it has in place robust internal arrangements to achieve, a</w:t>
      </w:r>
      <w:r w:rsidR="00260237">
        <w:t xml:space="preserve">nd </w:t>
      </w:r>
      <w:r w:rsidRPr="00865AB3">
        <w:t>to demonstrate</w:t>
      </w:r>
      <w:r w:rsidR="009F04E8">
        <w:t xml:space="preserve"> </w:t>
      </w:r>
      <w:r w:rsidRPr="00865AB3">
        <w:t>how it has achieved, value for money;</w:t>
      </w:r>
    </w:p>
    <w:p w14:paraId="199DC785" w14:textId="3BA4E109" w:rsidR="00865AB3" w:rsidRPr="00865AB3" w:rsidRDefault="00865AB3" w:rsidP="009F04E8">
      <w:pPr>
        <w:pStyle w:val="NormalBulletround"/>
        <w:numPr>
          <w:ilvl w:val="0"/>
          <w:numId w:val="0"/>
        </w:numPr>
        <w:ind w:left="567" w:hanging="567"/>
      </w:pPr>
      <w:r w:rsidRPr="00865AB3">
        <w:t>d. Have due regard to circumstances in which it may be appropriate to carry out additional work as part of proposals where these can reduce or eliminate long-term costs or disruption to the network. </w:t>
      </w:r>
    </w:p>
    <w:p w14:paraId="62F0F44D" w14:textId="77777777" w:rsidR="00865AB3" w:rsidRPr="00865AB3" w:rsidRDefault="00865AB3" w:rsidP="009F04E8">
      <w:pPr>
        <w:pStyle w:val="NormalBulletround"/>
        <w:numPr>
          <w:ilvl w:val="0"/>
          <w:numId w:val="0"/>
        </w:numPr>
      </w:pPr>
      <w:r w:rsidRPr="00865AB3">
        <w:t xml:space="preserve">This review will focus on investments related to Operation, Maintenance and Renewals (OMR) and provide clarification on the application of the Licence condition to OMR. </w:t>
      </w:r>
    </w:p>
    <w:p w14:paraId="62F7A036" w14:textId="3681B96E" w:rsidR="00D07C35" w:rsidRDefault="00D07C35" w:rsidP="003F3CB0">
      <w:r w:rsidRPr="006F108F">
        <w:t xml:space="preserve">ORR is seeking </w:t>
      </w:r>
      <w:r w:rsidR="009F04E8">
        <w:t xml:space="preserve">a </w:t>
      </w:r>
      <w:r w:rsidRPr="006F108F">
        <w:t>better understanding and visibility of National Highways approach to Whole-life cost to assess the level of compliance with the Licence.</w:t>
      </w:r>
    </w:p>
    <w:p w14:paraId="4C035B20" w14:textId="76385534" w:rsidR="00A87340" w:rsidRPr="00865AB3" w:rsidRDefault="00A87340" w:rsidP="00A87340">
      <w:r w:rsidRPr="00865AB3">
        <w:t xml:space="preserve">This project is a jointly funded between the Office of Rail and Road and National Highways. Therefore, the client project management team will comprise </w:t>
      </w:r>
      <w:r w:rsidR="009F04E8">
        <w:t xml:space="preserve">of </w:t>
      </w:r>
      <w:r w:rsidRPr="00865AB3">
        <w:t>representatives from both organisations.</w:t>
      </w:r>
    </w:p>
    <w:p w14:paraId="0523DDDF" w14:textId="77777777" w:rsidR="00A87340" w:rsidRPr="006F108F" w:rsidRDefault="00A87340" w:rsidP="003F3CB0"/>
    <w:p w14:paraId="74919ACA" w14:textId="178F61FF" w:rsidR="00F20E70" w:rsidRDefault="00F20E70" w:rsidP="00F20E70">
      <w:pPr>
        <w:pStyle w:val="Heading3"/>
      </w:pPr>
      <w:bookmarkStart w:id="11" w:name="_Toc111551920"/>
      <w:r>
        <w:lastRenderedPageBreak/>
        <w:t>2.2 Project Objectives and Scope</w:t>
      </w:r>
      <w:bookmarkEnd w:id="11"/>
    </w:p>
    <w:p w14:paraId="2D82DE94" w14:textId="01AA7308" w:rsidR="00FA3529" w:rsidRPr="007739E2" w:rsidRDefault="00FA3529" w:rsidP="00FA3529">
      <w:pPr>
        <w:pStyle w:val="Numberedparagraphdouble"/>
        <w:numPr>
          <w:ilvl w:val="0"/>
          <w:numId w:val="0"/>
        </w:numPr>
        <w:ind w:left="851" w:hanging="851"/>
        <w:rPr>
          <w:b/>
          <w:bCs/>
        </w:rPr>
      </w:pPr>
      <w:r w:rsidRPr="007739E2">
        <w:rPr>
          <w:b/>
          <w:bCs/>
        </w:rPr>
        <w:t>Objective</w:t>
      </w:r>
      <w:r w:rsidR="00480562">
        <w:rPr>
          <w:b/>
          <w:bCs/>
        </w:rPr>
        <w:t>s:</w:t>
      </w:r>
    </w:p>
    <w:p w14:paraId="72AF272F" w14:textId="7EE7DEBF" w:rsidR="007C43C1" w:rsidRPr="008873CC" w:rsidRDefault="00FA3529" w:rsidP="008873CC">
      <w:pPr>
        <w:pStyle w:val="NormalBulletround"/>
        <w:numPr>
          <w:ilvl w:val="0"/>
          <w:numId w:val="0"/>
        </w:numPr>
        <w:ind w:left="567"/>
      </w:pPr>
      <w:r w:rsidRPr="0B977F51">
        <w:rPr>
          <w:rFonts w:eastAsiaTheme="minorEastAsia"/>
        </w:rPr>
        <w:t xml:space="preserve">The Office of Rail and Road (ORR) is commissioning a </w:t>
      </w:r>
      <w:r>
        <w:rPr>
          <w:rFonts w:eastAsiaTheme="minorEastAsia"/>
        </w:rPr>
        <w:t xml:space="preserve">project </w:t>
      </w:r>
      <w:r w:rsidRPr="0B977F51">
        <w:rPr>
          <w:rFonts w:eastAsiaTheme="minorEastAsia"/>
        </w:rPr>
        <w:t xml:space="preserve">to </w:t>
      </w:r>
      <w:r>
        <w:rPr>
          <w:rFonts w:eastAsiaTheme="minorEastAsia"/>
        </w:rPr>
        <w:t>review</w:t>
      </w:r>
      <w:r w:rsidRPr="0B977F51">
        <w:rPr>
          <w:rFonts w:eastAsiaTheme="minorEastAsia"/>
        </w:rPr>
        <w:t xml:space="preserve"> how National Highway</w:t>
      </w:r>
      <w:r>
        <w:rPr>
          <w:rFonts w:eastAsiaTheme="minorEastAsia"/>
        </w:rPr>
        <w:t>s (NH)</w:t>
      </w:r>
      <w:r w:rsidRPr="0B977F51">
        <w:rPr>
          <w:rFonts w:eastAsiaTheme="minorEastAsia"/>
        </w:rPr>
        <w:t xml:space="preserve"> is progressing its </w:t>
      </w:r>
      <w:r>
        <w:rPr>
          <w:rFonts w:eastAsiaTheme="minorEastAsia"/>
        </w:rPr>
        <w:t>L</w:t>
      </w:r>
      <w:r w:rsidRPr="0B977F51">
        <w:rPr>
          <w:rFonts w:eastAsiaTheme="minorEastAsia"/>
        </w:rPr>
        <w:t xml:space="preserve">icense </w:t>
      </w:r>
      <w:r>
        <w:rPr>
          <w:rFonts w:eastAsiaTheme="minorEastAsia"/>
        </w:rPr>
        <w:t>c</w:t>
      </w:r>
      <w:r w:rsidRPr="0B977F51">
        <w:rPr>
          <w:rFonts w:eastAsiaTheme="minorEastAsia"/>
        </w:rPr>
        <w:t xml:space="preserve">ommitment </w:t>
      </w:r>
      <w:r>
        <w:rPr>
          <w:rFonts w:eastAsiaTheme="minorEastAsia"/>
        </w:rPr>
        <w:t xml:space="preserve">(5.12) </w:t>
      </w:r>
      <w:r w:rsidRPr="0B977F51">
        <w:rPr>
          <w:rFonts w:eastAsiaTheme="minorEastAsia"/>
        </w:rPr>
        <w:t xml:space="preserve">to adopt a </w:t>
      </w:r>
      <w:r>
        <w:rPr>
          <w:rFonts w:eastAsiaTheme="minorEastAsia"/>
        </w:rPr>
        <w:t>W</w:t>
      </w:r>
      <w:r w:rsidRPr="0B977F51">
        <w:rPr>
          <w:rFonts w:eastAsiaTheme="minorEastAsia"/>
        </w:rPr>
        <w:t>hole-</w:t>
      </w:r>
      <w:r>
        <w:rPr>
          <w:rFonts w:eastAsiaTheme="minorEastAsia"/>
        </w:rPr>
        <w:t>l</w:t>
      </w:r>
      <w:r w:rsidRPr="0B977F51">
        <w:rPr>
          <w:rFonts w:eastAsiaTheme="minorEastAsia"/>
        </w:rPr>
        <w:t xml:space="preserve">ife </w:t>
      </w:r>
      <w:r>
        <w:rPr>
          <w:rFonts w:eastAsiaTheme="minorEastAsia"/>
        </w:rPr>
        <w:t>c</w:t>
      </w:r>
      <w:r w:rsidRPr="0B977F51">
        <w:rPr>
          <w:rFonts w:eastAsiaTheme="minorEastAsia"/>
        </w:rPr>
        <w:t xml:space="preserve">ost </w:t>
      </w:r>
      <w:r>
        <w:rPr>
          <w:rFonts w:eastAsiaTheme="minorEastAsia"/>
        </w:rPr>
        <w:t xml:space="preserve">(WLC) </w:t>
      </w:r>
      <w:r w:rsidRPr="0B977F51">
        <w:rPr>
          <w:rFonts w:eastAsiaTheme="minorEastAsia"/>
        </w:rPr>
        <w:t>approach to manag</w:t>
      </w:r>
      <w:r>
        <w:rPr>
          <w:rFonts w:eastAsiaTheme="minorEastAsia"/>
        </w:rPr>
        <w:t>ing</w:t>
      </w:r>
      <w:r w:rsidRPr="0B977F51">
        <w:rPr>
          <w:rFonts w:eastAsiaTheme="minorEastAsia"/>
        </w:rPr>
        <w:t xml:space="preserve"> its assets</w:t>
      </w:r>
      <w:r w:rsidR="008873CC">
        <w:rPr>
          <w:rFonts w:eastAsiaTheme="minorEastAsia"/>
        </w:rPr>
        <w:t xml:space="preserve"> and </w:t>
      </w:r>
      <w:r w:rsidR="008873CC" w:rsidRPr="00865AB3">
        <w:t xml:space="preserve">provide clarification on the application of the Licence condition. </w:t>
      </w:r>
      <w:r w:rsidRPr="0B977F51">
        <w:rPr>
          <w:rFonts w:eastAsiaTheme="minorEastAsia"/>
        </w:rPr>
        <w:t>This review will focus on investments related to Operation</w:t>
      </w:r>
      <w:r w:rsidR="00FE346D">
        <w:rPr>
          <w:rFonts w:eastAsiaTheme="minorEastAsia"/>
        </w:rPr>
        <w:t>s</w:t>
      </w:r>
      <w:r w:rsidRPr="0B977F51">
        <w:rPr>
          <w:rFonts w:eastAsiaTheme="minorEastAsia"/>
        </w:rPr>
        <w:t>, Maintenance and Renewals (OMR).</w:t>
      </w:r>
    </w:p>
    <w:p w14:paraId="3E6598AA" w14:textId="030BBD1F" w:rsidR="00FA3529" w:rsidRDefault="00FA3529" w:rsidP="00FA3529">
      <w:pPr>
        <w:pStyle w:val="paragraph"/>
        <w:spacing w:before="0" w:beforeAutospacing="0" w:after="0" w:afterAutospacing="0"/>
        <w:textAlignment w:val="baseline"/>
        <w:rPr>
          <w:rStyle w:val="eop"/>
          <w:rFonts w:ascii="Arial" w:hAnsi="Arial" w:cs="Arial"/>
          <w:b/>
        </w:rPr>
      </w:pPr>
      <w:r w:rsidRPr="007739E2">
        <w:rPr>
          <w:rStyle w:val="eop"/>
          <w:rFonts w:ascii="Arial" w:hAnsi="Arial" w:cs="Arial"/>
          <w:b/>
          <w:bCs/>
        </w:rPr>
        <w:t>Scope</w:t>
      </w:r>
      <w:r w:rsidR="00480562">
        <w:rPr>
          <w:rStyle w:val="eop"/>
          <w:rFonts w:ascii="Arial" w:hAnsi="Arial" w:cs="Arial"/>
          <w:b/>
          <w:bCs/>
        </w:rPr>
        <w:t>:</w:t>
      </w:r>
    </w:p>
    <w:p w14:paraId="06E2D4DC" w14:textId="77777777" w:rsidR="00D42FB4" w:rsidRPr="007739E2" w:rsidRDefault="00D42FB4" w:rsidP="00FA3529">
      <w:pPr>
        <w:pStyle w:val="paragraph"/>
        <w:spacing w:before="0" w:beforeAutospacing="0" w:after="0" w:afterAutospacing="0"/>
        <w:textAlignment w:val="baseline"/>
        <w:rPr>
          <w:rFonts w:ascii="Arial" w:hAnsi="Arial" w:cs="Arial"/>
          <w:b/>
          <w:bCs/>
        </w:rPr>
      </w:pPr>
    </w:p>
    <w:p w14:paraId="7364F2B0" w14:textId="77777777" w:rsidR="006D6756" w:rsidRPr="006D6756" w:rsidRDefault="006D6756" w:rsidP="006D6756">
      <w:pPr>
        <w:pStyle w:val="ListParagraph"/>
        <w:rPr>
          <w:rFonts w:cs="Arial"/>
          <w:szCs w:val="24"/>
        </w:rPr>
      </w:pPr>
      <w:r w:rsidRPr="006D6756">
        <w:rPr>
          <w:rFonts w:cs="Arial"/>
          <w:szCs w:val="24"/>
        </w:rPr>
        <w:t>The review will:</w:t>
      </w:r>
    </w:p>
    <w:p w14:paraId="02BF3CCF" w14:textId="77777777" w:rsidR="006D6756" w:rsidRPr="006D6756" w:rsidRDefault="006D6756" w:rsidP="006D6756">
      <w:pPr>
        <w:pStyle w:val="ListParagraph"/>
        <w:rPr>
          <w:rFonts w:cs="Arial"/>
          <w:szCs w:val="24"/>
        </w:rPr>
      </w:pPr>
      <w:r w:rsidRPr="006D6756">
        <w:rPr>
          <w:rFonts w:cs="Arial"/>
          <w:szCs w:val="24"/>
        </w:rPr>
        <w:t>1.</w:t>
      </w:r>
      <w:r w:rsidRPr="006D6756">
        <w:rPr>
          <w:rFonts w:cs="Arial"/>
          <w:szCs w:val="24"/>
        </w:rPr>
        <w:tab/>
        <w:t>examine NH’s WLC approach related to OMR investments including:</w:t>
      </w:r>
    </w:p>
    <w:p w14:paraId="7D8C6FD7" w14:textId="77777777" w:rsidR="006D6756" w:rsidRPr="006D6756" w:rsidRDefault="006D6756" w:rsidP="00AB3578">
      <w:pPr>
        <w:pStyle w:val="ListParagraph"/>
        <w:ind w:left="2160"/>
        <w:rPr>
          <w:rFonts w:cs="Arial"/>
          <w:szCs w:val="24"/>
        </w:rPr>
      </w:pPr>
      <w:r w:rsidRPr="006D6756">
        <w:rPr>
          <w:rFonts w:cs="Arial"/>
          <w:szCs w:val="24"/>
        </w:rPr>
        <w:t>•</w:t>
      </w:r>
      <w:r w:rsidRPr="006D6756">
        <w:rPr>
          <w:rFonts w:cs="Arial"/>
          <w:szCs w:val="24"/>
        </w:rPr>
        <w:tab/>
        <w:t>processes;</w:t>
      </w:r>
    </w:p>
    <w:p w14:paraId="0FAB967A" w14:textId="77777777" w:rsidR="006D6756" w:rsidRPr="006D6756" w:rsidRDefault="006D6756" w:rsidP="00AB3578">
      <w:pPr>
        <w:pStyle w:val="ListParagraph"/>
        <w:ind w:left="2160"/>
        <w:rPr>
          <w:rFonts w:cs="Arial"/>
          <w:szCs w:val="24"/>
        </w:rPr>
      </w:pPr>
      <w:r w:rsidRPr="006D6756">
        <w:rPr>
          <w:rFonts w:cs="Arial"/>
          <w:szCs w:val="24"/>
        </w:rPr>
        <w:t>•</w:t>
      </w:r>
      <w:r w:rsidRPr="006D6756">
        <w:rPr>
          <w:rFonts w:cs="Arial"/>
          <w:szCs w:val="24"/>
        </w:rPr>
        <w:tab/>
        <w:t xml:space="preserve">systems and models; </w:t>
      </w:r>
    </w:p>
    <w:p w14:paraId="44B88B2E" w14:textId="77777777" w:rsidR="006D6756" w:rsidRPr="006D6756" w:rsidRDefault="006D6756" w:rsidP="00AB3578">
      <w:pPr>
        <w:pStyle w:val="ListParagraph"/>
        <w:ind w:left="2160"/>
        <w:rPr>
          <w:rFonts w:cs="Arial"/>
          <w:szCs w:val="24"/>
        </w:rPr>
      </w:pPr>
      <w:r w:rsidRPr="006D6756">
        <w:rPr>
          <w:rFonts w:cs="Arial"/>
          <w:szCs w:val="24"/>
        </w:rPr>
        <w:t>•</w:t>
      </w:r>
      <w:r w:rsidRPr="006D6756">
        <w:rPr>
          <w:rFonts w:cs="Arial"/>
          <w:szCs w:val="24"/>
        </w:rPr>
        <w:tab/>
        <w:t xml:space="preserve">governance and assurances; and </w:t>
      </w:r>
    </w:p>
    <w:p w14:paraId="76C03AC6" w14:textId="77777777" w:rsidR="006D6756" w:rsidRPr="006D6756" w:rsidRDefault="006D6756" w:rsidP="00AB3578">
      <w:pPr>
        <w:pStyle w:val="ListParagraph"/>
        <w:ind w:left="2160"/>
        <w:rPr>
          <w:rFonts w:cs="Arial"/>
          <w:szCs w:val="24"/>
        </w:rPr>
      </w:pPr>
      <w:r w:rsidRPr="006D6756">
        <w:rPr>
          <w:rFonts w:cs="Arial"/>
          <w:szCs w:val="24"/>
        </w:rPr>
        <w:t>•</w:t>
      </w:r>
      <w:r w:rsidRPr="006D6756">
        <w:rPr>
          <w:rFonts w:cs="Arial"/>
          <w:szCs w:val="24"/>
        </w:rPr>
        <w:tab/>
        <w:t>management.</w:t>
      </w:r>
    </w:p>
    <w:p w14:paraId="479BC0AE" w14:textId="77777777" w:rsidR="006D6756" w:rsidRPr="006D6756" w:rsidRDefault="006D6756" w:rsidP="006D6756">
      <w:pPr>
        <w:pStyle w:val="ListParagraph"/>
        <w:rPr>
          <w:rFonts w:cs="Arial"/>
          <w:szCs w:val="24"/>
        </w:rPr>
      </w:pPr>
    </w:p>
    <w:p w14:paraId="3D3BABB4" w14:textId="77777777" w:rsidR="006D6756" w:rsidRPr="006D6756" w:rsidRDefault="006D6756" w:rsidP="006D6756">
      <w:pPr>
        <w:pStyle w:val="ListParagraph"/>
        <w:rPr>
          <w:rFonts w:cs="Arial"/>
          <w:szCs w:val="24"/>
        </w:rPr>
      </w:pPr>
      <w:r w:rsidRPr="006D6756">
        <w:rPr>
          <w:rFonts w:cs="Arial"/>
          <w:szCs w:val="24"/>
        </w:rPr>
        <w:t>2.</w:t>
      </w:r>
      <w:r w:rsidRPr="006D6756">
        <w:rPr>
          <w:rFonts w:cs="Arial"/>
          <w:szCs w:val="24"/>
        </w:rPr>
        <w:tab/>
        <w:t>research external WLC best practice, using industry comparators suggested by the bidder, to compare NH’s WLC approach with others;</w:t>
      </w:r>
    </w:p>
    <w:p w14:paraId="3536DFB9" w14:textId="77777777" w:rsidR="006D6756" w:rsidRPr="006D6756" w:rsidRDefault="006D6756" w:rsidP="006D6756">
      <w:pPr>
        <w:pStyle w:val="ListParagraph"/>
        <w:rPr>
          <w:rFonts w:cs="Arial"/>
          <w:szCs w:val="24"/>
        </w:rPr>
      </w:pPr>
    </w:p>
    <w:p w14:paraId="1531930D" w14:textId="77777777" w:rsidR="006D6756" w:rsidRPr="006D6756" w:rsidRDefault="006D6756" w:rsidP="006D6756">
      <w:pPr>
        <w:pStyle w:val="ListParagraph"/>
        <w:rPr>
          <w:rFonts w:cs="Arial"/>
          <w:szCs w:val="24"/>
        </w:rPr>
      </w:pPr>
      <w:r w:rsidRPr="006D6756">
        <w:rPr>
          <w:rFonts w:cs="Arial"/>
          <w:szCs w:val="24"/>
        </w:rPr>
        <w:t>3.</w:t>
      </w:r>
      <w:r w:rsidRPr="006D6756">
        <w:rPr>
          <w:rFonts w:cs="Arial"/>
          <w:szCs w:val="24"/>
        </w:rPr>
        <w:tab/>
        <w:t>identify and provide evidence of where a documented WLC approach has been applied to make decisions, according to the Licence requirement, and where there are gaps.  From this, highlight internal WLC best practice to share across the business;</w:t>
      </w:r>
    </w:p>
    <w:p w14:paraId="29E32135" w14:textId="77777777" w:rsidR="006D6756" w:rsidRPr="006D6756" w:rsidRDefault="006D6756" w:rsidP="006D6756">
      <w:pPr>
        <w:pStyle w:val="ListParagraph"/>
        <w:rPr>
          <w:rFonts w:cs="Arial"/>
          <w:szCs w:val="24"/>
        </w:rPr>
      </w:pPr>
    </w:p>
    <w:p w14:paraId="097DACAC" w14:textId="77777777" w:rsidR="006D6756" w:rsidRPr="006D6756" w:rsidRDefault="006D6756" w:rsidP="006D6756">
      <w:pPr>
        <w:pStyle w:val="ListParagraph"/>
        <w:rPr>
          <w:rFonts w:cs="Arial"/>
          <w:szCs w:val="24"/>
        </w:rPr>
      </w:pPr>
      <w:r w:rsidRPr="006D6756">
        <w:rPr>
          <w:rFonts w:cs="Arial"/>
          <w:szCs w:val="24"/>
        </w:rPr>
        <w:t>4.</w:t>
      </w:r>
      <w:r w:rsidRPr="006D6756">
        <w:rPr>
          <w:rFonts w:cs="Arial"/>
          <w:szCs w:val="24"/>
        </w:rPr>
        <w:tab/>
        <w:t>assess   the WLC approach (using a recognised industry model, recommended by the bidder) for different renewals assets as follows:</w:t>
      </w:r>
    </w:p>
    <w:p w14:paraId="355601BA" w14:textId="77777777" w:rsidR="006D6756" w:rsidRPr="006D6756" w:rsidRDefault="006D6756" w:rsidP="00AB3578">
      <w:pPr>
        <w:pStyle w:val="ListParagraph"/>
        <w:ind w:left="2160"/>
        <w:rPr>
          <w:rFonts w:cs="Arial"/>
          <w:szCs w:val="24"/>
        </w:rPr>
      </w:pPr>
      <w:r w:rsidRPr="006D6756">
        <w:rPr>
          <w:rFonts w:cs="Arial"/>
          <w:szCs w:val="24"/>
        </w:rPr>
        <w:t>•</w:t>
      </w:r>
      <w:r w:rsidRPr="006D6756">
        <w:rPr>
          <w:rFonts w:cs="Arial"/>
          <w:szCs w:val="24"/>
        </w:rPr>
        <w:tab/>
        <w:t>flexible pavement;</w:t>
      </w:r>
    </w:p>
    <w:p w14:paraId="3F8CFBBC" w14:textId="77777777" w:rsidR="006D6756" w:rsidRPr="006D6756" w:rsidRDefault="006D6756" w:rsidP="00AB3578">
      <w:pPr>
        <w:pStyle w:val="ListParagraph"/>
        <w:ind w:left="2160"/>
        <w:rPr>
          <w:rFonts w:cs="Arial"/>
          <w:szCs w:val="24"/>
        </w:rPr>
      </w:pPr>
      <w:r w:rsidRPr="006D6756">
        <w:rPr>
          <w:rFonts w:cs="Arial"/>
          <w:szCs w:val="24"/>
        </w:rPr>
        <w:t>•</w:t>
      </w:r>
      <w:r w:rsidRPr="006D6756">
        <w:rPr>
          <w:rFonts w:cs="Arial"/>
          <w:szCs w:val="24"/>
        </w:rPr>
        <w:tab/>
        <w:t>rigid pavement;</w:t>
      </w:r>
    </w:p>
    <w:p w14:paraId="1EA239DC" w14:textId="77777777" w:rsidR="006D6756" w:rsidRPr="006D6756" w:rsidRDefault="006D6756" w:rsidP="00AB3578">
      <w:pPr>
        <w:pStyle w:val="ListParagraph"/>
        <w:ind w:left="2160"/>
        <w:rPr>
          <w:rFonts w:cs="Arial"/>
          <w:szCs w:val="24"/>
        </w:rPr>
      </w:pPr>
      <w:r w:rsidRPr="006D6756">
        <w:rPr>
          <w:rFonts w:cs="Arial"/>
          <w:szCs w:val="24"/>
        </w:rPr>
        <w:t>•</w:t>
      </w:r>
      <w:r w:rsidRPr="006D6756">
        <w:rPr>
          <w:rFonts w:cs="Arial"/>
          <w:szCs w:val="24"/>
        </w:rPr>
        <w:tab/>
        <w:t>structures;</w:t>
      </w:r>
    </w:p>
    <w:p w14:paraId="5092693D" w14:textId="77777777" w:rsidR="006D6756" w:rsidRPr="006D6756" w:rsidRDefault="006D6756" w:rsidP="00AB3578">
      <w:pPr>
        <w:pStyle w:val="ListParagraph"/>
        <w:ind w:left="2160"/>
        <w:rPr>
          <w:rFonts w:cs="Arial"/>
          <w:szCs w:val="24"/>
        </w:rPr>
      </w:pPr>
      <w:r w:rsidRPr="006D6756">
        <w:rPr>
          <w:rFonts w:cs="Arial"/>
          <w:szCs w:val="24"/>
        </w:rPr>
        <w:t>•</w:t>
      </w:r>
      <w:r w:rsidRPr="006D6756">
        <w:rPr>
          <w:rFonts w:cs="Arial"/>
          <w:szCs w:val="24"/>
        </w:rPr>
        <w:tab/>
        <w:t>geotechnic;</w:t>
      </w:r>
    </w:p>
    <w:p w14:paraId="1BDC2B78" w14:textId="77777777" w:rsidR="006D6756" w:rsidRPr="006D6756" w:rsidRDefault="006D6756" w:rsidP="00AB3578">
      <w:pPr>
        <w:pStyle w:val="ListParagraph"/>
        <w:ind w:left="2160"/>
        <w:rPr>
          <w:rFonts w:cs="Arial"/>
          <w:szCs w:val="24"/>
        </w:rPr>
      </w:pPr>
      <w:r w:rsidRPr="006D6756">
        <w:rPr>
          <w:rFonts w:cs="Arial"/>
          <w:szCs w:val="24"/>
        </w:rPr>
        <w:t>•</w:t>
      </w:r>
      <w:r w:rsidRPr="006D6756">
        <w:rPr>
          <w:rFonts w:cs="Arial"/>
          <w:szCs w:val="24"/>
        </w:rPr>
        <w:tab/>
        <w:t>drainage;</w:t>
      </w:r>
    </w:p>
    <w:p w14:paraId="687C5A0E" w14:textId="77777777" w:rsidR="006D6756" w:rsidRPr="006D6756" w:rsidRDefault="006D6756" w:rsidP="00AB3578">
      <w:pPr>
        <w:pStyle w:val="ListParagraph"/>
        <w:ind w:left="2160"/>
        <w:rPr>
          <w:rFonts w:cs="Arial"/>
          <w:szCs w:val="24"/>
        </w:rPr>
      </w:pPr>
      <w:r w:rsidRPr="006D6756">
        <w:rPr>
          <w:rFonts w:cs="Arial"/>
          <w:szCs w:val="24"/>
        </w:rPr>
        <w:t>•</w:t>
      </w:r>
      <w:r w:rsidRPr="006D6756">
        <w:rPr>
          <w:rFonts w:cs="Arial"/>
          <w:szCs w:val="24"/>
        </w:rPr>
        <w:tab/>
        <w:t>vehicle restraint systems (VRS)</w:t>
      </w:r>
    </w:p>
    <w:p w14:paraId="0597C586" w14:textId="77777777" w:rsidR="006D6756" w:rsidRPr="006D6756" w:rsidRDefault="006D6756" w:rsidP="00AB3578">
      <w:pPr>
        <w:pStyle w:val="ListParagraph"/>
        <w:ind w:left="2160"/>
        <w:rPr>
          <w:rFonts w:cs="Arial"/>
          <w:szCs w:val="24"/>
        </w:rPr>
      </w:pPr>
      <w:r w:rsidRPr="006D6756">
        <w:rPr>
          <w:rFonts w:cs="Arial"/>
          <w:szCs w:val="24"/>
        </w:rPr>
        <w:t>•</w:t>
      </w:r>
      <w:r w:rsidRPr="006D6756">
        <w:rPr>
          <w:rFonts w:cs="Arial"/>
          <w:szCs w:val="24"/>
        </w:rPr>
        <w:tab/>
        <w:t>technology; and</w:t>
      </w:r>
    </w:p>
    <w:p w14:paraId="2A815184" w14:textId="77777777" w:rsidR="006D6756" w:rsidRPr="006D6756" w:rsidRDefault="006D6756" w:rsidP="00D809FD">
      <w:pPr>
        <w:pStyle w:val="ListParagraph"/>
        <w:ind w:left="2880" w:hanging="720"/>
        <w:rPr>
          <w:rFonts w:cs="Arial"/>
          <w:szCs w:val="24"/>
        </w:rPr>
      </w:pPr>
      <w:r w:rsidRPr="006D6756">
        <w:rPr>
          <w:rFonts w:cs="Arial"/>
          <w:szCs w:val="24"/>
        </w:rPr>
        <w:t>•</w:t>
      </w:r>
      <w:r w:rsidRPr="006D6756">
        <w:rPr>
          <w:rFonts w:cs="Arial"/>
          <w:szCs w:val="24"/>
        </w:rPr>
        <w:tab/>
        <w:t>strategic renewals projects (a complex, large value renewal that could involve multiple assets).</w:t>
      </w:r>
    </w:p>
    <w:p w14:paraId="3E20F265" w14:textId="77777777" w:rsidR="006D6756" w:rsidRPr="006D6756" w:rsidRDefault="006D6756" w:rsidP="006D6756">
      <w:pPr>
        <w:pStyle w:val="ListParagraph"/>
        <w:rPr>
          <w:rFonts w:cs="Arial"/>
          <w:szCs w:val="24"/>
        </w:rPr>
      </w:pPr>
    </w:p>
    <w:p w14:paraId="10FFE470" w14:textId="77777777" w:rsidR="006D6756" w:rsidRPr="006D6756" w:rsidRDefault="006D6756" w:rsidP="006D6756">
      <w:pPr>
        <w:pStyle w:val="ListParagraph"/>
        <w:rPr>
          <w:rFonts w:cs="Arial"/>
          <w:szCs w:val="24"/>
        </w:rPr>
      </w:pPr>
      <w:r w:rsidRPr="006D6756">
        <w:rPr>
          <w:rFonts w:cs="Arial"/>
          <w:szCs w:val="24"/>
        </w:rPr>
        <w:t>5.</w:t>
      </w:r>
      <w:r w:rsidRPr="006D6756">
        <w:rPr>
          <w:rFonts w:cs="Arial"/>
          <w:szCs w:val="24"/>
        </w:rPr>
        <w:tab/>
        <w:t>identify OMR investments that do not have a WLC approach:</w:t>
      </w:r>
    </w:p>
    <w:p w14:paraId="43EB44B3" w14:textId="77777777" w:rsidR="006D6756" w:rsidRPr="006D6756" w:rsidRDefault="006D6756" w:rsidP="00AB3578">
      <w:pPr>
        <w:pStyle w:val="ListParagraph"/>
        <w:ind w:left="2160"/>
        <w:rPr>
          <w:rFonts w:cs="Arial"/>
          <w:szCs w:val="24"/>
        </w:rPr>
      </w:pPr>
      <w:r w:rsidRPr="006D6756">
        <w:rPr>
          <w:rFonts w:cs="Arial"/>
          <w:szCs w:val="24"/>
        </w:rPr>
        <w:t>•</w:t>
      </w:r>
      <w:r w:rsidRPr="006D6756">
        <w:rPr>
          <w:rFonts w:cs="Arial"/>
          <w:szCs w:val="24"/>
        </w:rPr>
        <w:tab/>
        <w:t>document the reasons; and</w:t>
      </w:r>
    </w:p>
    <w:p w14:paraId="33B760B8" w14:textId="77777777" w:rsidR="006D6756" w:rsidRPr="006D6756" w:rsidRDefault="006D6756" w:rsidP="00D42FB4">
      <w:pPr>
        <w:pStyle w:val="ListParagraph"/>
        <w:ind w:left="2880" w:hanging="720"/>
        <w:rPr>
          <w:rFonts w:cs="Arial"/>
          <w:szCs w:val="24"/>
        </w:rPr>
      </w:pPr>
      <w:r w:rsidRPr="006D6756">
        <w:rPr>
          <w:rFonts w:cs="Arial"/>
          <w:szCs w:val="24"/>
        </w:rPr>
        <w:lastRenderedPageBreak/>
        <w:t>•</w:t>
      </w:r>
      <w:r w:rsidRPr="006D6756">
        <w:rPr>
          <w:rFonts w:cs="Arial"/>
          <w:szCs w:val="24"/>
        </w:rPr>
        <w:tab/>
        <w:t>recommend a practical approach that is agreeable to National Highways.</w:t>
      </w:r>
    </w:p>
    <w:p w14:paraId="1D063695" w14:textId="77777777" w:rsidR="006D6756" w:rsidRPr="006D6756" w:rsidRDefault="006D6756" w:rsidP="006D6756">
      <w:pPr>
        <w:pStyle w:val="ListParagraph"/>
        <w:rPr>
          <w:rFonts w:cs="Arial"/>
          <w:szCs w:val="24"/>
        </w:rPr>
      </w:pPr>
    </w:p>
    <w:p w14:paraId="1268AD66" w14:textId="77777777" w:rsidR="006D6756" w:rsidRPr="006D6756" w:rsidRDefault="006D6756" w:rsidP="006D6756">
      <w:pPr>
        <w:pStyle w:val="ListParagraph"/>
        <w:rPr>
          <w:rFonts w:cs="Arial"/>
          <w:szCs w:val="24"/>
        </w:rPr>
      </w:pPr>
      <w:r w:rsidRPr="006D6756">
        <w:rPr>
          <w:rFonts w:cs="Arial"/>
          <w:szCs w:val="24"/>
        </w:rPr>
        <w:t>6.</w:t>
      </w:r>
      <w:r w:rsidRPr="006D6756">
        <w:rPr>
          <w:rFonts w:cs="Arial"/>
          <w:szCs w:val="24"/>
        </w:rPr>
        <w:tab/>
        <w:t xml:space="preserve">for those OMR investments that have a WLC approach established: </w:t>
      </w:r>
    </w:p>
    <w:p w14:paraId="54D0EF88" w14:textId="1BCCA3CF" w:rsidR="006D6756" w:rsidRPr="006D6756" w:rsidRDefault="006D6756" w:rsidP="00D809FD">
      <w:pPr>
        <w:pStyle w:val="ListParagraph"/>
        <w:ind w:left="2880" w:hanging="720"/>
        <w:rPr>
          <w:rFonts w:cs="Arial"/>
          <w:szCs w:val="24"/>
        </w:rPr>
      </w:pPr>
      <w:r w:rsidRPr="006D6756">
        <w:rPr>
          <w:rFonts w:cs="Arial"/>
          <w:szCs w:val="24"/>
        </w:rPr>
        <w:t>•</w:t>
      </w:r>
      <w:r w:rsidRPr="006D6756">
        <w:rPr>
          <w:rFonts w:cs="Arial"/>
          <w:szCs w:val="24"/>
        </w:rPr>
        <w:tab/>
        <w:t xml:space="preserve">evaluate if they are appropriate using </w:t>
      </w:r>
      <w:r w:rsidR="00FE346D">
        <w:rPr>
          <w:rFonts w:cs="Arial"/>
          <w:szCs w:val="24"/>
        </w:rPr>
        <w:t xml:space="preserve">a </w:t>
      </w:r>
      <w:r w:rsidRPr="006D6756">
        <w:rPr>
          <w:rFonts w:cs="Arial"/>
          <w:szCs w:val="24"/>
        </w:rPr>
        <w:t>recommended model by the bidder;</w:t>
      </w:r>
    </w:p>
    <w:p w14:paraId="6E820733" w14:textId="77777777" w:rsidR="006D6756" w:rsidRPr="006D6756" w:rsidRDefault="006D6756" w:rsidP="00AB3578">
      <w:pPr>
        <w:pStyle w:val="ListParagraph"/>
        <w:ind w:left="2160"/>
        <w:rPr>
          <w:rFonts w:cs="Arial"/>
          <w:szCs w:val="24"/>
        </w:rPr>
      </w:pPr>
      <w:r w:rsidRPr="006D6756">
        <w:rPr>
          <w:rFonts w:cs="Arial"/>
          <w:szCs w:val="24"/>
        </w:rPr>
        <w:t>•</w:t>
      </w:r>
      <w:r w:rsidRPr="006D6756">
        <w:rPr>
          <w:rFonts w:cs="Arial"/>
          <w:szCs w:val="24"/>
        </w:rPr>
        <w:tab/>
        <w:t>assess compliance with the Licence requirement;</w:t>
      </w:r>
    </w:p>
    <w:p w14:paraId="0D5B24B8" w14:textId="77777777" w:rsidR="006D6756" w:rsidRPr="006D6756" w:rsidRDefault="006D6756" w:rsidP="00D809FD">
      <w:pPr>
        <w:pStyle w:val="ListParagraph"/>
        <w:ind w:left="2880" w:hanging="720"/>
        <w:rPr>
          <w:rFonts w:cs="Arial"/>
          <w:szCs w:val="24"/>
        </w:rPr>
      </w:pPr>
      <w:r w:rsidRPr="006D6756">
        <w:rPr>
          <w:rFonts w:cs="Arial"/>
          <w:szCs w:val="24"/>
        </w:rPr>
        <w:t>•</w:t>
      </w:r>
      <w:r w:rsidRPr="006D6756">
        <w:rPr>
          <w:rFonts w:cs="Arial"/>
          <w:szCs w:val="24"/>
        </w:rPr>
        <w:tab/>
        <w:t xml:space="preserve">sample compliance and embedment of the approach across the company; </w:t>
      </w:r>
    </w:p>
    <w:p w14:paraId="7C9C5D9D" w14:textId="77777777" w:rsidR="006D6756" w:rsidRPr="006D6756" w:rsidRDefault="006D6756" w:rsidP="00AB3578">
      <w:pPr>
        <w:pStyle w:val="ListParagraph"/>
        <w:ind w:left="2160"/>
        <w:rPr>
          <w:rFonts w:cs="Arial"/>
          <w:szCs w:val="24"/>
        </w:rPr>
      </w:pPr>
      <w:r w:rsidRPr="006D6756">
        <w:rPr>
          <w:rFonts w:cs="Arial"/>
          <w:szCs w:val="24"/>
        </w:rPr>
        <w:t>•</w:t>
      </w:r>
      <w:r w:rsidRPr="006D6756">
        <w:rPr>
          <w:rFonts w:cs="Arial"/>
          <w:szCs w:val="24"/>
        </w:rPr>
        <w:tab/>
        <w:t xml:space="preserve">examine the WLC governance and reporting; </w:t>
      </w:r>
    </w:p>
    <w:p w14:paraId="15C047C6" w14:textId="77777777" w:rsidR="006D6756" w:rsidRPr="006D6756" w:rsidRDefault="006D6756" w:rsidP="00AB3578">
      <w:pPr>
        <w:pStyle w:val="ListParagraph"/>
        <w:ind w:left="2160"/>
        <w:rPr>
          <w:rFonts w:cs="Arial"/>
          <w:szCs w:val="24"/>
        </w:rPr>
      </w:pPr>
      <w:r w:rsidRPr="006D6756">
        <w:rPr>
          <w:rFonts w:cs="Arial"/>
          <w:szCs w:val="24"/>
        </w:rPr>
        <w:t>•</w:t>
      </w:r>
      <w:r w:rsidRPr="006D6756">
        <w:rPr>
          <w:rFonts w:cs="Arial"/>
          <w:szCs w:val="24"/>
        </w:rPr>
        <w:tab/>
        <w:t>examine company assurance process for WLC; and</w:t>
      </w:r>
    </w:p>
    <w:p w14:paraId="0C8E3499" w14:textId="77777777" w:rsidR="006D6756" w:rsidRPr="006D6756" w:rsidRDefault="006D6756" w:rsidP="00AB3578">
      <w:pPr>
        <w:pStyle w:val="ListParagraph"/>
        <w:ind w:left="2160"/>
        <w:rPr>
          <w:rFonts w:cs="Arial"/>
          <w:szCs w:val="24"/>
        </w:rPr>
      </w:pPr>
      <w:r w:rsidRPr="006D6756">
        <w:rPr>
          <w:rFonts w:cs="Arial"/>
          <w:szCs w:val="24"/>
        </w:rPr>
        <w:t>•</w:t>
      </w:r>
      <w:r w:rsidRPr="006D6756">
        <w:rPr>
          <w:rFonts w:cs="Arial"/>
          <w:szCs w:val="24"/>
        </w:rPr>
        <w:tab/>
        <w:t xml:space="preserve">compare the approach with industry best practice. </w:t>
      </w:r>
    </w:p>
    <w:p w14:paraId="468497DD" w14:textId="77777777" w:rsidR="006D6756" w:rsidRPr="006D6756" w:rsidRDefault="006D6756" w:rsidP="006D6756">
      <w:pPr>
        <w:pStyle w:val="ListParagraph"/>
        <w:rPr>
          <w:rFonts w:cs="Arial"/>
          <w:szCs w:val="24"/>
        </w:rPr>
      </w:pPr>
    </w:p>
    <w:p w14:paraId="67C2E1A8" w14:textId="77777777" w:rsidR="006D6756" w:rsidRPr="006D6756" w:rsidRDefault="006D6756" w:rsidP="006D6756">
      <w:pPr>
        <w:pStyle w:val="ListParagraph"/>
        <w:rPr>
          <w:rFonts w:cs="Arial"/>
          <w:szCs w:val="24"/>
        </w:rPr>
      </w:pPr>
      <w:r w:rsidRPr="006D6756">
        <w:rPr>
          <w:rFonts w:cs="Arial"/>
          <w:szCs w:val="24"/>
        </w:rPr>
        <w:t>7.</w:t>
      </w:r>
      <w:r w:rsidRPr="006D6756">
        <w:rPr>
          <w:rFonts w:cs="Arial"/>
          <w:szCs w:val="24"/>
        </w:rPr>
        <w:tab/>
        <w:t>explore barriers to the use of WLC in the company;</w:t>
      </w:r>
    </w:p>
    <w:p w14:paraId="3A57EB35" w14:textId="77777777" w:rsidR="006D6756" w:rsidRPr="006D6756" w:rsidRDefault="006D6756" w:rsidP="006D6756">
      <w:pPr>
        <w:pStyle w:val="ListParagraph"/>
        <w:rPr>
          <w:rFonts w:cs="Arial"/>
          <w:szCs w:val="24"/>
        </w:rPr>
      </w:pPr>
    </w:p>
    <w:p w14:paraId="59E72FC9" w14:textId="5BD43599" w:rsidR="006D6756" w:rsidRPr="006D6756" w:rsidRDefault="006D6756" w:rsidP="006D6756">
      <w:pPr>
        <w:pStyle w:val="ListParagraph"/>
        <w:rPr>
          <w:rFonts w:cs="Arial"/>
          <w:szCs w:val="24"/>
        </w:rPr>
      </w:pPr>
      <w:r w:rsidRPr="006D6756">
        <w:rPr>
          <w:rFonts w:cs="Arial"/>
          <w:szCs w:val="24"/>
        </w:rPr>
        <w:t>8.</w:t>
      </w:r>
      <w:r w:rsidRPr="006D6756">
        <w:rPr>
          <w:rFonts w:cs="Arial"/>
          <w:szCs w:val="24"/>
        </w:rPr>
        <w:tab/>
      </w:r>
      <w:r w:rsidR="00FE346D">
        <w:rPr>
          <w:rFonts w:cs="Arial"/>
          <w:szCs w:val="24"/>
        </w:rPr>
        <w:t>A</w:t>
      </w:r>
      <w:r w:rsidR="00FE346D" w:rsidRPr="006D6756">
        <w:rPr>
          <w:rFonts w:cs="Arial"/>
          <w:szCs w:val="24"/>
        </w:rPr>
        <w:t>ssess</w:t>
      </w:r>
      <w:r w:rsidRPr="006D6756">
        <w:rPr>
          <w:rFonts w:cs="Arial"/>
          <w:szCs w:val="24"/>
        </w:rPr>
        <w:t xml:space="preserve"> and evidence how National Highways’ is learning lessons and embedding these lessons to improve its WLC approach;</w:t>
      </w:r>
    </w:p>
    <w:p w14:paraId="15212291" w14:textId="77777777" w:rsidR="006D6756" w:rsidRPr="006D6756" w:rsidRDefault="006D6756" w:rsidP="006D6756">
      <w:pPr>
        <w:pStyle w:val="ListParagraph"/>
        <w:rPr>
          <w:rFonts w:cs="Arial"/>
          <w:szCs w:val="24"/>
        </w:rPr>
      </w:pPr>
    </w:p>
    <w:p w14:paraId="3337C169" w14:textId="0894B95F" w:rsidR="006D6756" w:rsidRPr="006D6756" w:rsidRDefault="006D6756" w:rsidP="006D6756">
      <w:pPr>
        <w:pStyle w:val="ListParagraph"/>
        <w:rPr>
          <w:rFonts w:cs="Arial"/>
          <w:szCs w:val="24"/>
        </w:rPr>
      </w:pPr>
      <w:r w:rsidRPr="006D6756">
        <w:rPr>
          <w:rFonts w:cs="Arial"/>
          <w:szCs w:val="24"/>
        </w:rPr>
        <w:t>9.</w:t>
      </w:r>
      <w:r w:rsidRPr="006D6756">
        <w:rPr>
          <w:rFonts w:cs="Arial"/>
          <w:szCs w:val="24"/>
        </w:rPr>
        <w:tab/>
        <w:t>make recommendations</w:t>
      </w:r>
      <w:r w:rsidR="00FE346D">
        <w:rPr>
          <w:rFonts w:cs="Arial"/>
          <w:szCs w:val="24"/>
        </w:rPr>
        <w:t xml:space="preserve">, agreed with NH, </w:t>
      </w:r>
      <w:r w:rsidRPr="006D6756">
        <w:rPr>
          <w:rFonts w:cs="Arial"/>
          <w:szCs w:val="24"/>
        </w:rPr>
        <w:t>on how to improve its WLC approach, processes, management</w:t>
      </w:r>
      <w:r w:rsidR="00D42FB4">
        <w:rPr>
          <w:rFonts w:cs="Arial"/>
          <w:szCs w:val="24"/>
        </w:rPr>
        <w:t xml:space="preserve">, </w:t>
      </w:r>
      <w:r w:rsidRPr="006D6756">
        <w:rPr>
          <w:rFonts w:cs="Arial"/>
          <w:szCs w:val="24"/>
        </w:rPr>
        <w:t>governance</w:t>
      </w:r>
      <w:r w:rsidR="00D42FB4">
        <w:rPr>
          <w:rFonts w:cs="Arial"/>
          <w:szCs w:val="24"/>
        </w:rPr>
        <w:t xml:space="preserve"> and assurances</w:t>
      </w:r>
      <w:r w:rsidRPr="006D6756">
        <w:rPr>
          <w:rFonts w:cs="Arial"/>
          <w:szCs w:val="24"/>
        </w:rPr>
        <w:t xml:space="preserve">; </w:t>
      </w:r>
    </w:p>
    <w:p w14:paraId="7D039D7A" w14:textId="77777777" w:rsidR="006D6756" w:rsidRPr="006D6756" w:rsidRDefault="006D6756" w:rsidP="006D6756">
      <w:pPr>
        <w:pStyle w:val="ListParagraph"/>
        <w:rPr>
          <w:rFonts w:cs="Arial"/>
          <w:szCs w:val="24"/>
        </w:rPr>
      </w:pPr>
    </w:p>
    <w:p w14:paraId="0EBD4457" w14:textId="77777777" w:rsidR="006D6756" w:rsidRPr="006D6756" w:rsidRDefault="006D6756" w:rsidP="006D6756">
      <w:pPr>
        <w:pStyle w:val="ListParagraph"/>
        <w:rPr>
          <w:rFonts w:cs="Arial"/>
          <w:szCs w:val="24"/>
        </w:rPr>
      </w:pPr>
      <w:r w:rsidRPr="006D6756">
        <w:rPr>
          <w:rFonts w:cs="Arial"/>
          <w:szCs w:val="24"/>
        </w:rPr>
        <w:t>10.</w:t>
      </w:r>
      <w:r w:rsidRPr="006D6756">
        <w:rPr>
          <w:rFonts w:cs="Arial"/>
          <w:szCs w:val="24"/>
        </w:rPr>
        <w:tab/>
        <w:t xml:space="preserve">make recommendations for ORR on how to monitor NH’s WLC approach, including suggested metrics.  </w:t>
      </w:r>
    </w:p>
    <w:p w14:paraId="0DF36A31" w14:textId="77777777" w:rsidR="006D6756" w:rsidRPr="006D6756" w:rsidRDefault="006D6756" w:rsidP="006D6756">
      <w:pPr>
        <w:pStyle w:val="ListParagraph"/>
        <w:rPr>
          <w:rFonts w:cs="Arial"/>
          <w:szCs w:val="24"/>
        </w:rPr>
      </w:pPr>
    </w:p>
    <w:p w14:paraId="69A75C90" w14:textId="4E7D31A8" w:rsidR="003F3CB0" w:rsidRDefault="003F3CB0" w:rsidP="003F3CB0">
      <w:pPr>
        <w:pStyle w:val="Heading3"/>
      </w:pPr>
      <w:bookmarkStart w:id="12" w:name="_Toc111551921"/>
      <w:r w:rsidRPr="003F3CB0">
        <w:t>2.3 Project Outputs, Deliverables and Contract Management</w:t>
      </w:r>
      <w:bookmarkEnd w:id="12"/>
    </w:p>
    <w:p w14:paraId="480D8983" w14:textId="77777777" w:rsidR="00DB02EF" w:rsidRDefault="00DB02EF" w:rsidP="00DB02EF">
      <w:pPr>
        <w:pStyle w:val="Heading4"/>
      </w:pPr>
      <w:r>
        <w:t>Outputs and Deliverables</w:t>
      </w:r>
    </w:p>
    <w:p w14:paraId="549BCDEA" w14:textId="7E31D237" w:rsidR="0083649D" w:rsidRDefault="0083649D" w:rsidP="0083649D">
      <w:pPr>
        <w:pStyle w:val="NormalBulletround"/>
      </w:pPr>
      <w:r>
        <w:t>The supplier should prepare a project plan and present it with the proposal. If a contract is awarded to the supplier, the plan should be kept up-to-date</w:t>
      </w:r>
      <w:r w:rsidR="006F108F">
        <w:t>;</w:t>
      </w:r>
    </w:p>
    <w:p w14:paraId="118F7B03" w14:textId="18E53F59" w:rsidR="00DB02EF" w:rsidRDefault="00DB02EF" w:rsidP="00DB02EF">
      <w:pPr>
        <w:pStyle w:val="NormalBulletround"/>
      </w:pPr>
      <w:r>
        <w:t xml:space="preserve">Interim </w:t>
      </w:r>
      <w:r w:rsidR="006F108F">
        <w:t>findings,</w:t>
      </w:r>
      <w:r>
        <w:t xml:space="preserve"> so that ORR </w:t>
      </w:r>
      <w:r w:rsidR="006F108F">
        <w:t xml:space="preserve">and National Highways </w:t>
      </w:r>
      <w:r>
        <w:t>ha</w:t>
      </w:r>
      <w:r w:rsidR="006F108F">
        <w:t>ve</w:t>
      </w:r>
      <w:r>
        <w:t xml:space="preserve"> the opportunity to provide comments before the report is </w:t>
      </w:r>
      <w:r w:rsidR="00A64902">
        <w:t>drafted</w:t>
      </w:r>
      <w:r w:rsidR="006F108F">
        <w:t>;</w:t>
      </w:r>
    </w:p>
    <w:p w14:paraId="6489DACE" w14:textId="77777777" w:rsidR="006F108F" w:rsidRDefault="006F108F" w:rsidP="006F108F">
      <w:pPr>
        <w:pStyle w:val="NormalBulletround"/>
      </w:pPr>
      <w:r>
        <w:t xml:space="preserve">Draft report setting out findings, conclusions and recommendations for ORR and National Highways to comment on; </w:t>
      </w:r>
    </w:p>
    <w:p w14:paraId="4D7D86FE" w14:textId="18173677" w:rsidR="0083649D" w:rsidRDefault="0083649D" w:rsidP="0083649D">
      <w:pPr>
        <w:pStyle w:val="NormalBulletround"/>
      </w:pPr>
      <w:r>
        <w:t>Final report that incorporates comments/amendments from ORR and National Highways</w:t>
      </w:r>
      <w:r w:rsidR="00A64902">
        <w:t>;</w:t>
      </w:r>
    </w:p>
    <w:p w14:paraId="0EDB8E6D" w14:textId="77777777" w:rsidR="00A64902" w:rsidRDefault="00A64902" w:rsidP="00A64902">
      <w:pPr>
        <w:pStyle w:val="NormalBulletround"/>
      </w:pPr>
      <w:r>
        <w:lastRenderedPageBreak/>
        <w:t>Final executive summary report for publication; and</w:t>
      </w:r>
    </w:p>
    <w:p w14:paraId="486EE97F" w14:textId="15E1343C" w:rsidR="00DB02EF" w:rsidRDefault="0083649D" w:rsidP="00DB02EF">
      <w:pPr>
        <w:pStyle w:val="NormalBulletround"/>
      </w:pPr>
      <w:r>
        <w:t>Slide deck summarising the</w:t>
      </w:r>
      <w:r w:rsidR="00DB02EF">
        <w:t xml:space="preserve"> </w:t>
      </w:r>
      <w:r>
        <w:t>methodology, findings and recommendations</w:t>
      </w:r>
      <w:r w:rsidR="00632914">
        <w:t>.</w:t>
      </w:r>
    </w:p>
    <w:p w14:paraId="556D4CCD" w14:textId="48D04033" w:rsidR="0083649D" w:rsidRPr="00574B16" w:rsidRDefault="0083649D" w:rsidP="0083649D">
      <w:r>
        <w:t xml:space="preserve">All documents must meet our </w:t>
      </w:r>
      <w:hyperlink r:id="rId21" w:history="1">
        <w:r>
          <w:rPr>
            <w:rStyle w:val="Hyperlink"/>
          </w:rPr>
          <w:t>Guidelines for writing accessible reports for ORR - Guidance for external suppliers | Office of Rail and Road</w:t>
        </w:r>
      </w:hyperlink>
    </w:p>
    <w:p w14:paraId="56237481" w14:textId="6D712B22" w:rsidR="009A34CB" w:rsidRDefault="009A34CB" w:rsidP="009A34CB">
      <w:pPr>
        <w:pStyle w:val="NormalBulletround"/>
        <w:numPr>
          <w:ilvl w:val="0"/>
          <w:numId w:val="0"/>
        </w:numPr>
      </w:pPr>
      <w:r w:rsidRPr="009A34CB">
        <w:t>Any analysis carried out by the Supplier in support of the contract deliverables must be supported by analytical assurance. This must be documented and an analytical assurance statement submitted to summarise the assurance that has been carried out together with the risk of error, scope for challenge and any uncertainties associated with the analysis</w:t>
      </w:r>
      <w:r w:rsidR="00171E62">
        <w:t>.</w:t>
      </w:r>
    </w:p>
    <w:p w14:paraId="30DFB785" w14:textId="439A37DA" w:rsidR="00DB02EF" w:rsidRDefault="00DB02EF" w:rsidP="00DB02EF">
      <w:pPr>
        <w:pStyle w:val="Heading4"/>
      </w:pPr>
      <w:r>
        <w:t>Contract Management Requirements</w:t>
      </w:r>
    </w:p>
    <w:p w14:paraId="52BF97FA" w14:textId="1A379DEB" w:rsidR="0083649D" w:rsidRDefault="0083649D" w:rsidP="0083649D">
      <w:r>
        <w:t>We expect to hold fortnightly progress update meetings, via Microsoft Teams, with the supplier.</w:t>
      </w:r>
    </w:p>
    <w:p w14:paraId="3E53BABF" w14:textId="3E123401" w:rsidR="0083649D" w:rsidRDefault="0083649D" w:rsidP="0083649D">
      <w:r>
        <w:t>We expect to hold monthly steering group meetings, via Microsoft Teams, with the supplier</w:t>
      </w:r>
      <w:r w:rsidR="000C3FCA">
        <w:t>, National Highways and ORR</w:t>
      </w:r>
      <w:r>
        <w:t>.</w:t>
      </w:r>
    </w:p>
    <w:p w14:paraId="1B36230C" w14:textId="77777777" w:rsidR="0083649D" w:rsidRDefault="0083649D" w:rsidP="0083649D">
      <w:r>
        <w:t>Consultants should provide key updates on a shared Microsoft Teams channel or similar.</w:t>
      </w:r>
    </w:p>
    <w:p w14:paraId="06EB32F1" w14:textId="77777777" w:rsidR="0083649D" w:rsidRDefault="0083649D" w:rsidP="0083649D">
      <w:r>
        <w:t xml:space="preserve">National Highways will support the work and facilitate access to its staff and other information as appropriate. The company’s involvement will be co-ordinated through its Customer, Strategy and Communications team who are responsible for managing the relationship with ORR. </w:t>
      </w:r>
    </w:p>
    <w:p w14:paraId="080E0825" w14:textId="77777777" w:rsidR="0083649D" w:rsidRDefault="0083649D" w:rsidP="0083649D">
      <w:r>
        <w:t>The Customer, Strategy and Communications team will assist in scheduling meetings and dealing with data requests. Engagement with National Highways should be proportionate and sensitive to resource pressures.</w:t>
      </w:r>
    </w:p>
    <w:p w14:paraId="1D5B1696" w14:textId="77777777" w:rsidR="0083649D" w:rsidRDefault="0083649D" w:rsidP="0083649D">
      <w:r>
        <w:t>The consultant should note that National Highways may require a confidentiality agreement in relation to any of its confidential information that is disclosed to the consultancy and the outputs this generates. The onward disclosure of such information by the consultancy (other than to DfT or ORR) will usually require approval in writing from National Highways. The fact that the consultancy has been engaged by ORR on this contract is not of itself confidential information although the content of any information, findings, data, analysis or reports prepared for ORR by the consultancy, and which includes any of the confidential information, is.</w:t>
      </w:r>
    </w:p>
    <w:p w14:paraId="4A7E333C" w14:textId="77777777" w:rsidR="0083649D" w:rsidRPr="00574B16" w:rsidRDefault="0083649D" w:rsidP="0083649D">
      <w:r>
        <w:t>The appointed consultancy will have access to available information necessary to carry out the project and to deliver the objectives and requirements identified above.</w:t>
      </w:r>
    </w:p>
    <w:p w14:paraId="24820A61" w14:textId="77777777" w:rsidR="0083649D" w:rsidRPr="0083649D" w:rsidRDefault="0083649D" w:rsidP="0083649D">
      <w:pPr>
        <w:pStyle w:val="Numberedparagraphdouble"/>
        <w:numPr>
          <w:ilvl w:val="0"/>
          <w:numId w:val="0"/>
        </w:numPr>
        <w:ind w:left="851"/>
      </w:pPr>
    </w:p>
    <w:p w14:paraId="75F8969E" w14:textId="73EB9E3C" w:rsidR="00D6160E" w:rsidRDefault="00AF7AF9" w:rsidP="00AF7AF9">
      <w:pPr>
        <w:pStyle w:val="Heading3"/>
      </w:pPr>
      <w:bookmarkStart w:id="13" w:name="_Toc111551922"/>
      <w:r>
        <w:t>2.4 Project Timescales</w:t>
      </w:r>
      <w:bookmarkEnd w:id="13"/>
    </w:p>
    <w:p w14:paraId="232D4288" w14:textId="77777777" w:rsidR="00AF7AF9" w:rsidRDefault="00AF7AF9" w:rsidP="00AF7AF9">
      <w:r>
        <w:t>The provisional project timetable is as follows:</w:t>
      </w:r>
    </w:p>
    <w:p w14:paraId="1A5E1720" w14:textId="1AEA43F3" w:rsidR="00AF7AF9" w:rsidRDefault="00AF7AF9" w:rsidP="00AF7AF9">
      <w:pPr>
        <w:pStyle w:val="NormalBulletround"/>
      </w:pPr>
      <w:r>
        <w:t>Start</w:t>
      </w:r>
      <w:r w:rsidR="00E14C44">
        <w:t xml:space="preserve"> </w:t>
      </w:r>
      <w:r>
        <w:t xml:space="preserve">up meeting and commencement </w:t>
      </w:r>
      <w:r w:rsidR="005A1D76">
        <w:t>1</w:t>
      </w:r>
      <w:r w:rsidR="003B618E">
        <w:t>9</w:t>
      </w:r>
      <w:r w:rsidR="005A1D76">
        <w:t xml:space="preserve"> December 2024</w:t>
      </w:r>
      <w:r>
        <w:t>.</w:t>
      </w:r>
    </w:p>
    <w:p w14:paraId="618A964A" w14:textId="26ADA251" w:rsidR="00AF7AF9" w:rsidRDefault="00AF7AF9" w:rsidP="00AF7AF9">
      <w:pPr>
        <w:pStyle w:val="NormalBulletround"/>
      </w:pPr>
      <w:r>
        <w:t xml:space="preserve">Presentation of interim findings on </w:t>
      </w:r>
      <w:r w:rsidR="005A1D76">
        <w:t>w/c 10 February 2025.</w:t>
      </w:r>
    </w:p>
    <w:p w14:paraId="1CB48C52" w14:textId="70CBE8FC" w:rsidR="00AF7AF9" w:rsidRDefault="00AF7AF9" w:rsidP="00AF7AF9">
      <w:pPr>
        <w:pStyle w:val="NormalBulletround"/>
      </w:pPr>
      <w:r>
        <w:t xml:space="preserve">Draft report by </w:t>
      </w:r>
      <w:r w:rsidR="005A1D76">
        <w:t xml:space="preserve">w/c </w:t>
      </w:r>
      <w:r w:rsidR="00981F2A">
        <w:t>0</w:t>
      </w:r>
      <w:r w:rsidR="005A1D76">
        <w:t>3 March 2025</w:t>
      </w:r>
      <w:r>
        <w:t>.</w:t>
      </w:r>
    </w:p>
    <w:p w14:paraId="5577EDCB" w14:textId="563600DC" w:rsidR="00AF7AF9" w:rsidRDefault="00AF7AF9" w:rsidP="00AF7AF9">
      <w:pPr>
        <w:pStyle w:val="NormalBulletround"/>
      </w:pPr>
      <w:r>
        <w:t xml:space="preserve">Final report by the </w:t>
      </w:r>
      <w:r w:rsidR="003B618E">
        <w:t>w/c 17</w:t>
      </w:r>
      <w:r w:rsidR="005A1D76">
        <w:t xml:space="preserve"> March</w:t>
      </w:r>
      <w:r w:rsidR="00981F2A">
        <w:t xml:space="preserve"> </w:t>
      </w:r>
      <w:r w:rsidR="005A1D76">
        <w:t>2025.</w:t>
      </w:r>
    </w:p>
    <w:p w14:paraId="76E3EE61" w14:textId="420F91D1" w:rsidR="00AF7AF9" w:rsidRDefault="00AF7AF9" w:rsidP="00AF7AF9">
      <w:pPr>
        <w:pStyle w:val="Heading3"/>
      </w:pPr>
      <w:bookmarkStart w:id="14" w:name="_Toc111551923"/>
      <w:r w:rsidRPr="00AF7AF9">
        <w:t>2.5 Budget and Payment Schedule</w:t>
      </w:r>
      <w:bookmarkEnd w:id="14"/>
    </w:p>
    <w:p w14:paraId="7D86A410" w14:textId="752977DA" w:rsidR="00D401C8" w:rsidRDefault="00D401C8" w:rsidP="00D401C8">
      <w:r>
        <w:t>The maximum budget for this piece of work is £</w:t>
      </w:r>
      <w:r w:rsidR="00A13078">
        <w:t>80,000</w:t>
      </w:r>
      <w:r>
        <w:t xml:space="preserve"> (inc. of expenses, exc. of VAT).</w:t>
      </w:r>
    </w:p>
    <w:p w14:paraId="3C8CB74D" w14:textId="77777777" w:rsidR="00E14C44" w:rsidRDefault="00E14C44" w:rsidP="00E14C44">
      <w:r>
        <w:t>Payment Schedule:</w:t>
      </w:r>
    </w:p>
    <w:p w14:paraId="7D60CFF9" w14:textId="77777777" w:rsidR="00E14C44" w:rsidRPr="00632914" w:rsidRDefault="00E14C44" w:rsidP="00E14C44">
      <w:pPr>
        <w:pStyle w:val="ListParagraph"/>
        <w:numPr>
          <w:ilvl w:val="0"/>
          <w:numId w:val="35"/>
        </w:numPr>
      </w:pPr>
      <w:r w:rsidRPr="00C81601">
        <w:t xml:space="preserve">50% on delivery and acceptance </w:t>
      </w:r>
      <w:r>
        <w:t xml:space="preserve">by ORR </w:t>
      </w:r>
      <w:r w:rsidRPr="00632914">
        <w:t>and National Highways of draft report.</w:t>
      </w:r>
      <w:r w:rsidRPr="00632914">
        <w:rPr>
          <w:rStyle w:val="eop"/>
          <w:rFonts w:cs="Arial"/>
          <w:color w:val="000000"/>
        </w:rPr>
        <w:t> </w:t>
      </w:r>
    </w:p>
    <w:p w14:paraId="06177CD8" w14:textId="2E05567B" w:rsidR="00E14C44" w:rsidRPr="00C81601" w:rsidRDefault="00E14C44" w:rsidP="00E14C44">
      <w:pPr>
        <w:pStyle w:val="ListParagraph"/>
        <w:numPr>
          <w:ilvl w:val="0"/>
          <w:numId w:val="35"/>
        </w:numPr>
      </w:pPr>
      <w:r w:rsidRPr="00632914">
        <w:t>50% on delivery and acceptance by ORR and National Highways of final</w:t>
      </w:r>
      <w:r w:rsidRPr="00C81601">
        <w:t xml:space="preserve"> report</w:t>
      </w:r>
      <w:r w:rsidR="00632914">
        <w:t xml:space="preserve">, final executive summary </w:t>
      </w:r>
      <w:r w:rsidRPr="00C81601">
        <w:t>and slide pack</w:t>
      </w:r>
      <w:r>
        <w:t>.</w:t>
      </w:r>
    </w:p>
    <w:p w14:paraId="3BB5AE4A" w14:textId="4C2DE6EF" w:rsidR="00AF7AF9" w:rsidRDefault="00AF7AF9" w:rsidP="00AF7AF9">
      <w:pPr>
        <w:pStyle w:val="Heading3"/>
      </w:pPr>
      <w:bookmarkStart w:id="15" w:name="_Toc111551924"/>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lastRenderedPageBreak/>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That the Contractor assumes unconditional responsibility for the overall work and its quality;</w:t>
      </w:r>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11551925"/>
      <w:r>
        <w:lastRenderedPageBreak/>
        <w:t>Tender Response and Evaluation Criteria</w:t>
      </w:r>
      <w:bookmarkEnd w:id="16"/>
    </w:p>
    <w:p w14:paraId="6C9F4B20" w14:textId="5CFF035D" w:rsidR="001768F1" w:rsidRDefault="001768F1" w:rsidP="001768F1">
      <w:pPr>
        <w:pStyle w:val="Heading3"/>
      </w:pPr>
      <w:bookmarkStart w:id="17" w:name="_Toc111551926"/>
      <w:r>
        <w:t>3.1 The Tender Response</w:t>
      </w:r>
      <w:bookmarkEnd w:id="17"/>
    </w:p>
    <w:p w14:paraId="33A2C61B" w14:textId="4A301C76" w:rsidR="001768F1" w:rsidRDefault="001768F1" w:rsidP="001768F1">
      <w:r>
        <w:t>The proposals for this project should include an outline of how bidders will meet the requirement outlined in section (ii) “Statement of Requirement”. The following information should be included</w:t>
      </w:r>
      <w:r w:rsidR="00866A12">
        <w:t>:</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33CB741D" w:rsidR="001768F1" w:rsidRDefault="001768F1" w:rsidP="001E7C87">
      <w:pPr>
        <w:pStyle w:val="NormalBullet-"/>
      </w:pPr>
      <w:r>
        <w:t>Provide an explanation of the proposed approach and any methodologies bidders will work to;</w:t>
      </w:r>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A project plan to show how outputs and deliverables will be produced within the required timescales, detailing the resources that will be allocated;</w:t>
      </w:r>
    </w:p>
    <w:p w14:paraId="10DC7C63" w14:textId="6ED9544E" w:rsidR="001768F1" w:rsidRDefault="001768F1" w:rsidP="001E7C87">
      <w:pPr>
        <w:pStyle w:val="NormalBullet-"/>
      </w:pPr>
      <w:r>
        <w:t>An understanding of the risks, and explain how they would be mitigated to ensure delivery</w:t>
      </w:r>
    </w:p>
    <w:p w14:paraId="759CAB3E" w14:textId="5BC54DAD" w:rsidR="001768F1" w:rsidRPr="008E5039" w:rsidRDefault="00621979" w:rsidP="001E7C87">
      <w:pPr>
        <w:pStyle w:val="NormalBullet-"/>
        <w:rPr>
          <w:b/>
          <w:bCs/>
          <w:color w:val="B1173B"/>
        </w:rPr>
      </w:pPr>
      <w:r w:rsidRPr="008E5039">
        <w:t>Details of</w:t>
      </w:r>
      <w:r w:rsidR="001768F1" w:rsidRPr="008E5039">
        <w:t xml:space="preserve"> </w:t>
      </w:r>
      <w:r w:rsidRPr="008E5039">
        <w:t xml:space="preserve">your approach to our </w:t>
      </w:r>
      <w:r w:rsidR="001768F1" w:rsidRPr="008E5039">
        <w:t xml:space="preserve">security requirements </w:t>
      </w:r>
      <w:r w:rsidRPr="008E5039">
        <w:t xml:space="preserve">as </w:t>
      </w:r>
      <w:r w:rsidR="001768F1" w:rsidRPr="008E5039">
        <w:t>outlined in the SOR</w:t>
      </w:r>
      <w:r w:rsidR="00866A12">
        <w:t>, including details of accreditation for systems (Cyber Essentials) etc.</w:t>
      </w:r>
      <w:r w:rsidR="008E5039" w:rsidRPr="008E5039">
        <w:t xml:space="preserve"> </w:t>
      </w:r>
    </w:p>
    <w:p w14:paraId="16625C17" w14:textId="458CDC1F" w:rsidR="001768F1" w:rsidRDefault="001768F1" w:rsidP="001E7C87">
      <w:pPr>
        <w:pStyle w:val="NormalBullet-"/>
      </w:pPr>
      <w:r>
        <w:t xml:space="preserve">What support bidders will require from ORR; </w:t>
      </w:r>
    </w:p>
    <w:p w14:paraId="5673ADDA" w14:textId="47E56089" w:rsidR="001768F1" w:rsidRPr="001E7C87" w:rsidRDefault="001768F1" w:rsidP="00D07E76">
      <w:pPr>
        <w:pStyle w:val="NormalBulletalpha"/>
        <w:rPr>
          <w:b/>
          <w:bCs/>
        </w:rPr>
      </w:pPr>
      <w:r w:rsidRPr="001E7C87">
        <w:rPr>
          <w:b/>
          <w:bCs/>
        </w:rPr>
        <w:t>Proposed delivery team</w:t>
      </w:r>
    </w:p>
    <w:p w14:paraId="5069A898" w14:textId="34F66E0D" w:rsidR="001768F1" w:rsidRDefault="001768F1" w:rsidP="00866A12">
      <w:pPr>
        <w:pStyle w:val="NormalBulletalpha"/>
        <w:numPr>
          <w:ilvl w:val="0"/>
          <w:numId w:val="0"/>
        </w:numPr>
        <w:ind w:left="567"/>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lastRenderedPageBreak/>
        <w:t>Confirmation that you have carried out the necessary employment checks (e.g. right to work in the UK)</w:t>
      </w:r>
    </w:p>
    <w:p w14:paraId="5F3C04C1" w14:textId="5D4CD585" w:rsidR="001768F1" w:rsidRDefault="001768F1" w:rsidP="001E7C87">
      <w:pPr>
        <w:pStyle w:val="NormalBullet-"/>
      </w:pPr>
      <w:r>
        <w:t>Some relevant examples of previous work that bidders have carried out (eg. case studies)</w:t>
      </w:r>
      <w:r w:rsidR="00866A12">
        <w:rPr>
          <w:color w:val="B1173B"/>
        </w:rPr>
        <w:t>.</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11551927"/>
      <w:r>
        <w:t>3.2 Evaluation Criteria</w:t>
      </w:r>
      <w:bookmarkEnd w:id="18"/>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1F325002" w:rsidR="005C29ED" w:rsidRDefault="005C29ED" w:rsidP="005C29ED">
      <w:pPr>
        <w:pStyle w:val="NormalBulletround"/>
      </w:pPr>
      <w:r>
        <w:t>Compliance with contractual arrangements</w:t>
      </w:r>
    </w:p>
    <w:p w14:paraId="7BE3F130" w14:textId="20924BBE" w:rsidR="001F4F0C" w:rsidRPr="00FF2534" w:rsidRDefault="00621979" w:rsidP="003A16E9">
      <w:pPr>
        <w:pStyle w:val="NormalBulletround"/>
        <w:rPr>
          <w:b/>
          <w:bCs/>
          <w:color w:val="FF0000"/>
        </w:rPr>
      </w:pPr>
      <w:bookmarkStart w:id="19" w:name="_Hlk174010684"/>
      <w:r w:rsidRPr="008E5039">
        <w:t>Submission</w:t>
      </w:r>
      <w:r w:rsidR="001F4F0C" w:rsidRPr="008E5039">
        <w:t xml:space="preserve"> </w:t>
      </w:r>
      <w:r w:rsidRPr="008E5039">
        <w:t xml:space="preserve">of </w:t>
      </w:r>
      <w:r w:rsidR="001F4F0C" w:rsidRPr="008E5039">
        <w:t>Cyber Essentials</w:t>
      </w:r>
      <w:r w:rsidR="00866A12">
        <w:t xml:space="preserve"> </w:t>
      </w:r>
      <w:r w:rsidR="001F4F0C" w:rsidRPr="008E5039">
        <w:t>certification</w:t>
      </w:r>
      <w:r w:rsidR="00866A12">
        <w:t>.</w:t>
      </w:r>
    </w:p>
    <w:bookmarkEnd w:id="19"/>
    <w:p w14:paraId="092980E7" w14:textId="77CC83A9" w:rsidR="005C29ED" w:rsidRDefault="005C29ED" w:rsidP="001F4F0C">
      <w:pPr>
        <w:pStyle w:val="NormalBulletround"/>
        <w:numPr>
          <w:ilvl w:val="0"/>
          <w:numId w:val="0"/>
        </w:numPr>
        <w:ind w:left="567"/>
      </w:pPr>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lastRenderedPageBreak/>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28CAE8D0" w:rsidR="005C29ED" w:rsidRDefault="005C29ED" w:rsidP="00D61976">
      <w:pPr>
        <w:pStyle w:val="Heading4"/>
      </w:pPr>
      <w:r>
        <w:t xml:space="preserve">Methodology </w:t>
      </w:r>
      <w:r w:rsidRPr="00374BAE">
        <w:rPr>
          <w:color w:val="B1173B"/>
        </w:rPr>
        <w:t>(</w:t>
      </w:r>
      <w:r w:rsidR="002C2F04">
        <w:rPr>
          <w:color w:val="B1173B"/>
        </w:rPr>
        <w:t>35</w:t>
      </w:r>
      <w:r w:rsidRPr="00374BAE">
        <w:rPr>
          <w:color w:val="B1173B"/>
        </w:rPr>
        <w:t>%)</w:t>
      </w:r>
    </w:p>
    <w:p w14:paraId="00314D37" w14:textId="77777777" w:rsidR="005C29ED" w:rsidRDefault="005C29ED" w:rsidP="005C29ED">
      <w:r>
        <w:t>The proposal should set out the methodology by which the project requirement will be initiated, delivered and concluded.  In particular, it must:</w:t>
      </w:r>
    </w:p>
    <w:p w14:paraId="7E6BD4F3" w14:textId="46E34B33" w:rsidR="005C29ED" w:rsidRDefault="005C29ED" w:rsidP="00D61976">
      <w:pPr>
        <w:pStyle w:val="NormalBulletalpha"/>
        <w:numPr>
          <w:ilvl w:val="1"/>
          <w:numId w:val="29"/>
        </w:numPr>
      </w:pPr>
      <w:r>
        <w:t>Explain the methodology and delivery mechanisms to ensure that the requirements of this specification are met in terms of quality;</w:t>
      </w:r>
    </w:p>
    <w:p w14:paraId="09D5614C" w14:textId="6DA75135" w:rsidR="005C29ED" w:rsidRDefault="005C29ED" w:rsidP="00D61976">
      <w:pPr>
        <w:pStyle w:val="NormalBulletalpha"/>
        <w:numPr>
          <w:ilvl w:val="1"/>
          <w:numId w:val="29"/>
        </w:numPr>
      </w:pPr>
      <w:r>
        <w:t>Explain how your organisation will work in partnership with ORR’s project manager to ensure that the requirement is met</w:t>
      </w:r>
    </w:p>
    <w:p w14:paraId="5A025B94" w14:textId="4A20F6C2" w:rsidR="005C29ED" w:rsidRDefault="005C29ED" w:rsidP="00D61976">
      <w:pPr>
        <w:pStyle w:val="NormalBulletalpha"/>
        <w:numPr>
          <w:ilvl w:val="1"/>
          <w:numId w:val="29"/>
        </w:numPr>
      </w:pPr>
      <w:r>
        <w:t>Explain how your organisation will engage with external stakeholders;</w:t>
      </w:r>
    </w:p>
    <w:p w14:paraId="278014BC" w14:textId="18C8C191" w:rsidR="005C29ED" w:rsidRDefault="005C29ED" w:rsidP="00D61976">
      <w:pPr>
        <w:pStyle w:val="NormalBulletalpha"/>
        <w:numPr>
          <w:ilvl w:val="1"/>
          <w:numId w:val="29"/>
        </w:numPr>
      </w:pPr>
      <w:r>
        <w:t>Outline how the proposed approach utilises innovative consultation methodologies to develop a diverse and comprehensive evidence-base</w:t>
      </w:r>
    </w:p>
    <w:p w14:paraId="09DB644F" w14:textId="77901FD3" w:rsidR="005C29ED" w:rsidRDefault="005C29ED" w:rsidP="00350594">
      <w:pPr>
        <w:pStyle w:val="Heading4"/>
      </w:pPr>
      <w:r>
        <w:t xml:space="preserve">Delivery </w:t>
      </w:r>
      <w:r w:rsidRPr="00374BAE">
        <w:rPr>
          <w:color w:val="B1173B"/>
        </w:rPr>
        <w:t>(</w:t>
      </w:r>
      <w:r w:rsidR="005A1EE1">
        <w:rPr>
          <w:color w:val="B1173B"/>
        </w:rPr>
        <w:t>2</w:t>
      </w:r>
      <w:r w:rsidR="002C2F04">
        <w:rPr>
          <w:color w:val="B1173B"/>
        </w:rPr>
        <w:t>5</w:t>
      </w:r>
      <w:r w:rsidRPr="00374BAE">
        <w:rPr>
          <w:color w:val="B1173B"/>
        </w:rPr>
        <w:t>%)</w:t>
      </w:r>
    </w:p>
    <w:p w14:paraId="40A3EF8F" w14:textId="77777777" w:rsidR="005C29ED" w:rsidRDefault="005C29ED" w:rsidP="005C29ED">
      <w:r>
        <w:t>The proposal should set out how and when the project requirement will be delivered.  In particular, it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stage;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delivery;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6AA1F170" w:rsidR="005C29ED" w:rsidRPr="00374BAE" w:rsidRDefault="005C29ED" w:rsidP="00350594">
      <w:pPr>
        <w:pStyle w:val="Heading4"/>
        <w:rPr>
          <w:color w:val="B1173B"/>
        </w:rPr>
      </w:pPr>
      <w:r>
        <w:t xml:space="preserve">Experience </w:t>
      </w:r>
      <w:r w:rsidRPr="00374BAE">
        <w:rPr>
          <w:color w:val="B1173B"/>
        </w:rPr>
        <w:t>(</w:t>
      </w:r>
      <w:r w:rsidR="002C2F04">
        <w:rPr>
          <w:color w:val="B1173B"/>
        </w:rPr>
        <w:t>20</w:t>
      </w:r>
      <w:r w:rsidRPr="00374BAE">
        <w:rPr>
          <w:color w:val="B1173B"/>
        </w:rPr>
        <w:t>%)</w:t>
      </w:r>
    </w:p>
    <w:p w14:paraId="06C2BCDB" w14:textId="77777777" w:rsidR="005C29ED" w:rsidRDefault="005C29ED" w:rsidP="005C29ED">
      <w:r>
        <w:t>The proposal should set out any experience relevant to the project requirement.  In particular, it must:</w:t>
      </w:r>
    </w:p>
    <w:p w14:paraId="77D3BEAC" w14:textId="52FFA8B9" w:rsidR="005C29ED" w:rsidRDefault="005C29ED" w:rsidP="008667A9">
      <w:pPr>
        <w:pStyle w:val="NormalBulletalpha"/>
        <w:numPr>
          <w:ilvl w:val="1"/>
          <w:numId w:val="31"/>
        </w:numPr>
      </w:pPr>
      <w:r>
        <w:t xml:space="preserve">Provide CVs of the consultants who will be delivering the project; </w:t>
      </w:r>
    </w:p>
    <w:p w14:paraId="1146D7A1" w14:textId="34F8B340" w:rsidR="005C29ED" w:rsidRDefault="005C29ED" w:rsidP="008667A9">
      <w:pPr>
        <w:pStyle w:val="NormalBulletalpha"/>
        <w:numPr>
          <w:ilvl w:val="1"/>
          <w:numId w:val="31"/>
        </w:numPr>
      </w:pPr>
      <w:r>
        <w:t>Highlight the organisation’s relevant experience for this project, submitting examples of similar projects.</w:t>
      </w:r>
    </w:p>
    <w:p w14:paraId="370476F8" w14:textId="02CE9B97" w:rsidR="005C29ED" w:rsidRDefault="005C29ED" w:rsidP="00350594">
      <w:pPr>
        <w:pStyle w:val="Heading4"/>
      </w:pPr>
      <w:r>
        <w:lastRenderedPageBreak/>
        <w:t xml:space="preserve">Cost / Value for money </w:t>
      </w:r>
      <w:r w:rsidRPr="00374BAE">
        <w:rPr>
          <w:color w:val="B1173B"/>
        </w:rPr>
        <w:t>(</w:t>
      </w:r>
      <w:r w:rsidR="002C2F04">
        <w:rPr>
          <w:color w:val="B1173B"/>
        </w:rPr>
        <w:t>20</w:t>
      </w:r>
      <w:r w:rsidRPr="00374BAE">
        <w:rPr>
          <w:color w:val="B1173B"/>
        </w:rPr>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lastRenderedPageBreak/>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lastRenderedPageBreak/>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0" w:name="_Toc111551928"/>
      <w:r w:rsidRPr="002D3643">
        <w:lastRenderedPageBreak/>
        <w:t xml:space="preserve">Procurement </w:t>
      </w:r>
      <w:r>
        <w:t>P</w:t>
      </w:r>
      <w:r w:rsidRPr="002D3643">
        <w:t>rocedures</w:t>
      </w:r>
      <w:bookmarkEnd w:id="20"/>
      <w:r w:rsidRPr="002D3643">
        <w:t xml:space="preserve"> </w:t>
      </w:r>
    </w:p>
    <w:p w14:paraId="038D890E" w14:textId="77777777" w:rsidR="00400432" w:rsidRDefault="00400432" w:rsidP="00400432">
      <w:pPr>
        <w:pStyle w:val="Heading3"/>
      </w:pPr>
      <w:bookmarkStart w:id="21" w:name="_Toc111551929"/>
      <w:r>
        <w:t>Tendering Timetable</w:t>
      </w:r>
      <w:bookmarkEnd w:id="21"/>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0400432">
        <w:trPr>
          <w:tblHeader/>
        </w:trPr>
        <w:tc>
          <w:tcPr>
            <w:tcW w:w="4928" w:type="dxa"/>
            <w:tcBorders>
              <w:bottom w:val="single" w:sz="12" w:space="0" w:color="FFFFFF"/>
            </w:tcBorders>
            <w:shd w:val="solid" w:color="253268" w:themeColor="dark2" w:fill="253268" w:themeFill="dark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cBorders>
            <w:shd w:val="solid" w:color="253268" w:themeColor="dark2" w:fill="253268" w:themeFill="dark2"/>
          </w:tcPr>
          <w:p w14:paraId="0749132E" w14:textId="77777777" w:rsidR="00400432" w:rsidRPr="00400432" w:rsidRDefault="00400432" w:rsidP="00400432">
            <w:pPr>
              <w:pStyle w:val="TblHeading"/>
            </w:pPr>
            <w:r w:rsidRPr="00400432">
              <w:t>Timescale</w:t>
            </w:r>
          </w:p>
        </w:tc>
      </w:tr>
      <w:tr w:rsidR="00400432" w:rsidRPr="00400432" w14:paraId="36ED9179" w14:textId="77777777" w:rsidTr="00400432">
        <w:tc>
          <w:tcPr>
            <w:tcW w:w="4928" w:type="dxa"/>
            <w:tcBorders>
              <w:bottom w:val="single" w:sz="12" w:space="0" w:color="FFFFFF"/>
            </w:tcBorders>
            <w:shd w:val="solid" w:color="FFFFFF" w:fill="FFFFFF"/>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cBorders>
            <w:shd w:val="solid" w:color="FFFFFF" w:fill="FFFFFF"/>
          </w:tcPr>
          <w:p w14:paraId="0B221E35" w14:textId="0C12D17D" w:rsidR="00400432" w:rsidRPr="00400432" w:rsidRDefault="005A1D76" w:rsidP="00400432">
            <w:pPr>
              <w:pStyle w:val="TblText"/>
            </w:pPr>
            <w:r>
              <w:t>2</w:t>
            </w:r>
            <w:r w:rsidR="00B7219C">
              <w:t>8</w:t>
            </w:r>
            <w:r>
              <w:t xml:space="preserve"> October 2024</w:t>
            </w:r>
          </w:p>
        </w:tc>
      </w:tr>
      <w:tr w:rsidR="00400432" w:rsidRPr="00400432" w14:paraId="42283B80" w14:textId="77777777" w:rsidTr="00400432">
        <w:tc>
          <w:tcPr>
            <w:tcW w:w="4928" w:type="dxa"/>
            <w:tcBorders>
              <w:bottom w:val="single" w:sz="12" w:space="0" w:color="FFFFFF"/>
            </w:tcBorders>
            <w:shd w:val="solid" w:color="E4E7F5" w:themeColor="text2" w:themeTint="19" w:fill="E4E7F5" w:themeFill="text2" w:themeFillTint="19"/>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cBorders>
            <w:shd w:val="solid" w:color="E4E7F5" w:themeColor="text2" w:themeTint="19" w:fill="E4E7F5" w:themeFill="text2" w:themeFillTint="19"/>
          </w:tcPr>
          <w:p w14:paraId="4308C2DC" w14:textId="79F20EFD" w:rsidR="00400432" w:rsidRPr="00400432" w:rsidRDefault="00981F2A" w:rsidP="00400432">
            <w:pPr>
              <w:pStyle w:val="TblText"/>
            </w:pPr>
            <w:r>
              <w:t>07</w:t>
            </w:r>
            <w:r w:rsidR="00EC391B">
              <w:t xml:space="preserve"> </w:t>
            </w:r>
            <w:r w:rsidR="005A1D76">
              <w:t>November 2024</w:t>
            </w:r>
            <w:r>
              <w:t xml:space="preserve"> 12pm</w:t>
            </w:r>
          </w:p>
        </w:tc>
      </w:tr>
      <w:tr w:rsidR="00400432" w:rsidRPr="00400432" w14:paraId="66301268" w14:textId="77777777" w:rsidTr="00400432">
        <w:tc>
          <w:tcPr>
            <w:tcW w:w="4928" w:type="dxa"/>
            <w:tcBorders>
              <w:bottom w:val="single" w:sz="12" w:space="0" w:color="FFFFFF"/>
            </w:tcBorders>
            <w:shd w:val="solid" w:color="FFFFFF" w:fill="FFFFFF"/>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cBorders>
            <w:shd w:val="solid" w:color="FFFFFF" w:fill="FFFFFF"/>
          </w:tcPr>
          <w:p w14:paraId="63343DB4" w14:textId="69F04D2B" w:rsidR="00400432" w:rsidRPr="00400432" w:rsidRDefault="005A1D76" w:rsidP="00400432">
            <w:pPr>
              <w:pStyle w:val="TblText"/>
            </w:pPr>
            <w:r>
              <w:t>14 November 2024</w:t>
            </w:r>
            <w:r w:rsidR="00981F2A">
              <w:t xml:space="preserve"> 12pm</w:t>
            </w:r>
          </w:p>
        </w:tc>
      </w:tr>
      <w:tr w:rsidR="00400432" w:rsidRPr="00400432" w14:paraId="4B08FCC5" w14:textId="77777777" w:rsidTr="00400432">
        <w:tc>
          <w:tcPr>
            <w:tcW w:w="4928" w:type="dxa"/>
            <w:tcBorders>
              <w:bottom w:val="single" w:sz="12" w:space="0" w:color="FFFFFF"/>
            </w:tcBorders>
            <w:shd w:val="solid" w:color="E4E7F5" w:themeColor="text2" w:themeTint="19" w:fill="E4E7F5" w:themeFill="text2" w:themeFillTint="19"/>
          </w:tcPr>
          <w:p w14:paraId="5D3F0ED3" w14:textId="77777777" w:rsidR="00400432" w:rsidRPr="00400432" w:rsidRDefault="00400432" w:rsidP="00400432">
            <w:pPr>
              <w:pStyle w:val="TblText"/>
            </w:pPr>
            <w:r w:rsidRPr="00400432">
              <w:t>Shortlisted suppliers notified</w:t>
            </w:r>
          </w:p>
        </w:tc>
        <w:tc>
          <w:tcPr>
            <w:tcW w:w="3600" w:type="dxa"/>
            <w:tcBorders>
              <w:bottom w:val="single" w:sz="12" w:space="0" w:color="FFFFFF"/>
            </w:tcBorders>
            <w:shd w:val="solid" w:color="E4E7F5" w:themeColor="text2" w:themeTint="19" w:fill="E4E7F5" w:themeFill="text2" w:themeFillTint="19"/>
          </w:tcPr>
          <w:p w14:paraId="572895D5" w14:textId="603B7777" w:rsidR="00400432" w:rsidRPr="00400432" w:rsidRDefault="005A1D76" w:rsidP="00400432">
            <w:pPr>
              <w:pStyle w:val="TblText"/>
            </w:pPr>
            <w:r>
              <w:t>2</w:t>
            </w:r>
            <w:r w:rsidR="004410A2">
              <w:t>2</w:t>
            </w:r>
            <w:r>
              <w:t xml:space="preserve"> November 2024</w:t>
            </w:r>
          </w:p>
        </w:tc>
      </w:tr>
      <w:tr w:rsidR="00400432" w:rsidRPr="00400432" w14:paraId="0217C7BB" w14:textId="77777777" w:rsidTr="00400432">
        <w:tc>
          <w:tcPr>
            <w:tcW w:w="4928" w:type="dxa"/>
            <w:tcBorders>
              <w:bottom w:val="single" w:sz="12" w:space="0" w:color="FFFFFF"/>
            </w:tcBorders>
            <w:shd w:val="solid" w:color="FFFFFF" w:fill="FFFFFF"/>
          </w:tcPr>
          <w:p w14:paraId="32D5FD17" w14:textId="77777777" w:rsidR="00400432" w:rsidRPr="00400432" w:rsidRDefault="00400432" w:rsidP="00400432">
            <w:pPr>
              <w:pStyle w:val="TblText"/>
            </w:pPr>
            <w:r w:rsidRPr="00400432">
              <w:t>Interviews and presentations*</w:t>
            </w:r>
          </w:p>
        </w:tc>
        <w:tc>
          <w:tcPr>
            <w:tcW w:w="3600" w:type="dxa"/>
            <w:tcBorders>
              <w:bottom w:val="single" w:sz="12" w:space="0" w:color="FFFFFF"/>
            </w:tcBorders>
            <w:shd w:val="solid" w:color="FFFFFF" w:fill="FFFFFF"/>
          </w:tcPr>
          <w:p w14:paraId="565B27EE" w14:textId="172B427F" w:rsidR="00400432" w:rsidRPr="00400432" w:rsidRDefault="002446C5" w:rsidP="00400432">
            <w:pPr>
              <w:pStyle w:val="TblText"/>
            </w:pPr>
            <w:r>
              <w:t xml:space="preserve">w/c </w:t>
            </w:r>
            <w:r w:rsidR="005A1D76">
              <w:t>2</w:t>
            </w:r>
            <w:r>
              <w:t>5</w:t>
            </w:r>
            <w:r w:rsidR="005A1D76">
              <w:t xml:space="preserve"> November 2024</w:t>
            </w:r>
            <w:r w:rsidR="00400432" w:rsidRPr="00400432">
              <w:t xml:space="preserve"> </w:t>
            </w:r>
            <w:r w:rsidR="005A1D76">
              <w:t>(</w:t>
            </w:r>
            <w:r w:rsidR="00400432" w:rsidRPr="00400432">
              <w:t>if required</w:t>
            </w:r>
            <w:r w:rsidR="005A1D76">
              <w:t>)</w:t>
            </w:r>
          </w:p>
        </w:tc>
      </w:tr>
      <w:tr w:rsidR="00400432" w:rsidRPr="00400432" w14:paraId="2D3D0936" w14:textId="77777777" w:rsidTr="00400432">
        <w:tc>
          <w:tcPr>
            <w:tcW w:w="4928" w:type="dxa"/>
            <w:tcBorders>
              <w:bottom w:val="single" w:sz="12" w:space="0" w:color="FFFFFF"/>
            </w:tcBorders>
            <w:shd w:val="solid" w:color="E4E7F5" w:themeColor="text2" w:themeTint="19" w:fill="E4E7F5" w:themeFill="text2" w:themeFillTint="19"/>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cBorders>
            <w:shd w:val="solid" w:color="E4E7F5" w:themeColor="text2" w:themeTint="19" w:fill="E4E7F5" w:themeFill="text2" w:themeFillTint="19"/>
          </w:tcPr>
          <w:p w14:paraId="2FF6E1B1" w14:textId="16D0ACC9" w:rsidR="00400432" w:rsidRPr="00400432" w:rsidRDefault="00981F2A" w:rsidP="00400432">
            <w:pPr>
              <w:pStyle w:val="TblText"/>
            </w:pPr>
            <w:r>
              <w:t>w/c 09</w:t>
            </w:r>
            <w:r w:rsidR="00EC391B">
              <w:t xml:space="preserve"> December 2024</w:t>
            </w:r>
          </w:p>
        </w:tc>
      </w:tr>
      <w:tr w:rsidR="00400432" w:rsidRPr="00400432" w14:paraId="3E83975E" w14:textId="77777777" w:rsidTr="00400432">
        <w:tc>
          <w:tcPr>
            <w:tcW w:w="4928" w:type="dxa"/>
            <w:shd w:val="solid" w:color="FFFFFF" w:fill="FFFFFF"/>
          </w:tcPr>
          <w:p w14:paraId="19972227" w14:textId="77777777" w:rsidR="00400432" w:rsidRPr="00400432" w:rsidRDefault="00400432" w:rsidP="00400432">
            <w:pPr>
              <w:pStyle w:val="TblText"/>
            </w:pPr>
            <w:r w:rsidRPr="00400432">
              <w:t>Project Inception Meeting</w:t>
            </w:r>
          </w:p>
        </w:tc>
        <w:tc>
          <w:tcPr>
            <w:tcW w:w="3600" w:type="dxa"/>
            <w:shd w:val="solid" w:color="FFFFFF" w:fill="FFFFFF"/>
          </w:tcPr>
          <w:p w14:paraId="5605FB39" w14:textId="42AF8B74" w:rsidR="00400432" w:rsidRPr="00400432" w:rsidRDefault="00465E6B" w:rsidP="00400432">
            <w:pPr>
              <w:pStyle w:val="TblText"/>
            </w:pPr>
            <w:r>
              <w:t xml:space="preserve">w/c </w:t>
            </w:r>
            <w:r w:rsidR="005A1D76">
              <w:t>16 December 2024</w:t>
            </w:r>
          </w:p>
        </w:tc>
      </w:tr>
    </w:tbl>
    <w:p w14:paraId="34A006DD" w14:textId="42636392" w:rsidR="002D3643" w:rsidRDefault="00400432" w:rsidP="00400432">
      <w:pPr>
        <w:pStyle w:val="TblSource"/>
      </w:pPr>
      <w:r w:rsidRPr="00400432">
        <w:t xml:space="preserve">Please ensure that the Project Manager and other key consultants who will be delivering this work are available to give presentations on the interview date </w:t>
      </w:r>
    </w:p>
    <w:p w14:paraId="3DFADB3D" w14:textId="77777777" w:rsidR="00433557" w:rsidRDefault="00433557" w:rsidP="000A0438">
      <w:pPr>
        <w:pStyle w:val="Heading3"/>
      </w:pPr>
      <w:bookmarkStart w:id="22" w:name="_Toc111551930"/>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eTendering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eTendering portal no later than the submission date and time shown above. Tenders uploaded after the closing date and time may not be </w:t>
      </w:r>
      <w:r>
        <w:lastRenderedPageBreak/>
        <w:t xml:space="preserve">accepted. Bidders have the facility to upload later versions of tenders until the closing date/time. </w:t>
      </w:r>
    </w:p>
    <w:p w14:paraId="78FF1853" w14:textId="489428A9" w:rsidR="00433557" w:rsidRDefault="00433557" w:rsidP="00433557">
      <w:r w:rsidRPr="00B922B8">
        <w:t>Please submit the Form of Tender</w:t>
      </w:r>
      <w:r w:rsidR="00621979" w:rsidRPr="00B922B8">
        <w:t>,</w:t>
      </w:r>
      <w:r w:rsidRPr="00B922B8">
        <w:t xml:space="preserve"> Disclaimer</w:t>
      </w:r>
      <w:r w:rsidR="00621979" w:rsidRPr="00B922B8">
        <w:t xml:space="preserve"> and relevant security </w:t>
      </w:r>
      <w:r w:rsidRPr="00B922B8">
        <w:t>certificate</w:t>
      </w:r>
      <w:r w:rsidR="00621979" w:rsidRPr="00B922B8">
        <w:t>s</w:t>
      </w:r>
      <w:r w:rsidRPr="00B922B8">
        <w:t xml:space="preserve"> along with your proposal. If you are already registered on our eTendering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all of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2"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w:t>
      </w:r>
      <w:r>
        <w:lastRenderedPageBreak/>
        <w:t xml:space="preserve">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ORR does not expect to negotiate individual terms and expects to contract on the basis of those terms alone. If you do not agree to the Conditions of Contract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r w:rsidRPr="00D2517B">
              <w:t>Existing  Wording</w:t>
            </w:r>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Conditions; </w:t>
      </w:r>
    </w:p>
    <w:p w14:paraId="08958C5B" w14:textId="2814C608" w:rsidR="00D2517B" w:rsidRDefault="00D2517B" w:rsidP="003D0868">
      <w:pPr>
        <w:pStyle w:val="NormalBulletround"/>
      </w:pPr>
      <w:r>
        <w:t>Service Schedules;</w:t>
      </w:r>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t>
      </w:r>
      <w:r>
        <w:lastRenderedPageBreak/>
        <w:t xml:space="preserve">work with the chosen supplier to establish if any information within the contract should be withheld and the reasons for withholding it from publication. </w:t>
      </w:r>
    </w:p>
    <w:p w14:paraId="40D4E10C" w14:textId="77777777" w:rsidR="00D2517B" w:rsidRDefault="00D2517B" w:rsidP="00D2517B">
      <w:r>
        <w:t>Typically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3A16E9">
          <w:headerReference w:type="even" r:id="rId23"/>
          <w:headerReference w:type="default" r:id="rId24"/>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48FB63C1">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6"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7"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28" w:history="1">
        <w:r w:rsidR="008F0B87" w:rsidRPr="00C9621C">
          <w:rPr>
            <w:rStyle w:val="Hyperlink"/>
          </w:rPr>
          <w:t>procurementteam@orr.gov.uk</w:t>
        </w:r>
      </w:hyperlink>
      <w:r w:rsidR="008F0B87">
        <w:t xml:space="preserve"> </w:t>
      </w:r>
    </w:p>
    <w:sectPr w:rsidR="00D25F7E" w:rsidRPr="00D25F7E" w:rsidSect="00D25F7E">
      <w:headerReference w:type="even" r:id="rId29"/>
      <w:headerReference w:type="default" r:id="rId30"/>
      <w:footerReference w:type="even" r:id="rId31"/>
      <w:footerReference w:type="default" r:id="rId32"/>
      <w:headerReference w:type="first" r:id="rId33"/>
      <w:footerReference w:type="first" r:id="rId34"/>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003B9" w14:textId="77777777" w:rsidR="00142694" w:rsidRDefault="00142694" w:rsidP="00555585">
      <w:pPr>
        <w:spacing w:after="0" w:line="240" w:lineRule="auto"/>
      </w:pPr>
      <w:r>
        <w:separator/>
      </w:r>
    </w:p>
  </w:endnote>
  <w:endnote w:type="continuationSeparator" w:id="0">
    <w:p w14:paraId="4E6DACB4" w14:textId="77777777" w:rsidR="00142694" w:rsidRDefault="00142694" w:rsidP="00555585">
      <w:pPr>
        <w:spacing w:after="0" w:line="240" w:lineRule="auto"/>
      </w:pPr>
      <w:r>
        <w:continuationSeparator/>
      </w:r>
    </w:p>
  </w:endnote>
  <w:endnote w:type="continuationNotice" w:id="1">
    <w:p w14:paraId="44EE39F7" w14:textId="77777777" w:rsidR="006562DE" w:rsidRDefault="00656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F2614" w14:textId="77777777" w:rsidR="00FC6860" w:rsidRPr="00904857" w:rsidRDefault="00FC6860" w:rsidP="003A16E9">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1007196552" name="Picture 10071965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36A43" w14:textId="77777777" w:rsidR="00FC6860" w:rsidRPr="00904857" w:rsidRDefault="00FC6860" w:rsidP="003A16E9">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903546783" name="Picture 903546783"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DBC6C" w14:textId="77777777" w:rsidR="00D25F7E" w:rsidRDefault="00D25F7E" w:rsidP="003A16E9">
    <w:pPr>
      <w:pStyle w:val="Footer"/>
    </w:pPr>
  </w:p>
  <w:p w14:paraId="30922858" w14:textId="77777777" w:rsidR="00D25F7E" w:rsidRDefault="00D25F7E" w:rsidP="003A16E9">
    <w:pPr>
      <w:pStyle w:val="Footer"/>
    </w:pPr>
  </w:p>
  <w:p w14:paraId="722278C7" w14:textId="77777777" w:rsidR="00D25F7E" w:rsidRDefault="00D25F7E" w:rsidP="003A16E9">
    <w:pPr>
      <w:pStyle w:val="Footer"/>
    </w:pPr>
  </w:p>
  <w:p w14:paraId="2F806F11" w14:textId="77777777" w:rsidR="00D25F7E" w:rsidRDefault="00D25F7E" w:rsidP="003A16E9">
    <w:pPr>
      <w:pStyle w:val="Footer"/>
    </w:pPr>
  </w:p>
  <w:p w14:paraId="6D31B3EB" w14:textId="77777777" w:rsidR="00D25F7E" w:rsidRDefault="00D25F7E" w:rsidP="003A16E9">
    <w:pPr>
      <w:pStyle w:val="Footer"/>
    </w:pPr>
  </w:p>
  <w:p w14:paraId="26D028EC" w14:textId="77777777" w:rsidR="00D25F7E" w:rsidRPr="004A743E" w:rsidRDefault="00D25F7E" w:rsidP="003A16E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CC8DF" w14:textId="77777777" w:rsidR="00FC6860" w:rsidRDefault="00FC6860" w:rsidP="003A16E9">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A16E9">
    <w:pPr>
      <w:pStyle w:val="Footer"/>
    </w:pPr>
  </w:p>
  <w:p w14:paraId="71EA0EA7" w14:textId="77777777" w:rsidR="00FC6860" w:rsidRDefault="00FC6860" w:rsidP="003A16E9">
    <w:pPr>
      <w:pStyle w:val="Footer"/>
    </w:pPr>
  </w:p>
  <w:p w14:paraId="3B410CFC" w14:textId="77777777" w:rsidR="00FC6860" w:rsidRDefault="00FC6860" w:rsidP="003A16E9">
    <w:pPr>
      <w:pStyle w:val="Footer"/>
    </w:pPr>
  </w:p>
  <w:p w14:paraId="499C042D" w14:textId="77777777" w:rsidR="00FC6860" w:rsidRDefault="00FC6860" w:rsidP="003A16E9">
    <w:pPr>
      <w:pStyle w:val="Footer"/>
    </w:pPr>
  </w:p>
  <w:p w14:paraId="01590A05" w14:textId="77777777" w:rsidR="00FC6860" w:rsidRDefault="00FC6860" w:rsidP="003A16E9">
    <w:pPr>
      <w:pStyle w:val="Footer"/>
    </w:pPr>
  </w:p>
  <w:p w14:paraId="4FE202DC" w14:textId="77777777" w:rsidR="00FC6860" w:rsidRDefault="00FC6860" w:rsidP="003A16E9">
    <w:pPr>
      <w:pStyle w:val="Footer"/>
    </w:pPr>
  </w:p>
  <w:p w14:paraId="2C948FBC" w14:textId="77777777" w:rsidR="00FC6860" w:rsidRDefault="00FC6860" w:rsidP="003A16E9">
    <w:pPr>
      <w:pStyle w:val="Footer"/>
    </w:pPr>
  </w:p>
  <w:p w14:paraId="5A5AEE1F" w14:textId="77777777" w:rsidR="00FC6860" w:rsidRPr="00904857" w:rsidRDefault="00FC6860" w:rsidP="003A16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8671A" w14:textId="77777777" w:rsidR="00142694" w:rsidRDefault="00142694" w:rsidP="00555585">
      <w:pPr>
        <w:spacing w:after="0" w:line="240" w:lineRule="auto"/>
      </w:pPr>
      <w:r>
        <w:separator/>
      </w:r>
    </w:p>
  </w:footnote>
  <w:footnote w:type="continuationSeparator" w:id="0">
    <w:p w14:paraId="1FF71F43" w14:textId="77777777" w:rsidR="00142694" w:rsidRDefault="00142694" w:rsidP="00555585">
      <w:pPr>
        <w:spacing w:after="0" w:line="240" w:lineRule="auto"/>
      </w:pPr>
      <w:r>
        <w:continuationSeparator/>
      </w:r>
    </w:p>
  </w:footnote>
  <w:footnote w:type="continuationNotice" w:id="1">
    <w:p w14:paraId="029D131B" w14:textId="77777777" w:rsidR="006562DE" w:rsidRDefault="006562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24EF" w14:textId="5686C88F" w:rsidR="00FC6860" w:rsidRDefault="1992C158" w:rsidP="003A16E9">
    <w:pPr>
      <w:pStyle w:val="Header"/>
      <w:spacing w:before="720"/>
    </w:pPr>
    <w:r>
      <w:rPr>
        <w:noProof/>
      </w:rPr>
      <w:drawing>
        <wp:inline distT="0" distB="0" distL="0" distR="0" wp14:anchorId="0C838EB3" wp14:editId="6BA56E9F">
          <wp:extent cx="1486800" cy="1241048"/>
          <wp:effectExtent l="0" t="0" r="0" b="0"/>
          <wp:docPr id="1218849198" name="Picture 1218849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bmkContents"/>
  <w:bookmarkEnd w:id="3"/>
  <w:p w14:paraId="787800DB" w14:textId="65212DC4"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3380D" w14:textId="77777777"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DEF3B" w14:textId="078851F1"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C3AF1" w14:textId="77777777" w:rsidR="00852E5A" w:rsidRPr="00FC6860" w:rsidRDefault="00852E5A" w:rsidP="00FC6860">
    <w:pPr>
      <w:pStyle w:val="Header"/>
    </w:pPr>
    <w:bookmarkStart w:id="23" w:name="bmkBackPage"/>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multilevel"/>
    <w:tmpl w:val="D79C245A"/>
    <w:numStyleLink w:val="ORRNormalList"/>
  </w:abstractNum>
  <w:abstractNum w:abstractNumId="6"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1336443"/>
    <w:multiLevelType w:val="multilevel"/>
    <w:tmpl w:val="FEF47FD2"/>
    <w:numStyleLink w:val="ORRSummary"/>
  </w:abstractNum>
  <w:abstractNum w:abstractNumId="9" w15:restartNumberingAfterBreak="0">
    <w:nsid w:val="28296852"/>
    <w:multiLevelType w:val="multilevel"/>
    <w:tmpl w:val="D79C245A"/>
    <w:numStyleLink w:val="ORRNormalList"/>
  </w:abstractNum>
  <w:abstractNum w:abstractNumId="10" w15:restartNumberingAfterBreak="0">
    <w:nsid w:val="29BF3D5B"/>
    <w:multiLevelType w:val="hybridMultilevel"/>
    <w:tmpl w:val="3AFC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76BCC"/>
    <w:multiLevelType w:val="multilevel"/>
    <w:tmpl w:val="D79C245A"/>
    <w:numStyleLink w:val="ORRNormalList"/>
  </w:abstractNum>
  <w:abstractNum w:abstractNumId="12" w15:restartNumberingAfterBreak="0">
    <w:nsid w:val="3BBA0865"/>
    <w:multiLevelType w:val="hybridMultilevel"/>
    <w:tmpl w:val="5CC6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8" w15:restartNumberingAfterBreak="0">
    <w:nsid w:val="68BD5682"/>
    <w:multiLevelType w:val="multilevel"/>
    <w:tmpl w:val="EAD453D0"/>
    <w:numStyleLink w:val="NumbListHighlight"/>
  </w:abstractNum>
  <w:abstractNum w:abstractNumId="19"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F4BB5"/>
    <w:multiLevelType w:val="multilevel"/>
    <w:tmpl w:val="B1A2009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15:restartNumberingAfterBreak="0">
    <w:nsid w:val="774C62AB"/>
    <w:multiLevelType w:val="multilevel"/>
    <w:tmpl w:val="6B204466"/>
    <w:numStyleLink w:val="ORRAnnex"/>
  </w:abstractNum>
  <w:abstractNum w:abstractNumId="23" w15:restartNumberingAfterBreak="0">
    <w:nsid w:val="7DDA5CB4"/>
    <w:multiLevelType w:val="multilevel"/>
    <w:tmpl w:val="6B204466"/>
    <w:numStyleLink w:val="ORRAnnex"/>
  </w:abstractNum>
  <w:num w:numId="1" w16cid:durableId="12330070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1"/>
  </w:num>
  <w:num w:numId="3" w16cid:durableId="615990203">
    <w:abstractNumId w:val="6"/>
  </w:num>
  <w:num w:numId="4" w16cid:durableId="1539008159">
    <w:abstractNumId w:val="16"/>
  </w:num>
  <w:num w:numId="5" w16cid:durableId="1334801291">
    <w:abstractNumId w:val="7"/>
  </w:num>
  <w:num w:numId="6" w16cid:durableId="116142554">
    <w:abstractNumId w:val="11"/>
  </w:num>
  <w:num w:numId="7" w16cid:durableId="1708795862">
    <w:abstractNumId w:val="8"/>
  </w:num>
  <w:num w:numId="8" w16cid:durableId="1432780497">
    <w:abstractNumId w:val="4"/>
  </w:num>
  <w:num w:numId="9" w16cid:durableId="35012236">
    <w:abstractNumId w:val="3"/>
  </w:num>
  <w:num w:numId="10" w16cid:durableId="711077664">
    <w:abstractNumId w:val="0"/>
  </w:num>
  <w:num w:numId="11" w16cid:durableId="1604993918">
    <w:abstractNumId w:val="18"/>
  </w:num>
  <w:num w:numId="12" w16cid:durableId="435447028">
    <w:abstractNumId w:val="17"/>
  </w:num>
  <w:num w:numId="13" w16cid:durableId="2048019962">
    <w:abstractNumId w:val="22"/>
  </w:num>
  <w:num w:numId="14" w16cid:durableId="2025738407">
    <w:abstractNumId w:val="18"/>
  </w:num>
  <w:num w:numId="15" w16cid:durableId="150879135">
    <w:abstractNumId w:val="18"/>
  </w:num>
  <w:num w:numId="16" w16cid:durableId="891042484">
    <w:abstractNumId w:val="18"/>
  </w:num>
  <w:num w:numId="17" w16cid:durableId="727414043">
    <w:abstractNumId w:val="17"/>
  </w:num>
  <w:num w:numId="18" w16cid:durableId="1027833524">
    <w:abstractNumId w:val="1"/>
  </w:num>
  <w:num w:numId="19" w16cid:durableId="50661355">
    <w:abstractNumId w:val="5"/>
  </w:num>
  <w:num w:numId="20" w16cid:durableId="1446195555">
    <w:abstractNumId w:val="3"/>
  </w:num>
  <w:num w:numId="21" w16cid:durableId="558327301">
    <w:abstractNumId w:val="23"/>
  </w:num>
  <w:num w:numId="22" w16cid:durableId="463500638">
    <w:abstractNumId w:val="14"/>
  </w:num>
  <w:num w:numId="23" w16cid:durableId="1527019102">
    <w:abstractNumId w:val="2"/>
  </w:num>
  <w:num w:numId="24" w16cid:durableId="1992102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9"/>
  </w:num>
  <w:num w:numId="26" w16cid:durableId="1830293373">
    <w:abstractNumId w:val="19"/>
  </w:num>
  <w:num w:numId="27"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5"/>
  </w:num>
  <w:num w:numId="33" w16cid:durableId="1595165088">
    <w:abstractNumId w:val="20"/>
  </w:num>
  <w:num w:numId="34" w16cid:durableId="318311639">
    <w:abstractNumId w:val="12"/>
  </w:num>
  <w:num w:numId="35" w16cid:durableId="1886913696">
    <w:abstractNumId w:val="10"/>
  </w:num>
  <w:num w:numId="36" w16cid:durableId="193871069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2210B"/>
    <w:rsid w:val="00030AD8"/>
    <w:rsid w:val="0003350C"/>
    <w:rsid w:val="00036DEB"/>
    <w:rsid w:val="00037BD2"/>
    <w:rsid w:val="00042B65"/>
    <w:rsid w:val="00043DA2"/>
    <w:rsid w:val="0004428A"/>
    <w:rsid w:val="00045A0A"/>
    <w:rsid w:val="0005181F"/>
    <w:rsid w:val="00060052"/>
    <w:rsid w:val="000622FF"/>
    <w:rsid w:val="00066737"/>
    <w:rsid w:val="00071338"/>
    <w:rsid w:val="000735F1"/>
    <w:rsid w:val="00076B67"/>
    <w:rsid w:val="00082DAA"/>
    <w:rsid w:val="000833AF"/>
    <w:rsid w:val="00084783"/>
    <w:rsid w:val="00084972"/>
    <w:rsid w:val="0008514C"/>
    <w:rsid w:val="000876CB"/>
    <w:rsid w:val="0009126F"/>
    <w:rsid w:val="0009203F"/>
    <w:rsid w:val="000A0438"/>
    <w:rsid w:val="000A6DE7"/>
    <w:rsid w:val="000B0266"/>
    <w:rsid w:val="000B309A"/>
    <w:rsid w:val="000B6176"/>
    <w:rsid w:val="000C0E96"/>
    <w:rsid w:val="000C3FCA"/>
    <w:rsid w:val="000C7B66"/>
    <w:rsid w:val="000D2970"/>
    <w:rsid w:val="000E135E"/>
    <w:rsid w:val="000E1CFC"/>
    <w:rsid w:val="000E5AB1"/>
    <w:rsid w:val="000E5E49"/>
    <w:rsid w:val="000F4554"/>
    <w:rsid w:val="000F5529"/>
    <w:rsid w:val="000F70BB"/>
    <w:rsid w:val="000F7BB6"/>
    <w:rsid w:val="001012B6"/>
    <w:rsid w:val="00102F62"/>
    <w:rsid w:val="00120892"/>
    <w:rsid w:val="0012193D"/>
    <w:rsid w:val="00124D1D"/>
    <w:rsid w:val="001368E8"/>
    <w:rsid w:val="00137015"/>
    <w:rsid w:val="00141746"/>
    <w:rsid w:val="00142694"/>
    <w:rsid w:val="001526A6"/>
    <w:rsid w:val="00155088"/>
    <w:rsid w:val="0015625B"/>
    <w:rsid w:val="00156D5F"/>
    <w:rsid w:val="00157E4C"/>
    <w:rsid w:val="00160B26"/>
    <w:rsid w:val="00162B03"/>
    <w:rsid w:val="001659DD"/>
    <w:rsid w:val="00167308"/>
    <w:rsid w:val="00171E62"/>
    <w:rsid w:val="00175A76"/>
    <w:rsid w:val="001768F1"/>
    <w:rsid w:val="00180E47"/>
    <w:rsid w:val="001858EB"/>
    <w:rsid w:val="00194E09"/>
    <w:rsid w:val="001952B2"/>
    <w:rsid w:val="00195C79"/>
    <w:rsid w:val="001A00F0"/>
    <w:rsid w:val="001A1058"/>
    <w:rsid w:val="001B3FD8"/>
    <w:rsid w:val="001B54A7"/>
    <w:rsid w:val="001B551F"/>
    <w:rsid w:val="001B5A48"/>
    <w:rsid w:val="001B62CD"/>
    <w:rsid w:val="001B71F8"/>
    <w:rsid w:val="001C149F"/>
    <w:rsid w:val="001C5F5F"/>
    <w:rsid w:val="001C60A4"/>
    <w:rsid w:val="001D1536"/>
    <w:rsid w:val="001D590D"/>
    <w:rsid w:val="001D5DF3"/>
    <w:rsid w:val="001E23F4"/>
    <w:rsid w:val="001E7C87"/>
    <w:rsid w:val="001F1140"/>
    <w:rsid w:val="001F4F0C"/>
    <w:rsid w:val="001F55B8"/>
    <w:rsid w:val="0020297B"/>
    <w:rsid w:val="00202FEF"/>
    <w:rsid w:val="002063AE"/>
    <w:rsid w:val="002064AF"/>
    <w:rsid w:val="002077FD"/>
    <w:rsid w:val="0021084B"/>
    <w:rsid w:val="0021141B"/>
    <w:rsid w:val="0021395E"/>
    <w:rsid w:val="002162D4"/>
    <w:rsid w:val="00220F85"/>
    <w:rsid w:val="0022209D"/>
    <w:rsid w:val="00224950"/>
    <w:rsid w:val="00225D2C"/>
    <w:rsid w:val="00225EFD"/>
    <w:rsid w:val="00240410"/>
    <w:rsid w:val="002446C5"/>
    <w:rsid w:val="002459ED"/>
    <w:rsid w:val="0025242F"/>
    <w:rsid w:val="00257BE5"/>
    <w:rsid w:val="00260237"/>
    <w:rsid w:val="00272200"/>
    <w:rsid w:val="00276C64"/>
    <w:rsid w:val="00282136"/>
    <w:rsid w:val="0028433A"/>
    <w:rsid w:val="00286CF2"/>
    <w:rsid w:val="0028735A"/>
    <w:rsid w:val="0029283C"/>
    <w:rsid w:val="00293D38"/>
    <w:rsid w:val="00297104"/>
    <w:rsid w:val="002B7995"/>
    <w:rsid w:val="002C2F04"/>
    <w:rsid w:val="002C5A50"/>
    <w:rsid w:val="002C6E70"/>
    <w:rsid w:val="002D0E5B"/>
    <w:rsid w:val="002D2997"/>
    <w:rsid w:val="002D3609"/>
    <w:rsid w:val="002D3643"/>
    <w:rsid w:val="002D46DA"/>
    <w:rsid w:val="002D6000"/>
    <w:rsid w:val="002E2DAD"/>
    <w:rsid w:val="002E7122"/>
    <w:rsid w:val="002F111F"/>
    <w:rsid w:val="002F2791"/>
    <w:rsid w:val="002F5466"/>
    <w:rsid w:val="002F56B7"/>
    <w:rsid w:val="0030237B"/>
    <w:rsid w:val="003027B1"/>
    <w:rsid w:val="00307BCC"/>
    <w:rsid w:val="00311FD5"/>
    <w:rsid w:val="003246C2"/>
    <w:rsid w:val="003247A4"/>
    <w:rsid w:val="003366E7"/>
    <w:rsid w:val="0034288F"/>
    <w:rsid w:val="00343838"/>
    <w:rsid w:val="00347F87"/>
    <w:rsid w:val="003503EE"/>
    <w:rsid w:val="00350594"/>
    <w:rsid w:val="003543C0"/>
    <w:rsid w:val="0035753E"/>
    <w:rsid w:val="0036504A"/>
    <w:rsid w:val="0037216A"/>
    <w:rsid w:val="00372316"/>
    <w:rsid w:val="00372ABD"/>
    <w:rsid w:val="00374BAE"/>
    <w:rsid w:val="003764B8"/>
    <w:rsid w:val="003813C5"/>
    <w:rsid w:val="00383EBF"/>
    <w:rsid w:val="00384699"/>
    <w:rsid w:val="00385387"/>
    <w:rsid w:val="00385F6B"/>
    <w:rsid w:val="00386AF7"/>
    <w:rsid w:val="00386E0A"/>
    <w:rsid w:val="003A16E9"/>
    <w:rsid w:val="003B008E"/>
    <w:rsid w:val="003B09D0"/>
    <w:rsid w:val="003B1008"/>
    <w:rsid w:val="003B1A86"/>
    <w:rsid w:val="003B2296"/>
    <w:rsid w:val="003B27DE"/>
    <w:rsid w:val="003B618E"/>
    <w:rsid w:val="003C0BDF"/>
    <w:rsid w:val="003C247A"/>
    <w:rsid w:val="003C2CFC"/>
    <w:rsid w:val="003C3449"/>
    <w:rsid w:val="003C3BA6"/>
    <w:rsid w:val="003C462A"/>
    <w:rsid w:val="003D0868"/>
    <w:rsid w:val="003D1485"/>
    <w:rsid w:val="003D1B7D"/>
    <w:rsid w:val="003D1CC2"/>
    <w:rsid w:val="003D30C6"/>
    <w:rsid w:val="003E1A78"/>
    <w:rsid w:val="003E2FAF"/>
    <w:rsid w:val="003E3E52"/>
    <w:rsid w:val="003E40D9"/>
    <w:rsid w:val="003E497C"/>
    <w:rsid w:val="003E5612"/>
    <w:rsid w:val="003E5A51"/>
    <w:rsid w:val="003E6BE3"/>
    <w:rsid w:val="003F161B"/>
    <w:rsid w:val="003F3CB0"/>
    <w:rsid w:val="003F6E9D"/>
    <w:rsid w:val="00400432"/>
    <w:rsid w:val="004039B2"/>
    <w:rsid w:val="00403C5B"/>
    <w:rsid w:val="00403F94"/>
    <w:rsid w:val="00407533"/>
    <w:rsid w:val="00410615"/>
    <w:rsid w:val="004121D9"/>
    <w:rsid w:val="00414896"/>
    <w:rsid w:val="0042552D"/>
    <w:rsid w:val="004276BA"/>
    <w:rsid w:val="004308C7"/>
    <w:rsid w:val="00433557"/>
    <w:rsid w:val="00433D4D"/>
    <w:rsid w:val="004372B6"/>
    <w:rsid w:val="0043752D"/>
    <w:rsid w:val="00437772"/>
    <w:rsid w:val="004410A2"/>
    <w:rsid w:val="004462A6"/>
    <w:rsid w:val="00446747"/>
    <w:rsid w:val="00451C67"/>
    <w:rsid w:val="00452F29"/>
    <w:rsid w:val="00453019"/>
    <w:rsid w:val="00454D76"/>
    <w:rsid w:val="00457556"/>
    <w:rsid w:val="00465309"/>
    <w:rsid w:val="00465E6B"/>
    <w:rsid w:val="00472A7C"/>
    <w:rsid w:val="004744A4"/>
    <w:rsid w:val="00476327"/>
    <w:rsid w:val="00480562"/>
    <w:rsid w:val="0048300B"/>
    <w:rsid w:val="0048774B"/>
    <w:rsid w:val="00490915"/>
    <w:rsid w:val="00493BC6"/>
    <w:rsid w:val="00494943"/>
    <w:rsid w:val="00495203"/>
    <w:rsid w:val="004964CA"/>
    <w:rsid w:val="004A0056"/>
    <w:rsid w:val="004A0C10"/>
    <w:rsid w:val="004A24AB"/>
    <w:rsid w:val="004A743E"/>
    <w:rsid w:val="004B2D5D"/>
    <w:rsid w:val="004B336F"/>
    <w:rsid w:val="004C0FAF"/>
    <w:rsid w:val="004C1FDD"/>
    <w:rsid w:val="004D1C50"/>
    <w:rsid w:val="004D5D65"/>
    <w:rsid w:val="004E57B7"/>
    <w:rsid w:val="004E5ACC"/>
    <w:rsid w:val="004E60C0"/>
    <w:rsid w:val="004F2AE4"/>
    <w:rsid w:val="004F6111"/>
    <w:rsid w:val="00503D53"/>
    <w:rsid w:val="005066A9"/>
    <w:rsid w:val="005165AD"/>
    <w:rsid w:val="00526956"/>
    <w:rsid w:val="00532B91"/>
    <w:rsid w:val="00534962"/>
    <w:rsid w:val="00536EB2"/>
    <w:rsid w:val="00544099"/>
    <w:rsid w:val="00546AF7"/>
    <w:rsid w:val="00555585"/>
    <w:rsid w:val="005612F3"/>
    <w:rsid w:val="005635FA"/>
    <w:rsid w:val="00574B16"/>
    <w:rsid w:val="0057702C"/>
    <w:rsid w:val="00580A77"/>
    <w:rsid w:val="00585CEE"/>
    <w:rsid w:val="00591161"/>
    <w:rsid w:val="00596F73"/>
    <w:rsid w:val="005A1D76"/>
    <w:rsid w:val="005A1EE1"/>
    <w:rsid w:val="005A6A23"/>
    <w:rsid w:val="005A6B28"/>
    <w:rsid w:val="005B1E20"/>
    <w:rsid w:val="005B27FB"/>
    <w:rsid w:val="005B3ED1"/>
    <w:rsid w:val="005B621F"/>
    <w:rsid w:val="005B6A22"/>
    <w:rsid w:val="005B7791"/>
    <w:rsid w:val="005C0E21"/>
    <w:rsid w:val="005C29ED"/>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4936"/>
    <w:rsid w:val="005F74FA"/>
    <w:rsid w:val="006023B5"/>
    <w:rsid w:val="00613440"/>
    <w:rsid w:val="00615D12"/>
    <w:rsid w:val="00617B7F"/>
    <w:rsid w:val="00621979"/>
    <w:rsid w:val="006242F0"/>
    <w:rsid w:val="006316B1"/>
    <w:rsid w:val="00632914"/>
    <w:rsid w:val="00632A37"/>
    <w:rsid w:val="00636173"/>
    <w:rsid w:val="00637198"/>
    <w:rsid w:val="00640445"/>
    <w:rsid w:val="00645EB9"/>
    <w:rsid w:val="006465D2"/>
    <w:rsid w:val="00650977"/>
    <w:rsid w:val="0065616A"/>
    <w:rsid w:val="006562DE"/>
    <w:rsid w:val="0066567C"/>
    <w:rsid w:val="006701F0"/>
    <w:rsid w:val="00673F42"/>
    <w:rsid w:val="00680F51"/>
    <w:rsid w:val="00683A4B"/>
    <w:rsid w:val="00683F80"/>
    <w:rsid w:val="00691342"/>
    <w:rsid w:val="00696275"/>
    <w:rsid w:val="006964D0"/>
    <w:rsid w:val="006A063F"/>
    <w:rsid w:val="006A6751"/>
    <w:rsid w:val="006B10E9"/>
    <w:rsid w:val="006B198C"/>
    <w:rsid w:val="006B27E0"/>
    <w:rsid w:val="006C004C"/>
    <w:rsid w:val="006C02BD"/>
    <w:rsid w:val="006C15DB"/>
    <w:rsid w:val="006C7602"/>
    <w:rsid w:val="006D1DD8"/>
    <w:rsid w:val="006D4741"/>
    <w:rsid w:val="006D6465"/>
    <w:rsid w:val="006D6756"/>
    <w:rsid w:val="006E1B6F"/>
    <w:rsid w:val="006E214D"/>
    <w:rsid w:val="006E25F6"/>
    <w:rsid w:val="006E55C1"/>
    <w:rsid w:val="006F108F"/>
    <w:rsid w:val="006F398C"/>
    <w:rsid w:val="006F6490"/>
    <w:rsid w:val="006F663A"/>
    <w:rsid w:val="00703BE0"/>
    <w:rsid w:val="00705CF5"/>
    <w:rsid w:val="007061B3"/>
    <w:rsid w:val="007062A6"/>
    <w:rsid w:val="00713B94"/>
    <w:rsid w:val="00713CC8"/>
    <w:rsid w:val="00716CEC"/>
    <w:rsid w:val="00717537"/>
    <w:rsid w:val="007200CC"/>
    <w:rsid w:val="00723A7F"/>
    <w:rsid w:val="00724059"/>
    <w:rsid w:val="007246E1"/>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5B68"/>
    <w:rsid w:val="007679D8"/>
    <w:rsid w:val="00773068"/>
    <w:rsid w:val="00785937"/>
    <w:rsid w:val="00790401"/>
    <w:rsid w:val="00790AD2"/>
    <w:rsid w:val="0079264A"/>
    <w:rsid w:val="00793F64"/>
    <w:rsid w:val="00796755"/>
    <w:rsid w:val="00796E71"/>
    <w:rsid w:val="007979A7"/>
    <w:rsid w:val="00797F75"/>
    <w:rsid w:val="007A1F12"/>
    <w:rsid w:val="007B0CCC"/>
    <w:rsid w:val="007B1555"/>
    <w:rsid w:val="007C43C1"/>
    <w:rsid w:val="007C5212"/>
    <w:rsid w:val="007D5014"/>
    <w:rsid w:val="007E246D"/>
    <w:rsid w:val="007E2744"/>
    <w:rsid w:val="007E2967"/>
    <w:rsid w:val="007E4EC4"/>
    <w:rsid w:val="007E6E4B"/>
    <w:rsid w:val="007F1FB4"/>
    <w:rsid w:val="007F3F24"/>
    <w:rsid w:val="007F4B75"/>
    <w:rsid w:val="007F6498"/>
    <w:rsid w:val="007F6B18"/>
    <w:rsid w:val="00804350"/>
    <w:rsid w:val="00806042"/>
    <w:rsid w:val="008105A4"/>
    <w:rsid w:val="008122F2"/>
    <w:rsid w:val="008145A2"/>
    <w:rsid w:val="0081555F"/>
    <w:rsid w:val="0081639D"/>
    <w:rsid w:val="008174A6"/>
    <w:rsid w:val="00826F5D"/>
    <w:rsid w:val="008277B1"/>
    <w:rsid w:val="00831EE0"/>
    <w:rsid w:val="008342A5"/>
    <w:rsid w:val="0083649D"/>
    <w:rsid w:val="0083798F"/>
    <w:rsid w:val="00841B8C"/>
    <w:rsid w:val="008422F2"/>
    <w:rsid w:val="00845EDF"/>
    <w:rsid w:val="008475B8"/>
    <w:rsid w:val="00851E44"/>
    <w:rsid w:val="00852E5A"/>
    <w:rsid w:val="00855FA9"/>
    <w:rsid w:val="00856DAD"/>
    <w:rsid w:val="008624E2"/>
    <w:rsid w:val="008640BB"/>
    <w:rsid w:val="00865AB3"/>
    <w:rsid w:val="008667A9"/>
    <w:rsid w:val="00866A12"/>
    <w:rsid w:val="00873479"/>
    <w:rsid w:val="0087426B"/>
    <w:rsid w:val="00882BEF"/>
    <w:rsid w:val="00884568"/>
    <w:rsid w:val="00885126"/>
    <w:rsid w:val="00886DE9"/>
    <w:rsid w:val="008873CC"/>
    <w:rsid w:val="00890BB8"/>
    <w:rsid w:val="008911C0"/>
    <w:rsid w:val="00892CA9"/>
    <w:rsid w:val="00894644"/>
    <w:rsid w:val="008946A7"/>
    <w:rsid w:val="00894D7D"/>
    <w:rsid w:val="00897A5A"/>
    <w:rsid w:val="008A1C58"/>
    <w:rsid w:val="008A1E4C"/>
    <w:rsid w:val="008A25C5"/>
    <w:rsid w:val="008A7042"/>
    <w:rsid w:val="008B39F2"/>
    <w:rsid w:val="008B50A1"/>
    <w:rsid w:val="008B6DC1"/>
    <w:rsid w:val="008C091C"/>
    <w:rsid w:val="008C1870"/>
    <w:rsid w:val="008C30D2"/>
    <w:rsid w:val="008D4781"/>
    <w:rsid w:val="008D5E69"/>
    <w:rsid w:val="008D60C8"/>
    <w:rsid w:val="008E3D37"/>
    <w:rsid w:val="008E3E7D"/>
    <w:rsid w:val="008E4FB6"/>
    <w:rsid w:val="008E5039"/>
    <w:rsid w:val="008E61DF"/>
    <w:rsid w:val="008F04E0"/>
    <w:rsid w:val="008F0B87"/>
    <w:rsid w:val="008F18B3"/>
    <w:rsid w:val="008F1A0A"/>
    <w:rsid w:val="008F23EF"/>
    <w:rsid w:val="008F676D"/>
    <w:rsid w:val="00901C9A"/>
    <w:rsid w:val="0090243F"/>
    <w:rsid w:val="00903EB2"/>
    <w:rsid w:val="0090417A"/>
    <w:rsid w:val="00904857"/>
    <w:rsid w:val="0090622E"/>
    <w:rsid w:val="00907F32"/>
    <w:rsid w:val="009102F8"/>
    <w:rsid w:val="00910E4A"/>
    <w:rsid w:val="009111CF"/>
    <w:rsid w:val="00912431"/>
    <w:rsid w:val="00913800"/>
    <w:rsid w:val="00914861"/>
    <w:rsid w:val="00914D5C"/>
    <w:rsid w:val="00916C88"/>
    <w:rsid w:val="00917106"/>
    <w:rsid w:val="00920F55"/>
    <w:rsid w:val="009265DD"/>
    <w:rsid w:val="0093142F"/>
    <w:rsid w:val="009319AE"/>
    <w:rsid w:val="009375BF"/>
    <w:rsid w:val="0094130E"/>
    <w:rsid w:val="009458DA"/>
    <w:rsid w:val="00952E99"/>
    <w:rsid w:val="009617D1"/>
    <w:rsid w:val="00963E0B"/>
    <w:rsid w:val="009646F5"/>
    <w:rsid w:val="00973BC6"/>
    <w:rsid w:val="00974DB7"/>
    <w:rsid w:val="009757DA"/>
    <w:rsid w:val="00981E60"/>
    <w:rsid w:val="00981F2A"/>
    <w:rsid w:val="009822CC"/>
    <w:rsid w:val="00982820"/>
    <w:rsid w:val="00983B21"/>
    <w:rsid w:val="009852F9"/>
    <w:rsid w:val="00985547"/>
    <w:rsid w:val="0099269F"/>
    <w:rsid w:val="00992B05"/>
    <w:rsid w:val="00994102"/>
    <w:rsid w:val="009942BE"/>
    <w:rsid w:val="009A0D55"/>
    <w:rsid w:val="009A34CB"/>
    <w:rsid w:val="009A5DA3"/>
    <w:rsid w:val="009B04F7"/>
    <w:rsid w:val="009B5565"/>
    <w:rsid w:val="009C3E78"/>
    <w:rsid w:val="009C7888"/>
    <w:rsid w:val="009C7C82"/>
    <w:rsid w:val="009D4BF5"/>
    <w:rsid w:val="009E0644"/>
    <w:rsid w:val="009E13FE"/>
    <w:rsid w:val="009E34CC"/>
    <w:rsid w:val="009E476E"/>
    <w:rsid w:val="009F04E8"/>
    <w:rsid w:val="009F4755"/>
    <w:rsid w:val="009F5929"/>
    <w:rsid w:val="009F642E"/>
    <w:rsid w:val="009F6E31"/>
    <w:rsid w:val="00A00A07"/>
    <w:rsid w:val="00A02455"/>
    <w:rsid w:val="00A03E79"/>
    <w:rsid w:val="00A107B3"/>
    <w:rsid w:val="00A12B6D"/>
    <w:rsid w:val="00A13078"/>
    <w:rsid w:val="00A14245"/>
    <w:rsid w:val="00A14898"/>
    <w:rsid w:val="00A17292"/>
    <w:rsid w:val="00A27332"/>
    <w:rsid w:val="00A310F3"/>
    <w:rsid w:val="00A32644"/>
    <w:rsid w:val="00A3724D"/>
    <w:rsid w:val="00A37A9B"/>
    <w:rsid w:val="00A4008F"/>
    <w:rsid w:val="00A404D5"/>
    <w:rsid w:val="00A40B66"/>
    <w:rsid w:val="00A42FBD"/>
    <w:rsid w:val="00A5113C"/>
    <w:rsid w:val="00A525B9"/>
    <w:rsid w:val="00A575FC"/>
    <w:rsid w:val="00A64902"/>
    <w:rsid w:val="00A66AC8"/>
    <w:rsid w:val="00A67863"/>
    <w:rsid w:val="00A70557"/>
    <w:rsid w:val="00A739EA"/>
    <w:rsid w:val="00A73FDA"/>
    <w:rsid w:val="00A77317"/>
    <w:rsid w:val="00A77F65"/>
    <w:rsid w:val="00A87340"/>
    <w:rsid w:val="00A90826"/>
    <w:rsid w:val="00A93476"/>
    <w:rsid w:val="00A95FB0"/>
    <w:rsid w:val="00A9682D"/>
    <w:rsid w:val="00AB3000"/>
    <w:rsid w:val="00AB3578"/>
    <w:rsid w:val="00AB6599"/>
    <w:rsid w:val="00AB7230"/>
    <w:rsid w:val="00AC3F17"/>
    <w:rsid w:val="00AE1221"/>
    <w:rsid w:val="00AF205E"/>
    <w:rsid w:val="00AF41B0"/>
    <w:rsid w:val="00AF59D8"/>
    <w:rsid w:val="00AF5A70"/>
    <w:rsid w:val="00AF7AF9"/>
    <w:rsid w:val="00B017A5"/>
    <w:rsid w:val="00B04D1F"/>
    <w:rsid w:val="00B04FB8"/>
    <w:rsid w:val="00B0622B"/>
    <w:rsid w:val="00B111AB"/>
    <w:rsid w:val="00B20994"/>
    <w:rsid w:val="00B26B7C"/>
    <w:rsid w:val="00B2713B"/>
    <w:rsid w:val="00B2773F"/>
    <w:rsid w:val="00B30895"/>
    <w:rsid w:val="00B328C8"/>
    <w:rsid w:val="00B334A0"/>
    <w:rsid w:val="00B34AB1"/>
    <w:rsid w:val="00B34DB3"/>
    <w:rsid w:val="00B4501C"/>
    <w:rsid w:val="00B50669"/>
    <w:rsid w:val="00B509AD"/>
    <w:rsid w:val="00B5283A"/>
    <w:rsid w:val="00B546CE"/>
    <w:rsid w:val="00B56A4E"/>
    <w:rsid w:val="00B56E30"/>
    <w:rsid w:val="00B5762E"/>
    <w:rsid w:val="00B7219C"/>
    <w:rsid w:val="00B7284B"/>
    <w:rsid w:val="00B73C52"/>
    <w:rsid w:val="00B80C9B"/>
    <w:rsid w:val="00B81AB7"/>
    <w:rsid w:val="00B8365D"/>
    <w:rsid w:val="00B906DF"/>
    <w:rsid w:val="00B91F92"/>
    <w:rsid w:val="00B922B8"/>
    <w:rsid w:val="00B946A3"/>
    <w:rsid w:val="00BA010D"/>
    <w:rsid w:val="00BA2BD6"/>
    <w:rsid w:val="00BA3E54"/>
    <w:rsid w:val="00BA75AF"/>
    <w:rsid w:val="00BB3195"/>
    <w:rsid w:val="00BB494C"/>
    <w:rsid w:val="00BC487C"/>
    <w:rsid w:val="00BD1EDB"/>
    <w:rsid w:val="00BD3075"/>
    <w:rsid w:val="00BE1FE1"/>
    <w:rsid w:val="00BE2981"/>
    <w:rsid w:val="00BF056F"/>
    <w:rsid w:val="00BF2BC5"/>
    <w:rsid w:val="00BF321E"/>
    <w:rsid w:val="00BF3BAC"/>
    <w:rsid w:val="00BF4B25"/>
    <w:rsid w:val="00BF50D6"/>
    <w:rsid w:val="00C00032"/>
    <w:rsid w:val="00C106B5"/>
    <w:rsid w:val="00C129B9"/>
    <w:rsid w:val="00C12DE6"/>
    <w:rsid w:val="00C15B7B"/>
    <w:rsid w:val="00C23E57"/>
    <w:rsid w:val="00C260C9"/>
    <w:rsid w:val="00C26E3E"/>
    <w:rsid w:val="00C32699"/>
    <w:rsid w:val="00C35494"/>
    <w:rsid w:val="00C37018"/>
    <w:rsid w:val="00C42B54"/>
    <w:rsid w:val="00C43F22"/>
    <w:rsid w:val="00C4471E"/>
    <w:rsid w:val="00C44B4E"/>
    <w:rsid w:val="00C465B3"/>
    <w:rsid w:val="00C50737"/>
    <w:rsid w:val="00C50F62"/>
    <w:rsid w:val="00C54CD1"/>
    <w:rsid w:val="00C57A84"/>
    <w:rsid w:val="00C6176E"/>
    <w:rsid w:val="00C61F00"/>
    <w:rsid w:val="00C64D49"/>
    <w:rsid w:val="00C6719E"/>
    <w:rsid w:val="00C7169D"/>
    <w:rsid w:val="00C76E4E"/>
    <w:rsid w:val="00C8418E"/>
    <w:rsid w:val="00C84CC1"/>
    <w:rsid w:val="00C91699"/>
    <w:rsid w:val="00C97CC2"/>
    <w:rsid w:val="00C97F2B"/>
    <w:rsid w:val="00CA080B"/>
    <w:rsid w:val="00CA25B2"/>
    <w:rsid w:val="00CA2A88"/>
    <w:rsid w:val="00CB2131"/>
    <w:rsid w:val="00CB359C"/>
    <w:rsid w:val="00CC0085"/>
    <w:rsid w:val="00CC21C9"/>
    <w:rsid w:val="00CC51FF"/>
    <w:rsid w:val="00CD62FF"/>
    <w:rsid w:val="00CD741A"/>
    <w:rsid w:val="00CE2434"/>
    <w:rsid w:val="00CE4C99"/>
    <w:rsid w:val="00CE5EE2"/>
    <w:rsid w:val="00CE7358"/>
    <w:rsid w:val="00D00048"/>
    <w:rsid w:val="00D0044E"/>
    <w:rsid w:val="00D07C35"/>
    <w:rsid w:val="00D07E76"/>
    <w:rsid w:val="00D10D3A"/>
    <w:rsid w:val="00D2010B"/>
    <w:rsid w:val="00D20E23"/>
    <w:rsid w:val="00D21C2C"/>
    <w:rsid w:val="00D21D2D"/>
    <w:rsid w:val="00D2517B"/>
    <w:rsid w:val="00D25F7E"/>
    <w:rsid w:val="00D27573"/>
    <w:rsid w:val="00D3030F"/>
    <w:rsid w:val="00D31FD0"/>
    <w:rsid w:val="00D3273A"/>
    <w:rsid w:val="00D401C8"/>
    <w:rsid w:val="00D40E5E"/>
    <w:rsid w:val="00D416AD"/>
    <w:rsid w:val="00D42F12"/>
    <w:rsid w:val="00D42FB4"/>
    <w:rsid w:val="00D435F4"/>
    <w:rsid w:val="00D477C4"/>
    <w:rsid w:val="00D55AD3"/>
    <w:rsid w:val="00D55BB5"/>
    <w:rsid w:val="00D6141A"/>
    <w:rsid w:val="00D6160E"/>
    <w:rsid w:val="00D61976"/>
    <w:rsid w:val="00D643F1"/>
    <w:rsid w:val="00D7043B"/>
    <w:rsid w:val="00D7062B"/>
    <w:rsid w:val="00D70ECD"/>
    <w:rsid w:val="00D735B7"/>
    <w:rsid w:val="00D776B6"/>
    <w:rsid w:val="00D809FD"/>
    <w:rsid w:val="00D8563F"/>
    <w:rsid w:val="00D85820"/>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58E4"/>
    <w:rsid w:val="00DD6763"/>
    <w:rsid w:val="00DD6C47"/>
    <w:rsid w:val="00DE21C3"/>
    <w:rsid w:val="00DE5974"/>
    <w:rsid w:val="00DF189F"/>
    <w:rsid w:val="00DF2553"/>
    <w:rsid w:val="00DF6946"/>
    <w:rsid w:val="00E00D96"/>
    <w:rsid w:val="00E03CCC"/>
    <w:rsid w:val="00E061E1"/>
    <w:rsid w:val="00E07C76"/>
    <w:rsid w:val="00E10006"/>
    <w:rsid w:val="00E10371"/>
    <w:rsid w:val="00E104D1"/>
    <w:rsid w:val="00E11F8B"/>
    <w:rsid w:val="00E13807"/>
    <w:rsid w:val="00E14C44"/>
    <w:rsid w:val="00E1699D"/>
    <w:rsid w:val="00E23C63"/>
    <w:rsid w:val="00E25E6A"/>
    <w:rsid w:val="00E25F9C"/>
    <w:rsid w:val="00E27807"/>
    <w:rsid w:val="00E31153"/>
    <w:rsid w:val="00E360E5"/>
    <w:rsid w:val="00E3647D"/>
    <w:rsid w:val="00E450CC"/>
    <w:rsid w:val="00E46FDA"/>
    <w:rsid w:val="00E507FC"/>
    <w:rsid w:val="00E54EEF"/>
    <w:rsid w:val="00E5669C"/>
    <w:rsid w:val="00E61A8D"/>
    <w:rsid w:val="00E63058"/>
    <w:rsid w:val="00E638CC"/>
    <w:rsid w:val="00E63CEB"/>
    <w:rsid w:val="00E7266B"/>
    <w:rsid w:val="00E73450"/>
    <w:rsid w:val="00E73568"/>
    <w:rsid w:val="00E810E3"/>
    <w:rsid w:val="00E81AAE"/>
    <w:rsid w:val="00E8348A"/>
    <w:rsid w:val="00E871F3"/>
    <w:rsid w:val="00E90359"/>
    <w:rsid w:val="00E90510"/>
    <w:rsid w:val="00E94B75"/>
    <w:rsid w:val="00E94F29"/>
    <w:rsid w:val="00E955B8"/>
    <w:rsid w:val="00E96219"/>
    <w:rsid w:val="00EA449D"/>
    <w:rsid w:val="00EA6405"/>
    <w:rsid w:val="00EB0DC4"/>
    <w:rsid w:val="00EB0EDA"/>
    <w:rsid w:val="00EB4D22"/>
    <w:rsid w:val="00EB64CF"/>
    <w:rsid w:val="00EB6E48"/>
    <w:rsid w:val="00EB72F2"/>
    <w:rsid w:val="00EC2A84"/>
    <w:rsid w:val="00EC3758"/>
    <w:rsid w:val="00EC391B"/>
    <w:rsid w:val="00EC4B09"/>
    <w:rsid w:val="00EC5142"/>
    <w:rsid w:val="00EC6B13"/>
    <w:rsid w:val="00ED00D9"/>
    <w:rsid w:val="00ED0A15"/>
    <w:rsid w:val="00ED3BA5"/>
    <w:rsid w:val="00ED6FD1"/>
    <w:rsid w:val="00EE0513"/>
    <w:rsid w:val="00EE278D"/>
    <w:rsid w:val="00EE5809"/>
    <w:rsid w:val="00EE5FED"/>
    <w:rsid w:val="00EF09B1"/>
    <w:rsid w:val="00EF33AC"/>
    <w:rsid w:val="00EF3FD3"/>
    <w:rsid w:val="00EF4951"/>
    <w:rsid w:val="00EF62CE"/>
    <w:rsid w:val="00F01773"/>
    <w:rsid w:val="00F052B9"/>
    <w:rsid w:val="00F056ED"/>
    <w:rsid w:val="00F1040F"/>
    <w:rsid w:val="00F1129E"/>
    <w:rsid w:val="00F13009"/>
    <w:rsid w:val="00F165F6"/>
    <w:rsid w:val="00F17082"/>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53630"/>
    <w:rsid w:val="00F670B0"/>
    <w:rsid w:val="00F679B4"/>
    <w:rsid w:val="00F75C72"/>
    <w:rsid w:val="00F76054"/>
    <w:rsid w:val="00F76E31"/>
    <w:rsid w:val="00F77726"/>
    <w:rsid w:val="00F77DF3"/>
    <w:rsid w:val="00F83493"/>
    <w:rsid w:val="00F85D04"/>
    <w:rsid w:val="00F860CE"/>
    <w:rsid w:val="00F90A82"/>
    <w:rsid w:val="00F93A27"/>
    <w:rsid w:val="00F93B87"/>
    <w:rsid w:val="00F94A27"/>
    <w:rsid w:val="00F97820"/>
    <w:rsid w:val="00FA07A9"/>
    <w:rsid w:val="00FA3529"/>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C91"/>
    <w:rsid w:val="00FD6DCF"/>
    <w:rsid w:val="00FE2992"/>
    <w:rsid w:val="00FE346D"/>
    <w:rsid w:val="00FE40B6"/>
    <w:rsid w:val="00FF09BF"/>
    <w:rsid w:val="00FF2534"/>
    <w:rsid w:val="05C4E335"/>
    <w:rsid w:val="0D42C668"/>
    <w:rsid w:val="10548F0B"/>
    <w:rsid w:val="10CC82CD"/>
    <w:rsid w:val="1992C158"/>
    <w:rsid w:val="19C2306D"/>
    <w:rsid w:val="1CC04985"/>
    <w:rsid w:val="1E404112"/>
    <w:rsid w:val="22A89246"/>
    <w:rsid w:val="37D0BD8C"/>
    <w:rsid w:val="3BDF0851"/>
    <w:rsid w:val="3E452429"/>
    <w:rsid w:val="4E03BA8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0C57F4B0-271B-469D-94A3-A30C8A2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4"/>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customStyle="1" w:styleId="paragraph">
    <w:name w:val="paragraph"/>
    <w:basedOn w:val="Normal"/>
    <w:rsid w:val="00FA352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op">
    <w:name w:val="eop"/>
    <w:basedOn w:val="DefaultParagraphFont"/>
    <w:rsid w:val="00FA3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168994">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29094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www.nationalarchives.gov.uk/doc/open-government-licence/version/3" TargetMode="External"/><Relationship Id="rId21" Type="http://schemas.openxmlformats.org/officeDocument/2006/relationships/hyperlink" Target="https://www.orr.gov.uk/media/23638" TargetMode="Externa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5.png"/><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assets.publishing.service.gov.uk/government/uploads/system/uploads/attachment_data/file/431389/strategic-highways-licence.pdf"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mailto:procurementteam@orr.gov.uk" TargetMode="External"/><Relationship Id="rId36"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www.orr.gov.uk/media/23638" TargetMode="External"/><Relationship Id="rId27" Type="http://schemas.openxmlformats.org/officeDocument/2006/relationships/hyperlink" Target="https://www.gov.uk/contracts-finder" TargetMode="External"/><Relationship Id="rId30" Type="http://schemas.openxmlformats.org/officeDocument/2006/relationships/header" Target="header9.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
      <w:docPartPr>
        <w:name w:val="7CE49B2CCF2344F5BD6A9B1A25690393"/>
        <w:category>
          <w:name w:val="General"/>
          <w:gallery w:val="placeholder"/>
        </w:category>
        <w:types>
          <w:type w:val="bbPlcHdr"/>
        </w:types>
        <w:behaviors>
          <w:behavior w:val="content"/>
        </w:behaviors>
        <w:guid w:val="{2C4119F2-4FE0-4F49-8F8D-B3474B1AFB58}"/>
      </w:docPartPr>
      <w:docPartBody>
        <w:p w:rsidR="002C4451" w:rsidRDefault="002C4451" w:rsidP="002C4451">
          <w:pPr>
            <w:pStyle w:val="7CE49B2CCF2344F5BD6A9B1A25690393"/>
          </w:pPr>
          <w:r w:rsidRPr="00F84A8A">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368E8"/>
    <w:rsid w:val="00157E4C"/>
    <w:rsid w:val="0019039B"/>
    <w:rsid w:val="001D34EA"/>
    <w:rsid w:val="00282136"/>
    <w:rsid w:val="002C4451"/>
    <w:rsid w:val="002D6000"/>
    <w:rsid w:val="002E15A3"/>
    <w:rsid w:val="00307BCC"/>
    <w:rsid w:val="00465309"/>
    <w:rsid w:val="004744A4"/>
    <w:rsid w:val="004D757B"/>
    <w:rsid w:val="005722FE"/>
    <w:rsid w:val="005A6A23"/>
    <w:rsid w:val="005B6A22"/>
    <w:rsid w:val="00696275"/>
    <w:rsid w:val="00713CC8"/>
    <w:rsid w:val="007479A0"/>
    <w:rsid w:val="007C3F77"/>
    <w:rsid w:val="007F1FB4"/>
    <w:rsid w:val="008342A5"/>
    <w:rsid w:val="00843948"/>
    <w:rsid w:val="0084777F"/>
    <w:rsid w:val="008F23EF"/>
    <w:rsid w:val="00912431"/>
    <w:rsid w:val="00974DB7"/>
    <w:rsid w:val="009E0644"/>
    <w:rsid w:val="00A235F4"/>
    <w:rsid w:val="00A257DF"/>
    <w:rsid w:val="00A72823"/>
    <w:rsid w:val="00BB3195"/>
    <w:rsid w:val="00BD3075"/>
    <w:rsid w:val="00BF5479"/>
    <w:rsid w:val="00C016C2"/>
    <w:rsid w:val="00C37018"/>
    <w:rsid w:val="00C925EE"/>
    <w:rsid w:val="00CB2131"/>
    <w:rsid w:val="00D21D2D"/>
    <w:rsid w:val="00D750C2"/>
    <w:rsid w:val="00D94C7E"/>
    <w:rsid w:val="00DD58E4"/>
    <w:rsid w:val="00DE0FCF"/>
    <w:rsid w:val="00DE617E"/>
    <w:rsid w:val="00E13807"/>
    <w:rsid w:val="00E27807"/>
    <w:rsid w:val="00E63CEB"/>
    <w:rsid w:val="00E81AAE"/>
    <w:rsid w:val="00E94B75"/>
    <w:rsid w:val="00F06A05"/>
    <w:rsid w:val="00F1040F"/>
    <w:rsid w:val="00F52B05"/>
    <w:rsid w:val="00F536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451"/>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 w:type="paragraph" w:customStyle="1" w:styleId="7CE49B2CCF2344F5BD6A9B1A25690393">
    <w:name w:val="7CE49B2CCF2344F5BD6A9B1A25690393"/>
    <w:rsid w:val="002C44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2024-10-28T00:00:00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31</TotalTime>
  <Pages>24</Pages>
  <Words>4843</Words>
  <Characters>27606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Review of National Highways Whole-life cost approach</dc:subject>
  <dc:creator>Angeriz-Santos, Paula</dc:creator>
  <cp:keywords/>
  <dc:description/>
  <cp:lastModifiedBy>Augusto, Barbara</cp:lastModifiedBy>
  <cp:revision>4</cp:revision>
  <cp:lastPrinted>2021-02-24T15:29:00Z</cp:lastPrinted>
  <dcterms:created xsi:type="dcterms:W3CDTF">2024-10-23T09:26:00Z</dcterms:created>
  <dcterms:modified xsi:type="dcterms:W3CDTF">2024-10-28T16:21:00Z</dcterms:modified>
</cp:coreProperties>
</file>