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The Authority also reserves the right to extend Lots by varying durations.</w:t>
      </w:r>
    </w:p>
    <w:p w:rsidR="00000000" w:rsidDel="00000000" w:rsidP="00000000" w:rsidRDefault="00000000" w:rsidRPr="00000000" w14:paraId="00000008">
      <w:pPr>
        <w:rPr>
          <w:rFonts w:ascii="Arial" w:cs="Arial" w:eastAsia="Arial" w:hAnsi="Arial"/>
        </w:rPr>
      </w:pPr>
      <w:bookmarkStart w:colFirst="0" w:colLast="0" w:name="_heading=h.30j0zll" w:id="1"/>
      <w:bookmarkEnd w:id="1"/>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1 of 1</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v2.0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F44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465"/>
  </w:style>
  <w:style w:type="paragraph" w:styleId="Footer">
    <w:name w:val="footer"/>
    <w:basedOn w:val="Normal"/>
    <w:link w:val="FooterChar"/>
    <w:uiPriority w:val="99"/>
    <w:unhideWhenUsed w:val="1"/>
    <w:rsid w:val="001F44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46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m3STR3KZydKNTw4Y8JjjGsTgQ==">CgMxLjAyCGguZ2pkZ3hzMgloLjMwajB6bGw4AHIhMV9ZWmFDZUtRLVRkREJfQTJsTlAzZ0RGREJqRFhCZjhM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2021-09-15T15:23:00Z</dcterms:created>
  <dc:creator>David Dawson</dc:creator>
</cp:coreProperties>
</file>