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C3" w:rsidRPr="00EE70C3" w:rsidRDefault="00EE70C3" w:rsidP="00EE70C3">
      <w:pPr>
        <w:rPr>
          <w:rFonts w:ascii="Arial" w:hAnsi="Arial" w:cs="Arial"/>
          <w:b/>
          <w:sz w:val="22"/>
          <w:szCs w:val="22"/>
          <w:u w:val="single"/>
          <w:lang w:eastAsia="en-US"/>
        </w:rPr>
      </w:pPr>
      <w:r w:rsidRPr="00EE70C3">
        <w:rPr>
          <w:rFonts w:ascii="Arial" w:hAnsi="Arial" w:cs="Arial"/>
          <w:b/>
          <w:sz w:val="22"/>
          <w:szCs w:val="22"/>
          <w:u w:val="single"/>
          <w:lang w:eastAsia="en-US"/>
        </w:rPr>
        <w:t>Contract No: IWM/</w:t>
      </w:r>
      <w:r>
        <w:rPr>
          <w:rFonts w:ascii="Arial" w:hAnsi="Arial" w:cs="Arial"/>
          <w:b/>
          <w:sz w:val="22"/>
          <w:szCs w:val="22"/>
          <w:u w:val="single"/>
          <w:lang w:eastAsia="en-US"/>
        </w:rPr>
        <w:t>DCM/1</w:t>
      </w:r>
      <w:r w:rsidR="00E6731D">
        <w:rPr>
          <w:rFonts w:ascii="Arial" w:hAnsi="Arial" w:cs="Arial"/>
          <w:b/>
          <w:sz w:val="22"/>
          <w:szCs w:val="22"/>
          <w:u w:val="single"/>
          <w:lang w:eastAsia="en-US"/>
        </w:rPr>
        <w:t>491</w:t>
      </w:r>
      <w:bookmarkStart w:id="0" w:name="_GoBack"/>
      <w:bookmarkEnd w:id="0"/>
    </w:p>
    <w:p w:rsidR="00EE70C3" w:rsidRPr="00EE70C3" w:rsidRDefault="00EE70C3" w:rsidP="00EE70C3">
      <w:pPr>
        <w:rPr>
          <w:rFonts w:ascii="Arial" w:hAnsi="Arial" w:cs="Arial"/>
          <w:b/>
          <w:sz w:val="22"/>
          <w:szCs w:val="22"/>
          <w:u w:val="single"/>
          <w:lang w:eastAsia="en-US"/>
        </w:rPr>
      </w:pPr>
      <w:r w:rsidRPr="00EE70C3">
        <w:rPr>
          <w:rFonts w:ascii="Arial" w:hAnsi="Arial" w:cs="Arial"/>
          <w:b/>
          <w:sz w:val="22"/>
          <w:szCs w:val="22"/>
          <w:u w:val="single"/>
          <w:lang w:eastAsia="en-US"/>
        </w:rPr>
        <w:t>Website Review</w:t>
      </w:r>
    </w:p>
    <w:p w:rsidR="00EE70C3" w:rsidRDefault="00EE70C3" w:rsidP="00EE70C3">
      <w:pPr>
        <w:rPr>
          <w:rFonts w:ascii="Arial" w:hAnsi="Arial" w:cs="Arial"/>
          <w:b/>
          <w:sz w:val="22"/>
          <w:szCs w:val="22"/>
          <w:u w:val="single"/>
          <w:lang w:eastAsia="en-US"/>
        </w:rPr>
      </w:pPr>
      <w:r w:rsidRPr="00EE70C3">
        <w:rPr>
          <w:rFonts w:ascii="Arial" w:hAnsi="Arial" w:cs="Arial"/>
          <w:b/>
          <w:sz w:val="22"/>
          <w:szCs w:val="22"/>
          <w:u w:val="single"/>
          <w:lang w:eastAsia="en-US"/>
        </w:rPr>
        <w:t>Q&amp;A Sheet No 1</w:t>
      </w:r>
    </w:p>
    <w:p w:rsidR="00EE70C3" w:rsidRPr="00EE70C3" w:rsidRDefault="00EE70C3" w:rsidP="00EE70C3">
      <w:pPr>
        <w:rPr>
          <w:rFonts w:ascii="Arial" w:hAnsi="Arial" w:cs="Arial"/>
          <w:b/>
          <w:sz w:val="22"/>
          <w:szCs w:val="22"/>
          <w:u w:val="single"/>
          <w:lang w:eastAsia="en-US"/>
        </w:rPr>
      </w:pPr>
    </w:p>
    <w:p w:rsidR="00EE70C3" w:rsidRPr="00EE70C3" w:rsidRDefault="00EE70C3" w:rsidP="00EE70C3">
      <w:pPr>
        <w:rPr>
          <w:rFonts w:ascii="Arial" w:hAnsi="Arial" w:cs="Arial"/>
          <w:sz w:val="22"/>
          <w:szCs w:val="22"/>
          <w:lang w:eastAsia="en-US"/>
        </w:rPr>
      </w:pPr>
    </w:p>
    <w:p w:rsidR="00FE51D9" w:rsidRDefault="00196928" w:rsidP="00EE70C3">
      <w:pPr>
        <w:pStyle w:val="ListParagraph"/>
        <w:numPr>
          <w:ilvl w:val="0"/>
          <w:numId w:val="1"/>
        </w:numPr>
        <w:rPr>
          <w:rFonts w:ascii="Arial" w:hAnsi="Arial" w:cs="Arial"/>
          <w:color w:val="1F497D" w:themeColor="dark2"/>
          <w:sz w:val="22"/>
          <w:szCs w:val="22"/>
        </w:rPr>
      </w:pPr>
      <w:r w:rsidRPr="00EE70C3">
        <w:rPr>
          <w:rFonts w:ascii="Arial" w:hAnsi="Arial" w:cs="Arial"/>
          <w:color w:val="000000"/>
          <w:sz w:val="22"/>
          <w:szCs w:val="22"/>
        </w:rPr>
        <w:t>Can Bidders visit the Duxford Archive?   </w:t>
      </w:r>
      <w:r w:rsidRPr="00EE70C3">
        <w:rPr>
          <w:rFonts w:ascii="Arial" w:hAnsi="Arial" w:cs="Arial"/>
          <w:color w:val="1F497D" w:themeColor="dark2"/>
          <w:sz w:val="22"/>
          <w:szCs w:val="22"/>
        </w:rPr>
        <w:t xml:space="preserve">  </w:t>
      </w:r>
    </w:p>
    <w:p w:rsidR="00EE70C3" w:rsidRPr="00EE70C3" w:rsidRDefault="00EE70C3" w:rsidP="00EE70C3">
      <w:pPr>
        <w:rPr>
          <w:rFonts w:ascii="Arial" w:hAnsi="Arial" w:cs="Arial"/>
          <w:color w:val="1F497D" w:themeColor="dark2"/>
          <w:sz w:val="22"/>
          <w:szCs w:val="22"/>
        </w:rPr>
      </w:pPr>
    </w:p>
    <w:p w:rsidR="00196928" w:rsidRPr="00EE70C3" w:rsidRDefault="00196928" w:rsidP="00EE70C3">
      <w:pPr>
        <w:ind w:left="709"/>
        <w:rPr>
          <w:rFonts w:ascii="Arial" w:hAnsi="Arial" w:cs="Arial"/>
          <w:b/>
          <w:color w:val="FF0000"/>
          <w:sz w:val="22"/>
          <w:szCs w:val="22"/>
        </w:rPr>
      </w:pPr>
      <w:r w:rsidRPr="00EE70C3">
        <w:rPr>
          <w:rFonts w:ascii="Arial" w:hAnsi="Arial" w:cs="Arial"/>
          <w:b/>
          <w:color w:val="FF0000"/>
          <w:sz w:val="22"/>
          <w:szCs w:val="22"/>
        </w:rPr>
        <w:t xml:space="preserve">We do not have the facilities to accommodate such visits which are not required to enable tenders to be submitted </w:t>
      </w:r>
    </w:p>
    <w:p w:rsidR="00EE70C3" w:rsidRPr="00EE70C3" w:rsidRDefault="00EE70C3" w:rsidP="00EE70C3">
      <w:pPr>
        <w:rPr>
          <w:rFonts w:ascii="Arial" w:hAnsi="Arial" w:cs="Arial"/>
          <w:b/>
          <w:color w:val="FF0000"/>
          <w:sz w:val="22"/>
          <w:szCs w:val="22"/>
        </w:rPr>
      </w:pPr>
    </w:p>
    <w:p w:rsidR="00FE51D9" w:rsidRDefault="00196928" w:rsidP="00EE70C3">
      <w:pPr>
        <w:pStyle w:val="ListParagraph"/>
        <w:numPr>
          <w:ilvl w:val="0"/>
          <w:numId w:val="1"/>
        </w:numPr>
        <w:rPr>
          <w:rFonts w:ascii="Arial" w:hAnsi="Arial" w:cs="Arial"/>
          <w:color w:val="1F497D" w:themeColor="dark2"/>
          <w:sz w:val="22"/>
          <w:szCs w:val="22"/>
        </w:rPr>
      </w:pPr>
      <w:r w:rsidRPr="00EE70C3">
        <w:rPr>
          <w:rFonts w:ascii="Arial" w:hAnsi="Arial" w:cs="Arial"/>
          <w:color w:val="000000"/>
          <w:sz w:val="22"/>
          <w:szCs w:val="22"/>
        </w:rPr>
        <w:t>Can you please clarify expected difference between “method statement” (Schedule 3 Section 4.0) and “methodology statement” (Schedule 3 Section 1.0)?       Specifically, does “method statement” relate only to handling and storing videotapes, while “methodology statement” addresses overall approach and equipment?</w:t>
      </w:r>
      <w:r w:rsidRPr="00EE70C3">
        <w:rPr>
          <w:rFonts w:ascii="Arial" w:hAnsi="Arial" w:cs="Arial"/>
          <w:color w:val="1F497D" w:themeColor="dark2"/>
          <w:sz w:val="22"/>
          <w:szCs w:val="22"/>
        </w:rPr>
        <w:t xml:space="preserve">  </w:t>
      </w:r>
    </w:p>
    <w:p w:rsidR="00EE70C3" w:rsidRPr="00EE70C3" w:rsidRDefault="00EE70C3" w:rsidP="00EE70C3">
      <w:pPr>
        <w:rPr>
          <w:rFonts w:ascii="Arial" w:hAnsi="Arial" w:cs="Arial"/>
          <w:color w:val="1F497D" w:themeColor="dark2"/>
          <w:sz w:val="22"/>
          <w:szCs w:val="22"/>
        </w:rPr>
      </w:pPr>
    </w:p>
    <w:p w:rsidR="00196928" w:rsidRPr="00EE70C3" w:rsidRDefault="00196928" w:rsidP="00EE70C3">
      <w:pPr>
        <w:ind w:left="709"/>
        <w:rPr>
          <w:rFonts w:ascii="Arial" w:hAnsi="Arial" w:cs="Arial"/>
          <w:b/>
          <w:color w:val="FF0000"/>
          <w:sz w:val="22"/>
          <w:szCs w:val="22"/>
        </w:rPr>
      </w:pPr>
      <w:r w:rsidRPr="00EE70C3">
        <w:rPr>
          <w:rFonts w:ascii="Arial" w:hAnsi="Arial" w:cs="Arial"/>
          <w:b/>
          <w:color w:val="FF0000"/>
          <w:sz w:val="22"/>
          <w:szCs w:val="22"/>
        </w:rPr>
        <w:t>Please proceed based</w:t>
      </w:r>
      <w:r w:rsidR="00EE70C3">
        <w:rPr>
          <w:rFonts w:ascii="Arial" w:hAnsi="Arial" w:cs="Arial"/>
          <w:b/>
          <w:color w:val="FF0000"/>
          <w:sz w:val="22"/>
          <w:szCs w:val="22"/>
        </w:rPr>
        <w:t xml:space="preserve"> </w:t>
      </w:r>
      <w:r w:rsidRPr="00EE70C3">
        <w:rPr>
          <w:rFonts w:ascii="Arial" w:hAnsi="Arial" w:cs="Arial"/>
          <w:b/>
          <w:color w:val="FF0000"/>
          <w:sz w:val="22"/>
          <w:szCs w:val="22"/>
        </w:rPr>
        <w:t>upon this interpretation</w:t>
      </w:r>
    </w:p>
    <w:p w:rsidR="00EE70C3" w:rsidRPr="00EE70C3" w:rsidRDefault="00EE70C3" w:rsidP="00EE70C3">
      <w:pPr>
        <w:rPr>
          <w:rFonts w:ascii="Arial" w:hAnsi="Arial" w:cs="Arial"/>
          <w:b/>
          <w:color w:val="FF0000"/>
          <w:sz w:val="22"/>
          <w:szCs w:val="22"/>
        </w:rPr>
      </w:pPr>
    </w:p>
    <w:p w:rsidR="00EE70C3" w:rsidRDefault="00196928" w:rsidP="00EE70C3">
      <w:pPr>
        <w:pStyle w:val="ListParagraph"/>
        <w:numPr>
          <w:ilvl w:val="0"/>
          <w:numId w:val="1"/>
        </w:numPr>
        <w:rPr>
          <w:rFonts w:ascii="Arial" w:hAnsi="Arial" w:cs="Arial"/>
          <w:color w:val="1F497D" w:themeColor="dark2"/>
          <w:sz w:val="22"/>
          <w:szCs w:val="22"/>
        </w:rPr>
      </w:pPr>
      <w:r w:rsidRPr="00EE70C3">
        <w:rPr>
          <w:rFonts w:ascii="Arial" w:hAnsi="Arial" w:cs="Arial"/>
          <w:color w:val="000000"/>
          <w:sz w:val="22"/>
          <w:szCs w:val="22"/>
        </w:rPr>
        <w:t>Could you please confirm that, as regards Schedule 3 Section 5 (Contract Award Procedure), IWM is neutral in what location within the EU the work is carried out?</w:t>
      </w:r>
      <w:r w:rsidRPr="00EE70C3">
        <w:rPr>
          <w:rFonts w:ascii="Arial" w:hAnsi="Arial" w:cs="Arial"/>
          <w:color w:val="1F497D" w:themeColor="dark2"/>
          <w:sz w:val="22"/>
          <w:szCs w:val="22"/>
        </w:rPr>
        <w:t xml:space="preserve">  </w:t>
      </w:r>
    </w:p>
    <w:p w:rsidR="00EE70C3" w:rsidRPr="00EE70C3" w:rsidRDefault="00EE70C3" w:rsidP="00EE70C3">
      <w:pPr>
        <w:rPr>
          <w:rFonts w:ascii="Arial" w:hAnsi="Arial" w:cs="Arial"/>
          <w:color w:val="1F497D" w:themeColor="dark2"/>
          <w:sz w:val="22"/>
          <w:szCs w:val="22"/>
        </w:rPr>
      </w:pPr>
    </w:p>
    <w:p w:rsidR="00196928" w:rsidRPr="00EE70C3" w:rsidRDefault="00196928" w:rsidP="00EE70C3">
      <w:pPr>
        <w:ind w:left="709"/>
        <w:rPr>
          <w:rFonts w:ascii="Arial" w:hAnsi="Arial" w:cs="Arial"/>
          <w:b/>
          <w:color w:val="FF0000"/>
          <w:sz w:val="22"/>
          <w:szCs w:val="22"/>
        </w:rPr>
      </w:pPr>
      <w:r w:rsidRPr="00EE70C3">
        <w:rPr>
          <w:rFonts w:ascii="Arial" w:hAnsi="Arial" w:cs="Arial"/>
          <w:b/>
          <w:color w:val="FF0000"/>
          <w:sz w:val="22"/>
          <w:szCs w:val="22"/>
        </w:rPr>
        <w:t xml:space="preserve">All bids will be assessed according to the stated criteria.  IWM is neutral regarding the location where the work is undertaken </w:t>
      </w:r>
    </w:p>
    <w:p w:rsidR="00EE70C3" w:rsidRPr="00EE70C3" w:rsidRDefault="00EE70C3" w:rsidP="00EE70C3">
      <w:pPr>
        <w:rPr>
          <w:rFonts w:ascii="Arial" w:hAnsi="Arial" w:cs="Arial"/>
          <w:b/>
          <w:color w:val="FF0000"/>
          <w:sz w:val="22"/>
          <w:szCs w:val="22"/>
        </w:rPr>
      </w:pPr>
    </w:p>
    <w:p w:rsidR="00EE70C3" w:rsidRDefault="00196928" w:rsidP="00EE70C3">
      <w:pPr>
        <w:pStyle w:val="ListParagraph"/>
        <w:numPr>
          <w:ilvl w:val="0"/>
          <w:numId w:val="1"/>
        </w:numPr>
        <w:rPr>
          <w:rFonts w:ascii="Arial" w:hAnsi="Arial" w:cs="Arial"/>
          <w:color w:val="1F497D" w:themeColor="dark2"/>
          <w:sz w:val="22"/>
          <w:szCs w:val="22"/>
        </w:rPr>
      </w:pPr>
      <w:r w:rsidRPr="00EE70C3">
        <w:rPr>
          <w:rFonts w:ascii="Arial" w:hAnsi="Arial" w:cs="Arial"/>
          <w:color w:val="000000"/>
          <w:sz w:val="22"/>
          <w:szCs w:val="22"/>
        </w:rPr>
        <w:t>Could you please confirm that, as regards Schedule 3 Section 5 (Contract Award Procedure), IWM is neutral as to the duration of the Work, so long as the work is delivered within 4 years?</w:t>
      </w:r>
      <w:r w:rsidRPr="00EE70C3">
        <w:rPr>
          <w:rFonts w:ascii="Arial" w:hAnsi="Arial" w:cs="Arial"/>
          <w:color w:val="1F497D" w:themeColor="dark2"/>
          <w:sz w:val="22"/>
          <w:szCs w:val="22"/>
        </w:rPr>
        <w:t xml:space="preserve">  </w:t>
      </w:r>
    </w:p>
    <w:p w:rsidR="00EE70C3" w:rsidRPr="00EE70C3" w:rsidRDefault="00EE70C3" w:rsidP="00EE70C3">
      <w:pPr>
        <w:rPr>
          <w:rFonts w:ascii="Arial" w:hAnsi="Arial" w:cs="Arial"/>
          <w:color w:val="1F497D" w:themeColor="dark2"/>
          <w:sz w:val="22"/>
          <w:szCs w:val="22"/>
        </w:rPr>
      </w:pPr>
    </w:p>
    <w:p w:rsidR="00196928" w:rsidRPr="00EE70C3" w:rsidRDefault="00196928" w:rsidP="00EE70C3">
      <w:pPr>
        <w:ind w:left="709"/>
        <w:rPr>
          <w:rFonts w:ascii="Arial" w:hAnsi="Arial" w:cs="Arial"/>
          <w:b/>
          <w:color w:val="FF0000"/>
          <w:sz w:val="22"/>
          <w:szCs w:val="22"/>
        </w:rPr>
      </w:pPr>
      <w:r w:rsidRPr="00EE70C3">
        <w:rPr>
          <w:rFonts w:ascii="Arial" w:hAnsi="Arial" w:cs="Arial"/>
          <w:b/>
          <w:color w:val="FF0000"/>
          <w:sz w:val="22"/>
          <w:szCs w:val="22"/>
        </w:rPr>
        <w:t>The work will be undertaken based upon the funds that IWM can allocate to the work. Currently we should be able to fulfil the bulk if not all the digitisation during the four year period, but this is subject to available funds. If the work is not achieved within the four year term of the framework agreement, then IWM will re-tender for the outstanding works.</w:t>
      </w:r>
    </w:p>
    <w:p w:rsidR="00130CA2" w:rsidRDefault="00E6731D"/>
    <w:p w:rsidR="00EE70C3" w:rsidRDefault="00EE70C3">
      <w:pPr>
        <w:rPr>
          <w:rFonts w:ascii="Arial" w:hAnsi="Arial" w:cs="Arial"/>
          <w:sz w:val="22"/>
          <w:szCs w:val="22"/>
        </w:rPr>
      </w:pPr>
    </w:p>
    <w:p w:rsidR="00EE70C3" w:rsidRDefault="00EE70C3">
      <w:pPr>
        <w:rPr>
          <w:rFonts w:ascii="Arial" w:hAnsi="Arial" w:cs="Arial"/>
          <w:sz w:val="22"/>
          <w:szCs w:val="22"/>
        </w:rPr>
      </w:pPr>
      <w:r>
        <w:rPr>
          <w:rFonts w:ascii="Arial" w:hAnsi="Arial" w:cs="Arial"/>
          <w:sz w:val="22"/>
          <w:szCs w:val="22"/>
        </w:rPr>
        <w:t>Simon Bourne</w:t>
      </w:r>
    </w:p>
    <w:p w:rsidR="00EE70C3" w:rsidRDefault="00EE70C3">
      <w:pPr>
        <w:rPr>
          <w:rFonts w:ascii="Arial" w:hAnsi="Arial" w:cs="Arial"/>
          <w:sz w:val="22"/>
          <w:szCs w:val="22"/>
        </w:rPr>
      </w:pPr>
      <w:r>
        <w:rPr>
          <w:rFonts w:ascii="Arial" w:hAnsi="Arial" w:cs="Arial"/>
          <w:sz w:val="22"/>
          <w:szCs w:val="22"/>
        </w:rPr>
        <w:t>Head of Procurement</w:t>
      </w:r>
    </w:p>
    <w:p w:rsidR="00EE70C3" w:rsidRPr="00EE70C3" w:rsidRDefault="00EE70C3">
      <w:pPr>
        <w:rPr>
          <w:rFonts w:ascii="Arial" w:hAnsi="Arial" w:cs="Arial"/>
          <w:sz w:val="22"/>
          <w:szCs w:val="22"/>
        </w:rPr>
      </w:pPr>
      <w:r>
        <w:rPr>
          <w:rFonts w:ascii="Arial" w:hAnsi="Arial" w:cs="Arial"/>
          <w:sz w:val="22"/>
          <w:szCs w:val="22"/>
        </w:rPr>
        <w:t>26 July 2016</w:t>
      </w:r>
    </w:p>
    <w:sectPr w:rsidR="00EE70C3" w:rsidRPr="00EE7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F2782"/>
    <w:multiLevelType w:val="hybridMultilevel"/>
    <w:tmpl w:val="DEE8E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28"/>
    <w:rsid w:val="00192017"/>
    <w:rsid w:val="00196928"/>
    <w:rsid w:val="00E6731D"/>
    <w:rsid w:val="00E70AF9"/>
    <w:rsid w:val="00EE70C3"/>
    <w:rsid w:val="00FE5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2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2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9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Imperial War Museums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Bourne</dc:creator>
  <cp:lastModifiedBy>Simon Bourne</cp:lastModifiedBy>
  <cp:revision>2</cp:revision>
  <dcterms:created xsi:type="dcterms:W3CDTF">2016-07-26T12:21:00Z</dcterms:created>
  <dcterms:modified xsi:type="dcterms:W3CDTF">2016-07-26T16:33:00Z</dcterms:modified>
</cp:coreProperties>
</file>