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rStyle w:val="chrSubTitle"/>
          <w:color w:val="auto"/>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3BE632BF" w:rsidR="00FC6860" w:rsidRPr="004A1685" w:rsidRDefault="00FA6FCB" w:rsidP="00C71C4F">
          <w:pPr>
            <w:pStyle w:val="Heading1"/>
            <w:rPr>
              <w:rStyle w:val="chrSubTitle"/>
              <w:color w:val="auto"/>
            </w:rPr>
          </w:pPr>
          <w:r w:rsidRPr="004A1685">
            <w:rPr>
              <w:rStyle w:val="chrSubTitle"/>
              <w:color w:val="auto"/>
            </w:rPr>
            <w:t>Data maturity assessment</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05-31T00:00:00Z">
          <w:dateFormat w:val="dd MMMM yyyy"/>
          <w:lid w:val="en-GB"/>
          <w:storeMappedDataAs w:val="dateTime"/>
          <w:calendar w:val="gregorian"/>
        </w:date>
      </w:sdtPr>
      <w:sdtEndPr/>
      <w:sdtContent>
        <w:p w14:paraId="38D7D855" w14:textId="6ED97624" w:rsidR="00FC6860" w:rsidRDefault="004A1685" w:rsidP="00C71C4F">
          <w:pPr>
            <w:pStyle w:val="Date"/>
          </w:pPr>
          <w:r>
            <w:rPr>
              <w:bCs/>
            </w:rPr>
            <w:t>31 May 2023</w:t>
          </w:r>
        </w:p>
      </w:sdtContent>
    </w:sdt>
    <w:p w14:paraId="512B2E87" w14:textId="77777777" w:rsidR="003E5612" w:rsidRDefault="003E5612" w:rsidP="003E5612"/>
    <w:p w14:paraId="4AABA079" w14:textId="77777777" w:rsidR="000B13CB" w:rsidRPr="000B13CB" w:rsidRDefault="003E5612" w:rsidP="00FC651D">
      <w:pPr>
        <w:pStyle w:val="NormalBulletround"/>
        <w:rPr>
          <w:b/>
          <w:bCs/>
        </w:rPr>
      </w:pPr>
      <w:proofErr w:type="spellStart"/>
      <w:r w:rsidRPr="000B13CB">
        <w:rPr>
          <w:b/>
          <w:bCs/>
        </w:rPr>
        <w:t>CPV</w:t>
      </w:r>
      <w:proofErr w:type="spellEnd"/>
      <w:r w:rsidRPr="000B13CB">
        <w:rPr>
          <w:b/>
          <w:bCs/>
        </w:rPr>
        <w:t xml:space="preserve"> Code: </w:t>
      </w:r>
      <w:hyperlink r:id="rId12" w:history="1">
        <w:proofErr w:type="spellStart"/>
        <w:r w:rsidR="000B13CB" w:rsidRPr="000B13CB">
          <w:rPr>
            <w:b/>
            <w:bCs/>
          </w:rPr>
          <w:t>79000000</w:t>
        </w:r>
      </w:hyperlink>
      <w:proofErr w:type="spellEnd"/>
    </w:p>
    <w:p w14:paraId="4B92FCBC" w14:textId="10709909" w:rsidR="00FC6860" w:rsidRPr="000B13CB" w:rsidRDefault="003E5612" w:rsidP="00FC651D">
      <w:pPr>
        <w:pStyle w:val="NormalBulletround"/>
        <w:rPr>
          <w:b/>
          <w:bCs/>
          <w:color w:val="B1173B"/>
        </w:rPr>
      </w:pPr>
      <w:r w:rsidRPr="000B13CB">
        <w:rPr>
          <w:b/>
          <w:bCs/>
        </w:rPr>
        <w:t xml:space="preserve">Tender Reference: </w:t>
      </w:r>
      <w:r w:rsidR="00170044" w:rsidRPr="000B13CB">
        <w:rPr>
          <w:b/>
          <w:bCs/>
        </w:rPr>
        <w:t>ORR/CT/23-07</w:t>
      </w:r>
    </w:p>
    <w:p w14:paraId="645E9675" w14:textId="77777777" w:rsidR="00FC6860" w:rsidRDefault="00FC6860" w:rsidP="00C71C4F"/>
    <w:p w14:paraId="60F6998D" w14:textId="01F9B9EE" w:rsidR="003E5612" w:rsidRDefault="003E5612" w:rsidP="00C71C4F">
      <w:pPr>
        <w:sectPr w:rsidR="003E5612" w:rsidSect="00FC6860">
          <w:headerReference w:type="default" r:id="rId13"/>
          <w:footerReference w:type="default" r:id="rId14"/>
          <w:headerReference w:type="first" r:id="rId15"/>
          <w:footerReference w:type="first" r:id="rId16"/>
          <w:pgSz w:w="11906" w:h="16838" w:code="9"/>
          <w:pgMar w:top="5443" w:right="1134" w:bottom="1134" w:left="1134" w:header="709" w:footer="709" w:gutter="0"/>
          <w:pgNumType w:start="1"/>
          <w:cols w:space="708"/>
          <w:titlePg/>
          <w:docGrid w:linePitch="360"/>
        </w:sectPr>
      </w:pPr>
    </w:p>
    <w:p w14:paraId="6F6DAD95" w14:textId="77777777" w:rsidR="00FC6860" w:rsidRDefault="00FC6860" w:rsidP="004E1570">
      <w:pPr>
        <w:pStyle w:val="Heading2NoToc"/>
      </w:pPr>
      <w:r>
        <w:lastRenderedPageBreak/>
        <w:t>Contents</w:t>
      </w:r>
    </w:p>
    <w:p w14:paraId="5F7009D1" w14:textId="1A1901E4" w:rsidR="0079264A" w:rsidRDefault="00FC6860">
      <w:pPr>
        <w:pStyle w:val="TOC1"/>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11551908" w:history="1">
        <w:r w:rsidR="0079264A" w:rsidRPr="000C347F">
          <w:rPr>
            <w:rStyle w:val="Hyperlink"/>
          </w:rPr>
          <w:t>Drafting note</w:t>
        </w:r>
        <w:r w:rsidR="0079264A">
          <w:rPr>
            <w:webHidden/>
          </w:rPr>
          <w:tab/>
        </w:r>
        <w:r w:rsidR="0079264A">
          <w:rPr>
            <w:webHidden/>
          </w:rPr>
          <w:fldChar w:fldCharType="begin"/>
        </w:r>
        <w:r w:rsidR="0079264A">
          <w:rPr>
            <w:webHidden/>
          </w:rPr>
          <w:instrText xml:space="preserve"> PAGEREF _Toc111551908 \h </w:instrText>
        </w:r>
        <w:r w:rsidR="0079264A">
          <w:rPr>
            <w:webHidden/>
          </w:rPr>
        </w:r>
        <w:r w:rsidR="0079264A">
          <w:rPr>
            <w:webHidden/>
          </w:rPr>
          <w:fldChar w:fldCharType="separate"/>
        </w:r>
        <w:r w:rsidR="0079264A">
          <w:rPr>
            <w:webHidden/>
          </w:rPr>
          <w:t>3</w:t>
        </w:r>
        <w:r w:rsidR="0079264A">
          <w:rPr>
            <w:webHidden/>
          </w:rPr>
          <w:fldChar w:fldCharType="end"/>
        </w:r>
      </w:hyperlink>
    </w:p>
    <w:p w14:paraId="683571A9" w14:textId="45501F9D" w:rsidR="0079264A" w:rsidRDefault="000B13CB">
      <w:pPr>
        <w:pStyle w:val="TOC2"/>
        <w:tabs>
          <w:tab w:val="right" w:pos="9628"/>
        </w:tabs>
        <w:rPr>
          <w:rFonts w:asciiTheme="minorHAnsi" w:eastAsiaTheme="minorEastAsia" w:hAnsiTheme="minorHAnsi"/>
          <w:noProof/>
          <w:sz w:val="22"/>
          <w:lang w:eastAsia="en-GB"/>
        </w:rPr>
      </w:pPr>
      <w:hyperlink w:anchor="_Toc111551909" w:history="1">
        <w:r w:rsidR="0079264A" w:rsidRPr="000C347F">
          <w:rPr>
            <w:rStyle w:val="Hyperlink"/>
            <w:noProof/>
          </w:rPr>
          <w:t>Section 1 – Introduction to ORR</w:t>
        </w:r>
        <w:r w:rsidR="0079264A">
          <w:rPr>
            <w:noProof/>
            <w:webHidden/>
          </w:rPr>
          <w:tab/>
        </w:r>
        <w:r w:rsidR="0079264A">
          <w:rPr>
            <w:noProof/>
            <w:webHidden/>
          </w:rPr>
          <w:fldChar w:fldCharType="begin"/>
        </w:r>
        <w:r w:rsidR="0079264A">
          <w:rPr>
            <w:noProof/>
            <w:webHidden/>
          </w:rPr>
          <w:instrText xml:space="preserve"> PAGEREF _Toc111551909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65565F52" w14:textId="2675960D" w:rsidR="0079264A" w:rsidRDefault="000B13CB">
      <w:pPr>
        <w:pStyle w:val="TOC2"/>
        <w:tabs>
          <w:tab w:val="right" w:pos="9628"/>
        </w:tabs>
        <w:rPr>
          <w:rFonts w:asciiTheme="minorHAnsi" w:eastAsiaTheme="minorEastAsia" w:hAnsiTheme="minorHAnsi"/>
          <w:noProof/>
          <w:sz w:val="22"/>
          <w:lang w:eastAsia="en-GB"/>
        </w:rPr>
      </w:pPr>
      <w:hyperlink w:anchor="_Toc111551910" w:history="1">
        <w:r w:rsidR="0079264A" w:rsidRPr="000C347F">
          <w:rPr>
            <w:rStyle w:val="Hyperlink"/>
            <w:noProof/>
          </w:rPr>
          <w:t>Section 2 – Statement of Requirement</w:t>
        </w:r>
        <w:r w:rsidR="0079264A">
          <w:rPr>
            <w:noProof/>
            <w:webHidden/>
          </w:rPr>
          <w:tab/>
        </w:r>
        <w:r w:rsidR="0079264A">
          <w:rPr>
            <w:noProof/>
            <w:webHidden/>
          </w:rPr>
          <w:fldChar w:fldCharType="begin"/>
        </w:r>
        <w:r w:rsidR="0079264A">
          <w:rPr>
            <w:noProof/>
            <w:webHidden/>
          </w:rPr>
          <w:instrText xml:space="preserve"> PAGEREF _Toc111551910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3D93C174" w14:textId="2CBF8AF4" w:rsidR="0079264A" w:rsidRDefault="000B13CB">
      <w:pPr>
        <w:pStyle w:val="TOC2"/>
        <w:tabs>
          <w:tab w:val="right" w:pos="9628"/>
        </w:tabs>
        <w:rPr>
          <w:rFonts w:asciiTheme="minorHAnsi" w:eastAsiaTheme="minorEastAsia" w:hAnsiTheme="minorHAnsi"/>
          <w:noProof/>
          <w:sz w:val="22"/>
          <w:lang w:eastAsia="en-GB"/>
        </w:rPr>
      </w:pPr>
      <w:hyperlink w:anchor="_Toc111551911" w:history="1">
        <w:r w:rsidR="0079264A" w:rsidRPr="000C347F">
          <w:rPr>
            <w:rStyle w:val="Hyperlink"/>
            <w:noProof/>
          </w:rPr>
          <w:t>Section 3 – Tender Response &amp; Evaluation Criteria</w:t>
        </w:r>
        <w:r w:rsidR="0079264A">
          <w:rPr>
            <w:noProof/>
            <w:webHidden/>
          </w:rPr>
          <w:tab/>
        </w:r>
        <w:r w:rsidR="0079264A">
          <w:rPr>
            <w:noProof/>
            <w:webHidden/>
          </w:rPr>
          <w:fldChar w:fldCharType="begin"/>
        </w:r>
        <w:r w:rsidR="0079264A">
          <w:rPr>
            <w:noProof/>
            <w:webHidden/>
          </w:rPr>
          <w:instrText xml:space="preserve"> PAGEREF _Toc111551911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687151DC" w14:textId="5882C4E8" w:rsidR="0079264A" w:rsidRDefault="000B13CB">
      <w:pPr>
        <w:pStyle w:val="TOC2"/>
        <w:tabs>
          <w:tab w:val="right" w:pos="9628"/>
        </w:tabs>
        <w:rPr>
          <w:rFonts w:asciiTheme="minorHAnsi" w:eastAsiaTheme="minorEastAsia" w:hAnsiTheme="minorHAnsi"/>
          <w:noProof/>
          <w:sz w:val="22"/>
          <w:lang w:eastAsia="en-GB"/>
        </w:rPr>
      </w:pPr>
      <w:hyperlink w:anchor="_Toc111551912" w:history="1">
        <w:r w:rsidR="0079264A" w:rsidRPr="000C347F">
          <w:rPr>
            <w:rStyle w:val="Hyperlink"/>
            <w:noProof/>
          </w:rPr>
          <w:t>Section 4 – Procurement details – to be completed by the Procurement team</w:t>
        </w:r>
        <w:r w:rsidR="0079264A">
          <w:rPr>
            <w:noProof/>
            <w:webHidden/>
          </w:rPr>
          <w:tab/>
        </w:r>
        <w:r w:rsidR="0079264A">
          <w:rPr>
            <w:noProof/>
            <w:webHidden/>
          </w:rPr>
          <w:fldChar w:fldCharType="begin"/>
        </w:r>
        <w:r w:rsidR="0079264A">
          <w:rPr>
            <w:noProof/>
            <w:webHidden/>
          </w:rPr>
          <w:instrText xml:space="preserve"> PAGEREF _Toc111551912 \h </w:instrText>
        </w:r>
        <w:r w:rsidR="0079264A">
          <w:rPr>
            <w:noProof/>
            <w:webHidden/>
          </w:rPr>
        </w:r>
        <w:r w:rsidR="0079264A">
          <w:rPr>
            <w:noProof/>
            <w:webHidden/>
          </w:rPr>
          <w:fldChar w:fldCharType="separate"/>
        </w:r>
        <w:r w:rsidR="0079264A">
          <w:rPr>
            <w:noProof/>
            <w:webHidden/>
          </w:rPr>
          <w:t>4</w:t>
        </w:r>
        <w:r w:rsidR="0079264A">
          <w:rPr>
            <w:noProof/>
            <w:webHidden/>
          </w:rPr>
          <w:fldChar w:fldCharType="end"/>
        </w:r>
      </w:hyperlink>
    </w:p>
    <w:p w14:paraId="5E5E5324" w14:textId="56140CFC" w:rsidR="0079264A" w:rsidRDefault="000B13CB">
      <w:pPr>
        <w:pStyle w:val="TOC1"/>
        <w:rPr>
          <w:rFonts w:asciiTheme="minorHAnsi" w:eastAsiaTheme="minorEastAsia" w:hAnsiTheme="minorHAnsi"/>
          <w:b w:val="0"/>
          <w:bCs w:val="0"/>
          <w:color w:val="auto"/>
          <w:sz w:val="22"/>
          <w:lang w:eastAsia="en-GB"/>
        </w:rPr>
      </w:pPr>
      <w:hyperlink w:anchor="_Toc111551913" w:history="1">
        <w:r w:rsidR="0079264A" w:rsidRPr="000C347F">
          <w:rPr>
            <w:rStyle w:val="Hyperlink"/>
          </w:rPr>
          <w:t>Purpose of the document</w:t>
        </w:r>
        <w:r w:rsidR="0079264A">
          <w:rPr>
            <w:webHidden/>
          </w:rPr>
          <w:tab/>
        </w:r>
        <w:r w:rsidR="0079264A">
          <w:rPr>
            <w:webHidden/>
          </w:rPr>
          <w:fldChar w:fldCharType="begin"/>
        </w:r>
        <w:r w:rsidR="0079264A">
          <w:rPr>
            <w:webHidden/>
          </w:rPr>
          <w:instrText xml:space="preserve"> PAGEREF _Toc111551913 \h </w:instrText>
        </w:r>
        <w:r w:rsidR="0079264A">
          <w:rPr>
            <w:webHidden/>
          </w:rPr>
        </w:r>
        <w:r w:rsidR="0079264A">
          <w:rPr>
            <w:webHidden/>
          </w:rPr>
          <w:fldChar w:fldCharType="separate"/>
        </w:r>
        <w:r w:rsidR="0079264A">
          <w:rPr>
            <w:webHidden/>
          </w:rPr>
          <w:t>5</w:t>
        </w:r>
        <w:r w:rsidR="0079264A">
          <w:rPr>
            <w:webHidden/>
          </w:rPr>
          <w:fldChar w:fldCharType="end"/>
        </w:r>
      </w:hyperlink>
    </w:p>
    <w:p w14:paraId="63A86D55" w14:textId="7B2F34A8" w:rsidR="0079264A" w:rsidRDefault="000B13CB">
      <w:pPr>
        <w:pStyle w:val="TOC1"/>
        <w:rPr>
          <w:rFonts w:asciiTheme="minorHAnsi" w:eastAsiaTheme="minorEastAsia" w:hAnsiTheme="minorHAnsi"/>
          <w:b w:val="0"/>
          <w:bCs w:val="0"/>
          <w:color w:val="auto"/>
          <w:sz w:val="22"/>
          <w:lang w:eastAsia="en-GB"/>
        </w:rPr>
      </w:pPr>
      <w:hyperlink w:anchor="_Toc111551914" w:history="1">
        <w:r w:rsidR="0079264A" w:rsidRPr="000C347F">
          <w:rPr>
            <w:rStyle w:val="Hyperlink"/>
          </w:rPr>
          <w:t>1.</w:t>
        </w:r>
        <w:r w:rsidR="0079264A">
          <w:rPr>
            <w:rFonts w:asciiTheme="minorHAnsi" w:eastAsiaTheme="minorEastAsia" w:hAnsiTheme="minorHAnsi"/>
            <w:b w:val="0"/>
            <w:bCs w:val="0"/>
            <w:color w:val="auto"/>
            <w:sz w:val="22"/>
            <w:lang w:eastAsia="en-GB"/>
          </w:rPr>
          <w:tab/>
        </w:r>
        <w:r w:rsidR="0079264A" w:rsidRPr="000C347F">
          <w:rPr>
            <w:rStyle w:val="Hyperlink"/>
          </w:rPr>
          <w:t>Introduction to the Office of Rail and Road</w:t>
        </w:r>
        <w:r w:rsidR="0079264A">
          <w:rPr>
            <w:webHidden/>
          </w:rPr>
          <w:tab/>
        </w:r>
        <w:r w:rsidR="0079264A">
          <w:rPr>
            <w:webHidden/>
          </w:rPr>
          <w:fldChar w:fldCharType="begin"/>
        </w:r>
        <w:r w:rsidR="0079264A">
          <w:rPr>
            <w:webHidden/>
          </w:rPr>
          <w:instrText xml:space="preserve"> PAGEREF _Toc111551914 \h </w:instrText>
        </w:r>
        <w:r w:rsidR="0079264A">
          <w:rPr>
            <w:webHidden/>
          </w:rPr>
        </w:r>
        <w:r w:rsidR="0079264A">
          <w:rPr>
            <w:webHidden/>
          </w:rPr>
          <w:fldChar w:fldCharType="separate"/>
        </w:r>
        <w:r w:rsidR="0079264A">
          <w:rPr>
            <w:webHidden/>
          </w:rPr>
          <w:t>6</w:t>
        </w:r>
        <w:r w:rsidR="0079264A">
          <w:rPr>
            <w:webHidden/>
          </w:rPr>
          <w:fldChar w:fldCharType="end"/>
        </w:r>
      </w:hyperlink>
    </w:p>
    <w:p w14:paraId="4F774D3D" w14:textId="31E39395" w:rsidR="0079264A" w:rsidRDefault="000B13CB">
      <w:pPr>
        <w:pStyle w:val="TOC2"/>
        <w:tabs>
          <w:tab w:val="right" w:pos="9628"/>
        </w:tabs>
        <w:rPr>
          <w:rFonts w:asciiTheme="minorHAnsi" w:eastAsiaTheme="minorEastAsia" w:hAnsiTheme="minorHAnsi"/>
          <w:noProof/>
          <w:sz w:val="22"/>
          <w:lang w:eastAsia="en-GB"/>
        </w:rPr>
      </w:pPr>
      <w:hyperlink w:anchor="_Toc111551915" w:history="1">
        <w:r w:rsidR="0079264A" w:rsidRPr="000C347F">
          <w:rPr>
            <w:rStyle w:val="Hyperlink"/>
            <w:noProof/>
          </w:rPr>
          <w:t>Our strategic objectives</w:t>
        </w:r>
        <w:r w:rsidR="0079264A">
          <w:rPr>
            <w:noProof/>
            <w:webHidden/>
          </w:rPr>
          <w:tab/>
        </w:r>
        <w:r w:rsidR="0079264A">
          <w:rPr>
            <w:noProof/>
            <w:webHidden/>
          </w:rPr>
          <w:fldChar w:fldCharType="begin"/>
        </w:r>
        <w:r w:rsidR="0079264A">
          <w:rPr>
            <w:noProof/>
            <w:webHidden/>
          </w:rPr>
          <w:instrText xml:space="preserve"> PAGEREF _Toc111551915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EDB0490" w14:textId="483045E0" w:rsidR="0079264A" w:rsidRDefault="000B13CB">
      <w:pPr>
        <w:pStyle w:val="TOC2"/>
        <w:tabs>
          <w:tab w:val="right" w:pos="9628"/>
        </w:tabs>
        <w:rPr>
          <w:rFonts w:asciiTheme="minorHAnsi" w:eastAsiaTheme="minorEastAsia" w:hAnsiTheme="minorHAnsi"/>
          <w:noProof/>
          <w:sz w:val="22"/>
          <w:lang w:eastAsia="en-GB"/>
        </w:rPr>
      </w:pPr>
      <w:hyperlink w:anchor="_Toc111551916" w:history="1">
        <w:r w:rsidR="0079264A" w:rsidRPr="000C347F">
          <w:rPr>
            <w:rStyle w:val="Hyperlink"/>
            <w:noProof/>
          </w:rPr>
          <w:t>Supplying ORR</w:t>
        </w:r>
        <w:r w:rsidR="0079264A">
          <w:rPr>
            <w:noProof/>
            <w:webHidden/>
          </w:rPr>
          <w:tab/>
        </w:r>
        <w:r w:rsidR="0079264A">
          <w:rPr>
            <w:noProof/>
            <w:webHidden/>
          </w:rPr>
          <w:fldChar w:fldCharType="begin"/>
        </w:r>
        <w:r w:rsidR="0079264A">
          <w:rPr>
            <w:noProof/>
            <w:webHidden/>
          </w:rPr>
          <w:instrText xml:space="preserve"> PAGEREF _Toc111551916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34AD544" w14:textId="37367FC3" w:rsidR="0079264A" w:rsidRDefault="000B13CB">
      <w:pPr>
        <w:pStyle w:val="TOC1"/>
        <w:rPr>
          <w:rFonts w:asciiTheme="minorHAnsi" w:eastAsiaTheme="minorEastAsia" w:hAnsiTheme="minorHAnsi"/>
          <w:b w:val="0"/>
          <w:bCs w:val="0"/>
          <w:color w:val="auto"/>
          <w:sz w:val="22"/>
          <w:lang w:eastAsia="en-GB"/>
        </w:rPr>
      </w:pPr>
      <w:hyperlink w:anchor="_Toc111551917" w:history="1">
        <w:r w:rsidR="0079264A" w:rsidRPr="000C347F">
          <w:rPr>
            <w:rStyle w:val="Hyperlink"/>
          </w:rPr>
          <w:t>Small and Medium Enterprises</w:t>
        </w:r>
        <w:r w:rsidR="0079264A">
          <w:rPr>
            <w:webHidden/>
          </w:rPr>
          <w:tab/>
        </w:r>
        <w:r w:rsidR="0079264A">
          <w:rPr>
            <w:webHidden/>
          </w:rPr>
          <w:fldChar w:fldCharType="begin"/>
        </w:r>
        <w:r w:rsidR="0079264A">
          <w:rPr>
            <w:webHidden/>
          </w:rPr>
          <w:instrText xml:space="preserve"> PAGEREF _Toc111551917 \h </w:instrText>
        </w:r>
        <w:r w:rsidR="0079264A">
          <w:rPr>
            <w:webHidden/>
          </w:rPr>
        </w:r>
        <w:r w:rsidR="0079264A">
          <w:rPr>
            <w:webHidden/>
          </w:rPr>
          <w:fldChar w:fldCharType="separate"/>
        </w:r>
        <w:r w:rsidR="0079264A">
          <w:rPr>
            <w:webHidden/>
          </w:rPr>
          <w:t>8</w:t>
        </w:r>
        <w:r w:rsidR="0079264A">
          <w:rPr>
            <w:webHidden/>
          </w:rPr>
          <w:fldChar w:fldCharType="end"/>
        </w:r>
      </w:hyperlink>
    </w:p>
    <w:p w14:paraId="08E45A16" w14:textId="0FA4F6E4" w:rsidR="0079264A" w:rsidRDefault="000B13CB">
      <w:pPr>
        <w:pStyle w:val="TOC1"/>
        <w:rPr>
          <w:rFonts w:asciiTheme="minorHAnsi" w:eastAsiaTheme="minorEastAsia" w:hAnsiTheme="minorHAnsi"/>
          <w:b w:val="0"/>
          <w:bCs w:val="0"/>
          <w:color w:val="auto"/>
          <w:sz w:val="22"/>
          <w:lang w:eastAsia="en-GB"/>
        </w:rPr>
      </w:pPr>
      <w:hyperlink w:anchor="_Toc111551918" w:history="1">
        <w:r w:rsidR="0079264A" w:rsidRPr="000C347F">
          <w:rPr>
            <w:rStyle w:val="Hyperlink"/>
          </w:rPr>
          <w:t>2.</w:t>
        </w:r>
        <w:r w:rsidR="0079264A">
          <w:rPr>
            <w:rFonts w:asciiTheme="minorHAnsi" w:eastAsiaTheme="minorEastAsia" w:hAnsiTheme="minorHAnsi"/>
            <w:b w:val="0"/>
            <w:bCs w:val="0"/>
            <w:color w:val="auto"/>
            <w:sz w:val="22"/>
            <w:lang w:eastAsia="en-GB"/>
          </w:rPr>
          <w:tab/>
        </w:r>
        <w:r w:rsidR="0079264A" w:rsidRPr="000C347F">
          <w:rPr>
            <w:rStyle w:val="Hyperlink"/>
          </w:rPr>
          <w:t>Statement of Requirement</w:t>
        </w:r>
        <w:r w:rsidR="0079264A">
          <w:rPr>
            <w:webHidden/>
          </w:rPr>
          <w:tab/>
        </w:r>
        <w:r w:rsidR="0079264A">
          <w:rPr>
            <w:webHidden/>
          </w:rPr>
          <w:fldChar w:fldCharType="begin"/>
        </w:r>
        <w:r w:rsidR="0079264A">
          <w:rPr>
            <w:webHidden/>
          </w:rPr>
          <w:instrText xml:space="preserve"> PAGEREF _Toc111551918 \h </w:instrText>
        </w:r>
        <w:r w:rsidR="0079264A">
          <w:rPr>
            <w:webHidden/>
          </w:rPr>
        </w:r>
        <w:r w:rsidR="0079264A">
          <w:rPr>
            <w:webHidden/>
          </w:rPr>
          <w:fldChar w:fldCharType="separate"/>
        </w:r>
        <w:r w:rsidR="0079264A">
          <w:rPr>
            <w:webHidden/>
          </w:rPr>
          <w:t>10</w:t>
        </w:r>
        <w:r w:rsidR="0079264A">
          <w:rPr>
            <w:webHidden/>
          </w:rPr>
          <w:fldChar w:fldCharType="end"/>
        </w:r>
      </w:hyperlink>
    </w:p>
    <w:p w14:paraId="3B60C34D" w14:textId="3CB68232" w:rsidR="0079264A" w:rsidRDefault="000B13CB">
      <w:pPr>
        <w:pStyle w:val="TOC2"/>
        <w:tabs>
          <w:tab w:val="right" w:pos="9628"/>
        </w:tabs>
        <w:rPr>
          <w:rFonts w:asciiTheme="minorHAnsi" w:eastAsiaTheme="minorEastAsia" w:hAnsiTheme="minorHAnsi"/>
          <w:noProof/>
          <w:sz w:val="22"/>
          <w:lang w:eastAsia="en-GB"/>
        </w:rPr>
      </w:pPr>
      <w:hyperlink w:anchor="_Toc111551919" w:history="1">
        <w:r w:rsidR="0079264A" w:rsidRPr="000C347F">
          <w:rPr>
            <w:rStyle w:val="Hyperlink"/>
            <w:noProof/>
          </w:rPr>
          <w:t>2.1 Background of the project</w:t>
        </w:r>
        <w:r w:rsidR="0079264A">
          <w:rPr>
            <w:noProof/>
            <w:webHidden/>
          </w:rPr>
          <w:tab/>
        </w:r>
        <w:r w:rsidR="0079264A">
          <w:rPr>
            <w:noProof/>
            <w:webHidden/>
          </w:rPr>
          <w:fldChar w:fldCharType="begin"/>
        </w:r>
        <w:r w:rsidR="0079264A">
          <w:rPr>
            <w:noProof/>
            <w:webHidden/>
          </w:rPr>
          <w:instrText xml:space="preserve"> PAGEREF _Toc111551919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0A313B7D" w14:textId="65C3A45A" w:rsidR="0079264A" w:rsidRDefault="000B13CB">
      <w:pPr>
        <w:pStyle w:val="TOC2"/>
        <w:tabs>
          <w:tab w:val="right" w:pos="9628"/>
        </w:tabs>
        <w:rPr>
          <w:rFonts w:asciiTheme="minorHAnsi" w:eastAsiaTheme="minorEastAsia" w:hAnsiTheme="minorHAnsi"/>
          <w:noProof/>
          <w:sz w:val="22"/>
          <w:lang w:eastAsia="en-GB"/>
        </w:rPr>
      </w:pPr>
      <w:hyperlink w:anchor="_Toc111551920" w:history="1">
        <w:r w:rsidR="0079264A" w:rsidRPr="000C347F">
          <w:rPr>
            <w:rStyle w:val="Hyperlink"/>
            <w:noProof/>
          </w:rPr>
          <w:t>2.2 Project Objectives and Scope</w:t>
        </w:r>
        <w:r w:rsidR="0079264A">
          <w:rPr>
            <w:noProof/>
            <w:webHidden/>
          </w:rPr>
          <w:tab/>
        </w:r>
        <w:r w:rsidR="0079264A">
          <w:rPr>
            <w:noProof/>
            <w:webHidden/>
          </w:rPr>
          <w:fldChar w:fldCharType="begin"/>
        </w:r>
        <w:r w:rsidR="0079264A">
          <w:rPr>
            <w:noProof/>
            <w:webHidden/>
          </w:rPr>
          <w:instrText xml:space="preserve"> PAGEREF _Toc111551920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1DC3EE13" w14:textId="7B86328E" w:rsidR="0079264A" w:rsidRDefault="000B13CB">
      <w:pPr>
        <w:pStyle w:val="TOC2"/>
        <w:tabs>
          <w:tab w:val="right" w:pos="9628"/>
        </w:tabs>
        <w:rPr>
          <w:rFonts w:asciiTheme="minorHAnsi" w:eastAsiaTheme="minorEastAsia" w:hAnsiTheme="minorHAnsi"/>
          <w:noProof/>
          <w:sz w:val="22"/>
          <w:lang w:eastAsia="en-GB"/>
        </w:rPr>
      </w:pPr>
      <w:hyperlink w:anchor="_Toc111551921" w:history="1">
        <w:r w:rsidR="0079264A" w:rsidRPr="000C347F">
          <w:rPr>
            <w:rStyle w:val="Hyperlink"/>
            <w:noProof/>
          </w:rPr>
          <w:t>2.3 Project Outputs, Deliverables and Contract Management</w:t>
        </w:r>
        <w:r w:rsidR="0079264A">
          <w:rPr>
            <w:noProof/>
            <w:webHidden/>
          </w:rPr>
          <w:tab/>
        </w:r>
        <w:r w:rsidR="0079264A">
          <w:rPr>
            <w:noProof/>
            <w:webHidden/>
          </w:rPr>
          <w:fldChar w:fldCharType="begin"/>
        </w:r>
        <w:r w:rsidR="0079264A">
          <w:rPr>
            <w:noProof/>
            <w:webHidden/>
          </w:rPr>
          <w:instrText xml:space="preserve"> PAGEREF _Toc111551921 \h </w:instrText>
        </w:r>
        <w:r w:rsidR="0079264A">
          <w:rPr>
            <w:noProof/>
            <w:webHidden/>
          </w:rPr>
        </w:r>
        <w:r w:rsidR="0079264A">
          <w:rPr>
            <w:noProof/>
            <w:webHidden/>
          </w:rPr>
          <w:fldChar w:fldCharType="separate"/>
        </w:r>
        <w:r w:rsidR="0079264A">
          <w:rPr>
            <w:noProof/>
            <w:webHidden/>
          </w:rPr>
          <w:t>11</w:t>
        </w:r>
        <w:r w:rsidR="0079264A">
          <w:rPr>
            <w:noProof/>
            <w:webHidden/>
          </w:rPr>
          <w:fldChar w:fldCharType="end"/>
        </w:r>
      </w:hyperlink>
    </w:p>
    <w:p w14:paraId="00910335" w14:textId="52C1808B" w:rsidR="0079264A" w:rsidRDefault="000B13CB">
      <w:pPr>
        <w:pStyle w:val="TOC2"/>
        <w:tabs>
          <w:tab w:val="right" w:pos="9628"/>
        </w:tabs>
        <w:rPr>
          <w:rFonts w:asciiTheme="minorHAnsi" w:eastAsiaTheme="minorEastAsia" w:hAnsiTheme="minorHAnsi"/>
          <w:noProof/>
          <w:sz w:val="22"/>
          <w:lang w:eastAsia="en-GB"/>
        </w:rPr>
      </w:pPr>
      <w:hyperlink w:anchor="_Toc111551922" w:history="1">
        <w:r w:rsidR="0079264A" w:rsidRPr="000C347F">
          <w:rPr>
            <w:rStyle w:val="Hyperlink"/>
            <w:noProof/>
          </w:rPr>
          <w:t>2.4 Project Timescales</w:t>
        </w:r>
        <w:r w:rsidR="0079264A">
          <w:rPr>
            <w:noProof/>
            <w:webHidden/>
          </w:rPr>
          <w:tab/>
        </w:r>
        <w:r w:rsidR="0079264A">
          <w:rPr>
            <w:noProof/>
            <w:webHidden/>
          </w:rPr>
          <w:fldChar w:fldCharType="begin"/>
        </w:r>
        <w:r w:rsidR="0079264A">
          <w:rPr>
            <w:noProof/>
            <w:webHidden/>
          </w:rPr>
          <w:instrText xml:space="preserve"> PAGEREF _Toc111551922 \h </w:instrText>
        </w:r>
        <w:r w:rsidR="0079264A">
          <w:rPr>
            <w:noProof/>
            <w:webHidden/>
          </w:rPr>
        </w:r>
        <w:r w:rsidR="0079264A">
          <w:rPr>
            <w:noProof/>
            <w:webHidden/>
          </w:rPr>
          <w:fldChar w:fldCharType="separate"/>
        </w:r>
        <w:r w:rsidR="0079264A">
          <w:rPr>
            <w:noProof/>
            <w:webHidden/>
          </w:rPr>
          <w:t>12</w:t>
        </w:r>
        <w:r w:rsidR="0079264A">
          <w:rPr>
            <w:noProof/>
            <w:webHidden/>
          </w:rPr>
          <w:fldChar w:fldCharType="end"/>
        </w:r>
      </w:hyperlink>
    </w:p>
    <w:p w14:paraId="5634B37D" w14:textId="2C40B131" w:rsidR="0079264A" w:rsidRDefault="000B13CB">
      <w:pPr>
        <w:pStyle w:val="TOC2"/>
        <w:tabs>
          <w:tab w:val="right" w:pos="9628"/>
        </w:tabs>
        <w:rPr>
          <w:rFonts w:asciiTheme="minorHAnsi" w:eastAsiaTheme="minorEastAsia" w:hAnsiTheme="minorHAnsi"/>
          <w:noProof/>
          <w:sz w:val="22"/>
          <w:lang w:eastAsia="en-GB"/>
        </w:rPr>
      </w:pPr>
      <w:hyperlink w:anchor="_Toc111551923" w:history="1">
        <w:r w:rsidR="0079264A" w:rsidRPr="000C347F">
          <w:rPr>
            <w:rStyle w:val="Hyperlink"/>
            <w:noProof/>
          </w:rPr>
          <w:t>2.5 Budget and Payment Schedule</w:t>
        </w:r>
        <w:r w:rsidR="0079264A">
          <w:rPr>
            <w:noProof/>
            <w:webHidden/>
          </w:rPr>
          <w:tab/>
        </w:r>
        <w:r w:rsidR="0079264A">
          <w:rPr>
            <w:noProof/>
            <w:webHidden/>
          </w:rPr>
          <w:fldChar w:fldCharType="begin"/>
        </w:r>
        <w:r w:rsidR="0079264A">
          <w:rPr>
            <w:noProof/>
            <w:webHidden/>
          </w:rPr>
          <w:instrText xml:space="preserve"> PAGEREF _Toc111551923 \h </w:instrText>
        </w:r>
        <w:r w:rsidR="0079264A">
          <w:rPr>
            <w:noProof/>
            <w:webHidden/>
          </w:rPr>
        </w:r>
        <w:r w:rsidR="0079264A">
          <w:rPr>
            <w:noProof/>
            <w:webHidden/>
          </w:rPr>
          <w:fldChar w:fldCharType="separate"/>
        </w:r>
        <w:r w:rsidR="0079264A">
          <w:rPr>
            <w:noProof/>
            <w:webHidden/>
          </w:rPr>
          <w:t>13</w:t>
        </w:r>
        <w:r w:rsidR="0079264A">
          <w:rPr>
            <w:noProof/>
            <w:webHidden/>
          </w:rPr>
          <w:fldChar w:fldCharType="end"/>
        </w:r>
      </w:hyperlink>
    </w:p>
    <w:p w14:paraId="3ED694D5" w14:textId="3E2ADDB8" w:rsidR="0079264A" w:rsidRDefault="000B13CB">
      <w:pPr>
        <w:pStyle w:val="TOC2"/>
        <w:tabs>
          <w:tab w:val="right" w:pos="9628"/>
        </w:tabs>
        <w:rPr>
          <w:rFonts w:asciiTheme="minorHAnsi" w:eastAsiaTheme="minorEastAsia" w:hAnsiTheme="minorHAnsi"/>
          <w:noProof/>
          <w:sz w:val="22"/>
          <w:lang w:eastAsia="en-GB"/>
        </w:rPr>
      </w:pPr>
      <w:hyperlink w:anchor="_Toc111551924" w:history="1">
        <w:r w:rsidR="0079264A" w:rsidRPr="000C347F">
          <w:rPr>
            <w:rStyle w:val="Hyperlink"/>
            <w:noProof/>
          </w:rPr>
          <w:t>2.6 Further project related information for bidders</w:t>
        </w:r>
        <w:r w:rsidR="0079264A">
          <w:rPr>
            <w:noProof/>
            <w:webHidden/>
          </w:rPr>
          <w:tab/>
        </w:r>
        <w:r w:rsidR="0079264A">
          <w:rPr>
            <w:noProof/>
            <w:webHidden/>
          </w:rPr>
          <w:fldChar w:fldCharType="begin"/>
        </w:r>
        <w:r w:rsidR="0079264A">
          <w:rPr>
            <w:noProof/>
            <w:webHidden/>
          </w:rPr>
          <w:instrText xml:space="preserve"> PAGEREF _Toc111551924 \h </w:instrText>
        </w:r>
        <w:r w:rsidR="0079264A">
          <w:rPr>
            <w:noProof/>
            <w:webHidden/>
          </w:rPr>
        </w:r>
        <w:r w:rsidR="0079264A">
          <w:rPr>
            <w:noProof/>
            <w:webHidden/>
          </w:rPr>
          <w:fldChar w:fldCharType="separate"/>
        </w:r>
        <w:r w:rsidR="0079264A">
          <w:rPr>
            <w:noProof/>
            <w:webHidden/>
          </w:rPr>
          <w:t>14</w:t>
        </w:r>
        <w:r w:rsidR="0079264A">
          <w:rPr>
            <w:noProof/>
            <w:webHidden/>
          </w:rPr>
          <w:fldChar w:fldCharType="end"/>
        </w:r>
      </w:hyperlink>
    </w:p>
    <w:p w14:paraId="49188D30" w14:textId="03037883" w:rsidR="0079264A" w:rsidRDefault="000B13CB">
      <w:pPr>
        <w:pStyle w:val="TOC1"/>
        <w:rPr>
          <w:rFonts w:asciiTheme="minorHAnsi" w:eastAsiaTheme="minorEastAsia" w:hAnsiTheme="minorHAnsi"/>
          <w:b w:val="0"/>
          <w:bCs w:val="0"/>
          <w:color w:val="auto"/>
          <w:sz w:val="22"/>
          <w:lang w:eastAsia="en-GB"/>
        </w:rPr>
      </w:pPr>
      <w:hyperlink w:anchor="_Toc111551925" w:history="1">
        <w:r w:rsidR="0079264A" w:rsidRPr="000C347F">
          <w:rPr>
            <w:rStyle w:val="Hyperlink"/>
          </w:rPr>
          <w:t>3.</w:t>
        </w:r>
        <w:r w:rsidR="0079264A">
          <w:rPr>
            <w:rFonts w:asciiTheme="minorHAnsi" w:eastAsiaTheme="minorEastAsia" w:hAnsiTheme="minorHAnsi"/>
            <w:b w:val="0"/>
            <w:bCs w:val="0"/>
            <w:color w:val="auto"/>
            <w:sz w:val="22"/>
            <w:lang w:eastAsia="en-GB"/>
          </w:rPr>
          <w:tab/>
        </w:r>
        <w:r w:rsidR="0079264A" w:rsidRPr="000C347F">
          <w:rPr>
            <w:rStyle w:val="Hyperlink"/>
          </w:rPr>
          <w:t>Tender Response and Evaluation Criteria</w:t>
        </w:r>
        <w:r w:rsidR="0079264A">
          <w:rPr>
            <w:webHidden/>
          </w:rPr>
          <w:tab/>
        </w:r>
        <w:r w:rsidR="0079264A">
          <w:rPr>
            <w:webHidden/>
          </w:rPr>
          <w:fldChar w:fldCharType="begin"/>
        </w:r>
        <w:r w:rsidR="0079264A">
          <w:rPr>
            <w:webHidden/>
          </w:rPr>
          <w:instrText xml:space="preserve"> PAGEREF _Toc111551925 \h </w:instrText>
        </w:r>
        <w:r w:rsidR="0079264A">
          <w:rPr>
            <w:webHidden/>
          </w:rPr>
        </w:r>
        <w:r w:rsidR="0079264A">
          <w:rPr>
            <w:webHidden/>
          </w:rPr>
          <w:fldChar w:fldCharType="separate"/>
        </w:r>
        <w:r w:rsidR="0079264A">
          <w:rPr>
            <w:webHidden/>
          </w:rPr>
          <w:t>16</w:t>
        </w:r>
        <w:r w:rsidR="0079264A">
          <w:rPr>
            <w:webHidden/>
          </w:rPr>
          <w:fldChar w:fldCharType="end"/>
        </w:r>
      </w:hyperlink>
    </w:p>
    <w:p w14:paraId="4DED5429" w14:textId="00F4C96E" w:rsidR="0079264A" w:rsidRDefault="000B13CB">
      <w:pPr>
        <w:pStyle w:val="TOC2"/>
        <w:tabs>
          <w:tab w:val="right" w:pos="9628"/>
        </w:tabs>
        <w:rPr>
          <w:rFonts w:asciiTheme="minorHAnsi" w:eastAsiaTheme="minorEastAsia" w:hAnsiTheme="minorHAnsi"/>
          <w:noProof/>
          <w:sz w:val="22"/>
          <w:lang w:eastAsia="en-GB"/>
        </w:rPr>
      </w:pPr>
      <w:hyperlink w:anchor="_Toc111551926" w:history="1">
        <w:r w:rsidR="0079264A" w:rsidRPr="000C347F">
          <w:rPr>
            <w:rStyle w:val="Hyperlink"/>
            <w:noProof/>
          </w:rPr>
          <w:t>3.1 The Tender Response</w:t>
        </w:r>
        <w:r w:rsidR="0079264A">
          <w:rPr>
            <w:noProof/>
            <w:webHidden/>
          </w:rPr>
          <w:tab/>
        </w:r>
        <w:r w:rsidR="0079264A">
          <w:rPr>
            <w:noProof/>
            <w:webHidden/>
          </w:rPr>
          <w:fldChar w:fldCharType="begin"/>
        </w:r>
        <w:r w:rsidR="0079264A">
          <w:rPr>
            <w:noProof/>
            <w:webHidden/>
          </w:rPr>
          <w:instrText xml:space="preserve"> PAGEREF _Toc111551926 \h </w:instrText>
        </w:r>
        <w:r w:rsidR="0079264A">
          <w:rPr>
            <w:noProof/>
            <w:webHidden/>
          </w:rPr>
        </w:r>
        <w:r w:rsidR="0079264A">
          <w:rPr>
            <w:noProof/>
            <w:webHidden/>
          </w:rPr>
          <w:fldChar w:fldCharType="separate"/>
        </w:r>
        <w:r w:rsidR="0079264A">
          <w:rPr>
            <w:noProof/>
            <w:webHidden/>
          </w:rPr>
          <w:t>16</w:t>
        </w:r>
        <w:r w:rsidR="0079264A">
          <w:rPr>
            <w:noProof/>
            <w:webHidden/>
          </w:rPr>
          <w:fldChar w:fldCharType="end"/>
        </w:r>
      </w:hyperlink>
    </w:p>
    <w:p w14:paraId="24C28E0D" w14:textId="15183F51" w:rsidR="0079264A" w:rsidRDefault="000B13CB">
      <w:pPr>
        <w:pStyle w:val="TOC2"/>
        <w:tabs>
          <w:tab w:val="right" w:pos="9628"/>
        </w:tabs>
        <w:rPr>
          <w:rFonts w:asciiTheme="minorHAnsi" w:eastAsiaTheme="minorEastAsia" w:hAnsiTheme="minorHAnsi"/>
          <w:noProof/>
          <w:sz w:val="22"/>
          <w:lang w:eastAsia="en-GB"/>
        </w:rPr>
      </w:pPr>
      <w:hyperlink w:anchor="_Toc111551927" w:history="1">
        <w:r w:rsidR="0079264A" w:rsidRPr="000C347F">
          <w:rPr>
            <w:rStyle w:val="Hyperlink"/>
            <w:noProof/>
          </w:rPr>
          <w:t>3.2 Evaluation Criteria</w:t>
        </w:r>
        <w:r w:rsidR="0079264A">
          <w:rPr>
            <w:noProof/>
            <w:webHidden/>
          </w:rPr>
          <w:tab/>
        </w:r>
        <w:r w:rsidR="0079264A">
          <w:rPr>
            <w:noProof/>
            <w:webHidden/>
          </w:rPr>
          <w:fldChar w:fldCharType="begin"/>
        </w:r>
        <w:r w:rsidR="0079264A">
          <w:rPr>
            <w:noProof/>
            <w:webHidden/>
          </w:rPr>
          <w:instrText xml:space="preserve"> PAGEREF _Toc111551927 \h </w:instrText>
        </w:r>
        <w:r w:rsidR="0079264A">
          <w:rPr>
            <w:noProof/>
            <w:webHidden/>
          </w:rPr>
        </w:r>
        <w:r w:rsidR="0079264A">
          <w:rPr>
            <w:noProof/>
            <w:webHidden/>
          </w:rPr>
          <w:fldChar w:fldCharType="separate"/>
        </w:r>
        <w:r w:rsidR="0079264A">
          <w:rPr>
            <w:noProof/>
            <w:webHidden/>
          </w:rPr>
          <w:t>17</w:t>
        </w:r>
        <w:r w:rsidR="0079264A">
          <w:rPr>
            <w:noProof/>
            <w:webHidden/>
          </w:rPr>
          <w:fldChar w:fldCharType="end"/>
        </w:r>
      </w:hyperlink>
    </w:p>
    <w:p w14:paraId="56D04470" w14:textId="3033ED1C" w:rsidR="0079264A" w:rsidRDefault="000B13CB">
      <w:pPr>
        <w:pStyle w:val="TOC1"/>
        <w:rPr>
          <w:rFonts w:asciiTheme="minorHAnsi" w:eastAsiaTheme="minorEastAsia" w:hAnsiTheme="minorHAnsi"/>
          <w:b w:val="0"/>
          <w:bCs w:val="0"/>
          <w:color w:val="auto"/>
          <w:sz w:val="22"/>
          <w:lang w:eastAsia="en-GB"/>
        </w:rPr>
      </w:pPr>
      <w:hyperlink w:anchor="_Toc111551928" w:history="1">
        <w:r w:rsidR="0079264A" w:rsidRPr="000C347F">
          <w:rPr>
            <w:rStyle w:val="Hyperlink"/>
          </w:rPr>
          <w:t>4.</w:t>
        </w:r>
        <w:r w:rsidR="0079264A">
          <w:rPr>
            <w:rFonts w:asciiTheme="minorHAnsi" w:eastAsiaTheme="minorEastAsia" w:hAnsiTheme="minorHAnsi"/>
            <w:b w:val="0"/>
            <w:bCs w:val="0"/>
            <w:color w:val="auto"/>
            <w:sz w:val="22"/>
            <w:lang w:eastAsia="en-GB"/>
          </w:rPr>
          <w:tab/>
        </w:r>
        <w:r w:rsidR="0079264A" w:rsidRPr="000C347F">
          <w:rPr>
            <w:rStyle w:val="Hyperlink"/>
          </w:rPr>
          <w:t>Procurement Procedures</w:t>
        </w:r>
        <w:r w:rsidR="0079264A">
          <w:rPr>
            <w:webHidden/>
          </w:rPr>
          <w:tab/>
        </w:r>
        <w:r w:rsidR="0079264A">
          <w:rPr>
            <w:webHidden/>
          </w:rPr>
          <w:fldChar w:fldCharType="begin"/>
        </w:r>
        <w:r w:rsidR="0079264A">
          <w:rPr>
            <w:webHidden/>
          </w:rPr>
          <w:instrText xml:space="preserve"> PAGEREF _Toc111551928 \h </w:instrText>
        </w:r>
        <w:r w:rsidR="0079264A">
          <w:rPr>
            <w:webHidden/>
          </w:rPr>
        </w:r>
        <w:r w:rsidR="0079264A">
          <w:rPr>
            <w:webHidden/>
          </w:rPr>
          <w:fldChar w:fldCharType="separate"/>
        </w:r>
        <w:r w:rsidR="0079264A">
          <w:rPr>
            <w:webHidden/>
          </w:rPr>
          <w:t>21</w:t>
        </w:r>
        <w:r w:rsidR="0079264A">
          <w:rPr>
            <w:webHidden/>
          </w:rPr>
          <w:fldChar w:fldCharType="end"/>
        </w:r>
      </w:hyperlink>
    </w:p>
    <w:p w14:paraId="0EDE73FA" w14:textId="3890DE96" w:rsidR="0079264A" w:rsidRDefault="000B13CB">
      <w:pPr>
        <w:pStyle w:val="TOC2"/>
        <w:tabs>
          <w:tab w:val="right" w:pos="9628"/>
        </w:tabs>
        <w:rPr>
          <w:rFonts w:asciiTheme="minorHAnsi" w:eastAsiaTheme="minorEastAsia" w:hAnsiTheme="minorHAnsi"/>
          <w:noProof/>
          <w:sz w:val="22"/>
          <w:lang w:eastAsia="en-GB"/>
        </w:rPr>
      </w:pPr>
      <w:hyperlink w:anchor="_Toc111551929" w:history="1">
        <w:r w:rsidR="0079264A" w:rsidRPr="000C347F">
          <w:rPr>
            <w:rStyle w:val="Hyperlink"/>
            <w:noProof/>
          </w:rPr>
          <w:t>Tendering Timetable</w:t>
        </w:r>
        <w:r w:rsidR="0079264A">
          <w:rPr>
            <w:noProof/>
            <w:webHidden/>
          </w:rPr>
          <w:tab/>
        </w:r>
        <w:r w:rsidR="0079264A">
          <w:rPr>
            <w:noProof/>
            <w:webHidden/>
          </w:rPr>
          <w:fldChar w:fldCharType="begin"/>
        </w:r>
        <w:r w:rsidR="0079264A">
          <w:rPr>
            <w:noProof/>
            <w:webHidden/>
          </w:rPr>
          <w:instrText xml:space="preserve"> PAGEREF _Toc111551929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0713F7E5" w14:textId="66E19FC9" w:rsidR="0079264A" w:rsidRDefault="000B13CB">
      <w:pPr>
        <w:pStyle w:val="TOC2"/>
        <w:tabs>
          <w:tab w:val="right" w:pos="9628"/>
        </w:tabs>
        <w:rPr>
          <w:rFonts w:asciiTheme="minorHAnsi" w:eastAsiaTheme="minorEastAsia" w:hAnsiTheme="minorHAnsi"/>
          <w:noProof/>
          <w:sz w:val="22"/>
          <w:lang w:eastAsia="en-GB"/>
        </w:rPr>
      </w:pPr>
      <w:hyperlink w:anchor="_Toc111551930" w:history="1">
        <w:r w:rsidR="0079264A" w:rsidRPr="000C347F">
          <w:rPr>
            <w:rStyle w:val="Hyperlink"/>
            <w:noProof/>
          </w:rPr>
          <w:t>Tendering Instructions and Guidance</w:t>
        </w:r>
        <w:r w:rsidR="0079264A">
          <w:rPr>
            <w:noProof/>
            <w:webHidden/>
          </w:rPr>
          <w:tab/>
        </w:r>
        <w:r w:rsidR="0079264A">
          <w:rPr>
            <w:noProof/>
            <w:webHidden/>
          </w:rPr>
          <w:fldChar w:fldCharType="begin"/>
        </w:r>
        <w:r w:rsidR="0079264A">
          <w:rPr>
            <w:noProof/>
            <w:webHidden/>
          </w:rPr>
          <w:instrText xml:space="preserve"> PAGEREF _Toc111551930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6B48D324" w14:textId="2419B6E7" w:rsidR="00FC6860" w:rsidRDefault="00FC6860" w:rsidP="004E1570">
      <w:pPr>
        <w:sectPr w:rsidR="00FC6860" w:rsidSect="004E1570">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2849A270" w:rsidR="00A02455" w:rsidRDefault="00A02455" w:rsidP="00A02455">
      <w:r>
        <w:t xml:space="preserve">The purpose of this document is to invite proposals for </w:t>
      </w:r>
      <w:r w:rsidR="00FA6FCB" w:rsidRPr="004A1685">
        <w:t>Data maturity assessment</w:t>
      </w:r>
      <w:r w:rsidRPr="004A1685">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w:t>
      </w:r>
      <w:proofErr w:type="spellStart"/>
      <w:r>
        <w:t>ORR’s</w:t>
      </w:r>
      <w:proofErr w:type="spellEnd"/>
      <w:r>
        <w:t xml:space="preserve">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 xml:space="preserve">Enforce the law and ensure that the industry delivers continuous improvement in the health and safety of passengers, the workforce and public, by achieving excellence in health and safety culture, </w:t>
      </w:r>
      <w:proofErr w:type="gramStart"/>
      <w:r>
        <w:t>management</w:t>
      </w:r>
      <w:proofErr w:type="gramEnd"/>
      <w:r>
        <w:t xml:space="preserve">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3" w:history="1">
        <w:proofErr w:type="spellStart"/>
        <w:r w:rsidRPr="005F74FA">
          <w:rPr>
            <w:rStyle w:val="Hyperlink"/>
          </w:rPr>
          <w:t>www.orr.gov.uk</w:t>
        </w:r>
        <w:proofErr w:type="spellEnd"/>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661AE7B5" w14:textId="5271C333" w:rsidR="00FA6FCB" w:rsidRPr="004A1685" w:rsidRDefault="00274DE0" w:rsidP="003475FB">
      <w:pPr>
        <w:pStyle w:val="SingleNum"/>
        <w:numPr>
          <w:ilvl w:val="0"/>
          <w:numId w:val="0"/>
        </w:numPr>
        <w:spacing w:after="0"/>
        <w:ind w:left="567" w:hanging="567"/>
        <w:rPr>
          <w:rFonts w:cs="Arial"/>
          <w:szCs w:val="24"/>
        </w:rPr>
      </w:pPr>
      <w:bookmarkStart w:id="11" w:name="_Toc111551920"/>
      <w:r>
        <w:rPr>
          <w:rFonts w:cs="Arial"/>
          <w:szCs w:val="24"/>
        </w:rPr>
        <w:t xml:space="preserve">        </w:t>
      </w:r>
      <w:r w:rsidR="00507F98" w:rsidRPr="004A1685">
        <w:rPr>
          <w:rFonts w:cs="Arial"/>
          <w:szCs w:val="24"/>
        </w:rPr>
        <w:t>The Office of Rail and Road (ORR), which currently employs approximately 360 personnel</w:t>
      </w:r>
      <w:r w:rsidR="004A1685" w:rsidRPr="004A1685">
        <w:rPr>
          <w:rFonts w:cs="Arial"/>
          <w:szCs w:val="24"/>
        </w:rPr>
        <w:t xml:space="preserve"> </w:t>
      </w:r>
      <w:r w:rsidR="00507F98" w:rsidRPr="004A1685">
        <w:rPr>
          <w:rFonts w:cs="Arial"/>
          <w:szCs w:val="24"/>
        </w:rPr>
        <w:t xml:space="preserve">nationwide, </w:t>
      </w:r>
      <w:r w:rsidR="00FA6FCB" w:rsidRPr="004A1685">
        <w:rPr>
          <w:rFonts w:cs="Arial"/>
          <w:szCs w:val="24"/>
        </w:rPr>
        <w:t>is committed to continuously improving its use of data and evidence for monitoring and regulation of railways and highways.</w:t>
      </w:r>
    </w:p>
    <w:p w14:paraId="6E483376" w14:textId="77777777" w:rsidR="004A1685" w:rsidRPr="00B11770" w:rsidRDefault="004A1685" w:rsidP="004A1685">
      <w:pPr>
        <w:pStyle w:val="SingleNum"/>
        <w:numPr>
          <w:ilvl w:val="0"/>
          <w:numId w:val="0"/>
        </w:numPr>
        <w:spacing w:after="0"/>
        <w:ind w:left="567" w:hanging="567"/>
      </w:pPr>
    </w:p>
    <w:p w14:paraId="1B87A1CB" w14:textId="23452FAD" w:rsidR="009F73C9" w:rsidRPr="00B11770" w:rsidRDefault="00274DE0" w:rsidP="00170044">
      <w:pPr>
        <w:pStyle w:val="SingleNum"/>
        <w:numPr>
          <w:ilvl w:val="0"/>
          <w:numId w:val="0"/>
        </w:numPr>
        <w:ind w:left="567" w:hanging="567"/>
      </w:pPr>
      <w:r>
        <w:t xml:space="preserve">        </w:t>
      </w:r>
      <w:r w:rsidR="009F73C9">
        <w:t>ORR uses data from a number of different sources, including external providers (</w:t>
      </w:r>
      <w:proofErr w:type="gramStart"/>
      <w:r w:rsidR="009F73C9">
        <w:t>e.g.</w:t>
      </w:r>
      <w:proofErr w:type="gramEnd"/>
      <w:r w:rsidR="009F73C9">
        <w:t xml:space="preserve"> Network Rail and National Highways), </w:t>
      </w:r>
      <w:r w:rsidR="00C33276">
        <w:t xml:space="preserve">internal data (e.g. project updates, </w:t>
      </w:r>
      <w:r w:rsidR="009F73C9">
        <w:t>onsite safety inspections</w:t>
      </w:r>
      <w:r w:rsidR="00C33276">
        <w:t>)</w:t>
      </w:r>
      <w:r w:rsidR="009F73C9">
        <w:t>, as well as corporate data (employee and finance data). W</w:t>
      </w:r>
      <w:r w:rsidR="009F73C9" w:rsidRPr="006E6445">
        <w:t>e are</w:t>
      </w:r>
      <w:r w:rsidR="009F73C9">
        <w:t xml:space="preserve"> carrying out a number of data improvements and innovations </w:t>
      </w:r>
      <w:proofErr w:type="gramStart"/>
      <w:r w:rsidR="009F73C9">
        <w:t>e.g.</w:t>
      </w:r>
      <w:proofErr w:type="gramEnd"/>
      <w:r w:rsidR="009F73C9" w:rsidRPr="006E6445">
        <w:t xml:space="preserve"> mov</w:t>
      </w:r>
      <w:r w:rsidR="009F73C9">
        <w:t>ing</w:t>
      </w:r>
      <w:r w:rsidR="009F73C9" w:rsidRPr="006E6445">
        <w:t xml:space="preserve"> data storage from our current data warehouse to a new data lake</w:t>
      </w:r>
      <w:r w:rsidR="009F73C9">
        <w:t xml:space="preserve">, and increased automation of analysis and reporting. </w:t>
      </w:r>
    </w:p>
    <w:p w14:paraId="3137E844" w14:textId="0280D813" w:rsidR="00FA6FCB" w:rsidRDefault="00274DE0" w:rsidP="00274DE0">
      <w:pPr>
        <w:pStyle w:val="SingleNum"/>
        <w:numPr>
          <w:ilvl w:val="0"/>
          <w:numId w:val="0"/>
        </w:numPr>
        <w:ind w:left="567" w:hanging="567"/>
      </w:pPr>
      <w:r>
        <w:t xml:space="preserve">        </w:t>
      </w:r>
      <w:r w:rsidR="00FA6FCB">
        <w:t xml:space="preserve">To give impetus to this effort, ORR is currently developing its data strategy. As part of this initiative, ORR is keen to carry out a data maturity assessment to measure the current state of the organisation’s data ecosystem and identify areas for future growth. We envisage that this assessment will help provide deeper understanding of </w:t>
      </w:r>
      <w:proofErr w:type="spellStart"/>
      <w:r w:rsidR="00FA6FCB">
        <w:t>ORR’s</w:t>
      </w:r>
      <w:proofErr w:type="spellEnd"/>
      <w:r w:rsidR="00FA6FCB">
        <w:t xml:space="preserve"> data capabilities and allow us to target and prioritise future data activity. This assessment may also be used as a benchmark against which we assess progress through future assessments.</w:t>
      </w:r>
    </w:p>
    <w:p w14:paraId="3F7A3F6A" w14:textId="6C42326D" w:rsidR="00EB4177" w:rsidRDefault="00274DE0" w:rsidP="00170044">
      <w:pPr>
        <w:pStyle w:val="SingleNum"/>
        <w:numPr>
          <w:ilvl w:val="0"/>
          <w:numId w:val="0"/>
        </w:numPr>
        <w:ind w:left="567" w:hanging="567"/>
      </w:pPr>
      <w:r>
        <w:t xml:space="preserve">        </w:t>
      </w:r>
      <w:r w:rsidR="00EB4177">
        <w:t>We would like the supplier to use the ‘</w:t>
      </w:r>
      <w:hyperlink r:id="rId24">
        <w:r w:rsidR="00EB4177" w:rsidRPr="5D0C179B">
          <w:rPr>
            <w:rStyle w:val="Hyperlink"/>
            <w:rFonts w:cs="Arial"/>
            <w:sz w:val="22"/>
          </w:rPr>
          <w:t>Data Maturity Assessment for Government</w:t>
        </w:r>
      </w:hyperlink>
      <w:r w:rsidR="00EB4177">
        <w:t xml:space="preserve">’ framework for this exercise. </w:t>
      </w:r>
    </w:p>
    <w:p w14:paraId="72AF272F" w14:textId="79E4D4FE" w:rsidR="007C43C1" w:rsidRDefault="00F20E70" w:rsidP="00170044">
      <w:pPr>
        <w:pStyle w:val="Heading3"/>
      </w:pPr>
      <w:r>
        <w:t>2.2 Project Objectives and Scope</w:t>
      </w:r>
      <w:bookmarkEnd w:id="11"/>
    </w:p>
    <w:p w14:paraId="65B44830" w14:textId="640962F6" w:rsidR="00CF01A5" w:rsidRPr="00A608F6" w:rsidRDefault="00CF01A5" w:rsidP="00CF01A5">
      <w:pPr>
        <w:rPr>
          <w:rFonts w:cs="Arial"/>
          <w:szCs w:val="24"/>
        </w:rPr>
      </w:pPr>
      <w:bookmarkStart w:id="12" w:name="_Toc111551921"/>
      <w:r w:rsidRPr="00A608F6">
        <w:rPr>
          <w:rFonts w:cs="Arial"/>
          <w:szCs w:val="24"/>
        </w:rPr>
        <w:t xml:space="preserve">The </w:t>
      </w:r>
      <w:r w:rsidR="00170044">
        <w:rPr>
          <w:rFonts w:cs="Arial"/>
          <w:szCs w:val="24"/>
        </w:rPr>
        <w:t xml:space="preserve">appointed </w:t>
      </w:r>
      <w:r w:rsidRPr="00A608F6">
        <w:rPr>
          <w:rFonts w:cs="Arial"/>
          <w:szCs w:val="24"/>
        </w:rPr>
        <w:t>supplier</w:t>
      </w:r>
      <w:r w:rsidR="00170044">
        <w:rPr>
          <w:rFonts w:cs="Arial"/>
          <w:szCs w:val="24"/>
        </w:rPr>
        <w:t xml:space="preserve"> </w:t>
      </w:r>
      <w:r w:rsidRPr="00A608F6">
        <w:rPr>
          <w:rFonts w:cs="Arial"/>
          <w:szCs w:val="24"/>
        </w:rPr>
        <w:t xml:space="preserve">will measure </w:t>
      </w:r>
      <w:proofErr w:type="spellStart"/>
      <w:r w:rsidRPr="00A608F6">
        <w:rPr>
          <w:rFonts w:cs="Arial"/>
          <w:szCs w:val="24"/>
        </w:rPr>
        <w:t>ORR’s</w:t>
      </w:r>
      <w:proofErr w:type="spellEnd"/>
      <w:r w:rsidRPr="00A608F6">
        <w:rPr>
          <w:rFonts w:cs="Arial"/>
          <w:szCs w:val="24"/>
        </w:rPr>
        <w:t xml:space="preserve"> data maturity using the ‘</w:t>
      </w:r>
      <w:hyperlink r:id="rId25" w:history="1">
        <w:r w:rsidRPr="00A608F6">
          <w:rPr>
            <w:rStyle w:val="Hyperlink"/>
            <w:rFonts w:cs="Arial"/>
            <w:szCs w:val="24"/>
          </w:rPr>
          <w:t>Data Maturity Assessment for Government</w:t>
        </w:r>
      </w:hyperlink>
      <w:r w:rsidRPr="00A608F6">
        <w:rPr>
          <w:rFonts w:cs="Arial"/>
          <w:szCs w:val="24"/>
        </w:rPr>
        <w:t xml:space="preserve">’ framework provided by the Central Digital and Data Office (hereafter referred to as ‘DMA tool’). The tool is fit for purpose for government bodies and is free to use.  </w:t>
      </w:r>
    </w:p>
    <w:p w14:paraId="50423CB8" w14:textId="4A79E5C7" w:rsidR="00CF01A5" w:rsidRPr="00A608F6" w:rsidRDefault="00170044" w:rsidP="00CF01A5">
      <w:pPr>
        <w:rPr>
          <w:rFonts w:cs="Arial"/>
          <w:szCs w:val="24"/>
        </w:rPr>
      </w:pPr>
      <w:r>
        <w:rPr>
          <w:rFonts w:cs="Arial"/>
          <w:szCs w:val="24"/>
        </w:rPr>
        <w:t>They</w:t>
      </w:r>
      <w:r w:rsidR="00CF01A5" w:rsidRPr="00A608F6">
        <w:rPr>
          <w:rFonts w:cs="Arial"/>
          <w:szCs w:val="24"/>
        </w:rPr>
        <w:t xml:space="preserve"> will design and implement a methodology for collecting findings across directorates in ORR (e.g., one-to-one interviews, targeted surveys with selected internal stakeholders), record and analyse the findings and produce a data maturity score using the DMA tool. It will then propose a clear, prioritised proposal for those areas that ORR should focus on in building its data maturity, and insights on the steps to take to deliver improvements. </w:t>
      </w:r>
    </w:p>
    <w:p w14:paraId="18202C2C" w14:textId="77777777" w:rsidR="00CF01A5" w:rsidRPr="00A608F6" w:rsidRDefault="00CF01A5" w:rsidP="00CF01A5">
      <w:pPr>
        <w:rPr>
          <w:rFonts w:cs="Arial"/>
          <w:szCs w:val="24"/>
        </w:rPr>
      </w:pPr>
      <w:r w:rsidRPr="00A608F6">
        <w:rPr>
          <w:rFonts w:cs="Arial"/>
          <w:szCs w:val="24"/>
        </w:rPr>
        <w:lastRenderedPageBreak/>
        <w:t>The findings will be presented to the Data Strategy Team as a report and a presentation and would need to be spread across two main areas: a) existing strengths, and b) opportunities for further growth.</w:t>
      </w:r>
    </w:p>
    <w:p w14:paraId="254B58D8" w14:textId="09931803" w:rsidR="00CF01A5" w:rsidRPr="00A608F6" w:rsidRDefault="00CF01A5" w:rsidP="00CF01A5">
      <w:pPr>
        <w:rPr>
          <w:rFonts w:cs="Arial"/>
          <w:szCs w:val="24"/>
        </w:rPr>
      </w:pPr>
      <w:r w:rsidRPr="00A608F6">
        <w:rPr>
          <w:rFonts w:cs="Arial"/>
          <w:szCs w:val="24"/>
        </w:rPr>
        <w:t>The</w:t>
      </w:r>
      <w:r w:rsidR="00170044">
        <w:rPr>
          <w:rFonts w:cs="Arial"/>
          <w:szCs w:val="24"/>
        </w:rPr>
        <w:t xml:space="preserve">y </w:t>
      </w:r>
      <w:r w:rsidRPr="00A608F6">
        <w:rPr>
          <w:rFonts w:cs="Arial"/>
          <w:szCs w:val="24"/>
        </w:rPr>
        <w:t xml:space="preserve">will need to record their justification for decisions made as part of this exercise, which may be used for validation and quality assurance by ORR.  </w:t>
      </w:r>
    </w:p>
    <w:p w14:paraId="569C2D89" w14:textId="5EC7013E" w:rsidR="00CF01A5" w:rsidRPr="00A608F6" w:rsidRDefault="00CF01A5" w:rsidP="5D0C179B">
      <w:pPr>
        <w:rPr>
          <w:rFonts w:cs="Arial"/>
        </w:rPr>
      </w:pPr>
      <w:r w:rsidRPr="5D0C179B">
        <w:rPr>
          <w:rFonts w:cs="Arial"/>
        </w:rPr>
        <w:t xml:space="preserve">The </w:t>
      </w:r>
      <w:r w:rsidR="00170044">
        <w:rPr>
          <w:rFonts w:cs="Arial"/>
        </w:rPr>
        <w:t xml:space="preserve">supplier </w:t>
      </w:r>
      <w:r w:rsidRPr="5D0C179B">
        <w:rPr>
          <w:rFonts w:cs="Arial"/>
        </w:rPr>
        <w:t>is not expected to develop the data strategy for ORR. The</w:t>
      </w:r>
      <w:r w:rsidR="004A1685">
        <w:rPr>
          <w:rFonts w:cs="Arial"/>
        </w:rPr>
        <w:t>ir</w:t>
      </w:r>
      <w:r w:rsidRPr="5D0C179B">
        <w:rPr>
          <w:rFonts w:cs="Arial"/>
        </w:rPr>
        <w:t xml:space="preserve"> role will be limited to conducting a data maturity assessment and presenting the findings to the Data Strategy Team and relevant stakeholders in ORR. The</w:t>
      </w:r>
      <w:r w:rsidR="004A1685">
        <w:rPr>
          <w:rFonts w:cs="Arial"/>
        </w:rPr>
        <w:t xml:space="preserve">y </w:t>
      </w:r>
      <w:r w:rsidRPr="5D0C179B">
        <w:rPr>
          <w:rFonts w:cs="Arial"/>
        </w:rPr>
        <w:t>will be expected to work closely with the Data Strategy Team in conducting this exercise. The Data Strategy Team will advise on those internal stakeholders to be involved in the exercise</w:t>
      </w:r>
      <w:r w:rsidR="009F73C9" w:rsidRPr="5D0C179B">
        <w:rPr>
          <w:rFonts w:cs="Arial"/>
        </w:rPr>
        <w:t xml:space="preserve"> (</w:t>
      </w:r>
      <w:r w:rsidR="003439DA" w:rsidRPr="5D0C179B">
        <w:rPr>
          <w:rFonts w:cs="Arial"/>
        </w:rPr>
        <w:t xml:space="preserve">for one-to-one interviews </w:t>
      </w:r>
      <w:r w:rsidR="009F73C9" w:rsidRPr="5D0C179B">
        <w:rPr>
          <w:rFonts w:cs="Arial"/>
        </w:rPr>
        <w:t>approximately 2</w:t>
      </w:r>
      <w:r w:rsidR="005F1049" w:rsidRPr="5D0C179B">
        <w:rPr>
          <w:rFonts w:cs="Arial"/>
        </w:rPr>
        <w:t>0</w:t>
      </w:r>
      <w:r w:rsidR="009F73C9" w:rsidRPr="5D0C179B">
        <w:rPr>
          <w:rFonts w:cs="Arial"/>
        </w:rPr>
        <w:t xml:space="preserve"> to </w:t>
      </w:r>
      <w:r w:rsidR="005A7980">
        <w:rPr>
          <w:rFonts w:cs="Arial"/>
        </w:rPr>
        <w:t>30</w:t>
      </w:r>
      <w:r w:rsidR="009F73C9" w:rsidRPr="5D0C179B">
        <w:rPr>
          <w:rFonts w:cs="Arial"/>
        </w:rPr>
        <w:t xml:space="preserve"> staff members </w:t>
      </w:r>
      <w:r w:rsidR="003439DA" w:rsidRPr="5D0C179B">
        <w:rPr>
          <w:rFonts w:cs="Arial"/>
        </w:rPr>
        <w:t>to</w:t>
      </w:r>
      <w:r w:rsidR="009F73C9" w:rsidRPr="5D0C179B">
        <w:rPr>
          <w:rFonts w:cs="Arial"/>
        </w:rPr>
        <w:t xml:space="preserve"> be selected from across different directorates in the organisation</w:t>
      </w:r>
      <w:r w:rsidR="003439DA" w:rsidRPr="5D0C179B">
        <w:rPr>
          <w:rFonts w:cs="Arial"/>
        </w:rPr>
        <w:t xml:space="preserve">; staff numbers for any </w:t>
      </w:r>
      <w:r w:rsidR="005F1049" w:rsidRPr="5D0C179B">
        <w:rPr>
          <w:rFonts w:cs="Arial"/>
        </w:rPr>
        <w:t xml:space="preserve">workshops or </w:t>
      </w:r>
      <w:r w:rsidR="003439DA" w:rsidRPr="5D0C179B">
        <w:rPr>
          <w:rFonts w:cs="Arial"/>
        </w:rPr>
        <w:t>survey</w:t>
      </w:r>
      <w:r w:rsidR="005F1049" w:rsidRPr="5D0C179B">
        <w:rPr>
          <w:rFonts w:cs="Arial"/>
        </w:rPr>
        <w:t>s</w:t>
      </w:r>
      <w:r w:rsidR="003439DA" w:rsidRPr="5D0C179B">
        <w:rPr>
          <w:rFonts w:cs="Arial"/>
        </w:rPr>
        <w:t xml:space="preserve"> if needed may vary according to the purpose of the</w:t>
      </w:r>
      <w:r w:rsidR="005F1049" w:rsidRPr="5D0C179B">
        <w:rPr>
          <w:rFonts w:cs="Arial"/>
        </w:rPr>
        <w:t xml:space="preserve"> exercise</w:t>
      </w:r>
      <w:r w:rsidR="009F73C9" w:rsidRPr="5D0C179B">
        <w:rPr>
          <w:rFonts w:cs="Arial"/>
        </w:rPr>
        <w:t>).</w:t>
      </w:r>
    </w:p>
    <w:p w14:paraId="408BBD28" w14:textId="24920B5E" w:rsidR="00CF01A5" w:rsidRDefault="00CF01A5" w:rsidP="00CF01A5">
      <w:pPr>
        <w:rPr>
          <w:rFonts w:cs="Arial"/>
          <w:color w:val="000000"/>
          <w:sz w:val="22"/>
          <w:lang w:eastAsia="en-GB"/>
        </w:rPr>
      </w:pPr>
      <w:r w:rsidRPr="00A608F6">
        <w:rPr>
          <w:rFonts w:cs="Arial"/>
          <w:color w:val="000000"/>
          <w:szCs w:val="24"/>
          <w:lang w:eastAsia="en-GB"/>
        </w:rPr>
        <w:t xml:space="preserve">The Data Strategy team is </w:t>
      </w:r>
      <w:r w:rsidR="009F73C9" w:rsidRPr="00A608F6">
        <w:rPr>
          <w:rFonts w:cs="Arial"/>
          <w:color w:val="000000"/>
          <w:szCs w:val="24"/>
          <w:lang w:eastAsia="en-GB"/>
        </w:rPr>
        <w:t xml:space="preserve">also </w:t>
      </w:r>
      <w:r w:rsidRPr="00A608F6">
        <w:rPr>
          <w:rFonts w:cs="Arial"/>
          <w:color w:val="000000"/>
          <w:szCs w:val="24"/>
          <w:lang w:eastAsia="en-GB"/>
        </w:rPr>
        <w:t>carrying out other staff engagement exercises as part of developing the data strategy, including a staff survey and staff engagement workshops, and will be able to share insights from these exercises</w:t>
      </w:r>
      <w:r w:rsidR="004A1685">
        <w:rPr>
          <w:rFonts w:cs="Arial"/>
          <w:color w:val="000000"/>
          <w:szCs w:val="24"/>
          <w:lang w:eastAsia="en-GB"/>
        </w:rPr>
        <w:t>.</w:t>
      </w:r>
    </w:p>
    <w:p w14:paraId="69A75C90" w14:textId="6BF145A8" w:rsidR="003F3CB0" w:rsidRDefault="003F3CB0" w:rsidP="00CF01A5">
      <w:pPr>
        <w:pStyle w:val="Heading3"/>
      </w:pPr>
      <w:r w:rsidRPr="003F3CB0">
        <w:t>2.3 Project Outputs, Deliverables and Contract Management</w:t>
      </w:r>
      <w:bookmarkEnd w:id="12"/>
    </w:p>
    <w:p w14:paraId="480D8983" w14:textId="77777777" w:rsidR="00DB02EF" w:rsidRDefault="00DB02EF" w:rsidP="00DB02EF">
      <w:pPr>
        <w:pStyle w:val="Heading4"/>
      </w:pPr>
      <w:r>
        <w:t>Outputs and Deliverables</w:t>
      </w:r>
    </w:p>
    <w:p w14:paraId="4F1692CA" w14:textId="77777777" w:rsidR="007249D0" w:rsidRPr="003D7EFE" w:rsidRDefault="007249D0" w:rsidP="007249D0">
      <w:pPr>
        <w:pStyle w:val="ListParagraph"/>
        <w:numPr>
          <w:ilvl w:val="0"/>
          <w:numId w:val="34"/>
        </w:numPr>
        <w:spacing w:after="160" w:line="259" w:lineRule="auto"/>
        <w:rPr>
          <w:rFonts w:cs="Arial"/>
          <w:szCs w:val="24"/>
        </w:rPr>
      </w:pPr>
      <w:r w:rsidRPr="003D7EFE">
        <w:rPr>
          <w:rFonts w:cs="Arial"/>
          <w:szCs w:val="24"/>
        </w:rPr>
        <w:t xml:space="preserve">Implementation plan for conducting data maturity assessment using DMA </w:t>
      </w:r>
      <w:proofErr w:type="gramStart"/>
      <w:r w:rsidRPr="003D7EFE">
        <w:rPr>
          <w:rFonts w:cs="Arial"/>
          <w:szCs w:val="24"/>
        </w:rPr>
        <w:t>tool</w:t>
      </w:r>
      <w:proofErr w:type="gramEnd"/>
    </w:p>
    <w:p w14:paraId="300A4073" w14:textId="77777777" w:rsidR="007249D0" w:rsidRPr="003D7EFE" w:rsidRDefault="007249D0" w:rsidP="007249D0">
      <w:pPr>
        <w:pStyle w:val="ListParagraph"/>
        <w:numPr>
          <w:ilvl w:val="0"/>
          <w:numId w:val="34"/>
        </w:numPr>
        <w:spacing w:after="160" w:line="259" w:lineRule="auto"/>
        <w:rPr>
          <w:rFonts w:cs="Arial"/>
          <w:szCs w:val="24"/>
        </w:rPr>
      </w:pPr>
      <w:r w:rsidRPr="003D7EFE">
        <w:rPr>
          <w:rFonts w:cs="Arial"/>
          <w:szCs w:val="24"/>
        </w:rPr>
        <w:t xml:space="preserve">Methodology design for conducting data maturity </w:t>
      </w:r>
      <w:proofErr w:type="gramStart"/>
      <w:r w:rsidRPr="003D7EFE">
        <w:rPr>
          <w:rFonts w:cs="Arial"/>
          <w:szCs w:val="24"/>
        </w:rPr>
        <w:t>assessment</w:t>
      </w:r>
      <w:proofErr w:type="gramEnd"/>
      <w:r w:rsidRPr="003D7EFE">
        <w:rPr>
          <w:rFonts w:cs="Arial"/>
          <w:szCs w:val="24"/>
        </w:rPr>
        <w:t xml:space="preserve"> </w:t>
      </w:r>
    </w:p>
    <w:p w14:paraId="1457594A" w14:textId="77777777" w:rsidR="007249D0" w:rsidRPr="003D7EFE" w:rsidRDefault="007249D0" w:rsidP="007249D0">
      <w:pPr>
        <w:pStyle w:val="ListParagraph"/>
        <w:numPr>
          <w:ilvl w:val="0"/>
          <w:numId w:val="34"/>
        </w:numPr>
        <w:spacing w:after="160" w:line="259" w:lineRule="auto"/>
        <w:rPr>
          <w:rFonts w:cs="Arial"/>
          <w:szCs w:val="24"/>
        </w:rPr>
      </w:pPr>
      <w:r w:rsidRPr="003D7EFE">
        <w:rPr>
          <w:rFonts w:cs="Arial"/>
          <w:szCs w:val="24"/>
        </w:rPr>
        <w:t xml:space="preserve">Conducting data maturity assessment </w:t>
      </w:r>
    </w:p>
    <w:p w14:paraId="760939BB" w14:textId="77777777" w:rsidR="007249D0" w:rsidRPr="003D7EFE" w:rsidRDefault="007249D0" w:rsidP="003D7EFE">
      <w:pPr>
        <w:pStyle w:val="ListParagraph"/>
        <w:numPr>
          <w:ilvl w:val="0"/>
          <w:numId w:val="34"/>
        </w:numPr>
        <w:spacing w:after="160" w:line="259" w:lineRule="auto"/>
        <w:ind w:left="714" w:hanging="357"/>
        <w:rPr>
          <w:rFonts w:cs="Arial"/>
          <w:szCs w:val="24"/>
        </w:rPr>
      </w:pPr>
      <w:r w:rsidRPr="003D7EFE">
        <w:rPr>
          <w:rFonts w:cs="Arial"/>
          <w:szCs w:val="24"/>
        </w:rPr>
        <w:t xml:space="preserve">Recording and calculating data maturity results using the </w:t>
      </w:r>
      <w:hyperlink r:id="rId26" w:history="1">
        <w:r w:rsidRPr="003D7EFE">
          <w:rPr>
            <w:rStyle w:val="Hyperlink"/>
            <w:rFonts w:cs="Arial"/>
            <w:szCs w:val="24"/>
          </w:rPr>
          <w:t>spreadsheet provided as part of the DMA tool</w:t>
        </w:r>
      </w:hyperlink>
    </w:p>
    <w:p w14:paraId="3955AC57" w14:textId="77777777" w:rsidR="00F658B6" w:rsidRPr="003D7EFE" w:rsidRDefault="00F658B6" w:rsidP="003D7EFE">
      <w:pPr>
        <w:pStyle w:val="ListParagraph"/>
        <w:numPr>
          <w:ilvl w:val="0"/>
          <w:numId w:val="34"/>
        </w:numPr>
        <w:spacing w:after="160" w:line="259" w:lineRule="auto"/>
        <w:rPr>
          <w:rFonts w:cs="Arial"/>
          <w:szCs w:val="24"/>
        </w:rPr>
      </w:pPr>
      <w:r w:rsidRPr="003D7EFE">
        <w:rPr>
          <w:rFonts w:cs="Arial"/>
          <w:szCs w:val="24"/>
        </w:rPr>
        <w:t>Interim presentation of emerging findings</w:t>
      </w:r>
    </w:p>
    <w:p w14:paraId="26C14D63" w14:textId="62563CBF" w:rsidR="00F658B6" w:rsidRPr="003D7EFE" w:rsidRDefault="00F658B6" w:rsidP="003D7EFE">
      <w:pPr>
        <w:pStyle w:val="ListParagraph"/>
        <w:numPr>
          <w:ilvl w:val="0"/>
          <w:numId w:val="34"/>
        </w:numPr>
        <w:spacing w:after="160" w:line="259" w:lineRule="auto"/>
        <w:rPr>
          <w:rFonts w:cs="Arial"/>
          <w:szCs w:val="24"/>
        </w:rPr>
      </w:pPr>
      <w:r w:rsidRPr="003D7EFE">
        <w:rPr>
          <w:rFonts w:cs="Arial"/>
          <w:szCs w:val="24"/>
        </w:rPr>
        <w:t xml:space="preserve">Draft report for comment which details the findings, conclusions and recommendations on areas of future </w:t>
      </w:r>
      <w:proofErr w:type="gramStart"/>
      <w:r w:rsidRPr="003D7EFE">
        <w:rPr>
          <w:rFonts w:cs="Arial"/>
          <w:szCs w:val="24"/>
        </w:rPr>
        <w:t>potential</w:t>
      </w:r>
      <w:proofErr w:type="gramEnd"/>
      <w:r w:rsidRPr="003D7EFE">
        <w:rPr>
          <w:rFonts w:cs="Arial"/>
          <w:szCs w:val="24"/>
        </w:rPr>
        <w:t xml:space="preserve">  </w:t>
      </w:r>
    </w:p>
    <w:p w14:paraId="60C2A940" w14:textId="77777777" w:rsidR="00F658B6" w:rsidRPr="003D7EFE" w:rsidRDefault="00F658B6" w:rsidP="003D7EFE">
      <w:pPr>
        <w:pStyle w:val="ListParagraph"/>
        <w:numPr>
          <w:ilvl w:val="0"/>
          <w:numId w:val="34"/>
        </w:numPr>
        <w:spacing w:after="160" w:line="259" w:lineRule="auto"/>
        <w:rPr>
          <w:rFonts w:cs="Arial"/>
          <w:szCs w:val="24"/>
        </w:rPr>
      </w:pPr>
      <w:r w:rsidRPr="003D7EFE">
        <w:rPr>
          <w:rFonts w:cs="Arial"/>
          <w:szCs w:val="24"/>
        </w:rPr>
        <w:t>Final report which incorporates the amendments from the ORR</w:t>
      </w:r>
    </w:p>
    <w:p w14:paraId="26E3F7BC" w14:textId="77777777" w:rsidR="00F658B6" w:rsidRPr="003D7EFE" w:rsidRDefault="00F658B6" w:rsidP="003D7EFE">
      <w:pPr>
        <w:pStyle w:val="ListParagraph"/>
        <w:numPr>
          <w:ilvl w:val="0"/>
          <w:numId w:val="34"/>
        </w:numPr>
        <w:spacing w:after="160" w:line="259" w:lineRule="auto"/>
        <w:rPr>
          <w:szCs w:val="24"/>
        </w:rPr>
      </w:pPr>
      <w:r w:rsidRPr="003D7EFE">
        <w:rPr>
          <w:rFonts w:cs="Arial"/>
          <w:szCs w:val="24"/>
        </w:rPr>
        <w:t>A presentation of</w:t>
      </w:r>
      <w:r w:rsidRPr="003D7EFE">
        <w:rPr>
          <w:szCs w:val="24"/>
        </w:rPr>
        <w:t xml:space="preserve"> the findings and recommendations to the ORR</w:t>
      </w:r>
    </w:p>
    <w:p w14:paraId="6A6773E1" w14:textId="77777777" w:rsidR="00170044" w:rsidRDefault="00170044" w:rsidP="00DB02EF">
      <w:pPr>
        <w:pStyle w:val="Heading4"/>
      </w:pPr>
    </w:p>
    <w:p w14:paraId="30DFB785" w14:textId="4E9FFADB" w:rsidR="00DB02EF" w:rsidRDefault="00DB02EF" w:rsidP="00DB02EF">
      <w:pPr>
        <w:pStyle w:val="Heading4"/>
      </w:pPr>
      <w:r>
        <w:t>Contract Management Requirements</w:t>
      </w:r>
    </w:p>
    <w:p w14:paraId="40B4F1CD" w14:textId="77777777" w:rsidR="00F658B6" w:rsidRPr="003D7EFE" w:rsidRDefault="00F658B6" w:rsidP="00F658B6">
      <w:pPr>
        <w:pStyle w:val="ListParagraph"/>
        <w:numPr>
          <w:ilvl w:val="0"/>
          <w:numId w:val="34"/>
        </w:numPr>
        <w:rPr>
          <w:rFonts w:cs="Arial"/>
          <w:szCs w:val="24"/>
        </w:rPr>
      </w:pPr>
      <w:r w:rsidRPr="003D7EFE">
        <w:rPr>
          <w:rFonts w:cs="Arial"/>
          <w:szCs w:val="24"/>
        </w:rPr>
        <w:t xml:space="preserve">Bidders must show evidence of completing data maturity assessments or other data improvement initiatives, either in government or in the private sector (using a similar framework/tool for data maturity assessments or similar projects). </w:t>
      </w:r>
    </w:p>
    <w:p w14:paraId="78AD283A" w14:textId="3B77637B" w:rsidR="00F658B6" w:rsidRPr="003D7EFE" w:rsidRDefault="00F658B6" w:rsidP="00F658B6">
      <w:pPr>
        <w:pStyle w:val="ListParagraph"/>
        <w:numPr>
          <w:ilvl w:val="0"/>
          <w:numId w:val="34"/>
        </w:numPr>
        <w:rPr>
          <w:rFonts w:cs="Arial"/>
          <w:szCs w:val="24"/>
        </w:rPr>
      </w:pPr>
      <w:r w:rsidRPr="003D7EFE">
        <w:rPr>
          <w:rFonts w:cs="Arial"/>
          <w:szCs w:val="24"/>
        </w:rPr>
        <w:lastRenderedPageBreak/>
        <w:t xml:space="preserve">The inception meeting, presentations of interim findings and the final presentation may be held at an agreed ORR office or via MS Teams. </w:t>
      </w:r>
    </w:p>
    <w:p w14:paraId="64D1E3D0" w14:textId="4381DC1F" w:rsidR="00F658B6" w:rsidRPr="003D7EFE" w:rsidRDefault="21B8E4AE" w:rsidP="5D0C179B">
      <w:pPr>
        <w:pStyle w:val="ListParagraph"/>
        <w:numPr>
          <w:ilvl w:val="0"/>
          <w:numId w:val="34"/>
        </w:numPr>
        <w:spacing w:after="160" w:line="259" w:lineRule="auto"/>
        <w:rPr>
          <w:rFonts w:cs="Arial"/>
        </w:rPr>
      </w:pPr>
      <w:r w:rsidRPr="5D0C179B">
        <w:rPr>
          <w:rFonts w:cs="Arial"/>
        </w:rPr>
        <w:t xml:space="preserve">The project will be managed through </w:t>
      </w:r>
      <w:r w:rsidR="105A0E5F" w:rsidRPr="5D0C179B">
        <w:rPr>
          <w:rFonts w:cs="Arial"/>
        </w:rPr>
        <w:t>b</w:t>
      </w:r>
      <w:r w:rsidR="00F658B6" w:rsidRPr="5D0C179B">
        <w:rPr>
          <w:rFonts w:cs="Arial"/>
        </w:rPr>
        <w:t>i-weekly progress meetings</w:t>
      </w:r>
      <w:r w:rsidR="23099F69" w:rsidRPr="5D0C179B">
        <w:rPr>
          <w:rFonts w:cs="Arial"/>
        </w:rPr>
        <w:t xml:space="preserve"> </w:t>
      </w:r>
      <w:r w:rsidR="00F658B6" w:rsidRPr="5D0C179B">
        <w:rPr>
          <w:rFonts w:cs="Arial"/>
        </w:rPr>
        <w:t>with the Data Strategy Team</w:t>
      </w:r>
    </w:p>
    <w:p w14:paraId="0FE5A8EC" w14:textId="6CB47319" w:rsidR="00F658B6" w:rsidRPr="003D7EFE" w:rsidRDefault="00F658B6" w:rsidP="00F658B6">
      <w:pPr>
        <w:pStyle w:val="ListParagraph"/>
        <w:numPr>
          <w:ilvl w:val="0"/>
          <w:numId w:val="34"/>
        </w:numPr>
        <w:spacing w:after="160" w:line="259" w:lineRule="auto"/>
        <w:rPr>
          <w:rFonts w:cs="Arial"/>
          <w:szCs w:val="24"/>
        </w:rPr>
      </w:pPr>
      <w:r w:rsidRPr="003D7EFE">
        <w:rPr>
          <w:rFonts w:cs="Arial"/>
          <w:szCs w:val="24"/>
        </w:rPr>
        <w:t xml:space="preserve">Bidders should provide a brief emailed progress report two days in advance of each meeting.   </w:t>
      </w:r>
    </w:p>
    <w:p w14:paraId="798D650B" w14:textId="77777777" w:rsidR="00F658B6" w:rsidRPr="00574B16" w:rsidRDefault="00F658B6" w:rsidP="008475B8">
      <w:pPr>
        <w:rPr>
          <w:b/>
          <w:bCs/>
          <w:color w:val="B1173B"/>
        </w:rPr>
      </w:pPr>
    </w:p>
    <w:p w14:paraId="75F8969E" w14:textId="18013AB0" w:rsidR="00D6160E" w:rsidRDefault="00AF7AF9" w:rsidP="00AF7AF9">
      <w:pPr>
        <w:pStyle w:val="Heading3"/>
      </w:pPr>
      <w:bookmarkStart w:id="13" w:name="_Toc111551922"/>
      <w:r>
        <w:t>2.4 Project Timescales</w:t>
      </w:r>
      <w:bookmarkEnd w:id="13"/>
    </w:p>
    <w:p w14:paraId="4888319E" w14:textId="77777777" w:rsidR="00ED26D0" w:rsidRPr="00772A20" w:rsidRDefault="00ED26D0" w:rsidP="00ED26D0">
      <w:pPr>
        <w:autoSpaceDE w:val="0"/>
        <w:autoSpaceDN w:val="0"/>
        <w:adjustRightInd w:val="0"/>
        <w:rPr>
          <w:rFonts w:cs="Arial"/>
          <w:color w:val="000000"/>
          <w:szCs w:val="24"/>
          <w:lang w:eastAsia="en-GB"/>
        </w:rPr>
      </w:pPr>
      <w:bookmarkStart w:id="14" w:name="_Hlk115869072"/>
      <w:bookmarkStart w:id="15" w:name="_Toc111551923"/>
      <w:r w:rsidRPr="00772A20">
        <w:rPr>
          <w:rFonts w:cs="Arial"/>
          <w:color w:val="000000"/>
          <w:szCs w:val="24"/>
          <w:lang w:eastAsia="en-GB"/>
        </w:rPr>
        <w:t>The provisional project timetable is as follows:</w:t>
      </w:r>
    </w:p>
    <w:p w14:paraId="2BE44CD2" w14:textId="6ADC555E" w:rsidR="00ED26D0" w:rsidRPr="00772A20" w:rsidRDefault="00ED26D0" w:rsidP="00ED26D0">
      <w:pPr>
        <w:numPr>
          <w:ilvl w:val="0"/>
          <w:numId w:val="35"/>
        </w:numPr>
        <w:autoSpaceDE w:val="0"/>
        <w:autoSpaceDN w:val="0"/>
        <w:adjustRightInd w:val="0"/>
        <w:spacing w:after="0" w:line="240" w:lineRule="auto"/>
        <w:rPr>
          <w:rFonts w:cs="Arial"/>
          <w:i/>
          <w:iCs/>
          <w:szCs w:val="24"/>
          <w:lang w:eastAsia="en-GB"/>
        </w:rPr>
      </w:pPr>
      <w:r w:rsidRPr="00772A20">
        <w:rPr>
          <w:rFonts w:cs="Arial"/>
          <w:szCs w:val="24"/>
          <w:lang w:eastAsia="en-GB"/>
        </w:rPr>
        <w:t>Start-up meeting</w:t>
      </w:r>
      <w:r w:rsidR="004A1685">
        <w:rPr>
          <w:rFonts w:cs="Arial"/>
          <w:szCs w:val="24"/>
          <w:lang w:eastAsia="en-GB"/>
        </w:rPr>
        <w:t xml:space="preserve"> -</w:t>
      </w:r>
      <w:r w:rsidRPr="00772A20">
        <w:rPr>
          <w:rFonts w:cs="Arial"/>
          <w:szCs w:val="24"/>
          <w:lang w:eastAsia="en-GB"/>
        </w:rPr>
        <w:t xml:space="preserve"> </w:t>
      </w:r>
      <w:r w:rsidR="00645391" w:rsidRPr="00772A20">
        <w:rPr>
          <w:rFonts w:cs="Arial"/>
          <w:szCs w:val="24"/>
          <w:lang w:eastAsia="en-GB"/>
        </w:rPr>
        <w:t>5</w:t>
      </w:r>
      <w:r w:rsidRPr="00772A20">
        <w:rPr>
          <w:rFonts w:cs="Arial"/>
          <w:szCs w:val="24"/>
          <w:lang w:eastAsia="en-GB"/>
        </w:rPr>
        <w:t xml:space="preserve"> July 2023</w:t>
      </w:r>
    </w:p>
    <w:p w14:paraId="7063E6A2" w14:textId="7E6F7409" w:rsidR="00ED26D0" w:rsidRPr="004A1685" w:rsidRDefault="004A1685" w:rsidP="004A1685">
      <w:pPr>
        <w:numPr>
          <w:ilvl w:val="0"/>
          <w:numId w:val="35"/>
        </w:numPr>
        <w:autoSpaceDE w:val="0"/>
        <w:autoSpaceDN w:val="0"/>
        <w:adjustRightInd w:val="0"/>
        <w:spacing w:after="0" w:line="240" w:lineRule="auto"/>
        <w:rPr>
          <w:rFonts w:cs="Arial"/>
          <w:color w:val="000000"/>
          <w:szCs w:val="24"/>
          <w:lang w:eastAsia="en-GB"/>
        </w:rPr>
      </w:pPr>
      <w:r>
        <w:rPr>
          <w:rFonts w:cs="Arial"/>
          <w:color w:val="000000"/>
          <w:szCs w:val="24"/>
          <w:lang w:eastAsia="en-GB"/>
        </w:rPr>
        <w:t>B</w:t>
      </w:r>
      <w:r w:rsidR="00ED26D0" w:rsidRPr="00772A20">
        <w:rPr>
          <w:rFonts w:cs="Arial"/>
          <w:color w:val="000000"/>
          <w:szCs w:val="24"/>
          <w:lang w:eastAsia="en-GB"/>
        </w:rPr>
        <w:t xml:space="preserve">i-weekly update on progress and any issues </w:t>
      </w:r>
      <w:r>
        <w:rPr>
          <w:rFonts w:cs="Arial"/>
          <w:color w:val="000000"/>
          <w:szCs w:val="24"/>
          <w:lang w:eastAsia="en-GB"/>
        </w:rPr>
        <w:t xml:space="preserve">- </w:t>
      </w:r>
      <w:r w:rsidR="00ED26D0" w:rsidRPr="004A1685">
        <w:rPr>
          <w:rFonts w:cs="Arial"/>
          <w:color w:val="000000"/>
          <w:szCs w:val="24"/>
          <w:lang w:eastAsia="en-GB"/>
        </w:rPr>
        <w:t>10 July 2023</w:t>
      </w:r>
    </w:p>
    <w:p w14:paraId="4393C698" w14:textId="1EA2E679" w:rsidR="00ED26D0" w:rsidRPr="00772A20" w:rsidRDefault="00ED26D0" w:rsidP="00ED26D0">
      <w:pPr>
        <w:numPr>
          <w:ilvl w:val="0"/>
          <w:numId w:val="35"/>
        </w:numPr>
        <w:autoSpaceDE w:val="0"/>
        <w:autoSpaceDN w:val="0"/>
        <w:adjustRightInd w:val="0"/>
        <w:spacing w:after="0" w:line="240" w:lineRule="auto"/>
        <w:rPr>
          <w:rFonts w:cs="Arial"/>
          <w:i/>
          <w:iCs/>
          <w:szCs w:val="24"/>
          <w:lang w:eastAsia="en-GB"/>
        </w:rPr>
      </w:pPr>
      <w:r w:rsidRPr="00772A20">
        <w:rPr>
          <w:rFonts w:cs="Arial"/>
          <w:szCs w:val="24"/>
          <w:lang w:eastAsia="en-GB"/>
        </w:rPr>
        <w:t xml:space="preserve">Developed implementation plan for data maturity assessment </w:t>
      </w:r>
      <w:r w:rsidR="004A1685">
        <w:rPr>
          <w:rFonts w:cs="Arial"/>
          <w:szCs w:val="24"/>
          <w:lang w:eastAsia="en-GB"/>
        </w:rPr>
        <w:t xml:space="preserve">- </w:t>
      </w:r>
      <w:r w:rsidRPr="00772A20">
        <w:rPr>
          <w:rFonts w:cs="Arial"/>
          <w:szCs w:val="24"/>
          <w:lang w:eastAsia="en-GB"/>
        </w:rPr>
        <w:t>17 July 2023</w:t>
      </w:r>
    </w:p>
    <w:p w14:paraId="173684DF" w14:textId="3276FA72" w:rsidR="00ED26D0" w:rsidRPr="00772A20" w:rsidRDefault="00ED26D0" w:rsidP="00ED26D0">
      <w:pPr>
        <w:numPr>
          <w:ilvl w:val="0"/>
          <w:numId w:val="35"/>
        </w:numPr>
        <w:autoSpaceDE w:val="0"/>
        <w:autoSpaceDN w:val="0"/>
        <w:adjustRightInd w:val="0"/>
        <w:spacing w:after="0" w:line="240" w:lineRule="auto"/>
        <w:rPr>
          <w:rFonts w:cs="Arial"/>
          <w:i/>
          <w:iCs/>
          <w:szCs w:val="24"/>
          <w:lang w:eastAsia="en-GB"/>
        </w:rPr>
      </w:pPr>
      <w:r w:rsidRPr="00772A20">
        <w:rPr>
          <w:rFonts w:cs="Arial"/>
          <w:szCs w:val="24"/>
          <w:lang w:eastAsia="en-GB"/>
        </w:rPr>
        <w:t>Developed methodology design – 21 July 2023</w:t>
      </w:r>
    </w:p>
    <w:p w14:paraId="219415B6" w14:textId="1067335E" w:rsidR="00ED26D0" w:rsidRPr="00772A20" w:rsidRDefault="00ED26D0" w:rsidP="00ED26D0">
      <w:pPr>
        <w:numPr>
          <w:ilvl w:val="0"/>
          <w:numId w:val="35"/>
        </w:numPr>
        <w:autoSpaceDE w:val="0"/>
        <w:autoSpaceDN w:val="0"/>
        <w:adjustRightInd w:val="0"/>
        <w:spacing w:after="0" w:line="240" w:lineRule="auto"/>
        <w:rPr>
          <w:rFonts w:cs="Arial"/>
          <w:i/>
          <w:iCs/>
          <w:szCs w:val="24"/>
          <w:lang w:eastAsia="en-GB"/>
        </w:rPr>
      </w:pPr>
      <w:r w:rsidRPr="00772A20">
        <w:rPr>
          <w:rFonts w:cs="Arial"/>
          <w:szCs w:val="24"/>
          <w:lang w:eastAsia="en-GB"/>
        </w:rPr>
        <w:t>Collecting data maturity findings – middle of August 2023</w:t>
      </w:r>
    </w:p>
    <w:p w14:paraId="4911B185" w14:textId="1972BB56" w:rsidR="00ED26D0" w:rsidRPr="00772A20" w:rsidRDefault="00ED26D0" w:rsidP="00ED26D0">
      <w:pPr>
        <w:numPr>
          <w:ilvl w:val="0"/>
          <w:numId w:val="35"/>
        </w:numPr>
        <w:autoSpaceDE w:val="0"/>
        <w:autoSpaceDN w:val="0"/>
        <w:adjustRightInd w:val="0"/>
        <w:spacing w:after="0" w:line="240" w:lineRule="auto"/>
        <w:rPr>
          <w:rFonts w:cs="Arial"/>
          <w:color w:val="000000"/>
          <w:szCs w:val="24"/>
          <w:lang w:eastAsia="en-GB"/>
        </w:rPr>
      </w:pPr>
      <w:r w:rsidRPr="00772A20">
        <w:rPr>
          <w:rFonts w:cs="Arial"/>
          <w:color w:val="000000"/>
          <w:szCs w:val="24"/>
          <w:lang w:eastAsia="en-GB"/>
        </w:rPr>
        <w:t>Presentation of interim findings – end of August 2023</w:t>
      </w:r>
    </w:p>
    <w:p w14:paraId="46D42351" w14:textId="3CF30A04" w:rsidR="00ED26D0" w:rsidRPr="00772A20" w:rsidRDefault="00ED26D0" w:rsidP="00ED26D0">
      <w:pPr>
        <w:numPr>
          <w:ilvl w:val="0"/>
          <w:numId w:val="35"/>
        </w:numPr>
        <w:autoSpaceDE w:val="0"/>
        <w:autoSpaceDN w:val="0"/>
        <w:adjustRightInd w:val="0"/>
        <w:spacing w:after="0" w:line="240" w:lineRule="auto"/>
        <w:rPr>
          <w:rFonts w:cs="Arial"/>
          <w:color w:val="000000"/>
          <w:szCs w:val="24"/>
          <w:lang w:eastAsia="en-GB"/>
        </w:rPr>
      </w:pPr>
      <w:r w:rsidRPr="00772A20">
        <w:rPr>
          <w:rFonts w:cs="Arial"/>
          <w:color w:val="000000" w:themeColor="text1"/>
          <w:szCs w:val="24"/>
          <w:lang w:eastAsia="en-GB"/>
        </w:rPr>
        <w:t xml:space="preserve">Draft report </w:t>
      </w:r>
      <w:r w:rsidRPr="00772A20">
        <w:rPr>
          <w:color w:val="000000" w:themeColor="text1"/>
          <w:szCs w:val="24"/>
          <w:lang w:eastAsia="en-GB"/>
        </w:rPr>
        <w:t xml:space="preserve">and the completed DMA results spreadsheet </w:t>
      </w:r>
      <w:r w:rsidRPr="00772A20">
        <w:rPr>
          <w:rFonts w:cs="Arial"/>
          <w:color w:val="000000" w:themeColor="text1"/>
          <w:szCs w:val="24"/>
          <w:lang w:eastAsia="en-GB"/>
        </w:rPr>
        <w:t>– middle of September 2023</w:t>
      </w:r>
    </w:p>
    <w:p w14:paraId="535BB8C2" w14:textId="0AB0D549" w:rsidR="00ED26D0" w:rsidRPr="00772A20" w:rsidRDefault="00ED26D0" w:rsidP="00ED26D0">
      <w:pPr>
        <w:numPr>
          <w:ilvl w:val="0"/>
          <w:numId w:val="35"/>
        </w:numPr>
        <w:autoSpaceDE w:val="0"/>
        <w:autoSpaceDN w:val="0"/>
        <w:adjustRightInd w:val="0"/>
        <w:spacing w:after="0" w:line="240" w:lineRule="auto"/>
        <w:rPr>
          <w:rFonts w:cs="Arial"/>
          <w:color w:val="000000"/>
          <w:szCs w:val="24"/>
          <w:lang w:eastAsia="en-GB"/>
        </w:rPr>
      </w:pPr>
      <w:r w:rsidRPr="00772A20">
        <w:rPr>
          <w:rFonts w:cs="Arial"/>
          <w:color w:val="000000"/>
          <w:szCs w:val="24"/>
          <w:lang w:eastAsia="en-GB"/>
        </w:rPr>
        <w:t xml:space="preserve">Final report and presentation – </w:t>
      </w:r>
      <w:bookmarkEnd w:id="14"/>
      <w:r w:rsidRPr="00772A20">
        <w:rPr>
          <w:rFonts w:cs="Arial"/>
          <w:color w:val="000000"/>
          <w:szCs w:val="24"/>
          <w:lang w:eastAsia="en-GB"/>
        </w:rPr>
        <w:t>no later than end of September 2023.</w:t>
      </w:r>
    </w:p>
    <w:p w14:paraId="00CBDE9F" w14:textId="77777777" w:rsidR="00ED26D0" w:rsidRPr="00772A20" w:rsidRDefault="00ED26D0" w:rsidP="00ED26D0">
      <w:pPr>
        <w:autoSpaceDE w:val="0"/>
        <w:autoSpaceDN w:val="0"/>
        <w:adjustRightInd w:val="0"/>
        <w:spacing w:after="0"/>
        <w:rPr>
          <w:rFonts w:cs="Arial"/>
          <w:color w:val="000000"/>
          <w:szCs w:val="24"/>
          <w:lang w:eastAsia="en-GB"/>
        </w:rPr>
      </w:pPr>
    </w:p>
    <w:p w14:paraId="28281BB5" w14:textId="77777777" w:rsidR="00ED26D0" w:rsidRPr="00772A20" w:rsidRDefault="00ED26D0" w:rsidP="00ED26D0">
      <w:pPr>
        <w:autoSpaceDE w:val="0"/>
        <w:autoSpaceDN w:val="0"/>
        <w:adjustRightInd w:val="0"/>
        <w:spacing w:after="0"/>
        <w:rPr>
          <w:rFonts w:cs="Arial"/>
          <w:color w:val="000000"/>
          <w:szCs w:val="24"/>
          <w:lang w:eastAsia="en-GB"/>
        </w:rPr>
      </w:pPr>
      <w:r w:rsidRPr="00772A20">
        <w:rPr>
          <w:rFonts w:cs="Arial"/>
          <w:color w:val="000000"/>
          <w:szCs w:val="24"/>
          <w:lang w:eastAsia="en-GB"/>
        </w:rPr>
        <w:t xml:space="preserve">The timescales are based on the ready-to-use availability of the assessment framework (the DMA tool). The selected supplier is expected to have gained thorough understanding of the tool by the start-up meeting. </w:t>
      </w:r>
    </w:p>
    <w:p w14:paraId="25BBAD19" w14:textId="77777777" w:rsidR="00ED26D0" w:rsidRPr="00772A20" w:rsidRDefault="00ED26D0" w:rsidP="00ED26D0">
      <w:pPr>
        <w:autoSpaceDE w:val="0"/>
        <w:autoSpaceDN w:val="0"/>
        <w:adjustRightInd w:val="0"/>
        <w:spacing w:after="0"/>
        <w:rPr>
          <w:rFonts w:cs="Arial"/>
          <w:color w:val="000000"/>
          <w:szCs w:val="24"/>
          <w:lang w:eastAsia="en-GB"/>
        </w:rPr>
      </w:pPr>
    </w:p>
    <w:p w14:paraId="76E3EE61" w14:textId="420F91D1" w:rsidR="00AF7AF9" w:rsidRDefault="00AF7AF9" w:rsidP="00AF7AF9">
      <w:pPr>
        <w:pStyle w:val="Heading3"/>
      </w:pPr>
      <w:r w:rsidRPr="00AF7AF9">
        <w:t>2.5 Budget and Payment Schedule</w:t>
      </w:r>
      <w:bookmarkEnd w:id="15"/>
    </w:p>
    <w:p w14:paraId="7D86A410" w14:textId="21737B59" w:rsidR="00D401C8" w:rsidRDefault="00D401C8" w:rsidP="00D401C8">
      <w:r>
        <w:t>The maximum budget for this piece of work is £</w:t>
      </w:r>
      <w:r w:rsidR="00852BE7">
        <w:t>40</w:t>
      </w:r>
      <w:r>
        <w:t>,</w:t>
      </w:r>
      <w:r w:rsidR="00105F0A">
        <w:t>000</w:t>
      </w:r>
      <w:r>
        <w:t xml:space="preserve"> (inc.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6" w:name="_Toc111551924"/>
      <w:r w:rsidRPr="00AF7AF9">
        <w:t>2.6 Further project related information for bidders</w:t>
      </w:r>
      <w:bookmarkEnd w:id="16"/>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w:t>
      </w:r>
      <w:r>
        <w:lastRenderedPageBreak/>
        <w:t xml:space="preserve">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7" w:name="_Toc111551925"/>
      <w:r>
        <w:lastRenderedPageBreak/>
        <w:t>Tender Response and Evaluation Criteria</w:t>
      </w:r>
      <w:bookmarkEnd w:id="17"/>
    </w:p>
    <w:p w14:paraId="6C9F4B20" w14:textId="5CFF035D" w:rsidR="001768F1" w:rsidRDefault="001768F1" w:rsidP="001768F1">
      <w:pPr>
        <w:pStyle w:val="Heading3"/>
      </w:pPr>
      <w:bookmarkStart w:id="18" w:name="_Toc111551926"/>
      <w:r>
        <w:t>3.1 The Tender Response</w:t>
      </w:r>
      <w:bookmarkEnd w:id="18"/>
    </w:p>
    <w:p w14:paraId="33A2C61B" w14:textId="68F8D856" w:rsidR="001768F1" w:rsidRDefault="001768F1" w:rsidP="001768F1">
      <w:r>
        <w:t xml:space="preserve">The proposals for this project should include an outline of how bidders will meet the requirement outlined in section (ii) “Statement of Requirement”. The following information should be </w:t>
      </w:r>
      <w:proofErr w:type="gramStart"/>
      <w:r>
        <w:t>included</w:t>
      </w:r>
      <w:proofErr w:type="gramEnd"/>
      <w:r>
        <w:t xml:space="preserve"> </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13B6B3D2" w14:textId="0681CF12" w:rsidR="001768F1" w:rsidRPr="00170044" w:rsidRDefault="001768F1" w:rsidP="00170044">
      <w:pPr>
        <w:pStyle w:val="NormalBulletalpha"/>
        <w:rPr>
          <w:b/>
          <w:bCs/>
        </w:rPr>
      </w:pPr>
      <w:r w:rsidRPr="001E7C87">
        <w:rPr>
          <w:b/>
          <w:bCs/>
        </w:rPr>
        <w:t>Approach to customer's requirements</w:t>
      </w:r>
    </w:p>
    <w:p w14:paraId="631D4126" w14:textId="245F3E5B"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w:t>
      </w:r>
      <w:proofErr w:type="gramStart"/>
      <w:r>
        <w:t>project</w:t>
      </w:r>
      <w:proofErr w:type="gramEnd"/>
      <w:r>
        <w:t xml:space="preserve">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 xml:space="preserve">An understanding of the risks, and explain how they would be mitigated to ensure </w:t>
      </w:r>
      <w:proofErr w:type="gramStart"/>
      <w:r>
        <w:t>delivery</w:t>
      </w:r>
      <w:proofErr w:type="gramEnd"/>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w:t>
      </w:r>
      <w:proofErr w:type="gramStart"/>
      <w:r>
        <w:t>e.g.</w:t>
      </w:r>
      <w:proofErr w:type="gramEnd"/>
      <w:r>
        <w:t xml:space="preserve"> right to work in the UK)</w:t>
      </w:r>
    </w:p>
    <w:p w14:paraId="5F3C04C1" w14:textId="48562715" w:rsidR="001768F1" w:rsidRDefault="001768F1" w:rsidP="001E7C87">
      <w:pPr>
        <w:pStyle w:val="NormalBullet-"/>
      </w:pPr>
      <w:r>
        <w:lastRenderedPageBreak/>
        <w:t>Some relevant examples of previous work that bidders have carried out (</w:t>
      </w:r>
      <w:proofErr w:type="spellStart"/>
      <w:r>
        <w:t>eg.</w:t>
      </w:r>
      <w:proofErr w:type="spellEnd"/>
      <w:r>
        <w:t xml:space="preserve"> case studies)</w:t>
      </w:r>
      <w:r w:rsidRPr="004A24AB">
        <w:rPr>
          <w:color w:val="B1173B"/>
        </w:rPr>
        <w:t xml:space="preserve"> </w:t>
      </w:r>
      <w:r w:rsidRPr="004A1685">
        <w:rPr>
          <w:b/>
          <w:bCs/>
        </w:rPr>
        <w:t>OR</w:t>
      </w:r>
      <w:r w:rsidRPr="004A24AB">
        <w:rPr>
          <w:color w:val="B1173B"/>
        </w:rPr>
        <w:t xml:space="preserve"> </w:t>
      </w:r>
      <w:r>
        <w:t>Details of at least two relevant reference projects along with contact details of clients</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9" w:name="_Toc111551927"/>
      <w:r>
        <w:t>3.2 Evaluation Criteria</w:t>
      </w:r>
      <w:bookmarkEnd w:id="19"/>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 xml:space="preserve">Tender submitted in accordance with the conditions and instructions for </w:t>
      </w:r>
      <w:proofErr w:type="gramStart"/>
      <w:r>
        <w:t>tendering</w:t>
      </w:r>
      <w:proofErr w:type="gramEnd"/>
    </w:p>
    <w:p w14:paraId="41557F9E" w14:textId="76516727" w:rsidR="005C29ED" w:rsidRDefault="005C29ED" w:rsidP="005C29ED">
      <w:pPr>
        <w:pStyle w:val="NormalBulletround"/>
      </w:pPr>
      <w:r>
        <w:t xml:space="preserve">Tender submitted by the closing date and </w:t>
      </w:r>
      <w:proofErr w:type="gramStart"/>
      <w:r>
        <w:t>time</w:t>
      </w:r>
      <w:proofErr w:type="gramEnd"/>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w:t>
      </w:r>
      <w:proofErr w:type="spellStart"/>
      <w:r>
        <w:t>ORR's</w:t>
      </w:r>
      <w:proofErr w:type="spellEnd"/>
      <w:r>
        <w:t xml:space="preserve">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2C263BA1" w:rsidR="005C29ED" w:rsidRDefault="005C29ED" w:rsidP="00D61976">
      <w:pPr>
        <w:pStyle w:val="Heading4"/>
      </w:pPr>
      <w:r>
        <w:lastRenderedPageBreak/>
        <w:t xml:space="preserve">Methodology </w:t>
      </w:r>
      <w:r w:rsidRPr="00170044">
        <w:t>(</w:t>
      </w:r>
      <w:r w:rsidR="004159B1" w:rsidRPr="00170044">
        <w:t>25</w:t>
      </w:r>
      <w:r w:rsidRPr="00170044">
        <w:t>%)</w:t>
      </w:r>
    </w:p>
    <w:p w14:paraId="00314D37" w14:textId="77777777" w:rsidR="005C29ED" w:rsidRDefault="005C29ED" w:rsidP="005C29ED">
      <w:r>
        <w:t xml:space="preserve">The proposal should set out the methodology by which the project requirement will be initiated, </w:t>
      </w:r>
      <w:proofErr w:type="gramStart"/>
      <w:r>
        <w:t>delivered</w:t>
      </w:r>
      <w:proofErr w:type="gramEnd"/>
      <w:r>
        <w:t xml:space="preserve">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29"/>
        </w:numPr>
      </w:pPr>
      <w:r>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29"/>
        </w:numPr>
      </w:pPr>
      <w:r>
        <w:t xml:space="preserve">Explain how your organisation will work in partnership with </w:t>
      </w:r>
      <w:proofErr w:type="spellStart"/>
      <w:r>
        <w:t>ORR’s</w:t>
      </w:r>
      <w:proofErr w:type="spellEnd"/>
      <w:r>
        <w:t xml:space="preserve"> project manager to ensure that the requirement is </w:t>
      </w:r>
      <w:proofErr w:type="gramStart"/>
      <w:r>
        <w:t>met</w:t>
      </w:r>
      <w:proofErr w:type="gramEnd"/>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w:t>
      </w:r>
      <w:proofErr w:type="gramStart"/>
      <w:r>
        <w:t>base</w:t>
      </w:r>
      <w:proofErr w:type="gramEnd"/>
    </w:p>
    <w:p w14:paraId="09DB644F" w14:textId="593260A4" w:rsidR="005C29ED" w:rsidRDefault="005C29ED" w:rsidP="00350594">
      <w:pPr>
        <w:pStyle w:val="Heading4"/>
      </w:pPr>
      <w:r>
        <w:t xml:space="preserve">Delivery </w:t>
      </w:r>
      <w:r w:rsidRPr="00170044">
        <w:t>(</w:t>
      </w:r>
      <w:r w:rsidR="00FD21EC" w:rsidRPr="00170044">
        <w:t>30</w:t>
      </w:r>
      <w:r w:rsidRPr="00170044">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3AFDFAB4" w:rsidR="005C29ED" w:rsidRPr="00374BAE" w:rsidRDefault="005C29ED" w:rsidP="00350594">
      <w:pPr>
        <w:pStyle w:val="Heading4"/>
        <w:rPr>
          <w:color w:val="B1173B"/>
        </w:rPr>
      </w:pPr>
      <w:r>
        <w:t xml:space="preserve">Experience </w:t>
      </w:r>
      <w:r w:rsidRPr="00170044">
        <w:t>(</w:t>
      </w:r>
      <w:r w:rsidR="004159B1" w:rsidRPr="00170044">
        <w:t>30</w:t>
      </w:r>
      <w:r w:rsidRPr="00170044">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1"/>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7C54C51F" w:rsidR="005C29ED" w:rsidRDefault="005C29ED" w:rsidP="00350594">
      <w:pPr>
        <w:pStyle w:val="Heading4"/>
      </w:pPr>
      <w:r>
        <w:t xml:space="preserve">Cost / Value for money </w:t>
      </w:r>
      <w:r w:rsidRPr="00170044">
        <w:t>(</w:t>
      </w:r>
      <w:r w:rsidR="00FD21EC" w:rsidRPr="00170044">
        <w:t>15</w:t>
      </w:r>
      <w:r w:rsidRPr="00170044">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E3E52">
              <w:t>PRINCE2</w:t>
            </w:r>
            <w:proofErr w:type="spellEnd"/>
            <w:r w:rsidRPr="003E3E52">
              <w:t xml:space="preserve">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E3E52">
              <w:t>PRINCE2</w:t>
            </w:r>
            <w:proofErr w:type="spellEnd"/>
            <w:r w:rsidRPr="003E3E52">
              <w:t xml:space="preserve">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 xml:space="preserve">Excellent response fully addressing the requirement and providing significant additional evidence of how the criterion has been met and how value would be </w:t>
            </w:r>
            <w:proofErr w:type="gramStart"/>
            <w:r w:rsidRPr="00437772">
              <w:rPr>
                <w:rFonts w:eastAsia="Calibri" w:cs="Arial"/>
                <w:sz w:val="22"/>
                <w:lang w:val="en-US" w:eastAsia="en-GB"/>
              </w:rPr>
              <w:t>added</w:t>
            </w:r>
            <w:proofErr w:type="gramEnd"/>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111551928"/>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11551929"/>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4A1685">
        <w:trPr>
          <w:tblHeader/>
        </w:trPr>
        <w:tc>
          <w:tcPr>
            <w:tcW w:w="5569"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cBorders>
            <w:shd w:val="solid" w:color="253268" w:themeColor="dark2" w:fill="253268" w:themeFill="dark2"/>
          </w:tcPr>
          <w:p w14:paraId="0749132E" w14:textId="77777777" w:rsidR="00400432" w:rsidRPr="00400432" w:rsidRDefault="00400432" w:rsidP="00400432">
            <w:pPr>
              <w:pStyle w:val="TblHeading"/>
            </w:pPr>
            <w:r w:rsidRPr="00400432">
              <w:t>Timescale</w:t>
            </w:r>
          </w:p>
        </w:tc>
      </w:tr>
      <w:tr w:rsidR="00400432" w:rsidRPr="00400432" w14:paraId="36ED9179" w14:textId="77777777" w:rsidTr="004A1685">
        <w:tc>
          <w:tcPr>
            <w:tcW w:w="5569"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cBorders>
            <w:shd w:val="solid" w:color="FFFFFF" w:fill="FFFFFF"/>
          </w:tcPr>
          <w:p w14:paraId="0B221E35" w14:textId="16AFD8C0" w:rsidR="00400432" w:rsidRPr="00400432" w:rsidRDefault="00645391" w:rsidP="00400432">
            <w:pPr>
              <w:pStyle w:val="TblText"/>
            </w:pPr>
            <w:r>
              <w:t>31 May 2023</w:t>
            </w:r>
          </w:p>
        </w:tc>
      </w:tr>
      <w:tr w:rsidR="00400432" w:rsidRPr="00400432" w14:paraId="42283B80" w14:textId="77777777" w:rsidTr="004A1685">
        <w:tc>
          <w:tcPr>
            <w:tcW w:w="5569" w:type="dxa"/>
            <w:tcBorders>
              <w:bottom w:val="single" w:sz="12" w:space="0" w:color="FFFFFF"/>
            </w:tcBorders>
            <w:shd w:val="clear" w:color="auto" w:fill="C8CFEB" w:themeFill="text2" w:themeFillTint="33"/>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cBorders>
            <w:shd w:val="clear" w:color="auto" w:fill="C8CFEB" w:themeFill="text2" w:themeFillTint="33"/>
          </w:tcPr>
          <w:p w14:paraId="4308C2DC" w14:textId="68F24CB1" w:rsidR="00400432" w:rsidRPr="00400432" w:rsidRDefault="002109B5" w:rsidP="00400432">
            <w:pPr>
              <w:pStyle w:val="TblText"/>
            </w:pPr>
            <w:r>
              <w:t>8</w:t>
            </w:r>
            <w:r w:rsidR="00645391">
              <w:t xml:space="preserve"> June 2023</w:t>
            </w:r>
            <w:r>
              <w:t xml:space="preserve"> </w:t>
            </w:r>
            <w:proofErr w:type="spellStart"/>
            <w:r>
              <w:t>12pm</w:t>
            </w:r>
            <w:proofErr w:type="spellEnd"/>
          </w:p>
        </w:tc>
      </w:tr>
      <w:tr w:rsidR="00400432" w:rsidRPr="00400432" w14:paraId="66301268" w14:textId="77777777" w:rsidTr="004A1685">
        <w:tc>
          <w:tcPr>
            <w:tcW w:w="5569" w:type="dxa"/>
            <w:tcBorders>
              <w:bottom w:val="single" w:sz="12" w:space="0" w:color="FFFFFF"/>
            </w:tcBorders>
            <w:shd w:val="solid" w:color="FFFFFF" w:fill="FFFFFF"/>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cBorders>
            <w:shd w:val="solid" w:color="FFFFFF" w:fill="FFFFFF"/>
          </w:tcPr>
          <w:p w14:paraId="63343DB4" w14:textId="712CB35F" w:rsidR="00400432" w:rsidRPr="00400432" w:rsidRDefault="00645391" w:rsidP="00400432">
            <w:pPr>
              <w:pStyle w:val="TblText"/>
            </w:pPr>
            <w:r>
              <w:t>16 June 2023</w:t>
            </w:r>
            <w:r w:rsidR="002109B5">
              <w:t xml:space="preserve"> </w:t>
            </w:r>
            <w:proofErr w:type="spellStart"/>
            <w:r w:rsidR="002109B5">
              <w:t>12pm</w:t>
            </w:r>
            <w:proofErr w:type="spellEnd"/>
          </w:p>
        </w:tc>
      </w:tr>
      <w:tr w:rsidR="00400432" w:rsidRPr="00400432" w14:paraId="0217C7BB" w14:textId="77777777" w:rsidTr="004A1685">
        <w:tc>
          <w:tcPr>
            <w:tcW w:w="5569" w:type="dxa"/>
            <w:tcBorders>
              <w:bottom w:val="single" w:sz="12" w:space="0" w:color="FFFFFF"/>
            </w:tcBorders>
            <w:shd w:val="clear" w:color="auto" w:fill="C8CFEB" w:themeFill="text2" w:themeFillTint="33"/>
          </w:tcPr>
          <w:p w14:paraId="32D5FD17" w14:textId="77777777" w:rsidR="00400432" w:rsidRPr="00400432" w:rsidRDefault="00400432" w:rsidP="00400432">
            <w:pPr>
              <w:pStyle w:val="TblText"/>
            </w:pPr>
            <w:r w:rsidRPr="00400432">
              <w:t>Interviews and presentations*</w:t>
            </w:r>
          </w:p>
        </w:tc>
        <w:tc>
          <w:tcPr>
            <w:tcW w:w="4069" w:type="dxa"/>
            <w:tcBorders>
              <w:bottom w:val="single" w:sz="12" w:space="0" w:color="FFFFFF"/>
            </w:tcBorders>
            <w:shd w:val="clear" w:color="auto" w:fill="C8CFEB" w:themeFill="text2" w:themeFillTint="33"/>
          </w:tcPr>
          <w:p w14:paraId="565B27EE" w14:textId="6C0E6DE2" w:rsidR="00400432" w:rsidRPr="00400432" w:rsidRDefault="004A1685" w:rsidP="00400432">
            <w:pPr>
              <w:pStyle w:val="TblText"/>
            </w:pPr>
            <w:r>
              <w:t xml:space="preserve">w/c </w:t>
            </w:r>
            <w:r w:rsidR="00645391">
              <w:t xml:space="preserve">28 June 2023 </w:t>
            </w:r>
            <w:r>
              <w:t>(</w:t>
            </w:r>
            <w:r w:rsidR="00400432" w:rsidRPr="00400432">
              <w:t>if required</w:t>
            </w:r>
            <w:r>
              <w:t>)</w:t>
            </w:r>
          </w:p>
        </w:tc>
      </w:tr>
      <w:tr w:rsidR="00400432" w:rsidRPr="00400432" w14:paraId="2D3D0936" w14:textId="77777777" w:rsidTr="004A1685">
        <w:tc>
          <w:tcPr>
            <w:tcW w:w="5569" w:type="dxa"/>
            <w:tcBorders>
              <w:bottom w:val="single" w:sz="12" w:space="0" w:color="FFFFFF"/>
            </w:tcBorders>
            <w:shd w:val="clear" w:color="auto" w:fill="auto"/>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cBorders>
            <w:shd w:val="clear" w:color="auto" w:fill="auto"/>
          </w:tcPr>
          <w:p w14:paraId="2FF6E1B1" w14:textId="736B6CAC" w:rsidR="00400432" w:rsidRPr="00400432" w:rsidRDefault="00645391" w:rsidP="00400432">
            <w:pPr>
              <w:pStyle w:val="TblText"/>
            </w:pPr>
            <w:r>
              <w:t>30 June 2023</w:t>
            </w:r>
          </w:p>
        </w:tc>
      </w:tr>
      <w:tr w:rsidR="00400432" w:rsidRPr="00400432" w14:paraId="3E83975E" w14:textId="77777777" w:rsidTr="004A1685">
        <w:tc>
          <w:tcPr>
            <w:tcW w:w="5569" w:type="dxa"/>
            <w:shd w:val="clear" w:color="auto" w:fill="C8CFEB" w:themeFill="text2" w:themeFillTint="33"/>
          </w:tcPr>
          <w:p w14:paraId="19972227" w14:textId="77777777" w:rsidR="00400432" w:rsidRPr="00400432" w:rsidRDefault="00400432" w:rsidP="00400432">
            <w:pPr>
              <w:pStyle w:val="TblText"/>
            </w:pPr>
            <w:r w:rsidRPr="00400432">
              <w:t>Project Inception Meeting</w:t>
            </w:r>
          </w:p>
        </w:tc>
        <w:tc>
          <w:tcPr>
            <w:tcW w:w="4069" w:type="dxa"/>
            <w:shd w:val="clear" w:color="auto" w:fill="C8CFEB" w:themeFill="text2" w:themeFillTint="33"/>
          </w:tcPr>
          <w:p w14:paraId="5605FB39" w14:textId="7CBE2B1A" w:rsidR="00400432" w:rsidRPr="00400432" w:rsidRDefault="00645391" w:rsidP="00400432">
            <w:pPr>
              <w:pStyle w:val="TblText"/>
            </w:pPr>
            <w:r>
              <w:t>5 July 2023</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w:t>
      </w:r>
      <w:proofErr w:type="gramStart"/>
      <w:r w:rsidRPr="00400432">
        <w:t>date</w:t>
      </w:r>
      <w:proofErr w:type="gramEnd"/>
      <w:r w:rsidRPr="00400432">
        <w:t xml:space="preserve"> </w:t>
      </w:r>
    </w:p>
    <w:p w14:paraId="3DFADB3D" w14:textId="77777777" w:rsidR="00433557" w:rsidRDefault="00433557" w:rsidP="000A0438">
      <w:pPr>
        <w:pStyle w:val="Heading3"/>
      </w:pPr>
      <w:bookmarkStart w:id="22" w:name="_Toc11155193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78FF1853" w14:textId="77777777" w:rsidR="00433557" w:rsidRDefault="00433557" w:rsidP="00433557">
      <w:r>
        <w:lastRenderedPageBreak/>
        <w:t xml:space="preserve">Please submit the Form of Tender and Disclaimer certificate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w:t>
      </w:r>
      <w:proofErr w:type="gramStart"/>
      <w:r>
        <w:t>supplier</w:t>
      </w:r>
      <w:proofErr w:type="gramEnd"/>
      <w:r>
        <w:t xml:space="preserve">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 xml:space="preserve">References provided as part of the tender may be approached during the tender </w:t>
      </w:r>
      <w:proofErr w:type="gramStart"/>
      <w:r>
        <w:t>stage</w:t>
      </w:r>
      <w:proofErr w:type="gramEnd"/>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7"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t>responsibilities</w:t>
      </w:r>
      <w:proofErr w:type="gramEnd"/>
      <w:r>
        <w:t xml:space="preserve"> and proposed management arrangements. </w:t>
      </w:r>
    </w:p>
    <w:p w14:paraId="3ED81758" w14:textId="77777777" w:rsidR="00433557" w:rsidRDefault="00433557" w:rsidP="00433557">
      <w:r>
        <w:lastRenderedPageBreak/>
        <w:t xml:space="preserve">The proposal should be submitted in the form of an unconditional offer that is capable of being accepted by the ORR without the need for further negotiation. Any contract arising from this procurement will be based upon </w:t>
      </w:r>
      <w:proofErr w:type="spellStart"/>
      <w:r>
        <w:t>ORR’s</w:t>
      </w:r>
      <w:proofErr w:type="spellEnd"/>
      <w:r>
        <w:t xml:space="preserve">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proofErr w:type="spellStart"/>
      <w:r>
        <w:t>ORR’s</w:t>
      </w:r>
      <w:proofErr w:type="spellEnd"/>
      <w:r>
        <w:t xml:space="preserve">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lastRenderedPageBreak/>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 xml:space="preserve">plans for management of underperformance and its financial </w:t>
      </w:r>
      <w:proofErr w:type="gramStart"/>
      <w:r>
        <w:t>impact</w:t>
      </w:r>
      <w:proofErr w:type="gramEnd"/>
    </w:p>
    <w:p w14:paraId="7AC03503" w14:textId="3D4C7866" w:rsidR="00D2517B" w:rsidRDefault="00D2517B" w:rsidP="00585CEE">
      <w:pPr>
        <w:pStyle w:val="NormalBulletround"/>
      </w:pPr>
      <w:r>
        <w:t xml:space="preserve">governance arrangements including through supply chains where significant contract value rests with </w:t>
      </w:r>
      <w:proofErr w:type="gramStart"/>
      <w:r>
        <w:t>subcontractors</w:t>
      </w:r>
      <w:proofErr w:type="gramEnd"/>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28"/>
          <w:headerReference w:type="default" r:id="rId29"/>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FA169D6">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w:t>
      </w:r>
      <w:proofErr w:type="spellStart"/>
      <w:r>
        <w:t>v3.0</w:t>
      </w:r>
      <w:proofErr w:type="spellEnd"/>
      <w:r>
        <w:t xml:space="preserve"> except where otherwise stated. To view this licence, visit </w:t>
      </w:r>
      <w:hyperlink r:id="rId31" w:history="1">
        <w:proofErr w:type="spellStart"/>
        <w:r w:rsidRPr="00D25F7E">
          <w:rPr>
            <w:rStyle w:val="Hyperlink"/>
          </w:rPr>
          <w:t>nationalarchives.gov.uk</w:t>
        </w:r>
        <w:proofErr w:type="spellEnd"/>
        <w:r w:rsidRPr="00D25F7E">
          <w:rPr>
            <w:rStyle w:val="Hyperlink"/>
          </w:rPr>
          <w:t>/doc/open-government-licence/version/3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32" w:history="1">
        <w:r w:rsidR="008F0B87">
          <w:rPr>
            <w:rStyle w:val="Hyperlink"/>
          </w:rPr>
          <w:t xml:space="preserve">Contracts Finder - </w:t>
        </w:r>
        <w:proofErr w:type="spellStart"/>
        <w:r w:rsidR="008F0B87">
          <w:rPr>
            <w:rStyle w:val="Hyperlink"/>
          </w:rPr>
          <w:t>GOV.UK</w:t>
        </w:r>
        <w:proofErr w:type="spellEnd"/>
        <w:r w:rsidR="008F0B87">
          <w:rPr>
            <w:rStyle w:val="Hyperlink"/>
          </w:rPr>
          <w:t xml:space="preserve"> (</w:t>
        </w:r>
        <w:proofErr w:type="spellStart"/>
        <w:r w:rsidR="008F0B87">
          <w:rPr>
            <w:rStyle w:val="Hyperlink"/>
          </w:rPr>
          <w:t>www.gov.uk</w:t>
        </w:r>
        <w:proofErr w:type="spellEnd"/>
        <w:r w:rsidR="008F0B87">
          <w:rPr>
            <w:rStyle w:val="Hyperlink"/>
          </w:rPr>
          <w:t>)</w:t>
        </w:r>
      </w:hyperlink>
    </w:p>
    <w:p w14:paraId="2D68CC5D" w14:textId="2AE9329A" w:rsidR="00D25F7E" w:rsidRPr="00D25F7E" w:rsidRDefault="00D25F7E" w:rsidP="00D25F7E">
      <w:pPr>
        <w:pStyle w:val="Copyrighttext"/>
      </w:pPr>
      <w:r>
        <w:t xml:space="preserve">Any enquiries regarding this publication should be sent to us at </w:t>
      </w:r>
      <w:hyperlink r:id="rId33" w:history="1">
        <w:proofErr w:type="spellStart"/>
        <w:r w:rsidR="008F0B87" w:rsidRPr="00C9621C">
          <w:rPr>
            <w:rStyle w:val="Hyperlink"/>
          </w:rPr>
          <w:t>procurementteam@orr.gov.uk</w:t>
        </w:r>
        <w:proofErr w:type="spellEnd"/>
      </w:hyperlink>
      <w:r w:rsidR="008F0B87">
        <w:t xml:space="preserve"> </w:t>
      </w:r>
    </w:p>
    <w:sectPr w:rsidR="00D25F7E" w:rsidRPr="00D25F7E" w:rsidSect="00D25F7E">
      <w:headerReference w:type="even" r:id="rId34"/>
      <w:headerReference w:type="default" r:id="rId35"/>
      <w:footerReference w:type="even" r:id="rId36"/>
      <w:footerReference w:type="default" r:id="rId37"/>
      <w:headerReference w:type="first" r:id="rId38"/>
      <w:footerReference w:type="first" r:id="rId39"/>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D7A4" w14:textId="77777777" w:rsidR="00FC6860" w:rsidRDefault="00FC6860" w:rsidP="00555585">
      <w:pPr>
        <w:spacing w:after="0" w:line="240" w:lineRule="auto"/>
      </w:pPr>
      <w:r>
        <w:separator/>
      </w:r>
    </w:p>
  </w:endnote>
  <w:endnote w:type="continuationSeparator" w:id="0">
    <w:p w14:paraId="2486195E" w14:textId="77777777" w:rsidR="00FC6860" w:rsidRDefault="00FC6860" w:rsidP="0055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89984"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91008"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705344"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95104"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97152"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87936"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149C" w14:textId="77777777" w:rsidR="00FC6860" w:rsidRDefault="00FC6860" w:rsidP="00555585">
      <w:pPr>
        <w:spacing w:after="0" w:line="240" w:lineRule="auto"/>
      </w:pPr>
      <w:r>
        <w:separator/>
      </w:r>
    </w:p>
  </w:footnote>
  <w:footnote w:type="continuationSeparator" w:id="0">
    <w:p w14:paraId="75461C3C" w14:textId="77777777" w:rsidR="00FC6860" w:rsidRDefault="00FC6860" w:rsidP="0055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 DOCVARIABLE  txtHdr  \* MERGEFORMAT ">
      <w:r w:rsidRPr="00D25F7E">
        <w:rPr>
          <w:b w:val="0"/>
          <w:bCs/>
          <w:lang w:val="en-US"/>
        </w:rPr>
        <w:instrText>ITT</w:instrText>
      </w:r>
    </w:fldSimple>
    <w:r w:rsidRPr="00AC3B7A">
      <w:instrText xml:space="preserve"> = "Error! No document variable supplied." " " </w:instrText>
    </w:r>
    <w:fldSimple w:instr=" DOCVARIABLE  txtHdr \* MERGEFORMAT ">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 DOCVARIABLE  txtHdr  \* MERGEFORMAT ">
      <w:r w:rsidRPr="00D25F7E">
        <w:rPr>
          <w:b w:val="0"/>
          <w:bCs/>
          <w:lang w:val="en-US"/>
        </w:rPr>
        <w:instrText>ITT</w:instrText>
      </w:r>
    </w:fldSimple>
    <w:r w:rsidRPr="00AC3B7A">
      <w:instrText xml:space="preserve"> = "Error! No document variable supplied." " " </w:instrText>
    </w:r>
    <w:fldSimple w:instr=" DOCVARIABLE  txtHdr \* MERGEFORMAT ">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3" w:name="bmkBackPage"/>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843"/>
        </w:tabs>
        <w:ind w:left="1843"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296852"/>
    <w:multiLevelType w:val="multilevel"/>
    <w:tmpl w:val="D79C245A"/>
    <w:numStyleLink w:val="ORRNormalList"/>
  </w:abstractNum>
  <w:abstractNum w:abstractNumId="11"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76BCC"/>
    <w:multiLevelType w:val="multilevel"/>
    <w:tmpl w:val="D79C245A"/>
    <w:numStyleLink w:val="ORRNormalList"/>
  </w:abstractNum>
  <w:abstractNum w:abstractNumId="13"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12F393E"/>
    <w:multiLevelType w:val="hybridMultilevel"/>
    <w:tmpl w:val="86446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9" w15:restartNumberingAfterBreak="0">
    <w:nsid w:val="68BD5682"/>
    <w:multiLevelType w:val="multilevel"/>
    <w:tmpl w:val="EAD453D0"/>
    <w:numStyleLink w:val="NumbListHighlight"/>
  </w:abstractNum>
  <w:abstractNum w:abstractNumId="20"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15:restartNumberingAfterBreak="0">
    <w:nsid w:val="774C62AB"/>
    <w:multiLevelType w:val="multilevel"/>
    <w:tmpl w:val="6B204466"/>
    <w:numStyleLink w:val="ORRAnnex"/>
  </w:abstractNum>
  <w:abstractNum w:abstractNumId="23" w15:restartNumberingAfterBreak="0">
    <w:nsid w:val="7DDA5CB4"/>
    <w:multiLevelType w:val="multilevel"/>
    <w:tmpl w:val="6B204466"/>
    <w:numStyleLink w:val="ORRAnnex"/>
  </w:abstractNum>
  <w:num w:numId="1" w16cid:durableId="12330070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1"/>
  </w:num>
  <w:num w:numId="3" w16cid:durableId="615990203">
    <w:abstractNumId w:val="6"/>
  </w:num>
  <w:num w:numId="4" w16cid:durableId="1539008159">
    <w:abstractNumId w:val="17"/>
  </w:num>
  <w:num w:numId="5" w16cid:durableId="1334801291">
    <w:abstractNumId w:val="7"/>
  </w:num>
  <w:num w:numId="6" w16cid:durableId="116142554">
    <w:abstractNumId w:val="12"/>
  </w:num>
  <w:num w:numId="7" w16cid:durableId="1708795862">
    <w:abstractNumId w:val="8"/>
  </w:num>
  <w:num w:numId="8" w16cid:durableId="1432780497">
    <w:abstractNumId w:val="4"/>
  </w:num>
  <w:num w:numId="9" w16cid:durableId="35012236">
    <w:abstractNumId w:val="3"/>
  </w:num>
  <w:num w:numId="10" w16cid:durableId="711077664">
    <w:abstractNumId w:val="0"/>
  </w:num>
  <w:num w:numId="11" w16cid:durableId="1604993918">
    <w:abstractNumId w:val="19"/>
  </w:num>
  <w:num w:numId="12" w16cid:durableId="435447028">
    <w:abstractNumId w:val="18"/>
  </w:num>
  <w:num w:numId="13" w16cid:durableId="2048019962">
    <w:abstractNumId w:val="22"/>
  </w:num>
  <w:num w:numId="14" w16cid:durableId="2025738407">
    <w:abstractNumId w:val="19"/>
  </w:num>
  <w:num w:numId="15" w16cid:durableId="150879135">
    <w:abstractNumId w:val="19"/>
  </w:num>
  <w:num w:numId="16" w16cid:durableId="891042484">
    <w:abstractNumId w:val="19"/>
  </w:num>
  <w:num w:numId="17" w16cid:durableId="727414043">
    <w:abstractNumId w:val="18"/>
  </w:num>
  <w:num w:numId="18" w16cid:durableId="1027833524">
    <w:abstractNumId w:val="1"/>
  </w:num>
  <w:num w:numId="19" w16cid:durableId="50661355">
    <w:abstractNumId w:val="5"/>
  </w:num>
  <w:num w:numId="20" w16cid:durableId="1446195555">
    <w:abstractNumId w:val="3"/>
  </w:num>
  <w:num w:numId="21" w16cid:durableId="558327301">
    <w:abstractNumId w:val="23"/>
  </w:num>
  <w:num w:numId="22" w16cid:durableId="463500638">
    <w:abstractNumId w:val="14"/>
  </w:num>
  <w:num w:numId="23" w16cid:durableId="1527019102">
    <w:abstractNumId w:val="2"/>
  </w:num>
  <w:num w:numId="24" w16cid:durableId="1992102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0"/>
  </w:num>
  <w:num w:numId="26" w16cid:durableId="1830293373">
    <w:abstractNumId w:val="20"/>
  </w:num>
  <w:num w:numId="27"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6"/>
  </w:num>
  <w:num w:numId="33" w16cid:durableId="397556948">
    <w:abstractNumId w:val="11"/>
  </w:num>
  <w:num w:numId="34" w16cid:durableId="2029872522">
    <w:abstractNumId w:val="15"/>
  </w:num>
  <w:num w:numId="35" w16cid:durableId="116937066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210B"/>
    <w:rsid w:val="0003350C"/>
    <w:rsid w:val="00036DEB"/>
    <w:rsid w:val="00037BD2"/>
    <w:rsid w:val="00042B65"/>
    <w:rsid w:val="00043DA2"/>
    <w:rsid w:val="0004428A"/>
    <w:rsid w:val="0005181F"/>
    <w:rsid w:val="00066737"/>
    <w:rsid w:val="000735F1"/>
    <w:rsid w:val="00076B67"/>
    <w:rsid w:val="000833AF"/>
    <w:rsid w:val="00084783"/>
    <w:rsid w:val="00084972"/>
    <w:rsid w:val="0008514C"/>
    <w:rsid w:val="000876CB"/>
    <w:rsid w:val="0009126F"/>
    <w:rsid w:val="0009203F"/>
    <w:rsid w:val="000A0438"/>
    <w:rsid w:val="000A6DE7"/>
    <w:rsid w:val="000B0266"/>
    <w:rsid w:val="000B13CB"/>
    <w:rsid w:val="000B309A"/>
    <w:rsid w:val="000B6176"/>
    <w:rsid w:val="000C7B66"/>
    <w:rsid w:val="000D2970"/>
    <w:rsid w:val="000E135E"/>
    <w:rsid w:val="000E5AB1"/>
    <w:rsid w:val="000E5E49"/>
    <w:rsid w:val="000F4554"/>
    <w:rsid w:val="000F5529"/>
    <w:rsid w:val="000F70BB"/>
    <w:rsid w:val="000F7BB6"/>
    <w:rsid w:val="001012B6"/>
    <w:rsid w:val="00102F62"/>
    <w:rsid w:val="00105F0A"/>
    <w:rsid w:val="00120892"/>
    <w:rsid w:val="0012193D"/>
    <w:rsid w:val="00124D1D"/>
    <w:rsid w:val="00137015"/>
    <w:rsid w:val="00141746"/>
    <w:rsid w:val="001526A6"/>
    <w:rsid w:val="00155088"/>
    <w:rsid w:val="0015625B"/>
    <w:rsid w:val="00156D5F"/>
    <w:rsid w:val="00160B26"/>
    <w:rsid w:val="00162B03"/>
    <w:rsid w:val="001659DD"/>
    <w:rsid w:val="00170044"/>
    <w:rsid w:val="00175A76"/>
    <w:rsid w:val="001768F1"/>
    <w:rsid w:val="00180E47"/>
    <w:rsid w:val="001858EB"/>
    <w:rsid w:val="00194E09"/>
    <w:rsid w:val="00195C79"/>
    <w:rsid w:val="001A00F0"/>
    <w:rsid w:val="001A1058"/>
    <w:rsid w:val="001B3FD8"/>
    <w:rsid w:val="001B54A7"/>
    <w:rsid w:val="001B551F"/>
    <w:rsid w:val="001B5A48"/>
    <w:rsid w:val="001B62CD"/>
    <w:rsid w:val="001B71F8"/>
    <w:rsid w:val="001C60A4"/>
    <w:rsid w:val="001D1536"/>
    <w:rsid w:val="001D590D"/>
    <w:rsid w:val="001D5DF3"/>
    <w:rsid w:val="001E23F4"/>
    <w:rsid w:val="001E7C87"/>
    <w:rsid w:val="001F1140"/>
    <w:rsid w:val="001F55B8"/>
    <w:rsid w:val="0020297B"/>
    <w:rsid w:val="002063AE"/>
    <w:rsid w:val="002064AF"/>
    <w:rsid w:val="002077FD"/>
    <w:rsid w:val="0021084B"/>
    <w:rsid w:val="002109B5"/>
    <w:rsid w:val="0021141B"/>
    <w:rsid w:val="0021395E"/>
    <w:rsid w:val="002162D4"/>
    <w:rsid w:val="00220F85"/>
    <w:rsid w:val="0022209D"/>
    <w:rsid w:val="00224950"/>
    <w:rsid w:val="00225D2C"/>
    <w:rsid w:val="00225EFD"/>
    <w:rsid w:val="00240410"/>
    <w:rsid w:val="002459ED"/>
    <w:rsid w:val="0025242F"/>
    <w:rsid w:val="00257BE5"/>
    <w:rsid w:val="00272200"/>
    <w:rsid w:val="00274DE0"/>
    <w:rsid w:val="00276C64"/>
    <w:rsid w:val="0028433A"/>
    <w:rsid w:val="00286CF2"/>
    <w:rsid w:val="0028735A"/>
    <w:rsid w:val="0029283C"/>
    <w:rsid w:val="00293D38"/>
    <w:rsid w:val="00297104"/>
    <w:rsid w:val="002B7995"/>
    <w:rsid w:val="002C5A50"/>
    <w:rsid w:val="002C6E70"/>
    <w:rsid w:val="002D0E5B"/>
    <w:rsid w:val="002D3643"/>
    <w:rsid w:val="002D46DA"/>
    <w:rsid w:val="002E2DAD"/>
    <w:rsid w:val="002E7122"/>
    <w:rsid w:val="002F111F"/>
    <w:rsid w:val="002F2791"/>
    <w:rsid w:val="002F5466"/>
    <w:rsid w:val="002F56B7"/>
    <w:rsid w:val="0030237B"/>
    <w:rsid w:val="003027B1"/>
    <w:rsid w:val="00311FD5"/>
    <w:rsid w:val="003247A4"/>
    <w:rsid w:val="003366E7"/>
    <w:rsid w:val="0034288F"/>
    <w:rsid w:val="00343838"/>
    <w:rsid w:val="003439DA"/>
    <w:rsid w:val="003475FB"/>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E0A"/>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D7EFE"/>
    <w:rsid w:val="003E1A78"/>
    <w:rsid w:val="003E2FAF"/>
    <w:rsid w:val="003E3E52"/>
    <w:rsid w:val="003E40D9"/>
    <w:rsid w:val="003E497C"/>
    <w:rsid w:val="003E5612"/>
    <w:rsid w:val="003E5A51"/>
    <w:rsid w:val="003E5AEE"/>
    <w:rsid w:val="003E6BE3"/>
    <w:rsid w:val="003F161B"/>
    <w:rsid w:val="003F3CB0"/>
    <w:rsid w:val="003F6E9D"/>
    <w:rsid w:val="00400432"/>
    <w:rsid w:val="00403C5B"/>
    <w:rsid w:val="00407533"/>
    <w:rsid w:val="00410615"/>
    <w:rsid w:val="004121D9"/>
    <w:rsid w:val="00414896"/>
    <w:rsid w:val="004159B1"/>
    <w:rsid w:val="0042552D"/>
    <w:rsid w:val="004276BA"/>
    <w:rsid w:val="004308C7"/>
    <w:rsid w:val="00433557"/>
    <w:rsid w:val="00433D4D"/>
    <w:rsid w:val="004372B6"/>
    <w:rsid w:val="0043752D"/>
    <w:rsid w:val="00437772"/>
    <w:rsid w:val="004462A6"/>
    <w:rsid w:val="00446747"/>
    <w:rsid w:val="00451C67"/>
    <w:rsid w:val="00452F29"/>
    <w:rsid w:val="00454D76"/>
    <w:rsid w:val="00457556"/>
    <w:rsid w:val="00465E6B"/>
    <w:rsid w:val="00472A7C"/>
    <w:rsid w:val="00476327"/>
    <w:rsid w:val="0048300B"/>
    <w:rsid w:val="0048774B"/>
    <w:rsid w:val="00490915"/>
    <w:rsid w:val="00494943"/>
    <w:rsid w:val="00495203"/>
    <w:rsid w:val="004964CA"/>
    <w:rsid w:val="004A0056"/>
    <w:rsid w:val="004A0C10"/>
    <w:rsid w:val="004A1685"/>
    <w:rsid w:val="004A24AB"/>
    <w:rsid w:val="004A743E"/>
    <w:rsid w:val="004B2D5D"/>
    <w:rsid w:val="004B336F"/>
    <w:rsid w:val="004C0FAF"/>
    <w:rsid w:val="004C1FDD"/>
    <w:rsid w:val="004D1C50"/>
    <w:rsid w:val="004D5D65"/>
    <w:rsid w:val="004E57B7"/>
    <w:rsid w:val="004E5ACC"/>
    <w:rsid w:val="004E60C0"/>
    <w:rsid w:val="004F2AE4"/>
    <w:rsid w:val="004F6111"/>
    <w:rsid w:val="00507F98"/>
    <w:rsid w:val="005165AD"/>
    <w:rsid w:val="00526956"/>
    <w:rsid w:val="00532B91"/>
    <w:rsid w:val="00534962"/>
    <w:rsid w:val="00536EB2"/>
    <w:rsid w:val="00544099"/>
    <w:rsid w:val="00546AF7"/>
    <w:rsid w:val="00555585"/>
    <w:rsid w:val="005612F3"/>
    <w:rsid w:val="005635FA"/>
    <w:rsid w:val="00574B16"/>
    <w:rsid w:val="00580A77"/>
    <w:rsid w:val="00585CEE"/>
    <w:rsid w:val="00591161"/>
    <w:rsid w:val="00596F73"/>
    <w:rsid w:val="005A7980"/>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049"/>
    <w:rsid w:val="005F12AF"/>
    <w:rsid w:val="005F217E"/>
    <w:rsid w:val="005F2187"/>
    <w:rsid w:val="005F2393"/>
    <w:rsid w:val="005F31A1"/>
    <w:rsid w:val="005F386D"/>
    <w:rsid w:val="005F74FA"/>
    <w:rsid w:val="006023B5"/>
    <w:rsid w:val="00613440"/>
    <w:rsid w:val="00615D12"/>
    <w:rsid w:val="00617B7F"/>
    <w:rsid w:val="006242F0"/>
    <w:rsid w:val="006316B1"/>
    <w:rsid w:val="00632A37"/>
    <w:rsid w:val="00636173"/>
    <w:rsid w:val="00637198"/>
    <w:rsid w:val="00640445"/>
    <w:rsid w:val="00645391"/>
    <w:rsid w:val="00645EB9"/>
    <w:rsid w:val="006465D2"/>
    <w:rsid w:val="0065616A"/>
    <w:rsid w:val="0066567C"/>
    <w:rsid w:val="006701F0"/>
    <w:rsid w:val="00680F51"/>
    <w:rsid w:val="00683A4B"/>
    <w:rsid w:val="00683F80"/>
    <w:rsid w:val="00691342"/>
    <w:rsid w:val="006A063F"/>
    <w:rsid w:val="006A6751"/>
    <w:rsid w:val="006B10E9"/>
    <w:rsid w:val="006B198C"/>
    <w:rsid w:val="006B27E0"/>
    <w:rsid w:val="006C004C"/>
    <w:rsid w:val="006C02BD"/>
    <w:rsid w:val="006C15DB"/>
    <w:rsid w:val="006C7602"/>
    <w:rsid w:val="006D1DD8"/>
    <w:rsid w:val="006D4741"/>
    <w:rsid w:val="006D6465"/>
    <w:rsid w:val="006D7960"/>
    <w:rsid w:val="006E1B6F"/>
    <w:rsid w:val="006E214D"/>
    <w:rsid w:val="006E25F6"/>
    <w:rsid w:val="006E55C1"/>
    <w:rsid w:val="006F6490"/>
    <w:rsid w:val="006F663A"/>
    <w:rsid w:val="00703BE0"/>
    <w:rsid w:val="00705CF5"/>
    <w:rsid w:val="007062A6"/>
    <w:rsid w:val="00713B94"/>
    <w:rsid w:val="00716CEC"/>
    <w:rsid w:val="00717537"/>
    <w:rsid w:val="007200CC"/>
    <w:rsid w:val="00724059"/>
    <w:rsid w:val="007246E1"/>
    <w:rsid w:val="007249D0"/>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79D8"/>
    <w:rsid w:val="00772A20"/>
    <w:rsid w:val="00773068"/>
    <w:rsid w:val="00785937"/>
    <w:rsid w:val="00790401"/>
    <w:rsid w:val="00790AD2"/>
    <w:rsid w:val="0079264A"/>
    <w:rsid w:val="00796755"/>
    <w:rsid w:val="00796E71"/>
    <w:rsid w:val="007979A7"/>
    <w:rsid w:val="00797F75"/>
    <w:rsid w:val="007A1F12"/>
    <w:rsid w:val="007B1555"/>
    <w:rsid w:val="007C43C1"/>
    <w:rsid w:val="007D5014"/>
    <w:rsid w:val="007E2744"/>
    <w:rsid w:val="007E4EC4"/>
    <w:rsid w:val="007E6E4B"/>
    <w:rsid w:val="007F3F24"/>
    <w:rsid w:val="007F4B75"/>
    <w:rsid w:val="007F6498"/>
    <w:rsid w:val="007F6B18"/>
    <w:rsid w:val="00806042"/>
    <w:rsid w:val="008122F2"/>
    <w:rsid w:val="008145A2"/>
    <w:rsid w:val="0081555F"/>
    <w:rsid w:val="0081639D"/>
    <w:rsid w:val="008174A6"/>
    <w:rsid w:val="00826F5D"/>
    <w:rsid w:val="008277B1"/>
    <w:rsid w:val="00831EE0"/>
    <w:rsid w:val="0083798F"/>
    <w:rsid w:val="00841B8C"/>
    <w:rsid w:val="008422F2"/>
    <w:rsid w:val="0084584E"/>
    <w:rsid w:val="00845EDF"/>
    <w:rsid w:val="008475B8"/>
    <w:rsid w:val="00851E44"/>
    <w:rsid w:val="00852BE7"/>
    <w:rsid w:val="00852E5A"/>
    <w:rsid w:val="00856DAD"/>
    <w:rsid w:val="008624E2"/>
    <w:rsid w:val="008640BB"/>
    <w:rsid w:val="008667A9"/>
    <w:rsid w:val="00873479"/>
    <w:rsid w:val="0087426B"/>
    <w:rsid w:val="00882BEF"/>
    <w:rsid w:val="00884568"/>
    <w:rsid w:val="00885126"/>
    <w:rsid w:val="00886DE9"/>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861"/>
    <w:rsid w:val="00916B1E"/>
    <w:rsid w:val="00916C88"/>
    <w:rsid w:val="00917106"/>
    <w:rsid w:val="00920F55"/>
    <w:rsid w:val="009265DD"/>
    <w:rsid w:val="009319AE"/>
    <w:rsid w:val="00936799"/>
    <w:rsid w:val="009375BF"/>
    <w:rsid w:val="0094130E"/>
    <w:rsid w:val="009617D1"/>
    <w:rsid w:val="00963E0B"/>
    <w:rsid w:val="009646F5"/>
    <w:rsid w:val="00973BC6"/>
    <w:rsid w:val="009757DA"/>
    <w:rsid w:val="00981E60"/>
    <w:rsid w:val="009822CC"/>
    <w:rsid w:val="00982820"/>
    <w:rsid w:val="009852F9"/>
    <w:rsid w:val="0099269F"/>
    <w:rsid w:val="00992B05"/>
    <w:rsid w:val="00994102"/>
    <w:rsid w:val="009942BE"/>
    <w:rsid w:val="009A5DA3"/>
    <w:rsid w:val="009B04F7"/>
    <w:rsid w:val="009B5565"/>
    <w:rsid w:val="009C3E78"/>
    <w:rsid w:val="009C7888"/>
    <w:rsid w:val="009D2D3C"/>
    <w:rsid w:val="009D4BF5"/>
    <w:rsid w:val="009E13FE"/>
    <w:rsid w:val="009E34CC"/>
    <w:rsid w:val="009E476E"/>
    <w:rsid w:val="009F4755"/>
    <w:rsid w:val="009F5929"/>
    <w:rsid w:val="009F642E"/>
    <w:rsid w:val="009F73C9"/>
    <w:rsid w:val="00A00A07"/>
    <w:rsid w:val="00A02455"/>
    <w:rsid w:val="00A03E79"/>
    <w:rsid w:val="00A107B3"/>
    <w:rsid w:val="00A12B6D"/>
    <w:rsid w:val="00A14898"/>
    <w:rsid w:val="00A17292"/>
    <w:rsid w:val="00A27332"/>
    <w:rsid w:val="00A310F3"/>
    <w:rsid w:val="00A32644"/>
    <w:rsid w:val="00A3724D"/>
    <w:rsid w:val="00A37A9B"/>
    <w:rsid w:val="00A4008F"/>
    <w:rsid w:val="00A42FBD"/>
    <w:rsid w:val="00A5113C"/>
    <w:rsid w:val="00A525B9"/>
    <w:rsid w:val="00A575FC"/>
    <w:rsid w:val="00A608F6"/>
    <w:rsid w:val="00A66AC8"/>
    <w:rsid w:val="00A67863"/>
    <w:rsid w:val="00A70557"/>
    <w:rsid w:val="00A739EA"/>
    <w:rsid w:val="00A73FDA"/>
    <w:rsid w:val="00A77317"/>
    <w:rsid w:val="00A90826"/>
    <w:rsid w:val="00A93476"/>
    <w:rsid w:val="00A95FB0"/>
    <w:rsid w:val="00AB3000"/>
    <w:rsid w:val="00AB6599"/>
    <w:rsid w:val="00AC3F17"/>
    <w:rsid w:val="00AE1221"/>
    <w:rsid w:val="00AF205E"/>
    <w:rsid w:val="00AF41B0"/>
    <w:rsid w:val="00AF5A70"/>
    <w:rsid w:val="00AF7AF9"/>
    <w:rsid w:val="00B017A5"/>
    <w:rsid w:val="00B04D1F"/>
    <w:rsid w:val="00B0622B"/>
    <w:rsid w:val="00B111AB"/>
    <w:rsid w:val="00B1528D"/>
    <w:rsid w:val="00B20994"/>
    <w:rsid w:val="00B2713B"/>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46A3"/>
    <w:rsid w:val="00BA010D"/>
    <w:rsid w:val="00BA3E54"/>
    <w:rsid w:val="00BA75AF"/>
    <w:rsid w:val="00BD1EDB"/>
    <w:rsid w:val="00BE1FE1"/>
    <w:rsid w:val="00BE2981"/>
    <w:rsid w:val="00BF056F"/>
    <w:rsid w:val="00BF2BC5"/>
    <w:rsid w:val="00BF321E"/>
    <w:rsid w:val="00BF3BAC"/>
    <w:rsid w:val="00BF50D6"/>
    <w:rsid w:val="00C00032"/>
    <w:rsid w:val="00C129B9"/>
    <w:rsid w:val="00C12DE6"/>
    <w:rsid w:val="00C15B7B"/>
    <w:rsid w:val="00C23E57"/>
    <w:rsid w:val="00C260C9"/>
    <w:rsid w:val="00C26E3E"/>
    <w:rsid w:val="00C32699"/>
    <w:rsid w:val="00C33276"/>
    <w:rsid w:val="00C35494"/>
    <w:rsid w:val="00C42B54"/>
    <w:rsid w:val="00C43F22"/>
    <w:rsid w:val="00C4471E"/>
    <w:rsid w:val="00C44B4E"/>
    <w:rsid w:val="00C50737"/>
    <w:rsid w:val="00C50F62"/>
    <w:rsid w:val="00C54CD1"/>
    <w:rsid w:val="00C57A84"/>
    <w:rsid w:val="00C6176E"/>
    <w:rsid w:val="00C61F00"/>
    <w:rsid w:val="00C659AB"/>
    <w:rsid w:val="00C6719E"/>
    <w:rsid w:val="00C7169D"/>
    <w:rsid w:val="00C76E4E"/>
    <w:rsid w:val="00C8418E"/>
    <w:rsid w:val="00C84CC1"/>
    <w:rsid w:val="00C91699"/>
    <w:rsid w:val="00C97CC2"/>
    <w:rsid w:val="00C97F2B"/>
    <w:rsid w:val="00CA080B"/>
    <w:rsid w:val="00CA25B2"/>
    <w:rsid w:val="00CA2A88"/>
    <w:rsid w:val="00CB359C"/>
    <w:rsid w:val="00CC0085"/>
    <w:rsid w:val="00CC21C9"/>
    <w:rsid w:val="00CC51FF"/>
    <w:rsid w:val="00CD62FF"/>
    <w:rsid w:val="00CE2434"/>
    <w:rsid w:val="00CE4C99"/>
    <w:rsid w:val="00CE5EE2"/>
    <w:rsid w:val="00CE7358"/>
    <w:rsid w:val="00CF01A5"/>
    <w:rsid w:val="00D00048"/>
    <w:rsid w:val="00D0044E"/>
    <w:rsid w:val="00D07E76"/>
    <w:rsid w:val="00D10D3A"/>
    <w:rsid w:val="00D2010B"/>
    <w:rsid w:val="00D20E23"/>
    <w:rsid w:val="00D21C2C"/>
    <w:rsid w:val="00D2517B"/>
    <w:rsid w:val="00D25F7E"/>
    <w:rsid w:val="00D27573"/>
    <w:rsid w:val="00D3030F"/>
    <w:rsid w:val="00D3273A"/>
    <w:rsid w:val="00D401C8"/>
    <w:rsid w:val="00D40E5E"/>
    <w:rsid w:val="00D42F12"/>
    <w:rsid w:val="00D435F4"/>
    <w:rsid w:val="00D477C4"/>
    <w:rsid w:val="00D55AD3"/>
    <w:rsid w:val="00D55BB5"/>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6763"/>
    <w:rsid w:val="00DE21C3"/>
    <w:rsid w:val="00DE5974"/>
    <w:rsid w:val="00DF189F"/>
    <w:rsid w:val="00DF2553"/>
    <w:rsid w:val="00DF6946"/>
    <w:rsid w:val="00E03CCC"/>
    <w:rsid w:val="00E061E1"/>
    <w:rsid w:val="00E07C76"/>
    <w:rsid w:val="00E10006"/>
    <w:rsid w:val="00E104D1"/>
    <w:rsid w:val="00E11F8B"/>
    <w:rsid w:val="00E1699D"/>
    <w:rsid w:val="00E25F9C"/>
    <w:rsid w:val="00E31153"/>
    <w:rsid w:val="00E360E5"/>
    <w:rsid w:val="00E3647D"/>
    <w:rsid w:val="00E450CC"/>
    <w:rsid w:val="00E46FDA"/>
    <w:rsid w:val="00E507FC"/>
    <w:rsid w:val="00E54704"/>
    <w:rsid w:val="00E54EEF"/>
    <w:rsid w:val="00E5669C"/>
    <w:rsid w:val="00E61A8D"/>
    <w:rsid w:val="00E63058"/>
    <w:rsid w:val="00E638CC"/>
    <w:rsid w:val="00E73450"/>
    <w:rsid w:val="00E73568"/>
    <w:rsid w:val="00E8348A"/>
    <w:rsid w:val="00E871F3"/>
    <w:rsid w:val="00E90359"/>
    <w:rsid w:val="00E90510"/>
    <w:rsid w:val="00E94F29"/>
    <w:rsid w:val="00E955B8"/>
    <w:rsid w:val="00E96219"/>
    <w:rsid w:val="00EA449D"/>
    <w:rsid w:val="00EA6405"/>
    <w:rsid w:val="00EB0DC4"/>
    <w:rsid w:val="00EB0EDA"/>
    <w:rsid w:val="00EB4177"/>
    <w:rsid w:val="00EB4D22"/>
    <w:rsid w:val="00EB64CF"/>
    <w:rsid w:val="00EB6E48"/>
    <w:rsid w:val="00EB72F2"/>
    <w:rsid w:val="00EC2A84"/>
    <w:rsid w:val="00EC3758"/>
    <w:rsid w:val="00EC4B09"/>
    <w:rsid w:val="00EC5142"/>
    <w:rsid w:val="00EC6B13"/>
    <w:rsid w:val="00ED0A15"/>
    <w:rsid w:val="00ED26D0"/>
    <w:rsid w:val="00ED3BA5"/>
    <w:rsid w:val="00ED6FD1"/>
    <w:rsid w:val="00EE0513"/>
    <w:rsid w:val="00EE0E08"/>
    <w:rsid w:val="00EE278D"/>
    <w:rsid w:val="00EE5809"/>
    <w:rsid w:val="00EE5FED"/>
    <w:rsid w:val="00EF09B1"/>
    <w:rsid w:val="00EF33AC"/>
    <w:rsid w:val="00EF3FD3"/>
    <w:rsid w:val="00EF62CE"/>
    <w:rsid w:val="00F0006D"/>
    <w:rsid w:val="00F01773"/>
    <w:rsid w:val="00F052B9"/>
    <w:rsid w:val="00F056ED"/>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658B6"/>
    <w:rsid w:val="00F670B0"/>
    <w:rsid w:val="00F679B4"/>
    <w:rsid w:val="00F76054"/>
    <w:rsid w:val="00F76E31"/>
    <w:rsid w:val="00F77726"/>
    <w:rsid w:val="00F77DF3"/>
    <w:rsid w:val="00F83493"/>
    <w:rsid w:val="00F85D04"/>
    <w:rsid w:val="00F860CE"/>
    <w:rsid w:val="00F90A82"/>
    <w:rsid w:val="00F93A27"/>
    <w:rsid w:val="00F93B87"/>
    <w:rsid w:val="00F94A27"/>
    <w:rsid w:val="00F97820"/>
    <w:rsid w:val="00FA07A9"/>
    <w:rsid w:val="00FA6FCB"/>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1EC"/>
    <w:rsid w:val="00FD258F"/>
    <w:rsid w:val="00FD4279"/>
    <w:rsid w:val="00FD6DCF"/>
    <w:rsid w:val="00FE2992"/>
    <w:rsid w:val="00FE40B6"/>
    <w:rsid w:val="00FF09BF"/>
    <w:rsid w:val="0E63329C"/>
    <w:rsid w:val="105A0E5F"/>
    <w:rsid w:val="1B59E1E2"/>
    <w:rsid w:val="21B8E4AE"/>
    <w:rsid w:val="23099F69"/>
    <w:rsid w:val="532D5FFA"/>
    <w:rsid w:val="5707600C"/>
    <w:rsid w:val="5D0C17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tabs>
        <w:tab w:val="clear" w:pos="1843"/>
        <w:tab w:val="num" w:pos="1134"/>
      </w:tabs>
      <w:ind w:left="1134"/>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gov.uk/government/publications/delivering-a-data-maturity-assessment-objectives-and-resources" TargetMode="External"/><Relationship Id="rId39" Type="http://schemas.openxmlformats.org/officeDocument/2006/relationships/footer" Target="footer8.xml"/><Relationship Id="rId21" Type="http://schemas.openxmlformats.org/officeDocument/2006/relationships/header" Target="header5.xml"/><Relationship Id="rId34" Type="http://schemas.openxmlformats.org/officeDocument/2006/relationships/header" Target="header8.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7.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collections/data-maturity-assessment-for-government" TargetMode="External"/><Relationship Id="rId32" Type="http://schemas.openxmlformats.org/officeDocument/2006/relationships/hyperlink" Target="https://www.gov.uk/contracts-finder" TargetMode="Externa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rr.gov.uk/" TargetMode="External"/><Relationship Id="rId28" Type="http://schemas.openxmlformats.org/officeDocument/2006/relationships/header" Target="header6.xm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orr.gov.uk/media/23638" TargetMode="External"/><Relationship Id="rId30" Type="http://schemas.openxmlformats.org/officeDocument/2006/relationships/image" Target="media/image4.png"/><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bipsolutions.com/news-and-resources/cpv-codes/" TargetMode="External"/><Relationship Id="rId17" Type="http://schemas.openxmlformats.org/officeDocument/2006/relationships/header" Target="header3.xml"/><Relationship Id="rId25" Type="http://schemas.openxmlformats.org/officeDocument/2006/relationships/hyperlink" Target="https://www.gov.uk/government/collections/data-maturity-assessment-for-government" TargetMode="External"/><Relationship Id="rId33" Type="http://schemas.openxmlformats.org/officeDocument/2006/relationships/hyperlink" Target="mailto:procurementteam@orr.gov.uk" TargetMode="External"/><Relationship Id="rId38" Type="http://schemas.openxmlformats.org/officeDocument/2006/relationships/header" Target="header10.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77E07"/>
    <w:rsid w:val="000B1AC2"/>
    <w:rsid w:val="001D34EA"/>
    <w:rsid w:val="00404EB5"/>
    <w:rsid w:val="00843948"/>
    <w:rsid w:val="009E0644"/>
    <w:rsid w:val="00A257DF"/>
    <w:rsid w:val="00A72823"/>
    <w:rsid w:val="00AC0B23"/>
    <w:rsid w:val="00AF1BD4"/>
    <w:rsid w:val="00B40067"/>
    <w:rsid w:val="00F0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2023-05-31T00:00:00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65d840-bd66-4daf-9142-30cd227ffbe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670D8C309EE7340B8BBB6FF46D9EF03" ma:contentTypeVersion="10" ma:contentTypeDescription="Create a new document." ma:contentTypeScope="" ma:versionID="cbff3121f59a6f3a4673563aa3389b95">
  <xsd:schema xmlns:xsd="http://www.w3.org/2001/XMLSchema" xmlns:xs="http://www.w3.org/2001/XMLSchema" xmlns:p="http://schemas.microsoft.com/office/2006/metadata/properties" xmlns:ns2="9665d840-bd66-4daf-9142-30cd227ffbea" xmlns:ns3="33d7e93e-f0ba-408f-8b5d-7452cde93a5b" targetNamespace="http://schemas.microsoft.com/office/2006/metadata/properties" ma:root="true" ma:fieldsID="0fbb5f048c860e1e3060a05ee678e115" ns2:_="" ns3:_="">
    <xsd:import namespace="9665d840-bd66-4daf-9142-30cd227ffbea"/>
    <xsd:import namespace="33d7e93e-f0ba-408f-8b5d-7452cde93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5d840-bd66-4daf-9142-30cd227ff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dd8e3b1-a911-49ea-919b-95e63e855b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d7e93e-f0ba-408f-8b5d-7452cde93a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7E8187-2F9F-42BF-9340-BB6A074EEED1}">
  <ds:schemaRefs>
    <ds:schemaRef ds:uri="http://schemas.microsoft.com/sharepoint/v3/contenttype/forms"/>
  </ds:schemaRefs>
</ds:datastoreItem>
</file>

<file path=customXml/itemProps3.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4.xml><?xml version="1.0" encoding="utf-8"?>
<ds:datastoreItem xmlns:ds="http://schemas.openxmlformats.org/officeDocument/2006/customXml" ds:itemID="{38F294CC-3A7E-4A81-BBCD-1E388DD0D573}">
  <ds:schemaRefs>
    <ds:schemaRef ds:uri="http://schemas.microsoft.com/office/infopath/2007/PartnerControls"/>
    <ds:schemaRef ds:uri="http://schemas.microsoft.com/office/2006/metadata/properties"/>
    <ds:schemaRef ds:uri="http://www.w3.org/XML/1998/namespace"/>
    <ds:schemaRef ds:uri="33d7e93e-f0ba-408f-8b5d-7452cde93a5b"/>
    <ds:schemaRef ds:uri="http://schemas.openxmlformats.org/package/2006/metadata/core-properties"/>
    <ds:schemaRef ds:uri="http://schemas.microsoft.com/office/2006/documentManagement/types"/>
    <ds:schemaRef ds:uri="http://purl.org/dc/elements/1.1/"/>
    <ds:schemaRef ds:uri="http://purl.org/dc/terms/"/>
    <ds:schemaRef ds:uri="9665d840-bd66-4daf-9142-30cd227ffbea"/>
    <ds:schemaRef ds:uri="http://purl.org/dc/dcmitype/"/>
  </ds:schemaRefs>
</ds:datastoreItem>
</file>

<file path=customXml/itemProps5.xml><?xml version="1.0" encoding="utf-8"?>
<ds:datastoreItem xmlns:ds="http://schemas.openxmlformats.org/officeDocument/2006/customXml" ds:itemID="{0E1AF838-D8C5-4406-96B9-CEF2E3C6E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5d840-bd66-4daf-9142-30cd227ffbea"/>
    <ds:schemaRef ds:uri="33d7e93e-f0ba-408f-8b5d-7452cde93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Long Report</Template>
  <TotalTime>36</TotalTime>
  <Pages>22</Pages>
  <Words>4612</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Data maturity assessment</dc:subject>
  <dc:creator>Angeriz-Santos, Paula</dc:creator>
  <cp:keywords/>
  <dc:description/>
  <cp:lastModifiedBy>Augusto, Barbara</cp:lastModifiedBy>
  <cp:revision>6</cp:revision>
  <cp:lastPrinted>2021-02-24T15:29:00Z</cp:lastPrinted>
  <dcterms:created xsi:type="dcterms:W3CDTF">2023-05-25T15:05:00Z</dcterms:created>
  <dcterms:modified xsi:type="dcterms:W3CDTF">2023-05-31T09:59:00Z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0x010100D670D8C309EE7340B8BBB6FF46D9EF03</vt:lpwstr>
  </property>
  <property fmtid="{D5CDD505-2E9C-101B-9397-08002B2CF9AE}" pid="3" name="MediaServiceImageTags">
    <vt:lpwstr/>
  </property>
</Properties>
</file>