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6FD5E935" w:rsidR="00780CED" w:rsidRPr="001F69F2" w:rsidRDefault="00780CED" w:rsidP="00780CED">
      <w:pPr>
        <w:pStyle w:val="Header"/>
        <w:ind w:left="0"/>
        <w:jc w:val="center"/>
        <w:rPr>
          <w:b/>
          <w:sz w:val="28"/>
          <w:szCs w:val="28"/>
        </w:rPr>
      </w:pPr>
      <w:r w:rsidRPr="001F69F2">
        <w:rPr>
          <w:b/>
          <w:sz w:val="28"/>
          <w:szCs w:val="28"/>
        </w:rPr>
        <w:t xml:space="preserve">Provision of </w:t>
      </w:r>
      <w:r w:rsidR="001F69F2" w:rsidRPr="001F69F2">
        <w:rPr>
          <w:b/>
          <w:sz w:val="28"/>
          <w:szCs w:val="28"/>
        </w:rPr>
        <w:t>Consultancy for</w:t>
      </w:r>
    </w:p>
    <w:p w14:paraId="50F205D0" w14:textId="7C607EA0" w:rsidR="001F69F2" w:rsidRPr="001F69F2" w:rsidRDefault="001F69F2" w:rsidP="00780CED">
      <w:pPr>
        <w:pStyle w:val="Header"/>
        <w:ind w:left="0"/>
        <w:jc w:val="center"/>
        <w:rPr>
          <w:b/>
          <w:sz w:val="28"/>
          <w:szCs w:val="28"/>
        </w:rPr>
      </w:pPr>
      <w:r w:rsidRPr="001F69F2">
        <w:rPr>
          <w:b/>
          <w:sz w:val="28"/>
          <w:szCs w:val="28"/>
        </w:rPr>
        <w:t>Defence Healthcare Delivery Optimisation Implementation</w:t>
      </w:r>
    </w:p>
    <w:p w14:paraId="0677FD00" w14:textId="77777777" w:rsidR="00E66F0B" w:rsidRPr="001F69F2" w:rsidRDefault="00E66F0B" w:rsidP="00E66F0B">
      <w:pPr>
        <w:ind w:left="0"/>
        <w:jc w:val="center"/>
        <w:rPr>
          <w:b/>
          <w:sz w:val="28"/>
          <w:szCs w:val="28"/>
        </w:rPr>
      </w:pPr>
      <w:r w:rsidRPr="001F69F2">
        <w:rPr>
          <w:b/>
          <w:sz w:val="28"/>
          <w:szCs w:val="28"/>
        </w:rPr>
        <w:t>TO</w:t>
      </w:r>
    </w:p>
    <w:p w14:paraId="4431A2C5" w14:textId="0D883D2C" w:rsidR="00E66F0B" w:rsidRPr="001F69F2" w:rsidRDefault="001F69F2" w:rsidP="00E66F0B">
      <w:pPr>
        <w:ind w:left="0"/>
        <w:jc w:val="center"/>
        <w:rPr>
          <w:b/>
          <w:sz w:val="28"/>
          <w:szCs w:val="28"/>
        </w:rPr>
      </w:pPr>
      <w:r w:rsidRPr="001F69F2">
        <w:rPr>
          <w:b/>
          <w:sz w:val="28"/>
          <w:szCs w:val="28"/>
        </w:rPr>
        <w:t>Ministry of Defence</w:t>
      </w:r>
      <w:r w:rsidR="00E02A86" w:rsidRPr="001F69F2">
        <w:rPr>
          <w:b/>
          <w:sz w:val="28"/>
          <w:szCs w:val="28"/>
        </w:rPr>
        <w:t xml:space="preserve"> </w:t>
      </w:r>
    </w:p>
    <w:p w14:paraId="3F3E3B21" w14:textId="77777777" w:rsidR="00E66F0B" w:rsidRPr="001F69F2" w:rsidRDefault="00E66F0B" w:rsidP="00E66F0B">
      <w:pPr>
        <w:ind w:left="0"/>
        <w:jc w:val="center"/>
        <w:rPr>
          <w:b/>
          <w:sz w:val="28"/>
          <w:szCs w:val="28"/>
        </w:rPr>
      </w:pPr>
    </w:p>
    <w:p w14:paraId="516F397A" w14:textId="77777777" w:rsidR="00E66F0B" w:rsidRPr="001F69F2" w:rsidRDefault="00E66F0B" w:rsidP="00E66F0B">
      <w:pPr>
        <w:pStyle w:val="Header"/>
        <w:ind w:left="0"/>
        <w:jc w:val="center"/>
        <w:rPr>
          <w:b/>
          <w:sz w:val="28"/>
          <w:szCs w:val="28"/>
        </w:rPr>
      </w:pPr>
      <w:r w:rsidRPr="001F69F2">
        <w:rPr>
          <w:b/>
          <w:sz w:val="28"/>
          <w:szCs w:val="28"/>
        </w:rPr>
        <w:t>From</w:t>
      </w:r>
    </w:p>
    <w:p w14:paraId="32FCEB04" w14:textId="4943CE9B" w:rsidR="00E66F0B" w:rsidRPr="001F69F2" w:rsidRDefault="004B17AC" w:rsidP="00E66F0B">
      <w:pPr>
        <w:pStyle w:val="Header"/>
        <w:ind w:left="0"/>
        <w:jc w:val="center"/>
        <w:rPr>
          <w:b/>
          <w:sz w:val="28"/>
          <w:szCs w:val="28"/>
        </w:rPr>
      </w:pPr>
      <w:proofErr w:type="spellStart"/>
      <w:r>
        <w:rPr>
          <w:b/>
          <w:sz w:val="28"/>
          <w:szCs w:val="28"/>
        </w:rPr>
        <w:t>Prederi</w:t>
      </w:r>
      <w:proofErr w:type="spellEnd"/>
      <w:r>
        <w:rPr>
          <w:b/>
          <w:sz w:val="28"/>
          <w:szCs w:val="28"/>
        </w:rPr>
        <w:t xml:space="preserve"> Limited</w:t>
      </w:r>
    </w:p>
    <w:p w14:paraId="2BD0CF4C" w14:textId="77777777" w:rsidR="00E66F0B" w:rsidRPr="001F69F2" w:rsidRDefault="00E66F0B" w:rsidP="00E66F0B">
      <w:pPr>
        <w:ind w:left="0"/>
        <w:jc w:val="center"/>
        <w:rPr>
          <w:sz w:val="28"/>
          <w:szCs w:val="28"/>
        </w:rPr>
      </w:pPr>
    </w:p>
    <w:p w14:paraId="04AD5E18" w14:textId="77777777" w:rsidR="00E66F0B" w:rsidRPr="001F69F2" w:rsidRDefault="00E66F0B" w:rsidP="00E66F0B">
      <w:pPr>
        <w:ind w:left="0"/>
        <w:jc w:val="center"/>
        <w:rPr>
          <w:sz w:val="28"/>
          <w:szCs w:val="28"/>
        </w:rPr>
      </w:pPr>
    </w:p>
    <w:p w14:paraId="09FF7D23" w14:textId="04B136A6" w:rsidR="00E66F0B" w:rsidRPr="001F69F2" w:rsidRDefault="00E66F0B" w:rsidP="00E66F0B">
      <w:pPr>
        <w:ind w:left="0"/>
        <w:jc w:val="center"/>
        <w:rPr>
          <w:sz w:val="28"/>
          <w:szCs w:val="28"/>
        </w:rPr>
      </w:pPr>
      <w:r w:rsidRPr="001F69F2">
        <w:rPr>
          <w:b/>
          <w:sz w:val="28"/>
          <w:szCs w:val="28"/>
        </w:rPr>
        <w:t xml:space="preserve">Contract Reference: </w:t>
      </w:r>
      <w:r w:rsidR="001F69F2" w:rsidRPr="001F69F2">
        <w:rPr>
          <w:b/>
          <w:sz w:val="28"/>
          <w:szCs w:val="28"/>
        </w:rPr>
        <w:t>CCCC18A94</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0F5FA396" w14:textId="77777777" w:rsidR="004F2451" w:rsidRDefault="004F2451" w:rsidP="001F69F2">
      <w:pPr>
        <w:pStyle w:val="MarginText"/>
        <w:ind w:left="0"/>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3E166517" w14:textId="466293ED"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rsidP="00B57B10">
      <w:pPr>
        <w:pStyle w:val="GPSTITLES"/>
        <w:jc w:val="both"/>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465C7367" w:rsidR="004E05DC" w:rsidRPr="00AA4B04" w:rsidRDefault="00F770DB">
      <w:pPr>
        <w:spacing w:after="0"/>
        <w:ind w:left="0"/>
      </w:pPr>
      <w:r w:rsidRPr="00AA4B04">
        <w:t xml:space="preserve">This Call </w:t>
      </w:r>
      <w:proofErr w:type="gramStart"/>
      <w:r w:rsidRPr="00AA4B04">
        <w:t>Off</w:t>
      </w:r>
      <w:proofErr w:type="gramEnd"/>
      <w:r w:rsidRPr="00AA4B04">
        <w:t xml:space="preserve"> Order </w:t>
      </w:r>
      <w:r w:rsidRPr="00B57B10">
        <w:t>Form is issued in accordance with the provisions of the Framework Agreement</w:t>
      </w:r>
      <w:r w:rsidRPr="00B57B10">
        <w:rPr>
          <w:rStyle w:val="FootnoteReference"/>
          <w:b/>
        </w:rPr>
        <w:t xml:space="preserve"> </w:t>
      </w:r>
      <w:r w:rsidRPr="00B57B10">
        <w:t xml:space="preserve">for the provision of </w:t>
      </w:r>
      <w:r w:rsidR="00B57B10" w:rsidRPr="00B57B10">
        <w:rPr>
          <w:b/>
        </w:rPr>
        <w:t xml:space="preserve">consultancy for Defence Healthcare Delivery Optimisation Implementation </w:t>
      </w:r>
      <w:r w:rsidRPr="00B57B10">
        <w:t xml:space="preserve">dated </w:t>
      </w:r>
      <w:r w:rsidR="00940B2F">
        <w:rPr>
          <w:b/>
          <w:color w:val="000000"/>
        </w:rPr>
        <w:t>Wednesday 12</w:t>
      </w:r>
      <w:r w:rsidR="00940B2F" w:rsidRPr="00940B2F">
        <w:rPr>
          <w:b/>
          <w:color w:val="000000"/>
          <w:vertAlign w:val="superscript"/>
        </w:rPr>
        <w:t>th</w:t>
      </w:r>
      <w:r w:rsidR="00940B2F">
        <w:rPr>
          <w:b/>
          <w:color w:val="000000"/>
        </w:rPr>
        <w:t xml:space="preserve"> December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65159C44" w:rsidR="00780CED" w:rsidRDefault="00780CED" w:rsidP="00780CED">
            <w:pPr>
              <w:spacing w:after="0"/>
              <w:ind w:left="0"/>
              <w:jc w:val="left"/>
              <w:rPr>
                <w:b/>
              </w:rPr>
            </w:pPr>
            <w:r w:rsidRPr="00780CED">
              <w:rPr>
                <w:b/>
                <w:color w:val="000000"/>
              </w:rPr>
              <w:t>To be completed at Contract award</w:t>
            </w:r>
          </w:p>
          <w:p w14:paraId="6485C761" w14:textId="63C41A5F"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6BAEF0EF" w:rsidR="00780CED" w:rsidRPr="00780CED" w:rsidRDefault="00B57B10">
            <w:pPr>
              <w:spacing w:after="0"/>
              <w:ind w:left="0"/>
              <w:jc w:val="left"/>
              <w:rPr>
                <w:b/>
              </w:rPr>
            </w:pPr>
            <w:r>
              <w:rPr>
                <w:b/>
                <w:spacing w:val="-3"/>
                <w:lang w:eastAsia="en-GB"/>
              </w:rPr>
              <w:t>Ministry of Defence</w:t>
            </w:r>
          </w:p>
          <w:p w14:paraId="46FE65F4" w14:textId="77777777" w:rsidR="00780CED" w:rsidRDefault="00780CED">
            <w:pPr>
              <w:spacing w:after="0"/>
              <w:ind w:left="0"/>
              <w:jc w:val="left"/>
              <w:rPr>
                <w:b/>
              </w:rPr>
            </w:pPr>
            <w:r w:rsidRPr="00780CED">
              <w:rPr>
                <w:b/>
              </w:rPr>
              <w:t>("CUSTOMER")</w:t>
            </w:r>
          </w:p>
          <w:p w14:paraId="6485C766" w14:textId="315DE12F"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2B727897" w:rsidR="00780CED" w:rsidRPr="00780CED" w:rsidRDefault="00CD376B">
            <w:pPr>
              <w:spacing w:after="0"/>
              <w:ind w:left="0"/>
              <w:jc w:val="left"/>
              <w:rPr>
                <w:b/>
              </w:rPr>
            </w:pPr>
            <w:proofErr w:type="spellStart"/>
            <w:r>
              <w:rPr>
                <w:b/>
                <w:color w:val="000000"/>
              </w:rPr>
              <w:t>Prederi</w:t>
            </w:r>
            <w:proofErr w:type="spellEnd"/>
            <w:r>
              <w:rPr>
                <w:b/>
                <w:color w:val="000000"/>
              </w:rPr>
              <w:t xml:space="preserve"> Ltd</w:t>
            </w:r>
          </w:p>
          <w:p w14:paraId="3917A6A3" w14:textId="77777777" w:rsidR="00780CED" w:rsidRDefault="00780CED">
            <w:pPr>
              <w:spacing w:after="0"/>
              <w:ind w:left="0"/>
              <w:jc w:val="left"/>
              <w:rPr>
                <w:b/>
              </w:rPr>
            </w:pPr>
            <w:r w:rsidRPr="00780CED">
              <w:rPr>
                <w:b/>
              </w:rPr>
              <w:t>("SUPPLIER")</w:t>
            </w:r>
          </w:p>
          <w:p w14:paraId="6485C76B" w14:textId="4BEF7BC4"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9353BD" w:rsidRDefault="00F770DB">
      <w:pPr>
        <w:pStyle w:val="ORDERFORML1PraraNo"/>
        <w:rPr>
          <w:rFonts w:ascii="Arial" w:hAnsi="Arial" w:cs="Arial"/>
        </w:rPr>
      </w:pPr>
      <w:r w:rsidRPr="009353BD">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791A3260" w:rsidR="0022588B" w:rsidRPr="00C906C1" w:rsidRDefault="0022588B">
            <w:pPr>
              <w:overflowPunct/>
              <w:autoSpaceDE/>
              <w:autoSpaceDN/>
              <w:adjustRightInd/>
              <w:spacing w:after="0"/>
              <w:ind w:left="0" w:right="936"/>
              <w:jc w:val="left"/>
              <w:textAlignment w:val="auto"/>
              <w:rPr>
                <w:rFonts w:eastAsia="STZhongsong"/>
                <w:b/>
                <w:lang w:eastAsia="zh-CN"/>
              </w:rPr>
            </w:pPr>
            <w:r w:rsidRPr="00C906C1">
              <w:rPr>
                <w:rFonts w:eastAsia="STZhongsong"/>
                <w:b/>
                <w:lang w:eastAsia="zh-CN"/>
              </w:rPr>
              <w:t>Commencement Date</w:t>
            </w:r>
            <w:r w:rsidRPr="00C906C1">
              <w:rPr>
                <w:rFonts w:eastAsia="STZhongsong"/>
                <w:lang w:eastAsia="zh-CN"/>
              </w:rPr>
              <w:t xml:space="preserve">:  </w:t>
            </w:r>
            <w:r w:rsidR="009353BD" w:rsidRPr="00C906C1">
              <w:rPr>
                <w:rFonts w:eastAsia="STZhongsong"/>
                <w:b/>
                <w:lang w:eastAsia="zh-CN"/>
              </w:rPr>
              <w:t xml:space="preserve">Monday </w:t>
            </w:r>
            <w:r w:rsidR="00C906C1" w:rsidRPr="00C906C1">
              <w:rPr>
                <w:rFonts w:eastAsia="STZhongsong"/>
                <w:b/>
                <w:lang w:eastAsia="zh-CN"/>
              </w:rPr>
              <w:t>31</w:t>
            </w:r>
            <w:r w:rsidR="00C906C1" w:rsidRPr="00C906C1">
              <w:rPr>
                <w:rFonts w:eastAsia="STZhongsong"/>
                <w:b/>
                <w:vertAlign w:val="superscript"/>
                <w:lang w:eastAsia="zh-CN"/>
              </w:rPr>
              <w:t>st</w:t>
            </w:r>
            <w:r w:rsidR="00C906C1" w:rsidRPr="00C906C1">
              <w:rPr>
                <w:rFonts w:eastAsia="STZhongsong"/>
                <w:b/>
                <w:lang w:eastAsia="zh-CN"/>
              </w:rPr>
              <w:t xml:space="preserve"> </w:t>
            </w:r>
            <w:r w:rsidR="009353BD" w:rsidRPr="00C906C1">
              <w:rPr>
                <w:rFonts w:eastAsia="STZhongsong"/>
                <w:b/>
                <w:lang w:eastAsia="zh-CN"/>
              </w:rPr>
              <w:t>December 2018</w:t>
            </w:r>
          </w:p>
          <w:p w14:paraId="6485C775" w14:textId="3DF14AA3" w:rsidR="0076386A" w:rsidRPr="00C906C1" w:rsidRDefault="0076386A" w:rsidP="009353BD">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C906C1" w:rsidRDefault="0022588B">
            <w:pPr>
              <w:numPr>
                <w:ilvl w:val="1"/>
                <w:numId w:val="0"/>
              </w:numPr>
              <w:overflowPunct/>
              <w:autoSpaceDE/>
              <w:autoSpaceDN/>
              <w:spacing w:after="0"/>
              <w:jc w:val="left"/>
              <w:textAlignment w:val="auto"/>
              <w:rPr>
                <w:rFonts w:eastAsia="STZhongsong"/>
                <w:lang w:eastAsia="zh-CN"/>
              </w:rPr>
            </w:pPr>
            <w:r w:rsidRPr="00C906C1">
              <w:rPr>
                <w:rFonts w:eastAsia="STZhongsong"/>
                <w:b/>
                <w:lang w:eastAsia="zh-CN"/>
              </w:rPr>
              <w:t>Expiry Date</w:t>
            </w:r>
            <w:r w:rsidRPr="00C906C1">
              <w:rPr>
                <w:rFonts w:eastAsia="STZhongsong"/>
                <w:lang w:eastAsia="zh-CN"/>
              </w:rPr>
              <w:t>:</w:t>
            </w:r>
          </w:p>
          <w:p w14:paraId="6485C77B" w14:textId="77777777" w:rsidR="0022588B" w:rsidRPr="00C906C1" w:rsidRDefault="0022588B">
            <w:pPr>
              <w:numPr>
                <w:ilvl w:val="1"/>
                <w:numId w:val="0"/>
              </w:numPr>
              <w:overflowPunct/>
              <w:autoSpaceDE/>
              <w:autoSpaceDN/>
              <w:spacing w:after="0"/>
              <w:jc w:val="left"/>
              <w:textAlignment w:val="auto"/>
              <w:rPr>
                <w:rFonts w:eastAsia="STZhongsong"/>
                <w:lang w:eastAsia="zh-CN"/>
              </w:rPr>
            </w:pPr>
          </w:p>
          <w:p w14:paraId="6485C77C" w14:textId="0F41671D" w:rsidR="0022588B" w:rsidRPr="00C906C1" w:rsidRDefault="00435855">
            <w:pPr>
              <w:overflowPunct/>
              <w:autoSpaceDE/>
              <w:autoSpaceDN/>
              <w:spacing w:after="0"/>
              <w:ind w:left="0"/>
              <w:jc w:val="left"/>
              <w:textAlignment w:val="auto"/>
              <w:rPr>
                <w:rFonts w:eastAsia="STZhongsong"/>
                <w:lang w:eastAsia="zh-CN"/>
              </w:rPr>
            </w:pPr>
            <w:r>
              <w:rPr>
                <w:rFonts w:eastAsia="STZhongsong"/>
                <w:lang w:eastAsia="zh-CN"/>
              </w:rPr>
              <w:t>End date of</w:t>
            </w:r>
            <w:r w:rsidR="0022588B" w:rsidRPr="00C906C1">
              <w:rPr>
                <w:rFonts w:eastAsia="STZhongsong"/>
                <w:lang w:eastAsia="zh-CN"/>
              </w:rPr>
              <w:t xml:space="preserve"> Period </w:t>
            </w:r>
            <w:r w:rsidR="00F81323">
              <w:rPr>
                <w:rFonts w:eastAsia="STZhongsong"/>
                <w:b/>
                <w:lang w:eastAsia="zh-CN"/>
              </w:rPr>
              <w:t>Monday 30</w:t>
            </w:r>
            <w:r w:rsidR="00F81323" w:rsidRPr="00F81323">
              <w:rPr>
                <w:rFonts w:eastAsia="STZhongsong"/>
                <w:b/>
                <w:vertAlign w:val="superscript"/>
                <w:lang w:eastAsia="zh-CN"/>
              </w:rPr>
              <w:t>th</w:t>
            </w:r>
            <w:r w:rsidR="00F81323">
              <w:rPr>
                <w:rFonts w:eastAsia="STZhongsong"/>
                <w:b/>
                <w:lang w:eastAsia="zh-CN"/>
              </w:rPr>
              <w:t xml:space="preserve"> September</w:t>
            </w:r>
            <w:r w:rsidR="00FC68E0" w:rsidRPr="00C906C1">
              <w:rPr>
                <w:rFonts w:eastAsia="STZhongsong"/>
                <w:b/>
                <w:lang w:eastAsia="zh-CN"/>
              </w:rPr>
              <w:t xml:space="preserve"> 2019</w:t>
            </w:r>
          </w:p>
          <w:p w14:paraId="6485C77D" w14:textId="77777777" w:rsidR="0022588B" w:rsidRPr="00C906C1" w:rsidRDefault="0022588B">
            <w:pPr>
              <w:overflowPunct/>
              <w:autoSpaceDE/>
              <w:autoSpaceDN/>
              <w:spacing w:after="0"/>
              <w:ind w:left="0"/>
              <w:jc w:val="left"/>
              <w:textAlignment w:val="auto"/>
              <w:rPr>
                <w:rFonts w:eastAsia="STZhongsong"/>
                <w:lang w:eastAsia="zh-CN"/>
              </w:rPr>
            </w:pPr>
          </w:p>
          <w:p w14:paraId="6485C781" w14:textId="77777777" w:rsidR="0076386A" w:rsidRPr="00C906C1" w:rsidRDefault="0076386A" w:rsidP="00FC68E0">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0A0C23FF" w14:textId="0ECDA3F7" w:rsidR="0022588B" w:rsidRDefault="0022588B">
            <w:pPr>
              <w:numPr>
                <w:ilvl w:val="1"/>
                <w:numId w:val="0"/>
              </w:numPr>
              <w:overflowPunct/>
              <w:autoSpaceDE/>
              <w:autoSpaceDN/>
              <w:spacing w:after="0"/>
              <w:jc w:val="left"/>
              <w:textAlignment w:val="auto"/>
              <w:rPr>
                <w:b/>
                <w:color w:val="000000"/>
              </w:rPr>
            </w:pPr>
            <w:r w:rsidRPr="00780CED">
              <w:rPr>
                <w:b/>
                <w:color w:val="000000"/>
              </w:rPr>
              <w:t>To be completed at Contract award</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9353BD">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142C429C" w:rsidR="0076386A" w:rsidRPr="00435855" w:rsidRDefault="00435855">
            <w:pPr>
              <w:ind w:left="0"/>
            </w:pPr>
            <w:r w:rsidRPr="00435855">
              <w:rPr>
                <w:color w:val="000000"/>
              </w:rPr>
              <w:t>Not Applied</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D25E1EE" w:rsidR="0076386A" w:rsidRPr="00AA4B04" w:rsidRDefault="00940B2F"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Requirements</w:t>
            </w:r>
            <w:r w:rsidR="00435855">
              <w:rPr>
                <w:rFonts w:eastAsia="STZhongsong"/>
                <w:lang w:eastAsia="zh-CN"/>
              </w:rPr>
              <w:t xml:space="preserve"> section 11</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329BA259" w:rsidR="0022588B" w:rsidRPr="00CD376B" w:rsidRDefault="00940B2F"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Requirements</w:t>
            </w:r>
            <w:r w:rsidR="00435855">
              <w:rPr>
                <w:rFonts w:eastAsia="STZhongsong"/>
                <w:lang w:eastAsia="zh-CN"/>
              </w:rPr>
              <w:t xml:space="preserve"> section 16</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0444C4E" w14:textId="77777777" w:rsidR="009353BD" w:rsidRDefault="0022588B" w:rsidP="009353B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Period for</w:t>
            </w:r>
            <w:r w:rsidR="009353BD">
              <w:rPr>
                <w:rFonts w:eastAsia="STZhongsong"/>
                <w:b/>
                <w:lang w:eastAsia="zh-CN"/>
              </w:rPr>
              <w:t xml:space="preserve"> providing Rectification Plan: </w:t>
            </w:r>
          </w:p>
          <w:p w14:paraId="6485C7BB" w14:textId="14292D27" w:rsidR="0076386A" w:rsidRPr="009353BD" w:rsidRDefault="0076386A" w:rsidP="009353BD">
            <w:pPr>
              <w:numPr>
                <w:ilvl w:val="1"/>
                <w:numId w:val="0"/>
              </w:numPr>
              <w:overflowPunct/>
              <w:autoSpaceDE/>
              <w:autoSpaceDN/>
              <w:spacing w:after="120"/>
              <w:jc w:val="left"/>
              <w:textAlignment w:val="auto"/>
              <w:rPr>
                <w:rFonts w:eastAsia="STZhongsong"/>
                <w:b/>
                <w:lang w:eastAsia="zh-CN"/>
              </w:rPr>
            </w:pPr>
            <w:r w:rsidRPr="009353BD">
              <w:t xml:space="preserve">In Clause </w:t>
            </w:r>
            <w:r w:rsidRPr="009353BD">
              <w:fldChar w:fldCharType="begin"/>
            </w:r>
            <w:r w:rsidRPr="009353BD">
              <w:instrText xml:space="preserve"> REF _Ref364356451 \r \h  \* MERGEFORMAT </w:instrText>
            </w:r>
            <w:r w:rsidRPr="009353BD">
              <w:fldChar w:fldCharType="separate"/>
            </w:r>
            <w:r w:rsidRPr="009353BD">
              <w:t>39.2.1(a)</w:t>
            </w:r>
            <w:r w:rsidRPr="009353BD">
              <w:fldChar w:fldCharType="end"/>
            </w:r>
            <w:r w:rsidRPr="009353BD">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528A0A0" w14:textId="5EF4046F" w:rsidR="0076386A" w:rsidRPr="00435855" w:rsidRDefault="00435855" w:rsidP="0022588B">
            <w:pPr>
              <w:ind w:left="0"/>
              <w:rPr>
                <w:color w:val="000000"/>
              </w:rPr>
            </w:pPr>
            <w:r w:rsidRPr="00435855">
              <w:rPr>
                <w:color w:val="000000"/>
              </w:rPr>
              <w:t xml:space="preserve">Customer: </w:t>
            </w:r>
            <w:r w:rsidR="00DC0657">
              <w:rPr>
                <w:b/>
                <w:color w:val="000000"/>
              </w:rPr>
              <w:t>Redacted</w:t>
            </w:r>
          </w:p>
          <w:p w14:paraId="6485C7C3" w14:textId="06E17FBE" w:rsidR="00435855" w:rsidRPr="009353BD" w:rsidRDefault="00435855" w:rsidP="00DC0657">
            <w:pPr>
              <w:ind w:left="0"/>
              <w:rPr>
                <w:b/>
                <w:color w:val="000000"/>
              </w:rPr>
            </w:pPr>
            <w:r w:rsidRPr="00435855">
              <w:rPr>
                <w:color w:val="000000"/>
              </w:rPr>
              <w:t xml:space="preserve">Supplier: </w:t>
            </w:r>
            <w:r w:rsidR="00DC0657">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12A70CC5"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6C6B084" w14:textId="3AAD5092" w:rsidR="009353BD" w:rsidRPr="009353BD" w:rsidRDefault="009353BD" w:rsidP="009353BD">
            <w:pPr>
              <w:numPr>
                <w:ilvl w:val="1"/>
                <w:numId w:val="0"/>
              </w:numPr>
              <w:overflowPunct/>
              <w:autoSpaceDE/>
              <w:autoSpaceDN/>
              <w:spacing w:after="120"/>
              <w:jc w:val="left"/>
              <w:textAlignment w:val="auto"/>
              <w:rPr>
                <w:rFonts w:eastAsia="STZhongsong"/>
                <w:lang w:eastAsia="zh-CN"/>
              </w:rPr>
            </w:pPr>
            <w:r w:rsidRPr="009353BD">
              <w:rPr>
                <w:rFonts w:eastAsia="STZhongsong"/>
                <w:lang w:eastAsia="zh-CN"/>
              </w:rPr>
              <w:t>Clause 28.2 to be applied</w:t>
            </w:r>
          </w:p>
          <w:p w14:paraId="6485C7C8" w14:textId="289FAE78"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1 of Call Off Schedule 3 (Call Off Contract Charges, Payment and Invoicing)</w:t>
            </w:r>
          </w:p>
          <w:p w14:paraId="6485C7D1" w14:textId="25F8B23B"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44627CBE" w:rsidR="004C60B0" w:rsidRPr="009353BD" w:rsidRDefault="009353BD">
            <w:pPr>
              <w:numPr>
                <w:ilvl w:val="1"/>
                <w:numId w:val="0"/>
              </w:numPr>
              <w:overflowPunct/>
              <w:autoSpaceDE/>
              <w:autoSpaceDN/>
              <w:spacing w:after="120"/>
              <w:jc w:val="left"/>
              <w:textAlignment w:val="auto"/>
            </w:pPr>
            <w:r w:rsidRPr="009353BD">
              <w:t>Please refer to Payment terms in Appendix B section 19.</w:t>
            </w:r>
            <w:r w:rsidR="004C60B0" w:rsidRPr="009353BD">
              <w:t xml:space="preserve"> </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1EA0B403" w:rsidR="007107F9" w:rsidRPr="007107F9" w:rsidRDefault="004C60B0" w:rsidP="007107F9">
            <w:pPr>
              <w:numPr>
                <w:ilvl w:val="1"/>
                <w:numId w:val="0"/>
              </w:numPr>
              <w:overflowPunct/>
              <w:autoSpaceDE/>
              <w:autoSpaceDN/>
              <w:spacing w:after="120"/>
              <w:jc w:val="left"/>
              <w:textAlignment w:val="auto"/>
              <w:rPr>
                <w:rFonts w:eastAsia="STZhongsong"/>
                <w:lang w:eastAsia="zh-CN"/>
              </w:rPr>
            </w:pPr>
            <w:r w:rsidRPr="007107F9">
              <w:rPr>
                <w:rFonts w:eastAsia="STZhongsong"/>
                <w:lang w:eastAsia="zh-CN"/>
              </w:rPr>
              <w:t>Permitted</w:t>
            </w:r>
            <w:r w:rsidR="00940B2F">
              <w:rPr>
                <w:rFonts w:eastAsia="STZhongsong"/>
                <w:lang w:eastAsia="zh-CN"/>
              </w:rPr>
              <w:t xml:space="preserve"> in line with Statement of Requirements</w:t>
            </w:r>
          </w:p>
          <w:p w14:paraId="6485C7DE" w14:textId="37443E30"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4E7CC771" w14:textId="389AB11A" w:rsidR="007107F9" w:rsidRPr="00DC0657" w:rsidRDefault="00DC0657" w:rsidP="007107F9">
            <w:pPr>
              <w:numPr>
                <w:ilvl w:val="1"/>
                <w:numId w:val="0"/>
              </w:numPr>
              <w:overflowPunct/>
              <w:autoSpaceDE/>
              <w:autoSpaceDN/>
              <w:spacing w:after="120"/>
              <w:jc w:val="left"/>
              <w:textAlignment w:val="auto"/>
              <w:rPr>
                <w:b/>
              </w:rPr>
            </w:pPr>
            <w:r>
              <w:rPr>
                <w:b/>
              </w:rPr>
              <w:t>Redacted</w:t>
            </w:r>
          </w:p>
          <w:p w14:paraId="23FC1BFC" w14:textId="77777777" w:rsidR="007107F9" w:rsidRPr="0026403A" w:rsidRDefault="007107F9" w:rsidP="007107F9">
            <w:pPr>
              <w:numPr>
                <w:ilvl w:val="1"/>
                <w:numId w:val="0"/>
              </w:numPr>
              <w:overflowPunct/>
              <w:autoSpaceDE/>
              <w:autoSpaceDN/>
              <w:spacing w:after="120"/>
              <w:jc w:val="left"/>
              <w:textAlignment w:val="auto"/>
            </w:pPr>
            <w:r w:rsidRPr="0026403A">
              <w:t>DMS Whittington</w:t>
            </w:r>
          </w:p>
          <w:p w14:paraId="19CA5589" w14:textId="77777777" w:rsidR="007107F9" w:rsidRPr="0026403A" w:rsidRDefault="007107F9" w:rsidP="007107F9">
            <w:pPr>
              <w:numPr>
                <w:ilvl w:val="1"/>
                <w:numId w:val="0"/>
              </w:numPr>
              <w:overflowPunct/>
              <w:autoSpaceDE/>
              <w:autoSpaceDN/>
              <w:spacing w:after="120"/>
              <w:jc w:val="left"/>
              <w:textAlignment w:val="auto"/>
            </w:pPr>
            <w:proofErr w:type="spellStart"/>
            <w:r w:rsidRPr="0026403A">
              <w:t>Coltman</w:t>
            </w:r>
            <w:proofErr w:type="spellEnd"/>
            <w:r w:rsidRPr="0026403A">
              <w:t xml:space="preserve"> House</w:t>
            </w:r>
          </w:p>
          <w:p w14:paraId="02402B16" w14:textId="77777777" w:rsidR="007107F9" w:rsidRPr="0026403A" w:rsidRDefault="007107F9" w:rsidP="007107F9">
            <w:pPr>
              <w:numPr>
                <w:ilvl w:val="1"/>
                <w:numId w:val="0"/>
              </w:numPr>
              <w:overflowPunct/>
              <w:autoSpaceDE/>
              <w:autoSpaceDN/>
              <w:spacing w:after="120"/>
              <w:jc w:val="left"/>
              <w:textAlignment w:val="auto"/>
            </w:pPr>
            <w:r w:rsidRPr="0026403A">
              <w:t>Whittington Barracks</w:t>
            </w:r>
          </w:p>
          <w:p w14:paraId="72C194F3" w14:textId="77777777" w:rsidR="007107F9" w:rsidRPr="0026403A" w:rsidRDefault="007107F9" w:rsidP="007107F9">
            <w:pPr>
              <w:numPr>
                <w:ilvl w:val="1"/>
                <w:numId w:val="0"/>
              </w:numPr>
              <w:overflowPunct/>
              <w:autoSpaceDE/>
              <w:autoSpaceDN/>
              <w:spacing w:after="120"/>
              <w:jc w:val="left"/>
              <w:textAlignment w:val="auto"/>
            </w:pPr>
            <w:r w:rsidRPr="0026403A">
              <w:t>Lichfield</w:t>
            </w:r>
          </w:p>
          <w:p w14:paraId="17E39EA0" w14:textId="40721FFB" w:rsidR="007107F9" w:rsidRPr="007107F9" w:rsidRDefault="007107F9" w:rsidP="007107F9">
            <w:pPr>
              <w:numPr>
                <w:ilvl w:val="1"/>
                <w:numId w:val="0"/>
              </w:numPr>
              <w:overflowPunct/>
              <w:autoSpaceDE/>
              <w:autoSpaceDN/>
              <w:spacing w:after="120"/>
              <w:jc w:val="left"/>
              <w:textAlignment w:val="auto"/>
            </w:pPr>
            <w:r>
              <w:t>WS14 9PY</w:t>
            </w:r>
          </w:p>
          <w:p w14:paraId="6485C7E3" w14:textId="62DE12DE"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215C2C49" w:rsidR="004C60B0" w:rsidRDefault="00940B2F" w:rsidP="006D0BBE">
            <w:pPr>
              <w:numPr>
                <w:ilvl w:val="1"/>
                <w:numId w:val="0"/>
              </w:numPr>
              <w:overflowPunct/>
              <w:autoSpaceDE/>
              <w:autoSpaceDN/>
              <w:spacing w:after="120"/>
              <w:jc w:val="left"/>
              <w:textAlignment w:val="auto"/>
            </w:pPr>
            <w:r>
              <w:t>Nine (9</w:t>
            </w:r>
            <w:r w:rsidR="007107F9">
              <w:t>) months</w:t>
            </w:r>
            <w:r w:rsidR="004C60B0" w:rsidRPr="00AA4B04">
              <w:t xml:space="preserve"> from the Call Off Commencement Date</w:t>
            </w:r>
          </w:p>
          <w:p w14:paraId="6485C7E8" w14:textId="58417750"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0E6563A2" w:rsidR="004C60B0" w:rsidRPr="00AA4B04" w:rsidRDefault="00231D1F"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759B559D"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31D1F">
              <w:rPr>
                <w:rFonts w:eastAsia="STZhongsong"/>
                <w:lang w:eastAsia="zh-CN"/>
              </w:rPr>
              <w:t>Not Permitted</w:t>
            </w:r>
          </w:p>
          <w:p w14:paraId="6485C7F2" w14:textId="63304C83"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7EAFFF36" w:rsidR="004C60B0" w:rsidRPr="00231D1F" w:rsidRDefault="00C94AA3" w:rsidP="00435855">
            <w:pPr>
              <w:keepNext/>
              <w:keepLines/>
              <w:overflowPunct/>
              <w:autoSpaceDE/>
              <w:autoSpaceDN/>
              <w:spacing w:before="240"/>
              <w:ind w:left="0"/>
              <w:textAlignment w:val="auto"/>
              <w:rPr>
                <w:b/>
                <w:i/>
                <w:color w:val="000000"/>
              </w:rPr>
            </w:pPr>
            <w:r w:rsidRPr="00AA4B04">
              <w:t>The sum of £</w:t>
            </w:r>
            <w:r w:rsidRPr="00736CAC">
              <w:rPr>
                <w:b/>
                <w:i/>
                <w:color w:val="000000"/>
              </w:rPr>
              <w:t xml:space="preserve"> </w:t>
            </w:r>
            <w:r w:rsidR="00435855" w:rsidRPr="00435855">
              <w:rPr>
                <w:color w:val="000000"/>
              </w:rPr>
              <w:t>1,099,825.00 (</w:t>
            </w:r>
            <w:proofErr w:type="spellStart"/>
            <w:r w:rsidR="00435855" w:rsidRPr="00435855">
              <w:rPr>
                <w:color w:val="000000"/>
              </w:rPr>
              <w:t>exc</w:t>
            </w:r>
            <w:proofErr w:type="spellEnd"/>
            <w:r w:rsidR="00435855" w:rsidRPr="00435855">
              <w:rPr>
                <w:color w:val="000000"/>
              </w:rPr>
              <w:t xml:space="preserve">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61BEFD2C"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lastRenderedPageBreak/>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58584FF5" w14:textId="77777777" w:rsidR="00231D1F" w:rsidRPr="00231D1F" w:rsidRDefault="00231D1F" w:rsidP="004C60B0">
            <w:pPr>
              <w:keepNext/>
              <w:keepLines/>
              <w:overflowPunct/>
              <w:autoSpaceDE/>
              <w:autoSpaceDN/>
              <w:spacing w:after="0"/>
              <w:ind w:left="0"/>
              <w:textAlignment w:val="auto"/>
            </w:pPr>
            <w:r w:rsidRPr="00231D1F">
              <w:t>In Clause 38.3 of the Call Off terms</w:t>
            </w:r>
          </w:p>
          <w:p w14:paraId="6485C806" w14:textId="77036576"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4F006004"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0" w14:textId="604F4332" w:rsidR="00231D1F" w:rsidRPr="00231D1F" w:rsidRDefault="00F11D1B" w:rsidP="00231D1F">
            <w:pPr>
              <w:keepNext/>
              <w:keepLines/>
              <w:overflowPunct/>
              <w:autoSpaceDE/>
              <w:autoSpaceDN/>
              <w:spacing w:before="240"/>
              <w:ind w:left="0"/>
              <w:textAlignment w:val="auto"/>
            </w:pPr>
            <w:r w:rsidRPr="00231D1F">
              <w:rPr>
                <w:rFonts w:eastAsia="STZhongsong"/>
                <w:lang w:eastAsia="zh-CN"/>
              </w:rPr>
              <w:t xml:space="preserve">In Clause </w:t>
            </w:r>
            <w:r w:rsidRPr="00231D1F">
              <w:fldChar w:fldCharType="begin"/>
            </w:r>
            <w:r w:rsidRPr="00231D1F">
              <w:rPr>
                <w:rFonts w:eastAsia="STZhongsong"/>
                <w:lang w:eastAsia="zh-CN"/>
              </w:rPr>
              <w:instrText xml:space="preserve"> REF _Ref426110026 \r \h </w:instrText>
            </w:r>
            <w:r w:rsidRPr="00231D1F">
              <w:instrText xml:space="preserve"> \* MERGEFORMAT </w:instrText>
            </w:r>
            <w:r w:rsidRPr="00231D1F">
              <w:fldChar w:fldCharType="separate"/>
            </w:r>
            <w:r w:rsidRPr="00231D1F">
              <w:rPr>
                <w:rFonts w:eastAsia="STZhongsong"/>
                <w:lang w:eastAsia="zh-CN"/>
              </w:rPr>
              <w:t>42.2.1(c)</w:t>
            </w:r>
            <w:r w:rsidRPr="00231D1F">
              <w:fldChar w:fldCharType="end"/>
            </w:r>
            <w:r w:rsidR="00231D1F" w:rsidRPr="00231D1F">
              <w:t xml:space="preserve"> of the Call Off Terms.</w:t>
            </w:r>
          </w:p>
          <w:p w14:paraId="6485C811" w14:textId="5C705683"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27B0370" w:rsidR="00F11D1B" w:rsidRPr="00AA4B04" w:rsidRDefault="00F11D1B">
            <w:pPr>
              <w:numPr>
                <w:ilvl w:val="1"/>
                <w:numId w:val="0"/>
              </w:numPr>
              <w:overflowPunct/>
              <w:autoSpaceDE/>
              <w:autoSpaceDN/>
              <w:spacing w:after="120"/>
              <w:textAlignment w:val="auto"/>
              <w:rPr>
                <w:rFonts w:eastAsia="STZhongsong"/>
                <w:lang w:eastAsia="zh-CN"/>
              </w:rPr>
            </w:pPr>
            <w:r w:rsidRPr="00231D1F">
              <w:t xml:space="preserve">In Clause </w:t>
            </w:r>
            <w:r w:rsidRPr="00231D1F">
              <w:rPr>
                <w:rFonts w:eastAsia="STZhongsong"/>
                <w:lang w:eastAsia="zh-CN"/>
              </w:rPr>
              <w:fldChar w:fldCharType="begin"/>
            </w:r>
            <w:r w:rsidRPr="00231D1F">
              <w:rPr>
                <w:rFonts w:eastAsia="STZhongsong"/>
                <w:lang w:eastAsia="zh-CN"/>
              </w:rPr>
              <w:instrText xml:space="preserve"> REF _Ref379468054 \r \h  \* MERGEFORMAT </w:instrText>
            </w:r>
            <w:r w:rsidRPr="00231D1F">
              <w:rPr>
                <w:rFonts w:eastAsia="STZhongsong"/>
                <w:lang w:eastAsia="zh-CN"/>
              </w:rPr>
            </w:r>
            <w:r w:rsidRPr="00231D1F">
              <w:rPr>
                <w:rFonts w:eastAsia="STZhongsong"/>
                <w:lang w:eastAsia="zh-CN"/>
              </w:rPr>
              <w:fldChar w:fldCharType="separate"/>
            </w:r>
            <w:r w:rsidRPr="00231D1F">
              <w:rPr>
                <w:rFonts w:eastAsia="STZhongsong"/>
                <w:lang w:eastAsia="zh-CN"/>
              </w:rPr>
              <w:t>42.7.1</w:t>
            </w:r>
            <w:r w:rsidRPr="00231D1F">
              <w:rPr>
                <w:rFonts w:eastAsia="STZhongsong"/>
                <w:lang w:eastAsia="zh-CN"/>
              </w:rPr>
              <w:fldChar w:fldCharType="end"/>
            </w:r>
            <w:r w:rsidR="00231D1F" w:rsidRPr="00231D1F">
              <w:rPr>
                <w:rFonts w:eastAsia="STZhongsong"/>
                <w:lang w:eastAsia="zh-CN"/>
              </w:rPr>
              <w:t xml:space="preserve"> of the Call Off Terms.</w:t>
            </w:r>
          </w:p>
          <w:p w14:paraId="6485C819" w14:textId="16CEC40E" w:rsidR="00F11D1B" w:rsidRPr="00AA4B04" w:rsidRDefault="00F11D1B" w:rsidP="00231D1F">
            <w:pPr>
              <w:numPr>
                <w:ilvl w:val="1"/>
                <w:numId w:val="0"/>
              </w:numPr>
              <w:overflowPunct/>
              <w:autoSpaceDE/>
              <w:autoSpaceDN/>
              <w:spacing w:after="12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0" w14:textId="0DE3FC6C" w:rsidR="00231D1F" w:rsidRPr="00231D1F" w:rsidRDefault="00F11D1B" w:rsidP="00231D1F">
            <w:pPr>
              <w:keepNext/>
              <w:keepLines/>
              <w:overflowPunct/>
              <w:autoSpaceDE/>
              <w:autoSpaceDN/>
              <w:spacing w:before="240"/>
              <w:ind w:left="0"/>
              <w:textAlignment w:val="auto"/>
            </w:pPr>
            <w:r w:rsidRPr="00231D1F">
              <w:rPr>
                <w:rFonts w:eastAsia="STZhongsong"/>
                <w:lang w:eastAsia="zh-CN"/>
              </w:rPr>
              <w:t xml:space="preserve">In Clause </w:t>
            </w:r>
            <w:r w:rsidRPr="00231D1F">
              <w:fldChar w:fldCharType="begin"/>
            </w:r>
            <w:r w:rsidRPr="00231D1F">
              <w:instrText xml:space="preserve"> REF _Ref363735542 \r \h  \* MERGEFORMAT </w:instrText>
            </w:r>
            <w:r w:rsidRPr="00231D1F">
              <w:fldChar w:fldCharType="separate"/>
            </w:r>
            <w:r w:rsidRPr="00231D1F">
              <w:t>43.1.1</w:t>
            </w:r>
            <w:r w:rsidRPr="00231D1F">
              <w:fldChar w:fldCharType="end"/>
            </w:r>
            <w:r w:rsidRPr="00231D1F">
              <w:t xml:space="preserve"> of the Call Off Terms</w:t>
            </w:r>
            <w:r w:rsidR="00231D1F" w:rsidRPr="00231D1F">
              <w:rPr>
                <w:b/>
              </w:rPr>
              <w:t>.</w:t>
            </w:r>
          </w:p>
          <w:p w14:paraId="6485C821" w14:textId="543FD1F4"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8" w14:textId="0C9519B4" w:rsidR="00F11D1B" w:rsidRPr="00231D1F" w:rsidRDefault="00F11D1B" w:rsidP="00231D1F">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77ED1016" w:rsidR="00F11D1B" w:rsidRPr="00231D1F" w:rsidRDefault="00F11D1B">
            <w:pPr>
              <w:numPr>
                <w:ilvl w:val="1"/>
                <w:numId w:val="0"/>
              </w:numPr>
              <w:overflowPunct/>
              <w:autoSpaceDE/>
              <w:autoSpaceDN/>
              <w:spacing w:after="120"/>
              <w:textAlignment w:val="auto"/>
              <w:rPr>
                <w:rFonts w:eastAsia="STZhongsong"/>
                <w:b/>
                <w:lang w:eastAsia="zh-CN"/>
              </w:rPr>
            </w:pPr>
            <w:r w:rsidRPr="00231D1F">
              <w:rPr>
                <w:rFonts w:eastAsia="STZhongsong"/>
                <w:lang w:eastAsia="zh-CN"/>
              </w:rPr>
              <w:t>In Call Off Schedule 9 (Exit Management)</w:t>
            </w:r>
          </w:p>
          <w:p w14:paraId="6485C82B" w14:textId="7E577693"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231D1F" w:rsidRDefault="00C94AA3">
            <w:pPr>
              <w:numPr>
                <w:ilvl w:val="1"/>
                <w:numId w:val="0"/>
              </w:numPr>
              <w:overflowPunct/>
              <w:autoSpaceDE/>
              <w:autoSpaceDN/>
              <w:spacing w:after="120"/>
              <w:jc w:val="left"/>
              <w:textAlignment w:val="auto"/>
              <w:rPr>
                <w:b/>
              </w:rPr>
            </w:pPr>
            <w:r w:rsidRPr="00231D1F">
              <w:rPr>
                <w:b/>
              </w:rPr>
              <w:t>Supplier's inspection of Sites, Customer Property and Customer Assets:</w:t>
            </w:r>
          </w:p>
          <w:p w14:paraId="0D58F796" w14:textId="4B56D41F" w:rsidR="00C94AA3" w:rsidRDefault="00231D1F" w:rsidP="00553A51">
            <w:pPr>
              <w:numPr>
                <w:ilvl w:val="1"/>
                <w:numId w:val="0"/>
              </w:numPr>
              <w:overflowPunct/>
              <w:autoSpaceDE/>
              <w:autoSpaceDN/>
              <w:spacing w:after="120"/>
              <w:jc w:val="left"/>
              <w:textAlignment w:val="auto"/>
            </w:pPr>
            <w:r w:rsidRPr="00231D1F">
              <w:t xml:space="preserve"> </w:t>
            </w:r>
            <w:r w:rsidR="00C94AA3" w:rsidRPr="00231D1F">
              <w:t>Not applied</w:t>
            </w:r>
          </w:p>
          <w:p w14:paraId="6485C833" w14:textId="75374A27"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4A74A60A" w14:textId="4BF8CAA4" w:rsidR="00C94AA3" w:rsidRPr="00435855" w:rsidRDefault="00435855" w:rsidP="00C94AA3">
            <w:pPr>
              <w:numPr>
                <w:ilvl w:val="1"/>
                <w:numId w:val="0"/>
              </w:numPr>
              <w:overflowPunct/>
              <w:autoSpaceDE/>
              <w:autoSpaceDN/>
              <w:spacing w:after="120"/>
              <w:jc w:val="left"/>
              <w:textAlignment w:val="auto"/>
              <w:rPr>
                <w:rFonts w:eastAsia="STZhongsong"/>
                <w:lang w:eastAsia="zh-CN"/>
              </w:rPr>
            </w:pPr>
            <w:r w:rsidRPr="00435855">
              <w:rPr>
                <w:color w:val="000000"/>
              </w:rPr>
              <w:t>Not Applied</w:t>
            </w:r>
          </w:p>
          <w:p w14:paraId="6485C838" w14:textId="5D147AEF"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Pr="00676238" w:rsidRDefault="00F11D1B" w:rsidP="00C94AA3">
            <w:pPr>
              <w:numPr>
                <w:ilvl w:val="1"/>
                <w:numId w:val="0"/>
              </w:numPr>
              <w:overflowPunct/>
              <w:autoSpaceDE/>
              <w:autoSpaceDN/>
              <w:spacing w:after="120"/>
              <w:textAlignment w:val="auto"/>
              <w:rPr>
                <w:rFonts w:eastAsia="STZhongsong"/>
                <w:lang w:eastAsia="zh-CN"/>
              </w:rPr>
            </w:pPr>
            <w:r w:rsidRPr="00676238">
              <w:rPr>
                <w:rFonts w:eastAsia="STZhongsong"/>
                <w:b/>
                <w:lang w:eastAsia="zh-CN"/>
              </w:rPr>
              <w:t>Recitals</w:t>
            </w:r>
            <w:r w:rsidRPr="00676238">
              <w:rPr>
                <w:rFonts w:eastAsia="STZhongsong"/>
                <w:lang w:eastAsia="zh-CN"/>
              </w:rPr>
              <w:t xml:space="preserve"> (in preamble to the Call Off Terms):</w:t>
            </w:r>
          </w:p>
          <w:p w14:paraId="6CB582EF" w14:textId="602466A3" w:rsidR="00F11D1B" w:rsidRPr="00676238" w:rsidRDefault="00F11D1B" w:rsidP="00676238">
            <w:pPr>
              <w:numPr>
                <w:ilvl w:val="1"/>
                <w:numId w:val="0"/>
              </w:numPr>
              <w:overflowPunct/>
              <w:autoSpaceDE/>
              <w:autoSpaceDN/>
              <w:spacing w:after="120"/>
              <w:jc w:val="left"/>
              <w:textAlignment w:val="auto"/>
              <w:rPr>
                <w:rFonts w:eastAsia="STZhongsong"/>
                <w:b/>
                <w:lang w:eastAsia="zh-CN"/>
              </w:rPr>
            </w:pPr>
            <w:r w:rsidRPr="00676238">
              <w:rPr>
                <w:rFonts w:eastAsia="STZhongsong"/>
                <w:lang w:eastAsia="zh-CN"/>
              </w:rPr>
              <w:t>Recital A</w:t>
            </w:r>
          </w:p>
          <w:p w14:paraId="3E327F74" w14:textId="67CDF789"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676238">
              <w:rPr>
                <w:rFonts w:eastAsia="STZhongsong"/>
                <w:b/>
                <w:lang w:eastAsia="zh-CN"/>
              </w:rPr>
              <w:t xml:space="preserve"> </w:t>
            </w:r>
            <w:r w:rsidR="004B17AC">
              <w:rPr>
                <w:rFonts w:eastAsia="STZhongsong"/>
                <w:b/>
                <w:lang w:eastAsia="zh-CN"/>
              </w:rPr>
              <w:t>26</w:t>
            </w:r>
            <w:r w:rsidR="004B17AC" w:rsidRPr="004B17AC">
              <w:rPr>
                <w:rFonts w:eastAsia="STZhongsong"/>
                <w:b/>
                <w:vertAlign w:val="superscript"/>
                <w:lang w:eastAsia="zh-CN"/>
              </w:rPr>
              <w:t>th</w:t>
            </w:r>
            <w:r w:rsidR="004B17AC">
              <w:rPr>
                <w:rFonts w:eastAsia="STZhongsong"/>
                <w:b/>
                <w:lang w:eastAsia="zh-CN"/>
              </w:rPr>
              <w:t xml:space="preserve"> November 2018</w:t>
            </w:r>
          </w:p>
          <w:p w14:paraId="72D14C23" w14:textId="441825C1"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00676238">
              <w:rPr>
                <w:rFonts w:eastAsia="STZhongsong"/>
                <w:b/>
                <w:lang w:eastAsia="zh-CN"/>
              </w:rPr>
              <w:t xml:space="preserve">  </w:t>
            </w:r>
            <w:r w:rsidR="00435855">
              <w:rPr>
                <w:rFonts w:eastAsia="STZhongsong"/>
                <w:b/>
                <w:lang w:eastAsia="zh-CN"/>
              </w:rPr>
              <w:t>3</w:t>
            </w:r>
            <w:r w:rsidR="00435855" w:rsidRPr="00435855">
              <w:rPr>
                <w:rFonts w:eastAsia="STZhongsong"/>
                <w:b/>
                <w:vertAlign w:val="superscript"/>
                <w:lang w:eastAsia="zh-CN"/>
              </w:rPr>
              <w:t>rd</w:t>
            </w:r>
            <w:r w:rsidR="00435855">
              <w:rPr>
                <w:rFonts w:eastAsia="STZhongsong"/>
                <w:b/>
                <w:lang w:eastAsia="zh-CN"/>
              </w:rPr>
              <w:t xml:space="preserve"> December 2018</w:t>
            </w:r>
          </w:p>
          <w:p w14:paraId="6485C845" w14:textId="6B73BEAB"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1FB44F68" w:rsidR="00676238" w:rsidRPr="00435855" w:rsidRDefault="00435855" w:rsidP="00676238">
            <w:pPr>
              <w:numPr>
                <w:ilvl w:val="1"/>
                <w:numId w:val="0"/>
              </w:numPr>
              <w:overflowPunct/>
              <w:autoSpaceDE/>
              <w:autoSpaceDN/>
              <w:spacing w:after="120"/>
              <w:textAlignment w:val="auto"/>
            </w:pPr>
            <w:r w:rsidRPr="00435855">
              <w:lastRenderedPageBreak/>
              <w:t>Not Applicable</w:t>
            </w:r>
          </w:p>
          <w:p w14:paraId="6485C84C" w14:textId="52669431"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0AB500BC" w14:textId="694B3E98" w:rsidR="00F11D1B" w:rsidRPr="007107F9"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3D7BC730" w:rsidR="00F11D1B" w:rsidRPr="007107F9" w:rsidRDefault="007107F9">
            <w:pPr>
              <w:numPr>
                <w:ilvl w:val="1"/>
                <w:numId w:val="0"/>
              </w:numPr>
              <w:overflowPunct/>
              <w:autoSpaceDE/>
              <w:autoSpaceDN/>
              <w:spacing w:after="120"/>
              <w:jc w:val="left"/>
              <w:textAlignment w:val="auto"/>
              <w:rPr>
                <w:rFonts w:eastAsia="STZhongsong"/>
                <w:lang w:eastAsia="zh-CN"/>
              </w:rPr>
            </w:pPr>
            <w:r w:rsidRPr="007107F9">
              <w:rPr>
                <w:rFonts w:eastAsia="STZhongsong"/>
                <w:lang w:eastAsia="zh-CN"/>
              </w:rPr>
              <w:t>S</w:t>
            </w:r>
            <w:r w:rsidR="00F11D1B" w:rsidRPr="007107F9">
              <w:rPr>
                <w:rFonts w:eastAsia="STZhongsong"/>
                <w:lang w:eastAsia="zh-CN"/>
              </w:rPr>
              <w:t>elect short form security  requirements</w:t>
            </w:r>
          </w:p>
          <w:p w14:paraId="50956111" w14:textId="77777777" w:rsidR="007107F9" w:rsidRPr="007107F9" w:rsidRDefault="007107F9">
            <w:pPr>
              <w:numPr>
                <w:ilvl w:val="1"/>
                <w:numId w:val="0"/>
              </w:numPr>
              <w:overflowPunct/>
              <w:autoSpaceDE/>
              <w:autoSpaceDN/>
              <w:spacing w:after="120"/>
              <w:jc w:val="left"/>
              <w:textAlignment w:val="auto"/>
              <w:rPr>
                <w:rFonts w:eastAsia="STZhongsong"/>
                <w:lang w:eastAsia="zh-CN"/>
              </w:rPr>
            </w:pPr>
            <w:r w:rsidRPr="007107F9">
              <w:rPr>
                <w:rFonts w:eastAsia="STZhongsong"/>
                <w:lang w:eastAsia="zh-CN"/>
              </w:rPr>
              <w:t>AND</w:t>
            </w:r>
          </w:p>
          <w:p w14:paraId="0DB9A0D8" w14:textId="5FF1802F" w:rsidR="007107F9" w:rsidRPr="007107F9" w:rsidRDefault="007107F9">
            <w:pPr>
              <w:numPr>
                <w:ilvl w:val="1"/>
                <w:numId w:val="0"/>
              </w:numPr>
              <w:overflowPunct/>
              <w:autoSpaceDE/>
              <w:autoSpaceDN/>
              <w:spacing w:after="120"/>
              <w:jc w:val="left"/>
              <w:textAlignment w:val="auto"/>
              <w:rPr>
                <w:rFonts w:eastAsia="STZhongsong"/>
                <w:b/>
                <w:lang w:eastAsia="zh-CN"/>
              </w:rPr>
            </w:pPr>
            <w:r w:rsidRPr="007107F9">
              <w:rPr>
                <w:rFonts w:eastAsia="STZhongsong"/>
                <w:lang w:eastAsia="zh-CN"/>
              </w:rPr>
              <w:t>As per Security Policy Framework</w:t>
            </w:r>
          </w:p>
          <w:p w14:paraId="6485C859" w14:textId="1B0BE1E0" w:rsidR="00F11D1B" w:rsidRPr="00AA4B04" w:rsidRDefault="007107F9" w:rsidP="007107F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 </w:t>
            </w:r>
          </w:p>
        </w:tc>
      </w:tr>
      <w:tr w:rsidR="00F11D1B" w:rsidRPr="00AA4B04" w14:paraId="6485C866" w14:textId="77777777" w:rsidTr="00F11D1B">
        <w:tc>
          <w:tcPr>
            <w:tcW w:w="767" w:type="dxa"/>
          </w:tcPr>
          <w:p w14:paraId="6485C85F" w14:textId="255C45E1"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45F1E2A5" w:rsidR="007107F9" w:rsidRPr="007107F9" w:rsidRDefault="00D9738D" w:rsidP="007107F9">
            <w:pPr>
              <w:numPr>
                <w:ilvl w:val="1"/>
                <w:numId w:val="0"/>
              </w:numPr>
              <w:overflowPunct/>
              <w:autoSpaceDE/>
              <w:autoSpaceDN/>
              <w:spacing w:after="120"/>
              <w:jc w:val="left"/>
              <w:textAlignment w:val="auto"/>
              <w:rPr>
                <w:rFonts w:eastAsia="STZhongsong"/>
                <w:lang w:eastAsia="zh-CN"/>
              </w:rPr>
            </w:pPr>
            <w:r>
              <w:rPr>
                <w:rFonts w:eastAsia="STZhongsong"/>
                <w:lang w:eastAsia="zh-CN"/>
              </w:rPr>
              <w:t>As per DEFCON 6</w:t>
            </w:r>
            <w:r w:rsidR="007107F9" w:rsidRPr="007107F9">
              <w:rPr>
                <w:rFonts w:eastAsia="STZhongsong"/>
                <w:lang w:eastAsia="zh-CN"/>
              </w:rPr>
              <w:t>58 Cyber</w:t>
            </w:r>
          </w:p>
          <w:p w14:paraId="6485C864" w14:textId="4ECF74C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Pr="007107F9"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Business Continuity &amp; </w:t>
            </w:r>
            <w:r w:rsidRPr="007107F9">
              <w:rPr>
                <w:rFonts w:eastAsia="STZhongsong"/>
                <w:b/>
                <w:lang w:eastAsia="zh-CN"/>
              </w:rPr>
              <w:t>Disaster Recovery</w:t>
            </w:r>
            <w:r w:rsidRPr="007107F9">
              <w:rPr>
                <w:rFonts w:eastAsia="STZhongsong"/>
                <w:lang w:eastAsia="zh-CN"/>
              </w:rPr>
              <w:t xml:space="preserve">: </w:t>
            </w:r>
          </w:p>
          <w:p w14:paraId="6485C872" w14:textId="26E80ABC" w:rsidR="00F11D1B" w:rsidRPr="007107F9" w:rsidRDefault="00F11D1B" w:rsidP="007107F9">
            <w:pPr>
              <w:numPr>
                <w:ilvl w:val="1"/>
                <w:numId w:val="0"/>
              </w:numPr>
              <w:overflowPunct/>
              <w:autoSpaceDE/>
              <w:autoSpaceDN/>
              <w:spacing w:after="120"/>
              <w:jc w:val="left"/>
              <w:textAlignment w:val="auto"/>
            </w:pPr>
            <w:r w:rsidRPr="007107F9">
              <w:t>In Call Off Schedule 8 (Business Continuity and Disaster Recovery)</w:t>
            </w:r>
          </w:p>
          <w:p w14:paraId="6485C873" w14:textId="77777777" w:rsidR="00F11D1B" w:rsidRPr="007107F9"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7107F9">
              <w:rPr>
                <w:b/>
              </w:rPr>
              <w:t>Disaster Period</w:t>
            </w:r>
            <w:r w:rsidRPr="007107F9">
              <w:t>:</w:t>
            </w:r>
          </w:p>
          <w:p w14:paraId="63A51F1A" w14:textId="086B26FB" w:rsidR="00F11D1B" w:rsidRDefault="00F11D1B">
            <w:pPr>
              <w:numPr>
                <w:ilvl w:val="1"/>
                <w:numId w:val="0"/>
              </w:numPr>
              <w:overflowPunct/>
              <w:autoSpaceDE/>
              <w:autoSpaceDN/>
              <w:spacing w:after="120"/>
              <w:jc w:val="left"/>
              <w:textAlignment w:val="auto"/>
              <w:rPr>
                <w:b/>
              </w:rPr>
            </w:pPr>
            <w:r w:rsidRPr="00AA4B04">
              <w:t>For the purpose of the definition of “Disaster” in Call Off Schedule 1 (Definitions)</w:t>
            </w:r>
            <w:r w:rsidR="007107F9">
              <w:t xml:space="preserve"> the “Disaster Period” shall be 30 days.</w:t>
            </w:r>
          </w:p>
          <w:p w14:paraId="6485C875" w14:textId="11C32601"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1CCB477" w14:textId="421576EC" w:rsidR="007107F9" w:rsidRDefault="00F11D1B" w:rsidP="007107F9">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4C801D71" w14:textId="6BFE64C2" w:rsidR="007107F9" w:rsidRPr="00AA4B04" w:rsidRDefault="007107F9" w:rsidP="007107F9">
            <w:pPr>
              <w:numPr>
                <w:ilvl w:val="1"/>
                <w:numId w:val="0"/>
              </w:numPr>
              <w:overflowPunct/>
              <w:autoSpaceDE/>
              <w:autoSpaceDN/>
              <w:spacing w:after="120"/>
              <w:textAlignment w:val="auto"/>
              <w:rPr>
                <w:rFonts w:eastAsia="STZhongsong"/>
                <w:lang w:eastAsia="zh-CN"/>
              </w:rPr>
            </w:pPr>
            <w:r>
              <w:rPr>
                <w:rFonts w:eastAsia="STZhongsong"/>
                <w:lang w:eastAsia="zh-CN"/>
              </w:rPr>
              <w:t xml:space="preserve">In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2EF09CE6"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0AC8DBD0"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68075E62" w:rsidR="00F11D1B" w:rsidRDefault="00F11D1B">
            <w:pPr>
              <w:numPr>
                <w:ilvl w:val="1"/>
                <w:numId w:val="0"/>
              </w:numPr>
              <w:overflowPunct/>
              <w:autoSpaceDE/>
              <w:autoSpaceDN/>
              <w:spacing w:after="120"/>
              <w:textAlignment w:val="auto"/>
              <w:rPr>
                <w:rFonts w:eastAsia="STZhongsong"/>
                <w:b/>
                <w:highlight w:val="yellow"/>
                <w:lang w:eastAsia="zh-CN"/>
              </w:rPr>
            </w:pPr>
            <w:r w:rsidRPr="00AA4B04">
              <w:rPr>
                <w:rFonts w:eastAsia="STZhongsong"/>
                <w:lang w:eastAsia="zh-CN"/>
              </w:rPr>
              <w:t xml:space="preserve">Customer’s postal address and email address: </w:t>
            </w:r>
          </w:p>
          <w:p w14:paraId="4496F3A6" w14:textId="2335CC59" w:rsidR="007107F9" w:rsidRPr="007107F9" w:rsidRDefault="00DC0657" w:rsidP="007107F9">
            <w:pPr>
              <w:numPr>
                <w:ilvl w:val="1"/>
                <w:numId w:val="0"/>
              </w:numPr>
              <w:overflowPunct/>
              <w:autoSpaceDE/>
              <w:autoSpaceDN/>
              <w:spacing w:after="120"/>
              <w:textAlignment w:val="auto"/>
              <w:rPr>
                <w:rFonts w:eastAsia="STZhongsong"/>
                <w:lang w:eastAsia="zh-CN"/>
              </w:rPr>
            </w:pPr>
            <w:r>
              <w:rPr>
                <w:rFonts w:eastAsia="STZhongsong"/>
                <w:b/>
                <w:lang w:eastAsia="zh-CN"/>
              </w:rPr>
              <w:t>Redacted</w:t>
            </w:r>
            <w:r w:rsidR="007107F9" w:rsidRPr="007107F9">
              <w:rPr>
                <w:rFonts w:eastAsia="STZhongsong"/>
                <w:lang w:eastAsia="zh-CN"/>
              </w:rPr>
              <w:t xml:space="preserve">, JFC Commercial, DMS Whittington, </w:t>
            </w:r>
            <w:proofErr w:type="spellStart"/>
            <w:r w:rsidR="007107F9" w:rsidRPr="007107F9">
              <w:rPr>
                <w:rFonts w:eastAsia="STZhongsong"/>
                <w:lang w:eastAsia="zh-CN"/>
              </w:rPr>
              <w:t>Coltman</w:t>
            </w:r>
            <w:proofErr w:type="spellEnd"/>
            <w:r w:rsidR="007107F9" w:rsidRPr="007107F9">
              <w:rPr>
                <w:rFonts w:eastAsia="STZhongsong"/>
                <w:lang w:eastAsia="zh-CN"/>
              </w:rPr>
              <w:t xml:space="preserve"> House, Lichfield, WS14 9PY. </w:t>
            </w:r>
          </w:p>
          <w:p w14:paraId="7DBCD726" w14:textId="780001AC" w:rsidR="007107F9" w:rsidRPr="00DC0657" w:rsidRDefault="007107F9">
            <w:pPr>
              <w:numPr>
                <w:ilvl w:val="1"/>
                <w:numId w:val="0"/>
              </w:numPr>
              <w:overflowPunct/>
              <w:autoSpaceDE/>
              <w:autoSpaceDN/>
              <w:spacing w:after="120"/>
              <w:textAlignment w:val="auto"/>
              <w:rPr>
                <w:rFonts w:eastAsia="STZhongsong"/>
                <w:b/>
                <w:lang w:eastAsia="zh-CN"/>
              </w:rPr>
            </w:pPr>
            <w:r w:rsidRPr="007107F9">
              <w:rPr>
                <w:rFonts w:eastAsia="STZhongsong"/>
                <w:lang w:eastAsia="zh-CN"/>
              </w:rPr>
              <w:t xml:space="preserve">E-mail: </w:t>
            </w:r>
            <w:r w:rsidR="00DC0657">
              <w:rPr>
                <w:rFonts w:eastAsia="STZhongsong"/>
                <w:b/>
                <w:lang w:eastAsia="zh-CN"/>
              </w:rPr>
              <w:t>Redacted</w:t>
            </w:r>
          </w:p>
          <w:p w14:paraId="582BE8C8" w14:textId="77777777" w:rsidR="00C9472E" w:rsidRPr="007107F9" w:rsidRDefault="00C9472E">
            <w:pPr>
              <w:numPr>
                <w:ilvl w:val="1"/>
                <w:numId w:val="0"/>
              </w:numPr>
              <w:overflowPunct/>
              <w:autoSpaceDE/>
              <w:autoSpaceDN/>
              <w:spacing w:after="120"/>
              <w:textAlignment w:val="auto"/>
              <w:rPr>
                <w:rFonts w:eastAsia="STZhongsong"/>
                <w:lang w:eastAsia="zh-CN"/>
              </w:rPr>
            </w:pPr>
          </w:p>
          <w:p w14:paraId="6485C88A"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7D7EF894" w14:textId="62C1BD02" w:rsidR="00C9472E" w:rsidRDefault="00DC0657">
            <w:pPr>
              <w:numPr>
                <w:ilvl w:val="1"/>
                <w:numId w:val="0"/>
              </w:numPr>
              <w:overflowPunct/>
              <w:autoSpaceDE/>
              <w:autoSpaceDN/>
              <w:spacing w:after="120"/>
              <w:textAlignment w:val="auto"/>
              <w:rPr>
                <w:rFonts w:eastAsia="STZhongsong"/>
                <w:lang w:eastAsia="zh-CN"/>
              </w:rPr>
            </w:pPr>
            <w:r>
              <w:rPr>
                <w:rFonts w:eastAsia="STZhongsong"/>
                <w:b/>
                <w:lang w:eastAsia="zh-CN"/>
              </w:rPr>
              <w:t>Redacted</w:t>
            </w:r>
            <w:r w:rsidR="00C9472E">
              <w:rPr>
                <w:rFonts w:eastAsia="STZhongsong"/>
                <w:lang w:eastAsia="zh-CN"/>
              </w:rPr>
              <w:t xml:space="preserve">, </w:t>
            </w:r>
            <w:proofErr w:type="spellStart"/>
            <w:r w:rsidR="00C9472E">
              <w:rPr>
                <w:rFonts w:eastAsia="STZhongsong"/>
                <w:lang w:eastAsia="zh-CN"/>
              </w:rPr>
              <w:t>Prederi</w:t>
            </w:r>
            <w:proofErr w:type="spellEnd"/>
            <w:r w:rsidR="00C9472E">
              <w:rPr>
                <w:rFonts w:eastAsia="STZhongsong"/>
                <w:lang w:eastAsia="zh-CN"/>
              </w:rPr>
              <w:t xml:space="preserve"> Ltd, 12 </w:t>
            </w:r>
            <w:proofErr w:type="spellStart"/>
            <w:r w:rsidR="00C9472E">
              <w:rPr>
                <w:rFonts w:eastAsia="STZhongsong"/>
                <w:lang w:eastAsia="zh-CN"/>
              </w:rPr>
              <w:t>Melcombe</w:t>
            </w:r>
            <w:proofErr w:type="spellEnd"/>
            <w:r w:rsidR="00C9472E">
              <w:rPr>
                <w:rFonts w:eastAsia="STZhongsong"/>
                <w:lang w:eastAsia="zh-CN"/>
              </w:rPr>
              <w:t xml:space="preserve"> Place, London, NW1 6JJ.</w:t>
            </w:r>
          </w:p>
          <w:p w14:paraId="278E27FC" w14:textId="30EBEDDC" w:rsidR="00C9472E" w:rsidRPr="00DC0657" w:rsidRDefault="00C9472E">
            <w:pPr>
              <w:numPr>
                <w:ilvl w:val="1"/>
                <w:numId w:val="0"/>
              </w:numPr>
              <w:overflowPunct/>
              <w:autoSpaceDE/>
              <w:autoSpaceDN/>
              <w:spacing w:after="120"/>
              <w:textAlignment w:val="auto"/>
              <w:rPr>
                <w:rFonts w:eastAsia="STZhongsong"/>
                <w:b/>
                <w:lang w:eastAsia="zh-CN"/>
              </w:rPr>
            </w:pPr>
            <w:r>
              <w:rPr>
                <w:rFonts w:eastAsia="STZhongsong"/>
                <w:lang w:eastAsia="zh-CN"/>
              </w:rPr>
              <w:t xml:space="preserve">Email: </w:t>
            </w:r>
            <w:r w:rsidR="00DC0657">
              <w:rPr>
                <w:rFonts w:eastAsia="STZhongsong"/>
                <w:b/>
                <w:lang w:eastAsia="zh-CN"/>
              </w:rPr>
              <w:t>Redacted</w:t>
            </w:r>
          </w:p>
          <w:p w14:paraId="3ECB3E93" w14:textId="56A5838B" w:rsidR="00F11D1B" w:rsidRDefault="00F11D1B">
            <w:pPr>
              <w:numPr>
                <w:ilvl w:val="1"/>
                <w:numId w:val="0"/>
              </w:numPr>
              <w:overflowPunct/>
              <w:autoSpaceDE/>
              <w:autoSpaceDN/>
              <w:spacing w:after="120"/>
              <w:textAlignment w:val="auto"/>
              <w:rPr>
                <w:rFonts w:eastAsia="STZhongsong"/>
                <w:b/>
                <w:lang w:eastAsia="zh-CN"/>
              </w:rPr>
            </w:pPr>
          </w:p>
          <w:p w14:paraId="6485C88B" w14:textId="26B44231"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3A0B488"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3DE87C01"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7622EBDE" w14:textId="77777777" w:rsidR="00676238" w:rsidRDefault="00676238" w:rsidP="00676238">
            <w:pPr>
              <w:numPr>
                <w:ilvl w:val="1"/>
                <w:numId w:val="0"/>
              </w:numPr>
              <w:overflowPunct/>
              <w:autoSpaceDE/>
              <w:autoSpaceDN/>
              <w:spacing w:after="120"/>
              <w:jc w:val="left"/>
              <w:textAlignment w:val="auto"/>
              <w:rPr>
                <w:rFonts w:eastAsia="STZhongsong"/>
                <w:b/>
                <w:lang w:eastAsia="zh-CN"/>
              </w:rPr>
            </w:pPr>
            <w:r>
              <w:rPr>
                <w:rFonts w:eastAsia="STZhongsong"/>
                <w:b/>
                <w:lang w:eastAsia="zh-CN"/>
              </w:rPr>
              <w:t>Please refer to the following</w:t>
            </w:r>
          </w:p>
          <w:p w14:paraId="34BF9996" w14:textId="77777777" w:rsidR="00676238" w:rsidRPr="00605514" w:rsidRDefault="00676238" w:rsidP="00676238">
            <w:pPr>
              <w:numPr>
                <w:ilvl w:val="1"/>
                <w:numId w:val="0"/>
              </w:numPr>
              <w:overflowPunct/>
              <w:autoSpaceDE/>
              <w:autoSpaceDN/>
              <w:spacing w:after="120"/>
              <w:jc w:val="left"/>
              <w:textAlignment w:val="auto"/>
              <w:rPr>
                <w:rFonts w:eastAsia="STZhongsong"/>
                <w:lang w:eastAsia="zh-CN"/>
              </w:rPr>
            </w:pPr>
            <w:r>
              <w:rPr>
                <w:rFonts w:eastAsia="STZhongsong"/>
                <w:lang w:eastAsia="zh-CN"/>
              </w:rPr>
              <w:t>Clause 59 – Security Measures</w:t>
            </w:r>
            <w:r w:rsidRPr="00605514">
              <w:rPr>
                <w:rFonts w:eastAsia="STZhongsong"/>
                <w:lang w:eastAsia="zh-CN"/>
              </w:rPr>
              <w:t xml:space="preserve"> </w:t>
            </w:r>
            <w:r>
              <w:rPr>
                <w:rFonts w:eastAsia="STZhongsong"/>
                <w:lang w:eastAsia="zh-CN"/>
              </w:rPr>
              <w:t>(additionally in accordance with Security Aspects letter)</w:t>
            </w:r>
          </w:p>
          <w:p w14:paraId="3573E5BC" w14:textId="77777777" w:rsidR="00676238" w:rsidRDefault="00676238" w:rsidP="00676238">
            <w:pPr>
              <w:numPr>
                <w:ilvl w:val="1"/>
                <w:numId w:val="0"/>
              </w:numPr>
              <w:overflowPunct/>
              <w:autoSpaceDE/>
              <w:autoSpaceDN/>
              <w:spacing w:after="120"/>
              <w:jc w:val="left"/>
              <w:textAlignment w:val="auto"/>
              <w:rPr>
                <w:rFonts w:eastAsia="STZhongsong"/>
                <w:lang w:eastAsia="zh-CN"/>
              </w:rPr>
            </w:pPr>
            <w:r>
              <w:rPr>
                <w:rFonts w:eastAsia="STZhongsong"/>
                <w:lang w:eastAsia="zh-CN"/>
              </w:rPr>
              <w:t>Clause 60</w:t>
            </w:r>
            <w:r w:rsidRPr="00605514">
              <w:rPr>
                <w:rFonts w:eastAsia="STZhongsong"/>
                <w:lang w:eastAsia="zh-CN"/>
              </w:rPr>
              <w:t xml:space="preserve"> – </w:t>
            </w:r>
            <w:r>
              <w:rPr>
                <w:rFonts w:eastAsia="STZhongsong"/>
                <w:lang w:eastAsia="zh-CN"/>
              </w:rPr>
              <w:t>Access to MoD sites</w:t>
            </w:r>
          </w:p>
          <w:p w14:paraId="09C41B03" w14:textId="7BA71CB0" w:rsidR="00676238" w:rsidRPr="00AA4B04" w:rsidRDefault="00676238" w:rsidP="00676238">
            <w:pPr>
              <w:numPr>
                <w:ilvl w:val="1"/>
                <w:numId w:val="0"/>
              </w:numPr>
              <w:overflowPunct/>
              <w:autoSpaceDE/>
              <w:autoSpaceDN/>
              <w:spacing w:after="120"/>
              <w:jc w:val="left"/>
              <w:textAlignment w:val="auto"/>
              <w:rPr>
                <w:rFonts w:eastAsia="STZhongsong"/>
                <w:b/>
                <w:lang w:eastAsia="zh-CN"/>
              </w:rPr>
            </w:pPr>
          </w:p>
          <w:p w14:paraId="6485C895" w14:textId="1AEA139F"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3A4139C2"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0A7B1E3A" w14:textId="4F2DE00F" w:rsidR="007107F9" w:rsidRPr="007107F9" w:rsidRDefault="007107F9" w:rsidP="007107F9">
            <w:pPr>
              <w:numPr>
                <w:ilvl w:val="1"/>
                <w:numId w:val="0"/>
              </w:numPr>
              <w:overflowPunct/>
              <w:autoSpaceDE/>
              <w:autoSpaceDN/>
              <w:spacing w:after="120"/>
              <w:jc w:val="left"/>
              <w:textAlignment w:val="auto"/>
              <w:rPr>
                <w:rFonts w:eastAsia="STZhongsong"/>
                <w:lang w:eastAsia="zh-CN"/>
              </w:rPr>
            </w:pPr>
            <w:r w:rsidRPr="007107F9">
              <w:rPr>
                <w:rFonts w:eastAsia="STZhongsong"/>
                <w:lang w:eastAsia="zh-CN"/>
              </w:rPr>
              <w:t>In Clause 36.3.2 of the Call Off Terms</w:t>
            </w:r>
          </w:p>
          <w:p w14:paraId="6485C8A3" w14:textId="6C5C0B58"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D9738D">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D9738D">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D9738D">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D9738D">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D9738D">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D9738D">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D9738D">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D9738D">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D9738D">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D9738D">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D9738D">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D9738D">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D9738D">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D9738D">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D9738D">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D9738D">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D9738D">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D9738D"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D9738D">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D9738D">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D9738D">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D9738D">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D9738D">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D9738D">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D9738D">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D9738D">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D9738D">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D9738D">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D9738D">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D9738D">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D9738D">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D9738D">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D9738D">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D9738D">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D9738D">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D9738D">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D9738D">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D9738D">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D9738D">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D9738D">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D9738D">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D9738D">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D9738D">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D9738D">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D9738D">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D9738D">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D9738D">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D9738D">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D9738D">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D9738D">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D9738D">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D9738D">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D9738D">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D9738D">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D9738D">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D9738D">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D9738D">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D9738D">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D9738D">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D9738D">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D9738D">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D9738D">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D9738D">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D9738D">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D9738D">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D9738D">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D9738D">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D9738D">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D9738D">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D9738D">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D9738D">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D9738D">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D9738D">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D9738D">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D9738D">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D9738D">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D9738D">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D9738D">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D9738D">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D9738D">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D9738D">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D9738D">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D9738D">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D9738D">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D9738D">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D9738D">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D9738D">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D9738D">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lastRenderedPageBreak/>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 xml:space="preserve">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lastRenderedPageBreak/>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lastRenderedPageBreak/>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lastRenderedPageBreak/>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lastRenderedPageBreak/>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lastRenderedPageBreak/>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lastRenderedPageBreak/>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27310A" w:rsidRDefault="00F770DB">
            <w:pPr>
              <w:pStyle w:val="GPsDefinition"/>
            </w:pPr>
            <w:r w:rsidRPr="0027310A">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13076FF" w:rsidR="004E05DC" w:rsidRPr="0027310A" w:rsidRDefault="00F770DB" w:rsidP="0027310A">
            <w:pPr>
              <w:pStyle w:val="GPsDefinition"/>
            </w:pPr>
            <w:r w:rsidRPr="0027310A">
              <w:t xml:space="preserve">means </w:t>
            </w:r>
            <w:r w:rsidR="0027310A" w:rsidRPr="0027310A">
              <w:t>Phase 2 02/10/2017</w:t>
            </w:r>
            <w:r w:rsidR="00C11B59" w:rsidRPr="0027310A">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lastRenderedPageBreak/>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27310A" w:rsidRDefault="00F770DB">
      <w:pPr>
        <w:pStyle w:val="GPSSchAnnexname"/>
        <w:rPr>
          <w:rFonts w:ascii="Arial" w:hAnsi="Arial" w:cs="Arial"/>
        </w:rPr>
      </w:pPr>
      <w:r w:rsidRPr="00AA4B04">
        <w:rPr>
          <w:rFonts w:ascii="Arial" w:hAnsi="Arial" w:cs="Arial"/>
        </w:rPr>
        <w:lastRenderedPageBreak/>
        <w:t xml:space="preserve">ANNEX </w:t>
      </w:r>
      <w:r w:rsidRPr="0027310A">
        <w:rPr>
          <w:rFonts w:ascii="Arial" w:hAnsi="Arial" w:cs="Arial"/>
        </w:rPr>
        <w:t>1: the Services</w:t>
      </w:r>
      <w:bookmarkEnd w:id="2297"/>
      <w:r w:rsidRPr="0027310A">
        <w:rPr>
          <w:rFonts w:ascii="Arial" w:hAnsi="Arial" w:cs="Arial"/>
        </w:rPr>
        <w:t xml:space="preserve"> </w:t>
      </w:r>
    </w:p>
    <w:p w14:paraId="6485CFE4" w14:textId="77777777" w:rsidR="004E05DC" w:rsidRPr="0027310A" w:rsidRDefault="004E05DC">
      <w:pPr>
        <w:pStyle w:val="GPSL2Indent"/>
        <w:rPr>
          <w:rFonts w:ascii="Arial" w:hAnsi="Arial"/>
        </w:rPr>
      </w:pPr>
    </w:p>
    <w:p w14:paraId="7DBD4B66" w14:textId="76269F40" w:rsidR="0045694D" w:rsidRDefault="004B17AC" w:rsidP="0045694D">
      <w:pPr>
        <w:pStyle w:val="GPSSchAnnexname"/>
        <w:rPr>
          <w:rFonts w:ascii="Arial" w:hAnsi="Arial" w:cs="Arial"/>
          <w:i/>
        </w:rPr>
      </w:pPr>
      <w:r>
        <w:rPr>
          <w:rFonts w:ascii="Arial" w:hAnsi="Arial" w:cs="Arial"/>
          <w:i/>
        </w:rPr>
        <w:t>PLEASE SEE EMBEDDED STATEMENT OF REQUIREMENT BELOW</w:t>
      </w:r>
    </w:p>
    <w:bookmarkStart w:id="2298" w:name="_MON_1611742634"/>
    <w:bookmarkEnd w:id="2298"/>
    <w:p w14:paraId="223C160C" w14:textId="6795391F" w:rsidR="004B17AC" w:rsidRPr="004E5CF5" w:rsidRDefault="00EE02DD" w:rsidP="0045694D">
      <w:pPr>
        <w:pStyle w:val="GPSSchAnnexname"/>
        <w:rPr>
          <w:rFonts w:ascii="Arial" w:hAnsi="Arial" w:cs="Arial"/>
          <w:i/>
        </w:rPr>
      </w:pPr>
      <w:r>
        <w:rPr>
          <w:rFonts w:ascii="Arial" w:hAnsi="Arial" w:cs="Arial"/>
          <w:i/>
        </w:rPr>
        <w:object w:dxaOrig="1533" w:dyaOrig="990" w14:anchorId="7482A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611742645" r:id="rId10">
            <o:FieldCodes>\s</o:FieldCodes>
          </o:OLEObject>
        </w:object>
      </w:r>
      <w:bookmarkStart w:id="2299" w:name="_GoBack"/>
      <w:bookmarkEnd w:id="2299"/>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27310A"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 xml:space="preserve">ANNEX 1: CALL OFF </w:t>
      </w:r>
      <w:r w:rsidRPr="0027310A">
        <w:rPr>
          <w:rFonts w:ascii="Arial" w:hAnsi="Arial" w:cs="Arial"/>
        </w:rPr>
        <w:t>CONTRACT CHARGES</w:t>
      </w:r>
      <w:bookmarkEnd w:id="2335"/>
    </w:p>
    <w:p w14:paraId="5DB7D1F8" w14:textId="0FF15553" w:rsidR="006D0BBE" w:rsidRPr="0027310A" w:rsidRDefault="00DD76BC">
      <w:pPr>
        <w:pStyle w:val="GPSSchAnnexname"/>
        <w:rPr>
          <w:rFonts w:ascii="Arial" w:hAnsi="Arial" w:cs="Arial"/>
          <w:i/>
        </w:rPr>
      </w:pPr>
      <w:r>
        <w:rPr>
          <w:noProof/>
          <w:lang w:eastAsia="en-GB"/>
        </w:rPr>
        <w:t>REDACTED</w:t>
      </w:r>
    </w:p>
    <w:p w14:paraId="67AEB600" w14:textId="77777777" w:rsidR="006D0BBE" w:rsidRPr="0027310A" w:rsidRDefault="006D0BBE" w:rsidP="006D0BBE">
      <w:pPr>
        <w:pStyle w:val="GPSSchAnnexname"/>
        <w:jc w:val="left"/>
        <w:rPr>
          <w:rFonts w:ascii="Arial" w:hAnsi="Arial" w:cs="Arial"/>
          <w:b w:val="0"/>
        </w:rPr>
      </w:pPr>
    </w:p>
    <w:p w14:paraId="348912BD" w14:textId="754C0DE7" w:rsidR="006D0BBE" w:rsidRPr="006D0BBE" w:rsidRDefault="006D0BBE" w:rsidP="006D0BBE">
      <w:pPr>
        <w:pStyle w:val="GPSSchAnnexname"/>
        <w:jc w:val="left"/>
        <w:rPr>
          <w:rFonts w:ascii="Arial" w:hAnsi="Arial" w:cs="Arial"/>
          <w:sz w:val="20"/>
        </w:rPr>
      </w:pPr>
      <w:r w:rsidRPr="0027310A">
        <w:rPr>
          <w:rFonts w:ascii="Arial" w:hAnsi="Arial" w:cs="Arial"/>
          <w:caps w:val="0"/>
          <w:sz w:val="20"/>
        </w:rPr>
        <w:t>For the avoidance of doubt the contract wil</w:t>
      </w:r>
      <w:r w:rsidR="009236AF">
        <w:rPr>
          <w:rFonts w:ascii="Arial" w:hAnsi="Arial" w:cs="Arial"/>
          <w:caps w:val="0"/>
          <w:sz w:val="20"/>
        </w:rPr>
        <w:t xml:space="preserve">l not exceed the value of £1,099,825.00 </w:t>
      </w:r>
      <w:r w:rsidRPr="0027310A">
        <w:rPr>
          <w:rFonts w:ascii="Arial" w:hAnsi="Arial" w:cs="Arial"/>
          <w:caps w:val="0"/>
          <w:sz w:val="20"/>
        </w:rPr>
        <w:t>(exc.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75FBF524" w:rsidR="004E05DC" w:rsidRPr="0027310A" w:rsidRDefault="006D0BBE" w:rsidP="006D0BBE">
      <w:pPr>
        <w:pStyle w:val="GPSL2Indent"/>
        <w:jc w:val="center"/>
        <w:rPr>
          <w:rFonts w:ascii="Arial" w:hAnsi="Arial"/>
        </w:rPr>
      </w:pPr>
      <w:r w:rsidRPr="0027310A">
        <w:rPr>
          <w:rFonts w:ascii="Arial" w:hAnsi="Arial"/>
        </w:rPr>
        <w:t xml:space="preserve">Refer to Payment section </w:t>
      </w:r>
      <w:r w:rsidR="0027310A">
        <w:rPr>
          <w:rFonts w:ascii="Arial" w:hAnsi="Arial"/>
        </w:rPr>
        <w:t>19</w:t>
      </w:r>
      <w:r w:rsidRPr="0027310A">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Style w:val="TableGrid"/>
        <w:tblW w:w="5000" w:type="pct"/>
        <w:tblLook w:val="04A0" w:firstRow="1" w:lastRow="0" w:firstColumn="1" w:lastColumn="0" w:noHBand="0" w:noVBand="1"/>
      </w:tblPr>
      <w:tblGrid>
        <w:gridCol w:w="1623"/>
        <w:gridCol w:w="4484"/>
        <w:gridCol w:w="2933"/>
      </w:tblGrid>
      <w:tr w:rsidR="00F1520A" w:rsidRPr="00466324" w14:paraId="5443AFD1" w14:textId="77777777" w:rsidTr="00D9738D">
        <w:tc>
          <w:tcPr>
            <w:tcW w:w="898" w:type="pct"/>
            <w:shd w:val="clear" w:color="auto" w:fill="D5DCE4" w:themeFill="text2" w:themeFillTint="33"/>
            <w:vAlign w:val="center"/>
          </w:tcPr>
          <w:p w14:paraId="784F4C25" w14:textId="77777777" w:rsidR="00F1520A" w:rsidRPr="00993F1B" w:rsidRDefault="00F1520A" w:rsidP="00D9738D">
            <w:pPr>
              <w:pStyle w:val="Heading3"/>
              <w:spacing w:before="240"/>
              <w:jc w:val="center"/>
              <w:outlineLvl w:val="2"/>
              <w:rPr>
                <w:b/>
                <w:szCs w:val="24"/>
              </w:rPr>
            </w:pPr>
            <w:r w:rsidRPr="00993F1B">
              <w:rPr>
                <w:b/>
              </w:rPr>
              <w:t>Milestone</w:t>
            </w:r>
          </w:p>
        </w:tc>
        <w:tc>
          <w:tcPr>
            <w:tcW w:w="2480" w:type="pct"/>
            <w:shd w:val="clear" w:color="auto" w:fill="D5DCE4" w:themeFill="text2" w:themeFillTint="33"/>
            <w:vAlign w:val="center"/>
          </w:tcPr>
          <w:p w14:paraId="1529136B" w14:textId="77777777" w:rsidR="00F1520A" w:rsidRPr="00993F1B" w:rsidRDefault="00F1520A" w:rsidP="00D9738D">
            <w:pPr>
              <w:pStyle w:val="Heading3"/>
              <w:spacing w:before="240"/>
              <w:jc w:val="center"/>
              <w:outlineLvl w:val="2"/>
              <w:rPr>
                <w:b/>
                <w:szCs w:val="24"/>
              </w:rPr>
            </w:pPr>
            <w:r w:rsidRPr="00993F1B">
              <w:rPr>
                <w:b/>
              </w:rPr>
              <w:t>Description</w:t>
            </w:r>
          </w:p>
        </w:tc>
        <w:tc>
          <w:tcPr>
            <w:tcW w:w="1622" w:type="pct"/>
            <w:shd w:val="clear" w:color="auto" w:fill="D5DCE4" w:themeFill="text2" w:themeFillTint="33"/>
            <w:vAlign w:val="center"/>
          </w:tcPr>
          <w:p w14:paraId="63DA999B" w14:textId="77777777" w:rsidR="00F1520A" w:rsidRPr="00993F1B" w:rsidRDefault="00F1520A" w:rsidP="00D9738D">
            <w:pPr>
              <w:pStyle w:val="Heading3"/>
              <w:spacing w:before="240"/>
              <w:jc w:val="center"/>
              <w:outlineLvl w:val="2"/>
              <w:rPr>
                <w:b/>
                <w:szCs w:val="24"/>
              </w:rPr>
            </w:pPr>
            <w:r w:rsidRPr="00993F1B">
              <w:rPr>
                <w:b/>
              </w:rPr>
              <w:t>Timeframe</w:t>
            </w:r>
          </w:p>
        </w:tc>
      </w:tr>
      <w:tr w:rsidR="00F1520A" w:rsidRPr="00466324" w14:paraId="3A4A9090" w14:textId="77777777" w:rsidTr="00D9738D">
        <w:tc>
          <w:tcPr>
            <w:tcW w:w="898" w:type="pct"/>
            <w:vAlign w:val="center"/>
          </w:tcPr>
          <w:p w14:paraId="43BCBCF7" w14:textId="77777777" w:rsidR="00F1520A" w:rsidRPr="006F457F" w:rsidRDefault="00F1520A" w:rsidP="00D9738D">
            <w:pPr>
              <w:pStyle w:val="Heading3"/>
              <w:spacing w:before="240"/>
              <w:jc w:val="center"/>
              <w:outlineLvl w:val="2"/>
              <w:rPr>
                <w:color w:val="000000" w:themeColor="text1"/>
                <w:szCs w:val="24"/>
                <w:highlight w:val="yellow"/>
              </w:rPr>
            </w:pPr>
            <w:r w:rsidRPr="006F457F">
              <w:rPr>
                <w:color w:val="000000" w:themeColor="text1"/>
              </w:rPr>
              <w:t>1</w:t>
            </w:r>
          </w:p>
        </w:tc>
        <w:tc>
          <w:tcPr>
            <w:tcW w:w="2480" w:type="pct"/>
            <w:vAlign w:val="center"/>
          </w:tcPr>
          <w:p w14:paraId="3AAA39FB" w14:textId="77777777" w:rsidR="00F1520A" w:rsidRPr="00E27AF3" w:rsidRDefault="00F1520A" w:rsidP="00D9738D">
            <w:pPr>
              <w:pStyle w:val="Heading3"/>
              <w:spacing w:before="240"/>
              <w:jc w:val="left"/>
              <w:outlineLvl w:val="2"/>
              <w:rPr>
                <w:color w:val="FF0000"/>
                <w:szCs w:val="24"/>
                <w:highlight w:val="yellow"/>
              </w:rPr>
            </w:pPr>
            <w:r>
              <w:t>Target</w:t>
            </w:r>
            <w:r w:rsidRPr="00E27AF3">
              <w:t xml:space="preserve"> </w:t>
            </w:r>
            <w:r>
              <w:t>Design &amp; Mobilisation</w:t>
            </w:r>
          </w:p>
        </w:tc>
        <w:tc>
          <w:tcPr>
            <w:tcW w:w="1622" w:type="pct"/>
            <w:vAlign w:val="center"/>
          </w:tcPr>
          <w:p w14:paraId="2F7F1B64" w14:textId="77777777" w:rsidR="00F1520A" w:rsidRPr="00466324" w:rsidRDefault="00F1520A" w:rsidP="00D9738D">
            <w:pPr>
              <w:pStyle w:val="Heading3"/>
              <w:spacing w:before="240"/>
              <w:jc w:val="center"/>
              <w:outlineLvl w:val="2"/>
              <w:rPr>
                <w:color w:val="FF0000"/>
                <w:szCs w:val="24"/>
                <w:highlight w:val="yellow"/>
              </w:rPr>
            </w:pPr>
            <w:r>
              <w:t>B</w:t>
            </w:r>
            <w:r w:rsidRPr="00E27AF3">
              <w:t xml:space="preserve">efore </w:t>
            </w:r>
            <w:r>
              <w:t>10</w:t>
            </w:r>
            <w:r w:rsidRPr="00993F1B">
              <w:rPr>
                <w:vertAlign w:val="superscript"/>
              </w:rPr>
              <w:t>th</w:t>
            </w:r>
            <w:r>
              <w:t xml:space="preserve"> December 20</w:t>
            </w:r>
            <w:r w:rsidRPr="00E27AF3">
              <w:t>18</w:t>
            </w:r>
          </w:p>
        </w:tc>
      </w:tr>
      <w:tr w:rsidR="00F1520A" w:rsidRPr="00466324" w14:paraId="63D21954" w14:textId="77777777" w:rsidTr="00D9738D">
        <w:tc>
          <w:tcPr>
            <w:tcW w:w="898" w:type="pct"/>
            <w:vAlign w:val="center"/>
          </w:tcPr>
          <w:p w14:paraId="5998B7DB" w14:textId="77777777" w:rsidR="00F1520A" w:rsidRPr="00993F1B" w:rsidRDefault="00F1520A" w:rsidP="00D9738D">
            <w:pPr>
              <w:pStyle w:val="Heading3"/>
              <w:spacing w:before="240"/>
              <w:jc w:val="center"/>
              <w:outlineLvl w:val="2"/>
            </w:pPr>
            <w:r w:rsidRPr="00993F1B">
              <w:t>2</w:t>
            </w:r>
          </w:p>
        </w:tc>
        <w:tc>
          <w:tcPr>
            <w:tcW w:w="2480" w:type="pct"/>
            <w:vAlign w:val="center"/>
          </w:tcPr>
          <w:p w14:paraId="52D23AB4" w14:textId="77777777" w:rsidR="00F1520A" w:rsidRPr="00993F1B" w:rsidRDefault="00F1520A" w:rsidP="00D9738D">
            <w:pPr>
              <w:pStyle w:val="Heading3"/>
              <w:spacing w:before="240"/>
              <w:jc w:val="left"/>
              <w:outlineLvl w:val="2"/>
              <w:rPr>
                <w:b/>
              </w:rPr>
            </w:pPr>
            <w:r w:rsidRPr="00993F1B">
              <w:t>Manage, monitor and continually update the stakeholder engagement and communications plan in line with objective 6.5.4.</w:t>
            </w:r>
          </w:p>
        </w:tc>
        <w:tc>
          <w:tcPr>
            <w:tcW w:w="1622" w:type="pct"/>
            <w:vAlign w:val="center"/>
          </w:tcPr>
          <w:p w14:paraId="6622E5AD" w14:textId="77777777" w:rsidR="00F1520A" w:rsidRPr="00993F1B" w:rsidRDefault="00F1520A" w:rsidP="00D9738D">
            <w:pPr>
              <w:pStyle w:val="Heading3"/>
              <w:spacing w:before="240"/>
              <w:jc w:val="center"/>
              <w:outlineLvl w:val="2"/>
            </w:pPr>
            <w:r w:rsidRPr="00993F1B">
              <w:t>Managed through the life of the contract.</w:t>
            </w:r>
          </w:p>
        </w:tc>
      </w:tr>
      <w:tr w:rsidR="00F1520A" w:rsidRPr="00466324" w14:paraId="07811211" w14:textId="77777777" w:rsidTr="00D9738D">
        <w:tc>
          <w:tcPr>
            <w:tcW w:w="898" w:type="pct"/>
            <w:vAlign w:val="center"/>
          </w:tcPr>
          <w:p w14:paraId="0E22928C" w14:textId="77777777" w:rsidR="00F1520A" w:rsidRPr="006F457F" w:rsidRDefault="00F1520A" w:rsidP="00D9738D">
            <w:pPr>
              <w:pStyle w:val="Heading3"/>
              <w:spacing w:before="240"/>
              <w:jc w:val="center"/>
              <w:outlineLvl w:val="2"/>
              <w:rPr>
                <w:color w:val="000000" w:themeColor="text1"/>
              </w:rPr>
            </w:pPr>
            <w:r w:rsidRPr="006F457F">
              <w:rPr>
                <w:color w:val="000000" w:themeColor="text1"/>
              </w:rPr>
              <w:t>3</w:t>
            </w:r>
          </w:p>
        </w:tc>
        <w:tc>
          <w:tcPr>
            <w:tcW w:w="2480" w:type="pct"/>
            <w:vAlign w:val="center"/>
          </w:tcPr>
          <w:p w14:paraId="5F5CAEF8" w14:textId="77777777" w:rsidR="00F1520A" w:rsidRPr="00F1520A" w:rsidRDefault="00F1520A" w:rsidP="00F1520A">
            <w:pPr>
              <w:pStyle w:val="ORDERFORML1PraraNo"/>
              <w:numPr>
                <w:ilvl w:val="0"/>
                <w:numId w:val="25"/>
              </w:numPr>
              <w:spacing w:after="160" w:line="259" w:lineRule="auto"/>
              <w:contextualSpacing/>
            </w:pPr>
            <w:r w:rsidRPr="00F1520A">
              <w:t xml:space="preserve">Produce Pilot Scope document, in line with objective 6.6.1. </w:t>
            </w:r>
          </w:p>
        </w:tc>
        <w:tc>
          <w:tcPr>
            <w:tcW w:w="1622" w:type="pct"/>
            <w:vAlign w:val="center"/>
          </w:tcPr>
          <w:p w14:paraId="01B13D15" w14:textId="77777777" w:rsidR="00F1520A" w:rsidRPr="00466324" w:rsidRDefault="00F1520A" w:rsidP="00D9738D">
            <w:pPr>
              <w:pStyle w:val="Heading3"/>
              <w:spacing w:before="240"/>
              <w:jc w:val="center"/>
              <w:outlineLvl w:val="2"/>
              <w:rPr>
                <w:color w:val="FF0000"/>
                <w:szCs w:val="24"/>
                <w:highlight w:val="yellow"/>
              </w:rPr>
            </w:pPr>
            <w:r>
              <w:t>By end of January 2019</w:t>
            </w:r>
          </w:p>
        </w:tc>
      </w:tr>
      <w:tr w:rsidR="00F1520A" w:rsidRPr="00466324" w14:paraId="35DD1074" w14:textId="77777777" w:rsidTr="00D9738D">
        <w:tc>
          <w:tcPr>
            <w:tcW w:w="898" w:type="pct"/>
            <w:vAlign w:val="center"/>
          </w:tcPr>
          <w:p w14:paraId="7D9EDBEF" w14:textId="77777777" w:rsidR="00F1520A" w:rsidRPr="006F457F" w:rsidRDefault="00F1520A" w:rsidP="00D9738D">
            <w:pPr>
              <w:pStyle w:val="Heading3"/>
              <w:spacing w:before="240"/>
              <w:jc w:val="center"/>
              <w:outlineLvl w:val="2"/>
              <w:rPr>
                <w:color w:val="000000" w:themeColor="text1"/>
              </w:rPr>
            </w:pPr>
            <w:r>
              <w:rPr>
                <w:color w:val="000000" w:themeColor="text1"/>
              </w:rPr>
              <w:t>4</w:t>
            </w:r>
          </w:p>
        </w:tc>
        <w:tc>
          <w:tcPr>
            <w:tcW w:w="2480" w:type="pct"/>
            <w:vAlign w:val="center"/>
          </w:tcPr>
          <w:p w14:paraId="526854C7" w14:textId="77777777" w:rsidR="00F1520A" w:rsidRDefault="00F1520A" w:rsidP="00D9738D">
            <w:pPr>
              <w:spacing w:after="160" w:line="259" w:lineRule="auto"/>
              <w:contextualSpacing/>
            </w:pPr>
            <w:r w:rsidRPr="0062140A">
              <w:t>Produce a Pilot operating m</w:t>
            </w:r>
            <w:r>
              <w:t xml:space="preserve">odel design, in line with objective 6.6.2. </w:t>
            </w:r>
          </w:p>
        </w:tc>
        <w:tc>
          <w:tcPr>
            <w:tcW w:w="1622" w:type="pct"/>
            <w:vAlign w:val="center"/>
          </w:tcPr>
          <w:p w14:paraId="078935AE" w14:textId="77777777" w:rsidR="00F1520A" w:rsidRDefault="00F1520A" w:rsidP="00D9738D">
            <w:pPr>
              <w:pStyle w:val="Heading3"/>
              <w:spacing w:before="240"/>
              <w:jc w:val="center"/>
              <w:outlineLvl w:val="2"/>
            </w:pPr>
            <w:r>
              <w:t>By end of February 20</w:t>
            </w:r>
            <w:r w:rsidRPr="0062140A">
              <w:t>19</w:t>
            </w:r>
          </w:p>
        </w:tc>
      </w:tr>
      <w:tr w:rsidR="00F1520A" w:rsidRPr="00466324" w14:paraId="698ABAC6" w14:textId="77777777" w:rsidTr="00D9738D">
        <w:tc>
          <w:tcPr>
            <w:tcW w:w="898" w:type="pct"/>
            <w:vAlign w:val="center"/>
          </w:tcPr>
          <w:p w14:paraId="7CCD0D7A" w14:textId="77777777" w:rsidR="00F1520A" w:rsidRPr="006F457F" w:rsidRDefault="00F1520A" w:rsidP="00D9738D">
            <w:pPr>
              <w:pStyle w:val="Heading3"/>
              <w:spacing w:before="240"/>
              <w:jc w:val="center"/>
              <w:outlineLvl w:val="2"/>
              <w:rPr>
                <w:color w:val="000000" w:themeColor="text1"/>
              </w:rPr>
            </w:pPr>
            <w:r>
              <w:rPr>
                <w:color w:val="000000" w:themeColor="text1"/>
              </w:rPr>
              <w:t>5</w:t>
            </w:r>
          </w:p>
        </w:tc>
        <w:tc>
          <w:tcPr>
            <w:tcW w:w="2480" w:type="pct"/>
            <w:vAlign w:val="center"/>
          </w:tcPr>
          <w:p w14:paraId="618AEB44" w14:textId="77777777" w:rsidR="00F1520A" w:rsidRDefault="00F1520A" w:rsidP="00D9738D">
            <w:pPr>
              <w:spacing w:after="160" w:line="259" w:lineRule="auto"/>
              <w:contextualSpacing/>
            </w:pPr>
            <w:r>
              <w:t>Produce Pilot Success Parameters Report, in line with Objective 6.6.3.</w:t>
            </w:r>
          </w:p>
          <w:p w14:paraId="297089EA" w14:textId="77777777" w:rsidR="00F1520A" w:rsidRPr="0062140A" w:rsidRDefault="00F1520A" w:rsidP="00D9738D">
            <w:pPr>
              <w:spacing w:after="160" w:line="259" w:lineRule="auto"/>
              <w:contextualSpacing/>
            </w:pPr>
          </w:p>
        </w:tc>
        <w:tc>
          <w:tcPr>
            <w:tcW w:w="1622" w:type="pct"/>
            <w:vAlign w:val="center"/>
          </w:tcPr>
          <w:p w14:paraId="5D67934C" w14:textId="77777777" w:rsidR="00F1520A" w:rsidRDefault="00F1520A" w:rsidP="00D9738D">
            <w:pPr>
              <w:pStyle w:val="Heading3"/>
              <w:spacing w:before="240"/>
              <w:jc w:val="center"/>
              <w:outlineLvl w:val="2"/>
            </w:pPr>
            <w:r w:rsidRPr="00D74FFA">
              <w:t xml:space="preserve">By </w:t>
            </w:r>
            <w:r>
              <w:t>end of</w:t>
            </w:r>
            <w:r w:rsidRPr="00D74FFA">
              <w:t xml:space="preserve"> Feb</w:t>
            </w:r>
            <w:r>
              <w:t>ruary 20</w:t>
            </w:r>
            <w:r w:rsidRPr="00D74FFA">
              <w:t>19</w:t>
            </w:r>
          </w:p>
        </w:tc>
      </w:tr>
      <w:tr w:rsidR="00F1520A" w:rsidRPr="00466324" w14:paraId="59C9898B" w14:textId="77777777" w:rsidTr="00D9738D">
        <w:tc>
          <w:tcPr>
            <w:tcW w:w="898" w:type="pct"/>
            <w:vAlign w:val="center"/>
          </w:tcPr>
          <w:p w14:paraId="0A2C3AEA" w14:textId="77777777" w:rsidR="00F1520A" w:rsidRPr="006F457F" w:rsidRDefault="00F1520A" w:rsidP="00D9738D">
            <w:pPr>
              <w:pStyle w:val="Heading3"/>
              <w:spacing w:before="240"/>
              <w:jc w:val="center"/>
              <w:outlineLvl w:val="2"/>
              <w:rPr>
                <w:color w:val="000000" w:themeColor="text1"/>
              </w:rPr>
            </w:pPr>
            <w:r>
              <w:rPr>
                <w:color w:val="000000" w:themeColor="text1"/>
              </w:rPr>
              <w:t>6</w:t>
            </w:r>
          </w:p>
        </w:tc>
        <w:tc>
          <w:tcPr>
            <w:tcW w:w="2480" w:type="pct"/>
            <w:vAlign w:val="center"/>
          </w:tcPr>
          <w:p w14:paraId="5DDCD595" w14:textId="77777777" w:rsidR="00F1520A" w:rsidRPr="0062140A" w:rsidRDefault="00F1520A" w:rsidP="00D9738D">
            <w:pPr>
              <w:spacing w:after="160" w:line="259" w:lineRule="auto"/>
              <w:contextualSpacing/>
            </w:pPr>
            <w:r w:rsidRPr="0062140A">
              <w:t xml:space="preserve">Produce a fully costed and resourced </w:t>
            </w:r>
            <w:r>
              <w:t xml:space="preserve">initial </w:t>
            </w:r>
            <w:r w:rsidRPr="0062140A">
              <w:t xml:space="preserve">pilot mobilisation and operations plan, including </w:t>
            </w:r>
            <w:r w:rsidRPr="00993F1B">
              <w:t>pilot success factors, in line with objective 6.6.4.</w:t>
            </w:r>
          </w:p>
        </w:tc>
        <w:tc>
          <w:tcPr>
            <w:tcW w:w="1622" w:type="pct"/>
          </w:tcPr>
          <w:p w14:paraId="7BFAA644" w14:textId="77777777" w:rsidR="00F1520A" w:rsidRDefault="00F1520A" w:rsidP="00D9738D">
            <w:pPr>
              <w:pStyle w:val="Heading3"/>
              <w:spacing w:before="240"/>
              <w:jc w:val="center"/>
              <w:outlineLvl w:val="2"/>
            </w:pPr>
            <w:r w:rsidRPr="00D74FFA">
              <w:t xml:space="preserve">By </w:t>
            </w:r>
            <w:r>
              <w:t>end of</w:t>
            </w:r>
            <w:r w:rsidRPr="00D74FFA">
              <w:t xml:space="preserve"> Feb</w:t>
            </w:r>
            <w:r>
              <w:t>ruary 20</w:t>
            </w:r>
            <w:r w:rsidRPr="00D74FFA">
              <w:t>19</w:t>
            </w:r>
          </w:p>
        </w:tc>
      </w:tr>
      <w:tr w:rsidR="00F1520A" w:rsidRPr="00466324" w14:paraId="416808C8" w14:textId="77777777" w:rsidTr="00D9738D">
        <w:tc>
          <w:tcPr>
            <w:tcW w:w="898" w:type="pct"/>
            <w:vAlign w:val="center"/>
          </w:tcPr>
          <w:p w14:paraId="23AE89AA" w14:textId="77777777" w:rsidR="00F1520A" w:rsidRPr="006F457F" w:rsidRDefault="00F1520A" w:rsidP="00D9738D">
            <w:pPr>
              <w:pStyle w:val="Heading3"/>
              <w:spacing w:before="240"/>
              <w:jc w:val="center"/>
              <w:outlineLvl w:val="2"/>
              <w:rPr>
                <w:color w:val="000000" w:themeColor="text1"/>
              </w:rPr>
            </w:pPr>
            <w:r>
              <w:rPr>
                <w:color w:val="000000" w:themeColor="text1"/>
              </w:rPr>
              <w:t>7</w:t>
            </w:r>
          </w:p>
        </w:tc>
        <w:tc>
          <w:tcPr>
            <w:tcW w:w="2480" w:type="pct"/>
            <w:vAlign w:val="center"/>
          </w:tcPr>
          <w:p w14:paraId="79E4155F" w14:textId="77777777" w:rsidR="00F1520A" w:rsidRPr="0062140A" w:rsidRDefault="00F1520A" w:rsidP="00D9738D">
            <w:pPr>
              <w:spacing w:after="160" w:line="259" w:lineRule="auto"/>
              <w:contextualSpacing/>
            </w:pPr>
            <w:r>
              <w:t>Produce a Data Capture Mechanism in line with Objective 6.6.5.</w:t>
            </w:r>
          </w:p>
        </w:tc>
        <w:tc>
          <w:tcPr>
            <w:tcW w:w="1622" w:type="pct"/>
          </w:tcPr>
          <w:p w14:paraId="3E14DCD1" w14:textId="77777777" w:rsidR="00F1520A" w:rsidRDefault="00F1520A" w:rsidP="00D9738D">
            <w:pPr>
              <w:pStyle w:val="Heading3"/>
              <w:spacing w:before="240"/>
              <w:jc w:val="center"/>
              <w:outlineLvl w:val="2"/>
            </w:pPr>
            <w:r w:rsidRPr="00D74FFA">
              <w:t xml:space="preserve">By </w:t>
            </w:r>
            <w:r>
              <w:t>end of</w:t>
            </w:r>
            <w:r w:rsidRPr="00D74FFA">
              <w:t xml:space="preserve"> Feb</w:t>
            </w:r>
            <w:r>
              <w:t>ruary 20</w:t>
            </w:r>
            <w:r w:rsidRPr="00D74FFA">
              <w:t>19</w:t>
            </w:r>
          </w:p>
        </w:tc>
      </w:tr>
      <w:tr w:rsidR="00F1520A" w:rsidRPr="00466324" w14:paraId="74B74FE9" w14:textId="77777777" w:rsidTr="00D9738D">
        <w:tc>
          <w:tcPr>
            <w:tcW w:w="898" w:type="pct"/>
            <w:vAlign w:val="center"/>
          </w:tcPr>
          <w:p w14:paraId="4F25A5BD" w14:textId="77777777" w:rsidR="00F1520A" w:rsidRPr="006F457F" w:rsidRDefault="00F1520A" w:rsidP="00D9738D">
            <w:pPr>
              <w:pStyle w:val="Heading3"/>
              <w:spacing w:before="240"/>
              <w:jc w:val="center"/>
              <w:outlineLvl w:val="2"/>
              <w:rPr>
                <w:color w:val="000000" w:themeColor="text1"/>
              </w:rPr>
            </w:pPr>
            <w:r>
              <w:rPr>
                <w:color w:val="000000" w:themeColor="text1"/>
              </w:rPr>
              <w:t>8</w:t>
            </w:r>
          </w:p>
        </w:tc>
        <w:tc>
          <w:tcPr>
            <w:tcW w:w="2480" w:type="pct"/>
            <w:vAlign w:val="center"/>
          </w:tcPr>
          <w:p w14:paraId="72542FA1" w14:textId="77777777" w:rsidR="00F1520A" w:rsidRPr="0062140A" w:rsidRDefault="00F1520A" w:rsidP="00D9738D">
            <w:pPr>
              <w:spacing w:after="160" w:line="259" w:lineRule="auto"/>
              <w:contextualSpacing/>
            </w:pPr>
            <w:r w:rsidRPr="00207865">
              <w:t xml:space="preserve">Produce a data analytical tool to enable DPHC to </w:t>
            </w:r>
            <w:r>
              <w:t>define patient demand modelling in line with objective 6.6.5.2.</w:t>
            </w:r>
          </w:p>
        </w:tc>
        <w:tc>
          <w:tcPr>
            <w:tcW w:w="1622" w:type="pct"/>
          </w:tcPr>
          <w:p w14:paraId="22B429E1" w14:textId="77777777" w:rsidR="00F1520A" w:rsidRDefault="00F1520A" w:rsidP="00D9738D">
            <w:pPr>
              <w:pStyle w:val="Heading3"/>
              <w:spacing w:before="240"/>
              <w:jc w:val="center"/>
              <w:outlineLvl w:val="2"/>
            </w:pPr>
            <w:r w:rsidRPr="00D74FFA">
              <w:t xml:space="preserve">By </w:t>
            </w:r>
            <w:r>
              <w:t>end of</w:t>
            </w:r>
            <w:r w:rsidRPr="00D74FFA">
              <w:t xml:space="preserve"> Feb</w:t>
            </w:r>
            <w:r>
              <w:t>ruary 20</w:t>
            </w:r>
            <w:r w:rsidRPr="00D74FFA">
              <w:t>19</w:t>
            </w:r>
          </w:p>
        </w:tc>
      </w:tr>
      <w:tr w:rsidR="00F1520A" w:rsidRPr="00466324" w14:paraId="37AC62E9" w14:textId="77777777" w:rsidTr="00D9738D">
        <w:tc>
          <w:tcPr>
            <w:tcW w:w="898" w:type="pct"/>
            <w:vAlign w:val="center"/>
          </w:tcPr>
          <w:p w14:paraId="3781A02C" w14:textId="77777777" w:rsidR="00F1520A" w:rsidRPr="006F457F" w:rsidRDefault="00F1520A" w:rsidP="00D9738D">
            <w:pPr>
              <w:pStyle w:val="Heading3"/>
              <w:spacing w:before="240"/>
              <w:jc w:val="center"/>
              <w:outlineLvl w:val="2"/>
              <w:rPr>
                <w:color w:val="000000" w:themeColor="text1"/>
              </w:rPr>
            </w:pPr>
            <w:r>
              <w:rPr>
                <w:color w:val="000000" w:themeColor="text1"/>
              </w:rPr>
              <w:lastRenderedPageBreak/>
              <w:t>9</w:t>
            </w:r>
          </w:p>
        </w:tc>
        <w:tc>
          <w:tcPr>
            <w:tcW w:w="2480" w:type="pct"/>
            <w:vAlign w:val="center"/>
          </w:tcPr>
          <w:p w14:paraId="02EA7BA6" w14:textId="77777777" w:rsidR="00F1520A" w:rsidRPr="0062140A" w:rsidRDefault="00F1520A" w:rsidP="00D9738D">
            <w:pPr>
              <w:spacing w:after="160" w:line="259" w:lineRule="auto"/>
              <w:contextualSpacing/>
            </w:pPr>
            <w:r w:rsidRPr="0062140A">
              <w:t>To provide technical support in t</w:t>
            </w:r>
            <w:r>
              <w:t>he assessment and operation of P</w:t>
            </w:r>
            <w:r w:rsidRPr="0062140A">
              <w:t xml:space="preserve">roof of </w:t>
            </w:r>
            <w:r>
              <w:t>C</w:t>
            </w:r>
            <w:r w:rsidRPr="0062140A">
              <w:t xml:space="preserve">oncepts and </w:t>
            </w:r>
            <w:r>
              <w:t>to deliver a report that sets out how the key findings will be integrated into the main pilot, in line with objective 6.6.6.</w:t>
            </w:r>
          </w:p>
        </w:tc>
        <w:tc>
          <w:tcPr>
            <w:tcW w:w="1622" w:type="pct"/>
            <w:vAlign w:val="center"/>
          </w:tcPr>
          <w:p w14:paraId="7896439A" w14:textId="77777777" w:rsidR="00F1520A" w:rsidRDefault="00F1520A" w:rsidP="00D9738D">
            <w:pPr>
              <w:pStyle w:val="Heading3"/>
              <w:spacing w:before="240"/>
              <w:jc w:val="center"/>
              <w:outlineLvl w:val="2"/>
            </w:pPr>
            <w:r w:rsidRPr="00A63B3C">
              <w:t>By mid-Mar</w:t>
            </w:r>
            <w:r>
              <w:t>ch 20</w:t>
            </w:r>
            <w:r w:rsidRPr="00A63B3C">
              <w:t>19</w:t>
            </w:r>
            <w:r w:rsidRPr="006101CB">
              <w:rPr>
                <w:i/>
              </w:rPr>
              <w:t>.</w:t>
            </w:r>
          </w:p>
        </w:tc>
      </w:tr>
      <w:tr w:rsidR="00F1520A" w:rsidRPr="00466324" w14:paraId="16617620" w14:textId="77777777" w:rsidTr="00D9738D">
        <w:tc>
          <w:tcPr>
            <w:tcW w:w="898" w:type="pct"/>
            <w:vAlign w:val="center"/>
          </w:tcPr>
          <w:p w14:paraId="6B5B47B4" w14:textId="77777777" w:rsidR="00F1520A" w:rsidRPr="006F457F" w:rsidRDefault="00F1520A" w:rsidP="00D9738D">
            <w:pPr>
              <w:pStyle w:val="Heading3"/>
              <w:spacing w:before="240"/>
              <w:jc w:val="center"/>
              <w:outlineLvl w:val="2"/>
              <w:rPr>
                <w:color w:val="000000" w:themeColor="text1"/>
              </w:rPr>
            </w:pPr>
            <w:r>
              <w:rPr>
                <w:color w:val="000000" w:themeColor="text1"/>
              </w:rPr>
              <w:t>10</w:t>
            </w:r>
          </w:p>
        </w:tc>
        <w:tc>
          <w:tcPr>
            <w:tcW w:w="2480" w:type="pct"/>
            <w:vAlign w:val="center"/>
          </w:tcPr>
          <w:p w14:paraId="27DAB409" w14:textId="77777777" w:rsidR="00F1520A" w:rsidRPr="00993F1B" w:rsidRDefault="00F1520A" w:rsidP="00D9738D">
            <w:pPr>
              <w:spacing w:after="160" w:line="259" w:lineRule="auto"/>
              <w:contextualSpacing/>
            </w:pPr>
            <w:r w:rsidRPr="00993F1B">
              <w:t xml:space="preserve">Design an operating model validation mechanism for authority sign off, to assess the initial operating model and implementation plan and an ongoing review process to monitor and maintain continued confidence in operating model effectiveness and safety. The mechanism should integrate improvement cycles in line with 6.6.8 &amp; 6.6.9 </w:t>
            </w:r>
          </w:p>
        </w:tc>
        <w:tc>
          <w:tcPr>
            <w:tcW w:w="1622" w:type="pct"/>
            <w:vAlign w:val="center"/>
          </w:tcPr>
          <w:p w14:paraId="0C3989A0" w14:textId="77777777" w:rsidR="00F1520A" w:rsidRPr="00993F1B" w:rsidRDefault="00F1520A" w:rsidP="00D9738D">
            <w:pPr>
              <w:pStyle w:val="Heading3"/>
              <w:spacing w:before="240"/>
              <w:jc w:val="center"/>
              <w:outlineLvl w:val="2"/>
            </w:pPr>
            <w:r w:rsidRPr="00993F1B">
              <w:t>By end of Mar</w:t>
            </w:r>
            <w:r>
              <w:t>ch 20</w:t>
            </w:r>
            <w:r w:rsidRPr="00993F1B">
              <w:t>19</w:t>
            </w:r>
          </w:p>
        </w:tc>
      </w:tr>
      <w:tr w:rsidR="00F1520A" w:rsidRPr="00466324" w14:paraId="62C65EC4" w14:textId="77777777" w:rsidTr="00D9738D">
        <w:tc>
          <w:tcPr>
            <w:tcW w:w="898" w:type="pct"/>
            <w:vAlign w:val="center"/>
          </w:tcPr>
          <w:p w14:paraId="33FD698A" w14:textId="77777777" w:rsidR="00F1520A" w:rsidRPr="006F457F" w:rsidRDefault="00F1520A" w:rsidP="00D9738D">
            <w:pPr>
              <w:pStyle w:val="Heading3"/>
              <w:spacing w:before="240"/>
              <w:jc w:val="center"/>
              <w:outlineLvl w:val="2"/>
              <w:rPr>
                <w:color w:val="000000" w:themeColor="text1"/>
              </w:rPr>
            </w:pPr>
            <w:r>
              <w:rPr>
                <w:color w:val="000000" w:themeColor="text1"/>
              </w:rPr>
              <w:t>11</w:t>
            </w:r>
          </w:p>
        </w:tc>
        <w:tc>
          <w:tcPr>
            <w:tcW w:w="2480" w:type="pct"/>
            <w:vAlign w:val="center"/>
          </w:tcPr>
          <w:p w14:paraId="1BC6AAA7" w14:textId="77777777" w:rsidR="00F1520A" w:rsidRPr="0062140A" w:rsidRDefault="00F1520A" w:rsidP="00D9738D">
            <w:pPr>
              <w:spacing w:after="160" w:line="259" w:lineRule="auto"/>
              <w:contextualSpacing/>
            </w:pPr>
            <w:r w:rsidRPr="0062140A">
              <w:t xml:space="preserve">Produce Benefits Realisation Model, in line with objective </w:t>
            </w:r>
            <w:r>
              <w:t>6.5.1.</w:t>
            </w:r>
          </w:p>
        </w:tc>
        <w:tc>
          <w:tcPr>
            <w:tcW w:w="1622" w:type="pct"/>
            <w:vAlign w:val="center"/>
          </w:tcPr>
          <w:p w14:paraId="2F8D8224" w14:textId="77777777" w:rsidR="00F1520A" w:rsidRDefault="00F1520A" w:rsidP="00D9738D">
            <w:pPr>
              <w:pStyle w:val="Heading3"/>
              <w:spacing w:before="240"/>
              <w:jc w:val="center"/>
              <w:outlineLvl w:val="2"/>
            </w:pPr>
            <w:r w:rsidRPr="00993F1B">
              <w:t>By end of Mar</w:t>
            </w:r>
            <w:r>
              <w:t>ch 20</w:t>
            </w:r>
            <w:r w:rsidRPr="00993F1B">
              <w:t>19</w:t>
            </w:r>
          </w:p>
        </w:tc>
      </w:tr>
      <w:tr w:rsidR="00F1520A" w:rsidRPr="00466324" w14:paraId="309DF7C6" w14:textId="77777777" w:rsidTr="00D9738D">
        <w:tc>
          <w:tcPr>
            <w:tcW w:w="898" w:type="pct"/>
            <w:vAlign w:val="center"/>
          </w:tcPr>
          <w:p w14:paraId="6F2E6E2D" w14:textId="77777777" w:rsidR="00F1520A" w:rsidRPr="006F457F" w:rsidRDefault="00F1520A" w:rsidP="00D9738D">
            <w:pPr>
              <w:pStyle w:val="Heading3"/>
              <w:spacing w:before="240"/>
              <w:jc w:val="center"/>
              <w:outlineLvl w:val="2"/>
              <w:rPr>
                <w:color w:val="000000" w:themeColor="text1"/>
              </w:rPr>
            </w:pPr>
            <w:r>
              <w:rPr>
                <w:color w:val="000000" w:themeColor="text1"/>
              </w:rPr>
              <w:t>12</w:t>
            </w:r>
          </w:p>
        </w:tc>
        <w:tc>
          <w:tcPr>
            <w:tcW w:w="2480" w:type="pct"/>
            <w:vAlign w:val="center"/>
          </w:tcPr>
          <w:p w14:paraId="6345A08B" w14:textId="77777777" w:rsidR="00F1520A" w:rsidRPr="0062140A" w:rsidRDefault="00F1520A" w:rsidP="00D9738D">
            <w:pPr>
              <w:spacing w:after="160" w:line="259" w:lineRule="auto"/>
              <w:contextualSpacing/>
            </w:pPr>
            <w:r w:rsidRPr="00787395">
              <w:t>Ensure all sites, organisations and people involved in ‘early’ piloting activities (for April commencement) are prepared to go live, in line with objective 6.6.10</w:t>
            </w:r>
          </w:p>
        </w:tc>
        <w:tc>
          <w:tcPr>
            <w:tcW w:w="1622" w:type="pct"/>
            <w:vAlign w:val="center"/>
          </w:tcPr>
          <w:p w14:paraId="012CD96E" w14:textId="77777777" w:rsidR="00F1520A" w:rsidRDefault="00F1520A" w:rsidP="00D9738D">
            <w:pPr>
              <w:pStyle w:val="Heading3"/>
              <w:spacing w:before="240"/>
              <w:jc w:val="center"/>
              <w:outlineLvl w:val="2"/>
            </w:pPr>
            <w:r>
              <w:t>By end of March 2019</w:t>
            </w:r>
          </w:p>
        </w:tc>
      </w:tr>
      <w:tr w:rsidR="00F1520A" w:rsidRPr="00466324" w14:paraId="6A27DF0E" w14:textId="77777777" w:rsidTr="00D9738D">
        <w:tc>
          <w:tcPr>
            <w:tcW w:w="898" w:type="pct"/>
            <w:vAlign w:val="center"/>
          </w:tcPr>
          <w:p w14:paraId="37374438" w14:textId="77777777" w:rsidR="00F1520A" w:rsidRDefault="00F1520A" w:rsidP="00D9738D">
            <w:pPr>
              <w:pStyle w:val="Heading3"/>
              <w:spacing w:before="240"/>
              <w:jc w:val="center"/>
              <w:outlineLvl w:val="2"/>
              <w:rPr>
                <w:color w:val="000000" w:themeColor="text1"/>
              </w:rPr>
            </w:pPr>
            <w:r>
              <w:rPr>
                <w:color w:val="000000" w:themeColor="text1"/>
              </w:rPr>
              <w:t>13</w:t>
            </w:r>
          </w:p>
        </w:tc>
        <w:tc>
          <w:tcPr>
            <w:tcW w:w="2480" w:type="pct"/>
            <w:vAlign w:val="center"/>
          </w:tcPr>
          <w:p w14:paraId="5E40DCCA" w14:textId="77777777" w:rsidR="00F1520A" w:rsidRPr="00993F1B" w:rsidRDefault="00F1520A" w:rsidP="00D9738D">
            <w:pPr>
              <w:spacing w:after="160" w:line="259" w:lineRule="auto"/>
              <w:contextualSpacing/>
            </w:pPr>
            <w:r>
              <w:t>Produce an opportunity assessment for independent healthcare sector involvement in the DHDO Pilot and Armed Forces PHC delivery/enablement.</w:t>
            </w:r>
          </w:p>
        </w:tc>
        <w:tc>
          <w:tcPr>
            <w:tcW w:w="1622" w:type="pct"/>
            <w:vAlign w:val="center"/>
          </w:tcPr>
          <w:p w14:paraId="79631BA1" w14:textId="77777777" w:rsidR="00F1520A" w:rsidRPr="00993F1B" w:rsidRDefault="00F1520A" w:rsidP="00D9738D">
            <w:pPr>
              <w:pStyle w:val="Heading3"/>
              <w:spacing w:before="240"/>
              <w:jc w:val="center"/>
              <w:outlineLvl w:val="2"/>
            </w:pPr>
            <w:r w:rsidRPr="00993F1B">
              <w:t>By end Mar</w:t>
            </w:r>
            <w:r>
              <w:t>ch 20</w:t>
            </w:r>
            <w:r w:rsidRPr="00993F1B">
              <w:t>19</w:t>
            </w:r>
          </w:p>
        </w:tc>
      </w:tr>
      <w:tr w:rsidR="00F1520A" w:rsidRPr="00466324" w14:paraId="06D0C17E" w14:textId="77777777" w:rsidTr="00D9738D">
        <w:tc>
          <w:tcPr>
            <w:tcW w:w="898" w:type="pct"/>
            <w:vAlign w:val="center"/>
          </w:tcPr>
          <w:p w14:paraId="16A507C3" w14:textId="77777777" w:rsidR="00F1520A" w:rsidRDefault="00F1520A" w:rsidP="00D9738D">
            <w:pPr>
              <w:pStyle w:val="Heading3"/>
              <w:spacing w:before="240"/>
              <w:jc w:val="center"/>
              <w:outlineLvl w:val="2"/>
              <w:rPr>
                <w:color w:val="000000" w:themeColor="text1"/>
              </w:rPr>
            </w:pPr>
            <w:r>
              <w:rPr>
                <w:color w:val="000000" w:themeColor="text1"/>
              </w:rPr>
              <w:t>14</w:t>
            </w:r>
          </w:p>
        </w:tc>
        <w:tc>
          <w:tcPr>
            <w:tcW w:w="2480" w:type="pct"/>
            <w:vAlign w:val="center"/>
          </w:tcPr>
          <w:p w14:paraId="542777FD" w14:textId="77777777" w:rsidR="00F1520A" w:rsidRDefault="00F1520A" w:rsidP="00D9738D">
            <w:pPr>
              <w:spacing w:after="160" w:line="259" w:lineRule="auto"/>
              <w:contextualSpacing/>
            </w:pPr>
            <w:r w:rsidRPr="0062140A">
              <w:t>Produce a</w:t>
            </w:r>
            <w:r>
              <w:t xml:space="preserve">n initial </w:t>
            </w:r>
            <w:r w:rsidRPr="0062140A">
              <w:t>National Business Case structure, principles and parame</w:t>
            </w:r>
            <w:r>
              <w:t>ters, in line with objective 6.5.2.</w:t>
            </w:r>
          </w:p>
        </w:tc>
        <w:tc>
          <w:tcPr>
            <w:tcW w:w="1622" w:type="pct"/>
            <w:vAlign w:val="center"/>
          </w:tcPr>
          <w:p w14:paraId="09330EF0" w14:textId="77777777" w:rsidR="00F1520A" w:rsidRPr="00993F1B" w:rsidRDefault="00F1520A" w:rsidP="00D9738D">
            <w:pPr>
              <w:pStyle w:val="Heading3"/>
              <w:spacing w:before="240"/>
              <w:jc w:val="center"/>
              <w:outlineLvl w:val="2"/>
            </w:pPr>
            <w:r>
              <w:t>By end of April 2019</w:t>
            </w:r>
          </w:p>
        </w:tc>
      </w:tr>
      <w:tr w:rsidR="00F1520A" w:rsidRPr="00466324" w14:paraId="516F408C" w14:textId="77777777" w:rsidTr="00D9738D">
        <w:tc>
          <w:tcPr>
            <w:tcW w:w="898" w:type="pct"/>
            <w:vAlign w:val="center"/>
          </w:tcPr>
          <w:p w14:paraId="119BAA03" w14:textId="77777777" w:rsidR="00F1520A" w:rsidRPr="00993F1B" w:rsidRDefault="00F1520A" w:rsidP="00D9738D">
            <w:pPr>
              <w:pStyle w:val="Heading3"/>
              <w:spacing w:before="240"/>
              <w:jc w:val="center"/>
              <w:outlineLvl w:val="2"/>
            </w:pPr>
            <w:r>
              <w:rPr>
                <w:szCs w:val="24"/>
              </w:rPr>
              <w:t>15</w:t>
            </w:r>
          </w:p>
        </w:tc>
        <w:tc>
          <w:tcPr>
            <w:tcW w:w="2480" w:type="pct"/>
          </w:tcPr>
          <w:p w14:paraId="1BD5E126" w14:textId="77777777" w:rsidR="00F1520A" w:rsidRPr="00993F1B" w:rsidRDefault="00F1520A" w:rsidP="00D9738D">
            <w:pPr>
              <w:spacing w:after="160" w:line="259" w:lineRule="auto"/>
              <w:contextualSpacing/>
            </w:pPr>
            <w:r w:rsidRPr="00993F1B">
              <w:t xml:space="preserve">Update Pilot operating model design to reflect initial </w:t>
            </w:r>
            <w:r w:rsidRPr="00993F1B">
              <w:lastRenderedPageBreak/>
              <w:t>operation period, in line with objective 6.6.8.</w:t>
            </w:r>
          </w:p>
        </w:tc>
        <w:tc>
          <w:tcPr>
            <w:tcW w:w="1622" w:type="pct"/>
          </w:tcPr>
          <w:p w14:paraId="772B4126" w14:textId="77777777" w:rsidR="00F1520A" w:rsidRPr="00993F1B" w:rsidRDefault="00F1520A" w:rsidP="00D9738D">
            <w:pPr>
              <w:pStyle w:val="Heading3"/>
              <w:spacing w:before="240"/>
              <w:jc w:val="center"/>
              <w:outlineLvl w:val="2"/>
              <w:rPr>
                <w:szCs w:val="24"/>
              </w:rPr>
            </w:pPr>
            <w:r w:rsidRPr="00993F1B">
              <w:rPr>
                <w:szCs w:val="24"/>
              </w:rPr>
              <w:lastRenderedPageBreak/>
              <w:t xml:space="preserve">By end of May </w:t>
            </w:r>
            <w:r>
              <w:rPr>
                <w:szCs w:val="24"/>
              </w:rPr>
              <w:t>20</w:t>
            </w:r>
            <w:r w:rsidRPr="00993F1B">
              <w:rPr>
                <w:szCs w:val="24"/>
              </w:rPr>
              <w:t>19</w:t>
            </w:r>
          </w:p>
        </w:tc>
      </w:tr>
      <w:tr w:rsidR="00F1520A" w:rsidRPr="00466324" w14:paraId="7D93DF84" w14:textId="77777777" w:rsidTr="00D9738D">
        <w:tc>
          <w:tcPr>
            <w:tcW w:w="898" w:type="pct"/>
            <w:vAlign w:val="center"/>
          </w:tcPr>
          <w:p w14:paraId="340C0A82" w14:textId="77777777" w:rsidR="00F1520A" w:rsidRPr="006F457F" w:rsidRDefault="00F1520A" w:rsidP="00D9738D">
            <w:pPr>
              <w:pStyle w:val="Heading3"/>
              <w:spacing w:before="240"/>
              <w:jc w:val="center"/>
              <w:outlineLvl w:val="2"/>
              <w:rPr>
                <w:color w:val="000000" w:themeColor="text1"/>
                <w:szCs w:val="24"/>
                <w:highlight w:val="yellow"/>
              </w:rPr>
            </w:pPr>
            <w:r>
              <w:rPr>
                <w:color w:val="000000" w:themeColor="text1"/>
              </w:rPr>
              <w:t>16</w:t>
            </w:r>
          </w:p>
        </w:tc>
        <w:tc>
          <w:tcPr>
            <w:tcW w:w="2480" w:type="pct"/>
            <w:vAlign w:val="center"/>
          </w:tcPr>
          <w:p w14:paraId="4CFBFA49" w14:textId="77777777" w:rsidR="00F1520A" w:rsidRPr="00993F1B" w:rsidRDefault="00F1520A" w:rsidP="00D9738D">
            <w:pPr>
              <w:spacing w:after="160" w:line="259" w:lineRule="auto"/>
              <w:contextualSpacing/>
            </w:pPr>
            <w:r w:rsidRPr="00993F1B">
              <w:t xml:space="preserve">Review the early outcomes of initial pilot operation period and update the pilot mobilisation and operations plan, in line with objective 6.6.4 </w:t>
            </w:r>
          </w:p>
        </w:tc>
        <w:tc>
          <w:tcPr>
            <w:tcW w:w="1622" w:type="pct"/>
            <w:vAlign w:val="center"/>
          </w:tcPr>
          <w:p w14:paraId="79BDB349" w14:textId="77777777" w:rsidR="00F1520A" w:rsidRPr="00993F1B" w:rsidRDefault="00F1520A" w:rsidP="00D9738D">
            <w:pPr>
              <w:pStyle w:val="Heading3"/>
              <w:spacing w:before="240"/>
              <w:jc w:val="center"/>
              <w:outlineLvl w:val="2"/>
            </w:pPr>
            <w:r w:rsidRPr="00993F1B">
              <w:t xml:space="preserve">By end of May </w:t>
            </w:r>
            <w:r>
              <w:t>20</w:t>
            </w:r>
            <w:r w:rsidRPr="00993F1B">
              <w:t>19</w:t>
            </w:r>
          </w:p>
        </w:tc>
      </w:tr>
      <w:tr w:rsidR="00F1520A" w:rsidRPr="00466324" w14:paraId="6BC3A996" w14:textId="77777777" w:rsidTr="00D9738D">
        <w:tc>
          <w:tcPr>
            <w:tcW w:w="898" w:type="pct"/>
            <w:vAlign w:val="center"/>
          </w:tcPr>
          <w:p w14:paraId="2CF2CFA7" w14:textId="77777777" w:rsidR="00F1520A" w:rsidRPr="006F457F" w:rsidRDefault="00F1520A" w:rsidP="00D9738D">
            <w:pPr>
              <w:pStyle w:val="Heading3"/>
              <w:spacing w:before="240"/>
              <w:jc w:val="center"/>
              <w:outlineLvl w:val="2"/>
              <w:rPr>
                <w:color w:val="000000" w:themeColor="text1"/>
              </w:rPr>
            </w:pPr>
            <w:r>
              <w:rPr>
                <w:color w:val="000000" w:themeColor="text1"/>
              </w:rPr>
              <w:t>17</w:t>
            </w:r>
          </w:p>
        </w:tc>
        <w:tc>
          <w:tcPr>
            <w:tcW w:w="2480" w:type="pct"/>
            <w:vAlign w:val="center"/>
          </w:tcPr>
          <w:p w14:paraId="7A150784" w14:textId="77777777" w:rsidR="00F1520A" w:rsidRPr="0062140A" w:rsidRDefault="00F1520A" w:rsidP="00D9738D">
            <w:pPr>
              <w:spacing w:after="160" w:line="259" w:lineRule="auto"/>
              <w:contextualSpacing/>
            </w:pPr>
            <w:r w:rsidRPr="00207865">
              <w:t>Produce a full</w:t>
            </w:r>
            <w:r>
              <w:t xml:space="preserve">y completed </w:t>
            </w:r>
            <w:r w:rsidRPr="00207865">
              <w:t>National Business Cas</w:t>
            </w:r>
            <w:r>
              <w:t xml:space="preserve">e </w:t>
            </w:r>
            <w:r w:rsidRPr="00207865">
              <w:t>(in line with MAID principles</w:t>
            </w:r>
            <w:r w:rsidRPr="00207865">
              <w:rPr>
                <w:vertAlign w:val="superscript"/>
              </w:rPr>
              <w:footnoteReference w:id="2"/>
            </w:r>
            <w:r>
              <w:t>) in line with objective 6.5</w:t>
            </w:r>
            <w:r w:rsidRPr="00207865">
              <w:t>.2</w:t>
            </w:r>
            <w:r>
              <w:t>.</w:t>
            </w:r>
          </w:p>
        </w:tc>
        <w:tc>
          <w:tcPr>
            <w:tcW w:w="1622" w:type="pct"/>
            <w:vAlign w:val="center"/>
          </w:tcPr>
          <w:p w14:paraId="13CE4898" w14:textId="77777777" w:rsidR="00F1520A" w:rsidRPr="004A33C5" w:rsidRDefault="00F1520A" w:rsidP="00D9738D">
            <w:pPr>
              <w:pStyle w:val="Heading3"/>
              <w:spacing w:before="240"/>
              <w:jc w:val="center"/>
              <w:outlineLvl w:val="2"/>
              <w:rPr>
                <w:szCs w:val="24"/>
              </w:rPr>
            </w:pPr>
            <w:r>
              <w:rPr>
                <w:szCs w:val="24"/>
              </w:rPr>
              <w:t>By end of May</w:t>
            </w:r>
            <w:r w:rsidRPr="004A33C5">
              <w:rPr>
                <w:szCs w:val="24"/>
              </w:rPr>
              <w:t xml:space="preserve"> </w:t>
            </w:r>
            <w:r>
              <w:rPr>
                <w:szCs w:val="24"/>
              </w:rPr>
              <w:t>20</w:t>
            </w:r>
            <w:r w:rsidRPr="004A33C5">
              <w:rPr>
                <w:szCs w:val="24"/>
              </w:rPr>
              <w:t>19</w:t>
            </w:r>
          </w:p>
        </w:tc>
      </w:tr>
      <w:tr w:rsidR="00F1520A" w:rsidRPr="00466324" w14:paraId="6F1BF9BF" w14:textId="77777777" w:rsidTr="00D9738D">
        <w:tc>
          <w:tcPr>
            <w:tcW w:w="898" w:type="pct"/>
            <w:vAlign w:val="center"/>
          </w:tcPr>
          <w:p w14:paraId="4C4DCC70" w14:textId="77777777" w:rsidR="00F1520A" w:rsidRPr="006F457F" w:rsidRDefault="00F1520A" w:rsidP="00D9738D">
            <w:pPr>
              <w:pStyle w:val="Heading3"/>
              <w:spacing w:before="240"/>
              <w:jc w:val="center"/>
              <w:outlineLvl w:val="2"/>
              <w:rPr>
                <w:color w:val="000000" w:themeColor="text1"/>
              </w:rPr>
            </w:pPr>
            <w:r>
              <w:rPr>
                <w:color w:val="000000" w:themeColor="text1"/>
              </w:rPr>
              <w:t>18</w:t>
            </w:r>
          </w:p>
        </w:tc>
        <w:tc>
          <w:tcPr>
            <w:tcW w:w="2480" w:type="pct"/>
            <w:vAlign w:val="center"/>
          </w:tcPr>
          <w:p w14:paraId="5FA8C2B9" w14:textId="77777777" w:rsidR="00F1520A" w:rsidRPr="00993F1B" w:rsidRDefault="00F1520A" w:rsidP="00D9738D">
            <w:pPr>
              <w:spacing w:after="160" w:line="259" w:lineRule="auto"/>
              <w:contextualSpacing/>
            </w:pPr>
            <w:r w:rsidRPr="00993F1B">
              <w:t xml:space="preserve">Ensure </w:t>
            </w:r>
            <w:r w:rsidRPr="00993F1B">
              <w:rPr>
                <w:u w:val="single"/>
              </w:rPr>
              <w:t>all</w:t>
            </w:r>
            <w:r w:rsidRPr="00993F1B">
              <w:t xml:space="preserve"> pilot sites, organisations and people are prepared to go live with the pilot phase by the end of May </w:t>
            </w:r>
            <w:r>
              <w:t>20</w:t>
            </w:r>
            <w:r w:rsidRPr="00993F1B">
              <w:t>19, in line with 6.6.10.</w:t>
            </w:r>
          </w:p>
        </w:tc>
        <w:tc>
          <w:tcPr>
            <w:tcW w:w="1622" w:type="pct"/>
            <w:vAlign w:val="center"/>
          </w:tcPr>
          <w:p w14:paraId="68430B78" w14:textId="77777777" w:rsidR="00F1520A" w:rsidRPr="00993F1B" w:rsidRDefault="00F1520A" w:rsidP="00D9738D">
            <w:pPr>
              <w:pStyle w:val="Heading3"/>
              <w:spacing w:before="240"/>
              <w:jc w:val="center"/>
              <w:outlineLvl w:val="2"/>
              <w:rPr>
                <w:szCs w:val="24"/>
              </w:rPr>
            </w:pPr>
            <w:r w:rsidRPr="00993F1B">
              <w:rPr>
                <w:szCs w:val="24"/>
              </w:rPr>
              <w:t xml:space="preserve">By end May </w:t>
            </w:r>
            <w:r>
              <w:rPr>
                <w:szCs w:val="24"/>
              </w:rPr>
              <w:t>20</w:t>
            </w:r>
            <w:r w:rsidRPr="00993F1B">
              <w:rPr>
                <w:szCs w:val="24"/>
              </w:rPr>
              <w:t>19.</w:t>
            </w:r>
          </w:p>
        </w:tc>
      </w:tr>
      <w:tr w:rsidR="00F1520A" w:rsidRPr="00466324" w14:paraId="1AC85C15" w14:textId="77777777" w:rsidTr="00D9738D">
        <w:tc>
          <w:tcPr>
            <w:tcW w:w="898" w:type="pct"/>
            <w:vAlign w:val="center"/>
          </w:tcPr>
          <w:p w14:paraId="1F48F798" w14:textId="77777777" w:rsidR="00F1520A" w:rsidRPr="006F457F" w:rsidRDefault="00F1520A" w:rsidP="00D9738D">
            <w:pPr>
              <w:pStyle w:val="Heading3"/>
              <w:spacing w:before="240"/>
              <w:jc w:val="center"/>
              <w:outlineLvl w:val="2"/>
              <w:rPr>
                <w:color w:val="000000" w:themeColor="text1"/>
              </w:rPr>
            </w:pPr>
            <w:r>
              <w:rPr>
                <w:color w:val="000000" w:themeColor="text1"/>
              </w:rPr>
              <w:t>19</w:t>
            </w:r>
          </w:p>
        </w:tc>
        <w:tc>
          <w:tcPr>
            <w:tcW w:w="2480" w:type="pct"/>
            <w:vAlign w:val="center"/>
          </w:tcPr>
          <w:p w14:paraId="4D4F4893" w14:textId="77777777" w:rsidR="00F1520A" w:rsidRPr="0062140A" w:rsidRDefault="00F1520A" w:rsidP="00D9738D">
            <w:pPr>
              <w:spacing w:after="160" w:line="259" w:lineRule="auto"/>
              <w:contextualSpacing/>
            </w:pPr>
            <w:r w:rsidRPr="0062140A">
              <w:t>Deliver Weekly progress reports to Programme Director/Manager</w:t>
            </w:r>
          </w:p>
        </w:tc>
        <w:tc>
          <w:tcPr>
            <w:tcW w:w="1622" w:type="pct"/>
            <w:vAlign w:val="center"/>
          </w:tcPr>
          <w:p w14:paraId="75A01EBE" w14:textId="77777777" w:rsidR="00F1520A" w:rsidRPr="004A33C5" w:rsidRDefault="00F1520A" w:rsidP="00D9738D">
            <w:pPr>
              <w:pStyle w:val="Heading3"/>
              <w:spacing w:before="240"/>
              <w:jc w:val="center"/>
              <w:outlineLvl w:val="2"/>
              <w:rPr>
                <w:szCs w:val="24"/>
              </w:rPr>
            </w:pPr>
            <w:r w:rsidRPr="004A33C5">
              <w:rPr>
                <w:szCs w:val="24"/>
              </w:rPr>
              <w:t>Weekly</w:t>
            </w:r>
          </w:p>
        </w:tc>
      </w:tr>
      <w:tr w:rsidR="00F1520A" w:rsidRPr="00466324" w14:paraId="7D635DC0" w14:textId="77777777" w:rsidTr="00D9738D">
        <w:tc>
          <w:tcPr>
            <w:tcW w:w="898" w:type="pct"/>
            <w:vAlign w:val="center"/>
          </w:tcPr>
          <w:p w14:paraId="13814B40" w14:textId="77777777" w:rsidR="00F1520A" w:rsidRPr="006F457F" w:rsidRDefault="00F1520A" w:rsidP="00D9738D">
            <w:pPr>
              <w:pStyle w:val="Heading3"/>
              <w:spacing w:before="240"/>
              <w:jc w:val="center"/>
              <w:outlineLvl w:val="2"/>
              <w:rPr>
                <w:color w:val="000000" w:themeColor="text1"/>
              </w:rPr>
            </w:pPr>
            <w:r>
              <w:rPr>
                <w:color w:val="000000" w:themeColor="text1"/>
              </w:rPr>
              <w:t>20</w:t>
            </w:r>
          </w:p>
        </w:tc>
        <w:tc>
          <w:tcPr>
            <w:tcW w:w="2480" w:type="pct"/>
            <w:vAlign w:val="center"/>
          </w:tcPr>
          <w:p w14:paraId="6230A3E0" w14:textId="77777777" w:rsidR="00F1520A" w:rsidRPr="0062140A" w:rsidRDefault="00F1520A" w:rsidP="00D9738D">
            <w:pPr>
              <w:spacing w:after="160" w:line="259" w:lineRule="auto"/>
              <w:contextualSpacing/>
            </w:pPr>
            <w:r w:rsidRPr="0062140A">
              <w:t>Deliver Monthly progress reports to SRO through Programme Director/Manager</w:t>
            </w:r>
          </w:p>
        </w:tc>
        <w:tc>
          <w:tcPr>
            <w:tcW w:w="1622" w:type="pct"/>
            <w:vAlign w:val="center"/>
          </w:tcPr>
          <w:p w14:paraId="7F0BA91B" w14:textId="77777777" w:rsidR="00F1520A" w:rsidRPr="004A33C5" w:rsidRDefault="00F1520A" w:rsidP="00D9738D">
            <w:pPr>
              <w:pStyle w:val="Heading3"/>
              <w:spacing w:before="240"/>
              <w:jc w:val="center"/>
              <w:outlineLvl w:val="2"/>
              <w:rPr>
                <w:szCs w:val="24"/>
              </w:rPr>
            </w:pPr>
            <w:r w:rsidRPr="004A33C5">
              <w:rPr>
                <w:szCs w:val="24"/>
              </w:rPr>
              <w:t>Monthly</w:t>
            </w:r>
          </w:p>
        </w:tc>
      </w:tr>
      <w:tr w:rsidR="00F1520A" w:rsidRPr="00466324" w14:paraId="38429B9D" w14:textId="77777777" w:rsidTr="00D9738D">
        <w:tc>
          <w:tcPr>
            <w:tcW w:w="898" w:type="pct"/>
            <w:vAlign w:val="center"/>
          </w:tcPr>
          <w:p w14:paraId="68109325" w14:textId="77777777" w:rsidR="00F1520A" w:rsidRPr="006F457F" w:rsidRDefault="00F1520A" w:rsidP="00D9738D">
            <w:pPr>
              <w:pStyle w:val="Heading3"/>
              <w:spacing w:before="240"/>
              <w:jc w:val="center"/>
              <w:outlineLvl w:val="2"/>
              <w:rPr>
                <w:color w:val="000000" w:themeColor="text1"/>
              </w:rPr>
            </w:pPr>
            <w:r>
              <w:rPr>
                <w:color w:val="000000" w:themeColor="text1"/>
              </w:rPr>
              <w:t>21</w:t>
            </w:r>
          </w:p>
        </w:tc>
        <w:tc>
          <w:tcPr>
            <w:tcW w:w="2480" w:type="pct"/>
            <w:vAlign w:val="center"/>
          </w:tcPr>
          <w:p w14:paraId="5EE9F125" w14:textId="77777777" w:rsidR="00F1520A" w:rsidRPr="00E27AF3" w:rsidRDefault="00F1520A" w:rsidP="00D9738D">
            <w:pPr>
              <w:pStyle w:val="Heading3"/>
              <w:spacing w:before="240"/>
              <w:jc w:val="left"/>
              <w:outlineLvl w:val="2"/>
            </w:pPr>
            <w:r w:rsidRPr="00E27AF3">
              <w:t>Deliver end of work programme report</w:t>
            </w:r>
          </w:p>
        </w:tc>
        <w:tc>
          <w:tcPr>
            <w:tcW w:w="1622" w:type="pct"/>
            <w:vAlign w:val="center"/>
          </w:tcPr>
          <w:p w14:paraId="4FD4F833" w14:textId="77777777" w:rsidR="00F1520A" w:rsidRPr="004A33C5" w:rsidRDefault="00F1520A" w:rsidP="00D9738D">
            <w:pPr>
              <w:pStyle w:val="Heading3"/>
              <w:spacing w:before="240"/>
              <w:jc w:val="center"/>
              <w:outlineLvl w:val="2"/>
              <w:rPr>
                <w:szCs w:val="24"/>
              </w:rPr>
            </w:pPr>
            <w:r>
              <w:rPr>
                <w:szCs w:val="24"/>
              </w:rPr>
              <w:t>By end June 2019</w:t>
            </w:r>
          </w:p>
        </w:tc>
      </w:tr>
      <w:tr w:rsidR="00F1520A" w:rsidRPr="00466324" w14:paraId="73EEA723" w14:textId="77777777" w:rsidTr="00D9738D">
        <w:tc>
          <w:tcPr>
            <w:tcW w:w="898" w:type="pct"/>
            <w:vAlign w:val="center"/>
          </w:tcPr>
          <w:p w14:paraId="6E589CC4" w14:textId="77777777" w:rsidR="00F1520A" w:rsidRPr="006F457F" w:rsidRDefault="00F1520A" w:rsidP="00D9738D">
            <w:pPr>
              <w:pStyle w:val="Heading3"/>
              <w:spacing w:before="240"/>
              <w:jc w:val="center"/>
              <w:outlineLvl w:val="2"/>
              <w:rPr>
                <w:color w:val="000000" w:themeColor="text1"/>
              </w:rPr>
            </w:pPr>
            <w:r>
              <w:rPr>
                <w:color w:val="000000" w:themeColor="text1"/>
              </w:rPr>
              <w:t>22</w:t>
            </w:r>
          </w:p>
        </w:tc>
        <w:tc>
          <w:tcPr>
            <w:tcW w:w="2480" w:type="pct"/>
            <w:vAlign w:val="center"/>
          </w:tcPr>
          <w:p w14:paraId="5882F706" w14:textId="77777777" w:rsidR="00F1520A" w:rsidRPr="00E27AF3" w:rsidRDefault="00F1520A" w:rsidP="00D9738D">
            <w:pPr>
              <w:pStyle w:val="Heading3"/>
              <w:spacing w:before="240"/>
              <w:jc w:val="left"/>
              <w:outlineLvl w:val="2"/>
            </w:pPr>
            <w:r>
              <w:t>Contribution to Contract Evaluation Session and Report, including Lessons Identified &amp; Risk Identification.</w:t>
            </w:r>
          </w:p>
        </w:tc>
        <w:tc>
          <w:tcPr>
            <w:tcW w:w="1622" w:type="pct"/>
            <w:vAlign w:val="center"/>
          </w:tcPr>
          <w:p w14:paraId="334B89B5" w14:textId="77777777" w:rsidR="00F1520A" w:rsidRDefault="00F1520A" w:rsidP="00D9738D">
            <w:pPr>
              <w:pStyle w:val="Heading3"/>
              <w:spacing w:before="240"/>
              <w:jc w:val="center"/>
              <w:outlineLvl w:val="2"/>
              <w:rPr>
                <w:szCs w:val="24"/>
              </w:rPr>
            </w:pPr>
            <w:r>
              <w:rPr>
                <w:szCs w:val="24"/>
              </w:rPr>
              <w:t>By end June 2019</w:t>
            </w:r>
          </w:p>
        </w:tc>
      </w:tr>
      <w:tr w:rsidR="00F1520A" w:rsidRPr="00466324" w14:paraId="078C2831" w14:textId="77777777" w:rsidTr="00D9738D">
        <w:tc>
          <w:tcPr>
            <w:tcW w:w="898" w:type="pct"/>
            <w:vAlign w:val="center"/>
          </w:tcPr>
          <w:p w14:paraId="258EE75F" w14:textId="77777777" w:rsidR="00F1520A" w:rsidRDefault="00F1520A" w:rsidP="00D9738D">
            <w:pPr>
              <w:pStyle w:val="Heading3"/>
              <w:spacing w:before="240"/>
              <w:jc w:val="center"/>
              <w:outlineLvl w:val="2"/>
              <w:rPr>
                <w:color w:val="000000" w:themeColor="text1"/>
              </w:rPr>
            </w:pPr>
            <w:r>
              <w:rPr>
                <w:color w:val="000000" w:themeColor="text1"/>
              </w:rPr>
              <w:t>23</w:t>
            </w:r>
          </w:p>
        </w:tc>
        <w:tc>
          <w:tcPr>
            <w:tcW w:w="2480" w:type="pct"/>
            <w:vAlign w:val="center"/>
          </w:tcPr>
          <w:p w14:paraId="764EF283" w14:textId="77777777" w:rsidR="00F1520A" w:rsidRPr="00E27AF3" w:rsidRDefault="00F1520A" w:rsidP="00D9738D">
            <w:pPr>
              <w:pStyle w:val="Heading3"/>
              <w:spacing w:before="240"/>
              <w:jc w:val="left"/>
              <w:outlineLvl w:val="2"/>
            </w:pPr>
            <w:r w:rsidRPr="00E27AF3">
              <w:t xml:space="preserve">Contract end </w:t>
            </w:r>
          </w:p>
        </w:tc>
        <w:tc>
          <w:tcPr>
            <w:tcW w:w="1622" w:type="pct"/>
            <w:vAlign w:val="center"/>
          </w:tcPr>
          <w:p w14:paraId="4DBA84F9" w14:textId="26DA2DAC" w:rsidR="00F1520A" w:rsidRDefault="00D75172" w:rsidP="00D9738D">
            <w:pPr>
              <w:pStyle w:val="Heading3"/>
              <w:spacing w:before="240"/>
              <w:jc w:val="center"/>
              <w:outlineLvl w:val="2"/>
              <w:rPr>
                <w:szCs w:val="24"/>
              </w:rPr>
            </w:pPr>
            <w:r>
              <w:rPr>
                <w:szCs w:val="24"/>
              </w:rPr>
              <w:t>By end Sept</w:t>
            </w:r>
            <w:r w:rsidR="00F1520A">
              <w:rPr>
                <w:szCs w:val="24"/>
              </w:rPr>
              <w:t xml:space="preserve"> 2019</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4D18B4C5" w:rsidR="004E05DC" w:rsidRPr="0027310A" w:rsidRDefault="0027310A">
      <w:pPr>
        <w:pStyle w:val="GPSL1Guidance"/>
        <w:rPr>
          <w:i w:val="0"/>
        </w:rPr>
      </w:pPr>
      <w:r w:rsidRPr="0027310A">
        <w:rPr>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5B168BFF" w:rsidR="004E05DC" w:rsidRPr="00AA4B04" w:rsidRDefault="00F770DB">
      <w:pPr>
        <w:ind w:left="0"/>
      </w:pPr>
      <w:r w:rsidRPr="00AA4B04">
        <w:rPr>
          <w:rStyle w:val="CommentReference"/>
          <w:b/>
          <w:caps/>
          <w:sz w:val="22"/>
          <w:szCs w:val="22"/>
        </w:rPr>
        <w:t xml:space="preserve"> </w:t>
      </w:r>
      <w:r w:rsidRPr="0027310A">
        <w:rPr>
          <w:b/>
        </w:rPr>
        <w:t>LONG FORM – PARAGRA</w:t>
      </w:r>
      <w:r w:rsidR="0027310A">
        <w:rPr>
          <w:b/>
        </w:rPr>
        <w:t>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27310A"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 xml:space="preserve">The initial security </w:t>
      </w:r>
      <w:r w:rsidRPr="0027310A">
        <w:rPr>
          <w:rFonts w:ascii="Arial" w:hAnsi="Arial"/>
          <w:bCs/>
        </w:rPr>
        <w:t>representatives of the Parties are:</w:t>
      </w:r>
    </w:p>
    <w:p w14:paraId="6485D0BB" w14:textId="77777777" w:rsidR="004E05DC" w:rsidRPr="0027310A" w:rsidRDefault="00F770DB">
      <w:pPr>
        <w:pStyle w:val="GPSL3numberedclause"/>
        <w:rPr>
          <w:rFonts w:ascii="Arial" w:hAnsi="Arial"/>
        </w:rPr>
      </w:pPr>
      <w:bookmarkStart w:id="2451" w:name="_Ref378000433"/>
      <w:r w:rsidRPr="0027310A">
        <w:rPr>
          <w:rFonts w:ascii="Arial" w:hAnsi="Arial"/>
        </w:rPr>
        <w:t>[insert security representative of the Customer]</w:t>
      </w:r>
      <w:bookmarkEnd w:id="2451"/>
    </w:p>
    <w:p w14:paraId="6485D0BC" w14:textId="77777777" w:rsidR="004E05DC" w:rsidRPr="0027310A" w:rsidRDefault="00F770DB">
      <w:pPr>
        <w:pStyle w:val="GPSL3numberedclause"/>
        <w:rPr>
          <w:rFonts w:ascii="Arial" w:hAnsi="Arial"/>
        </w:rPr>
      </w:pPr>
      <w:bookmarkStart w:id="2452" w:name="_Ref378000441"/>
      <w:r w:rsidRPr="0027310A">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27310A">
        <w:rPr>
          <w:rFonts w:ascii="Arial" w:hAnsi="Arial"/>
        </w:rPr>
        <w:t xml:space="preserve">If the persons named in paragraphs </w:t>
      </w:r>
      <w:r w:rsidRPr="0027310A">
        <w:rPr>
          <w:rFonts w:ascii="Arial" w:hAnsi="Arial"/>
        </w:rPr>
        <w:fldChar w:fldCharType="begin"/>
      </w:r>
      <w:r w:rsidRPr="0027310A">
        <w:rPr>
          <w:rFonts w:ascii="Arial" w:hAnsi="Arial"/>
        </w:rPr>
        <w:instrText xml:space="preserve"> REF _Ref378000433 \r \h  \* MERGEFORMAT </w:instrText>
      </w:r>
      <w:r w:rsidRPr="0027310A">
        <w:rPr>
          <w:rFonts w:ascii="Arial" w:hAnsi="Arial"/>
        </w:rPr>
      </w:r>
      <w:r w:rsidRPr="0027310A">
        <w:rPr>
          <w:rFonts w:ascii="Arial" w:hAnsi="Arial"/>
        </w:rPr>
        <w:fldChar w:fldCharType="separate"/>
      </w:r>
      <w:r w:rsidR="00E66F0B" w:rsidRPr="0027310A">
        <w:rPr>
          <w:rFonts w:ascii="Arial" w:hAnsi="Arial"/>
        </w:rPr>
        <w:t>2.2.1</w:t>
      </w:r>
      <w:r w:rsidRPr="0027310A">
        <w:rPr>
          <w:rFonts w:ascii="Arial" w:hAnsi="Arial"/>
        </w:rPr>
        <w:fldChar w:fldCharType="end"/>
      </w:r>
      <w:r w:rsidRPr="0027310A">
        <w:rPr>
          <w:rFonts w:ascii="Arial" w:hAnsi="Arial"/>
        </w:rPr>
        <w:t xml:space="preserve"> and </w:t>
      </w:r>
      <w:r w:rsidRPr="0027310A">
        <w:rPr>
          <w:rFonts w:ascii="Arial" w:hAnsi="Arial"/>
        </w:rPr>
        <w:fldChar w:fldCharType="begin"/>
      </w:r>
      <w:r w:rsidRPr="0027310A">
        <w:rPr>
          <w:rFonts w:ascii="Arial" w:hAnsi="Arial"/>
        </w:rPr>
        <w:instrText xml:space="preserve"> REF _Ref378000441 \r \h  \* MERGEFORMAT </w:instrText>
      </w:r>
      <w:r w:rsidRPr="0027310A">
        <w:rPr>
          <w:rFonts w:ascii="Arial" w:hAnsi="Arial"/>
        </w:rPr>
      </w:r>
      <w:r w:rsidRPr="0027310A">
        <w:rPr>
          <w:rFonts w:ascii="Arial" w:hAnsi="Arial"/>
        </w:rPr>
        <w:fldChar w:fldCharType="separate"/>
      </w:r>
      <w:r w:rsidR="00E66F0B" w:rsidRPr="0027310A">
        <w:rPr>
          <w:rFonts w:ascii="Arial" w:hAnsi="Arial"/>
        </w:rPr>
        <w:t>2.2.2</w:t>
      </w:r>
      <w:r w:rsidRPr="0027310A">
        <w:rPr>
          <w:rFonts w:ascii="Arial" w:hAnsi="Arial"/>
        </w:rPr>
        <w:fldChar w:fldCharType="end"/>
      </w:r>
      <w:r w:rsidRPr="0027310A">
        <w:rPr>
          <w:rFonts w:ascii="Arial" w:hAnsi="Arial"/>
        </w:rPr>
        <w:t xml:space="preserve"> are included</w:t>
      </w:r>
      <w:r w:rsidRPr="00AA4B04">
        <w:rPr>
          <w:rFonts w:ascii="Arial" w:hAnsi="Arial"/>
        </w:rPr>
        <w:t xml:space="preserve">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xml:space="preserve">,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685FD9DE" w:rsidR="004E05DC" w:rsidRPr="00AA4B04" w:rsidRDefault="00F770DB">
      <w:pPr>
        <w:pStyle w:val="GPSL2numberedclause"/>
        <w:rPr>
          <w:rFonts w:ascii="Arial" w:hAnsi="Arial"/>
        </w:rPr>
      </w:pPr>
      <w:r w:rsidRPr="0027310A">
        <w:rPr>
          <w:rFonts w:ascii="Arial" w:hAnsi="Arial"/>
        </w:rPr>
        <w:t xml:space="preserve">Within </w:t>
      </w:r>
      <w:r w:rsidR="0027310A" w:rsidRPr="0027310A">
        <w:rPr>
          <w:rFonts w:ascii="Arial" w:hAnsi="Arial"/>
        </w:rPr>
        <w:t xml:space="preserve">thirty </w:t>
      </w:r>
      <w:r w:rsidRPr="0027310A">
        <w:rPr>
          <w:rFonts w:ascii="Arial" w:hAnsi="Arial"/>
        </w:rPr>
        <w:t>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lastRenderedPageBreak/>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it complies with the relevant provision</w:t>
      </w:r>
      <w:r w:rsidRPr="0027310A">
        <w:rPr>
          <w:rFonts w:ascii="Arial" w:hAnsi="Arial"/>
        </w:rPr>
        <w:t>s 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27310A"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w:t>
      </w:r>
      <w:r w:rsidRPr="0027310A">
        <w:rPr>
          <w:rFonts w:ascii="Arial" w:hAnsi="Arial"/>
        </w:rPr>
        <w:t>Recovery Services and any testing of the same including but not limited to the following:</w:t>
      </w:r>
    </w:p>
    <w:p w14:paraId="6485D15A" w14:textId="77777777" w:rsidR="004E05DC" w:rsidRPr="0027310A" w:rsidRDefault="00F770DB">
      <w:pPr>
        <w:pStyle w:val="GPSL4numberedclause"/>
        <w:rPr>
          <w:rFonts w:ascii="Arial" w:hAnsi="Arial"/>
          <w:szCs w:val="22"/>
        </w:rPr>
      </w:pPr>
      <w:r w:rsidRPr="0027310A">
        <w:rPr>
          <w:rFonts w:ascii="Arial" w:hAnsi="Arial"/>
          <w:szCs w:val="22"/>
        </w:rPr>
        <w:t>[data centre and disaster recovery site audits;</w:t>
      </w:r>
    </w:p>
    <w:p w14:paraId="6485D15B" w14:textId="77777777" w:rsidR="004E05DC" w:rsidRPr="0027310A" w:rsidRDefault="00F770DB">
      <w:pPr>
        <w:pStyle w:val="GPSL4numberedclause"/>
        <w:rPr>
          <w:rFonts w:ascii="Arial" w:hAnsi="Arial"/>
          <w:szCs w:val="22"/>
        </w:rPr>
      </w:pPr>
      <w:r w:rsidRPr="0027310A">
        <w:rPr>
          <w:rFonts w:ascii="Arial" w:hAnsi="Arial"/>
          <w:szCs w:val="22"/>
        </w:rPr>
        <w:t>backup methodology and details of the Supplier's approach to data back-up and data verification;</w:t>
      </w:r>
    </w:p>
    <w:p w14:paraId="6485D15C" w14:textId="77777777" w:rsidR="004E05DC" w:rsidRPr="0027310A" w:rsidRDefault="00F770DB">
      <w:pPr>
        <w:pStyle w:val="GPSL4numberedclause"/>
        <w:rPr>
          <w:rFonts w:ascii="Arial" w:hAnsi="Arial"/>
          <w:szCs w:val="22"/>
        </w:rPr>
      </w:pPr>
      <w:r w:rsidRPr="0027310A">
        <w:rPr>
          <w:rFonts w:ascii="Arial" w:hAnsi="Arial"/>
          <w:szCs w:val="22"/>
        </w:rPr>
        <w:t>identification of all potential disaster scenarios;</w:t>
      </w:r>
    </w:p>
    <w:p w14:paraId="6485D15D" w14:textId="77777777" w:rsidR="004E05DC" w:rsidRPr="0027310A" w:rsidRDefault="00F770DB">
      <w:pPr>
        <w:pStyle w:val="GPSL4numberedclause"/>
        <w:rPr>
          <w:rFonts w:ascii="Arial" w:hAnsi="Arial"/>
          <w:szCs w:val="22"/>
        </w:rPr>
      </w:pPr>
      <w:r w:rsidRPr="0027310A">
        <w:rPr>
          <w:rFonts w:ascii="Arial" w:hAnsi="Arial"/>
          <w:szCs w:val="22"/>
        </w:rPr>
        <w:t>risk analysis;</w:t>
      </w:r>
    </w:p>
    <w:p w14:paraId="6485D15E" w14:textId="77777777" w:rsidR="004E05DC" w:rsidRPr="0027310A" w:rsidRDefault="00F770DB">
      <w:pPr>
        <w:pStyle w:val="GPSL4numberedclause"/>
        <w:rPr>
          <w:rFonts w:ascii="Arial" w:hAnsi="Arial"/>
          <w:szCs w:val="22"/>
        </w:rPr>
      </w:pPr>
      <w:r w:rsidRPr="0027310A">
        <w:rPr>
          <w:rFonts w:ascii="Arial" w:hAnsi="Arial"/>
          <w:szCs w:val="22"/>
        </w:rPr>
        <w:t>documentation of processes and procedures;</w:t>
      </w:r>
    </w:p>
    <w:p w14:paraId="6485D15F" w14:textId="77777777" w:rsidR="004E05DC" w:rsidRPr="0027310A" w:rsidRDefault="00F770DB">
      <w:pPr>
        <w:pStyle w:val="GPSL4numberedclause"/>
        <w:rPr>
          <w:rFonts w:ascii="Arial" w:hAnsi="Arial"/>
          <w:szCs w:val="22"/>
        </w:rPr>
      </w:pPr>
      <w:r w:rsidRPr="0027310A">
        <w:rPr>
          <w:rFonts w:ascii="Arial" w:hAnsi="Arial"/>
          <w:szCs w:val="22"/>
        </w:rPr>
        <w:t>hardware configuration details;</w:t>
      </w:r>
    </w:p>
    <w:p w14:paraId="6485D160" w14:textId="77777777" w:rsidR="004E05DC" w:rsidRPr="0027310A" w:rsidRDefault="00F770DB">
      <w:pPr>
        <w:pStyle w:val="GPSL4numberedclause"/>
        <w:rPr>
          <w:rFonts w:ascii="Arial" w:hAnsi="Arial"/>
          <w:szCs w:val="22"/>
        </w:rPr>
      </w:pPr>
      <w:r w:rsidRPr="0027310A">
        <w:rPr>
          <w:rFonts w:ascii="Arial" w:hAnsi="Arial"/>
          <w:szCs w:val="22"/>
        </w:rPr>
        <w:t>network planning including details of all relevant data networks and communication links;</w:t>
      </w:r>
    </w:p>
    <w:p w14:paraId="6485D161" w14:textId="77777777" w:rsidR="004E05DC" w:rsidRPr="0027310A" w:rsidRDefault="00F770DB">
      <w:pPr>
        <w:pStyle w:val="GPSL4numberedclause"/>
        <w:rPr>
          <w:rFonts w:ascii="Arial" w:hAnsi="Arial"/>
          <w:szCs w:val="22"/>
        </w:rPr>
      </w:pPr>
      <w:r w:rsidRPr="0027310A">
        <w:rPr>
          <w:rFonts w:ascii="Arial" w:hAnsi="Arial"/>
          <w:szCs w:val="22"/>
        </w:rPr>
        <w:t>invocation rules;</w:t>
      </w:r>
    </w:p>
    <w:p w14:paraId="6485D162" w14:textId="77777777" w:rsidR="004E05DC" w:rsidRPr="0027310A" w:rsidRDefault="00F770DB">
      <w:pPr>
        <w:pStyle w:val="GPSL4numberedclause"/>
        <w:rPr>
          <w:rFonts w:ascii="Arial" w:hAnsi="Arial"/>
          <w:szCs w:val="22"/>
        </w:rPr>
      </w:pPr>
      <w:r w:rsidRPr="0027310A">
        <w:rPr>
          <w:rFonts w:ascii="Arial" w:hAnsi="Arial"/>
          <w:szCs w:val="22"/>
        </w:rPr>
        <w:t>Service recovery procedures; and</w:t>
      </w:r>
    </w:p>
    <w:p w14:paraId="6485D163" w14:textId="77777777" w:rsidR="004E05DC" w:rsidRPr="0027310A" w:rsidRDefault="00F770DB">
      <w:pPr>
        <w:pStyle w:val="GPSL4numberedclause"/>
        <w:rPr>
          <w:rFonts w:ascii="Arial" w:hAnsi="Arial"/>
          <w:szCs w:val="22"/>
        </w:rPr>
      </w:pPr>
      <w:r w:rsidRPr="0027310A">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lastRenderedPageBreak/>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lastRenderedPageBreak/>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lastRenderedPageBreak/>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27310A" w:rsidRDefault="00F770DB">
            <w:pPr>
              <w:tabs>
                <w:tab w:val="left" w:pos="3380"/>
              </w:tabs>
              <w:overflowPunct/>
              <w:spacing w:after="0"/>
              <w:ind w:left="0"/>
              <w:jc w:val="left"/>
              <w:textAlignment w:val="auto"/>
              <w:rPr>
                <w:rFonts w:eastAsia="Calibri"/>
                <w:color w:val="000000"/>
                <w:lang w:eastAsia="en-GB"/>
              </w:rPr>
            </w:pPr>
            <w:r w:rsidRPr="0027310A">
              <w:rPr>
                <w:rFonts w:eastAsia="Calibri"/>
                <w:color w:val="000000"/>
                <w:lang w:eastAsia="en-GB"/>
              </w:rPr>
              <w:t>[Performance]</w:t>
            </w:r>
            <w:r w:rsidRPr="0027310A">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27310A" w:rsidRDefault="004E05DC">
            <w:pPr>
              <w:overflowPunct/>
              <w:spacing w:after="0"/>
              <w:ind w:left="0"/>
              <w:jc w:val="left"/>
              <w:textAlignment w:val="auto"/>
              <w:rPr>
                <w:rFonts w:eastAsia="Calibri"/>
                <w:lang w:eastAsia="en-GB"/>
              </w:rPr>
            </w:pPr>
          </w:p>
          <w:p w14:paraId="6485D4BB"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27310A" w:rsidRDefault="004E05DC">
            <w:pPr>
              <w:overflowPunct/>
              <w:spacing w:after="0"/>
              <w:ind w:left="0"/>
              <w:jc w:val="left"/>
              <w:textAlignment w:val="auto"/>
              <w:rPr>
                <w:rFonts w:eastAsia="Calibri"/>
                <w:lang w:eastAsia="en-GB"/>
              </w:rPr>
            </w:pPr>
          </w:p>
          <w:p w14:paraId="6485D4BD"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27310A" w:rsidRDefault="004E05DC">
            <w:pPr>
              <w:overflowPunct/>
              <w:spacing w:after="0"/>
              <w:ind w:left="0"/>
              <w:jc w:val="left"/>
              <w:textAlignment w:val="auto"/>
              <w:rPr>
                <w:rFonts w:eastAsia="Calibri"/>
                <w:lang w:eastAsia="en-GB"/>
              </w:rPr>
            </w:pPr>
          </w:p>
          <w:p w14:paraId="6485D4BF"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27310A" w:rsidRDefault="004E05DC">
            <w:pPr>
              <w:overflowPunct/>
              <w:spacing w:after="0"/>
              <w:ind w:left="0"/>
              <w:jc w:val="left"/>
              <w:textAlignment w:val="auto"/>
              <w:rPr>
                <w:rFonts w:eastAsia="Calibri"/>
                <w:lang w:eastAsia="en-GB"/>
              </w:rPr>
            </w:pPr>
          </w:p>
          <w:p w14:paraId="6485D4C3"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27310A" w:rsidRDefault="004E05DC">
            <w:pPr>
              <w:overflowPunct/>
              <w:spacing w:after="0"/>
              <w:ind w:left="0"/>
              <w:jc w:val="left"/>
              <w:textAlignment w:val="auto"/>
              <w:rPr>
                <w:rFonts w:eastAsia="Calibri"/>
                <w:lang w:eastAsia="en-GB"/>
              </w:rPr>
            </w:pPr>
          </w:p>
          <w:p w14:paraId="6485D4C5"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27310A" w:rsidRDefault="004E05DC">
            <w:pPr>
              <w:overflowPunct/>
              <w:spacing w:after="0"/>
              <w:ind w:left="0"/>
              <w:jc w:val="left"/>
              <w:textAlignment w:val="auto"/>
              <w:rPr>
                <w:rFonts w:eastAsia="Calibri"/>
                <w:lang w:eastAsia="en-GB"/>
              </w:rPr>
            </w:pPr>
          </w:p>
          <w:p w14:paraId="6485D4C7"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27310A" w:rsidRDefault="004E05DC">
            <w:pPr>
              <w:overflowPunct/>
              <w:spacing w:after="0"/>
              <w:ind w:left="0"/>
              <w:jc w:val="left"/>
              <w:textAlignment w:val="auto"/>
              <w:rPr>
                <w:rFonts w:eastAsia="Calibri"/>
                <w:lang w:eastAsia="en-GB"/>
              </w:rPr>
            </w:pPr>
          </w:p>
          <w:p w14:paraId="6485D4CB"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27310A" w:rsidRDefault="004E05DC">
            <w:pPr>
              <w:overflowPunct/>
              <w:spacing w:after="0"/>
              <w:ind w:left="0"/>
              <w:jc w:val="left"/>
              <w:textAlignment w:val="auto"/>
              <w:rPr>
                <w:rFonts w:eastAsia="Calibri"/>
                <w:lang w:eastAsia="en-GB"/>
              </w:rPr>
            </w:pPr>
          </w:p>
          <w:p w14:paraId="6485D4CD"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27310A" w:rsidRDefault="004E05DC">
            <w:pPr>
              <w:overflowPunct/>
              <w:spacing w:after="0"/>
              <w:ind w:left="0"/>
              <w:jc w:val="left"/>
              <w:textAlignment w:val="auto"/>
              <w:rPr>
                <w:rFonts w:eastAsia="Calibri"/>
                <w:lang w:eastAsia="en-GB"/>
              </w:rPr>
            </w:pPr>
          </w:p>
          <w:p w14:paraId="6485D4CF"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27310A" w:rsidRDefault="004E05DC">
            <w:pPr>
              <w:overflowPunct/>
              <w:spacing w:after="0"/>
              <w:ind w:left="0"/>
              <w:jc w:val="left"/>
              <w:textAlignment w:val="auto"/>
              <w:rPr>
                <w:rFonts w:eastAsia="Calibri"/>
                <w:lang w:eastAsia="en-GB"/>
              </w:rPr>
            </w:pPr>
          </w:p>
          <w:p w14:paraId="6485D4D3"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27310A" w:rsidRDefault="004E05DC">
            <w:pPr>
              <w:overflowPunct/>
              <w:spacing w:after="0"/>
              <w:ind w:left="0"/>
              <w:jc w:val="left"/>
              <w:textAlignment w:val="auto"/>
              <w:rPr>
                <w:rFonts w:eastAsia="Calibri"/>
                <w:lang w:eastAsia="en-GB"/>
              </w:rPr>
            </w:pPr>
          </w:p>
          <w:p w14:paraId="6485D4D5"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27310A" w:rsidRDefault="004E05DC">
            <w:pPr>
              <w:overflowPunct/>
              <w:spacing w:after="0"/>
              <w:ind w:left="0"/>
              <w:jc w:val="left"/>
              <w:textAlignment w:val="auto"/>
              <w:rPr>
                <w:rFonts w:eastAsia="Calibri"/>
                <w:lang w:eastAsia="en-GB"/>
              </w:rPr>
            </w:pPr>
          </w:p>
          <w:p w14:paraId="6485D4D7"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27310A" w:rsidRDefault="004E05DC">
            <w:pPr>
              <w:overflowPunct/>
              <w:spacing w:after="0"/>
              <w:ind w:left="0"/>
              <w:jc w:val="left"/>
              <w:textAlignment w:val="auto"/>
              <w:rPr>
                <w:rFonts w:eastAsia="Calibri"/>
                <w:lang w:eastAsia="en-GB"/>
              </w:rPr>
            </w:pPr>
          </w:p>
          <w:p w14:paraId="6485D4DB"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27310A" w:rsidRDefault="004E05DC">
            <w:pPr>
              <w:overflowPunct/>
              <w:spacing w:after="0"/>
              <w:ind w:left="0"/>
              <w:jc w:val="left"/>
              <w:textAlignment w:val="auto"/>
              <w:rPr>
                <w:rFonts w:eastAsia="Calibri"/>
                <w:lang w:eastAsia="en-GB"/>
              </w:rPr>
            </w:pPr>
          </w:p>
          <w:p w14:paraId="6485D4DD"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27310A" w:rsidRDefault="004E05DC">
            <w:pPr>
              <w:overflowPunct/>
              <w:spacing w:after="0"/>
              <w:ind w:left="0"/>
              <w:jc w:val="left"/>
              <w:textAlignment w:val="auto"/>
              <w:rPr>
                <w:rFonts w:eastAsia="Calibri"/>
                <w:lang w:eastAsia="en-GB"/>
              </w:rPr>
            </w:pPr>
          </w:p>
          <w:p w14:paraId="6485D4DF" w14:textId="77777777" w:rsidR="004E05DC" w:rsidRPr="0027310A" w:rsidRDefault="00F770DB">
            <w:pPr>
              <w:overflowPunct/>
              <w:spacing w:after="0"/>
              <w:ind w:left="0"/>
              <w:jc w:val="left"/>
              <w:textAlignment w:val="auto"/>
              <w:rPr>
                <w:rFonts w:eastAsia="Calibri"/>
                <w:color w:val="000000"/>
                <w:lang w:eastAsia="en-GB"/>
              </w:rPr>
            </w:pPr>
            <w:r w:rsidRPr="0027310A">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lastRenderedPageBreak/>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27310A" w:rsidRDefault="00F770DB">
      <w:pPr>
        <w:pStyle w:val="GPSL3numberedclause"/>
        <w:rPr>
          <w:rFonts w:ascii="Arial" w:hAnsi="Arial"/>
        </w:rPr>
      </w:pPr>
      <w:r w:rsidRPr="00AA4B04">
        <w:rPr>
          <w:rFonts w:ascii="Arial" w:hAnsi="Arial"/>
        </w:rPr>
        <w:t xml:space="preserve">The </w:t>
      </w:r>
      <w:r w:rsidRPr="0027310A">
        <w:rPr>
          <w:rFonts w:ascii="Arial" w:hAnsi="Arial"/>
        </w:rPr>
        <w:t>following new Clause [</w:t>
      </w:r>
      <w:r w:rsidR="003B184A" w:rsidRPr="0027310A">
        <w:rPr>
          <w:rFonts w:ascii="Arial" w:hAnsi="Arial"/>
        </w:rPr>
        <w:t>59</w:t>
      </w:r>
      <w:r w:rsidRPr="0027310A">
        <w:rPr>
          <w:rFonts w:ascii="Arial" w:hAnsi="Arial"/>
        </w:rPr>
        <w:t>] shall apply:</w:t>
      </w:r>
    </w:p>
    <w:p w14:paraId="6485D514" w14:textId="761D56C7" w:rsidR="004E05DC" w:rsidRPr="0027310A" w:rsidRDefault="00F770DB" w:rsidP="005E1292">
      <w:pPr>
        <w:pStyle w:val="GPSL1CLAUSEHEADING"/>
        <w:numPr>
          <w:ilvl w:val="0"/>
          <w:numId w:val="23"/>
        </w:numPr>
        <w:ind w:left="1843" w:hanging="567"/>
      </w:pPr>
      <w:bookmarkStart w:id="2639" w:name="_Ref346028624"/>
      <w:bookmarkStart w:id="2640" w:name="_Ref350849364"/>
      <w:r w:rsidRPr="0027310A">
        <w:t>SECURITY MEASURES</w:t>
      </w:r>
      <w:bookmarkEnd w:id="2639"/>
      <w:bookmarkEnd w:id="2640"/>
      <w:r w:rsidRPr="0027310A">
        <w:tab/>
      </w:r>
    </w:p>
    <w:p w14:paraId="6485D515" w14:textId="6B3A13DC" w:rsidR="004E05DC" w:rsidRPr="00AA4B04" w:rsidRDefault="00FB788E" w:rsidP="003E7117">
      <w:pPr>
        <w:ind w:left="1701" w:hanging="425"/>
      </w:pPr>
      <w:bookmarkStart w:id="2641"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3"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27310A"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valid, binding and enforceable obligations on the </w:t>
      </w:r>
      <w:r w:rsidRPr="0027310A">
        <w:rPr>
          <w:rFonts w:ascii="Arial" w:hAnsi="Arial"/>
        </w:rPr>
        <w:t>Supplier.</w:t>
      </w:r>
    </w:p>
    <w:p w14:paraId="6485D54E" w14:textId="77777777" w:rsidR="004E05DC" w:rsidRPr="0027310A" w:rsidRDefault="00F770DB">
      <w:pPr>
        <w:pStyle w:val="GPSL2numberedclause"/>
        <w:rPr>
          <w:rFonts w:ascii="Arial" w:eastAsia="STZhongsong" w:hAnsi="Arial"/>
        </w:rPr>
      </w:pPr>
      <w:r w:rsidRPr="0027310A">
        <w:rPr>
          <w:rFonts w:ascii="Arial" w:hAnsi="Arial"/>
        </w:rPr>
        <w:t>The following new Clause [60] shall apply:</w:t>
      </w:r>
      <w:bookmarkStart w:id="2659" w:name="_Ref346034671"/>
    </w:p>
    <w:p w14:paraId="6485D54F" w14:textId="64C8253A" w:rsidR="004E05DC" w:rsidRPr="0027310A" w:rsidRDefault="00F770DB" w:rsidP="005E1292">
      <w:pPr>
        <w:numPr>
          <w:ilvl w:val="0"/>
          <w:numId w:val="17"/>
        </w:numPr>
        <w:rPr>
          <w:b/>
        </w:rPr>
      </w:pPr>
      <w:r w:rsidRPr="0027310A">
        <w:rPr>
          <w:b/>
        </w:rPr>
        <w:t>ACCESS TO MOD SITES</w:t>
      </w:r>
      <w:bookmarkEnd w:id="2659"/>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 xml:space="preserve">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 xml:space="preserve">Accidents to the Supplier's representatives which ordinarily require to be reported in accordance with Health and Safety at Work </w:t>
      </w:r>
      <w:proofErr w:type="spellStart"/>
      <w:r w:rsidRPr="00AA4B04">
        <w:t>etc</w:t>
      </w:r>
      <w:proofErr w:type="spellEnd"/>
      <w:r w:rsidRPr="00AA4B04">
        <w:t xml:space="preserve">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27310A" w:rsidRDefault="00F770DB">
      <w:pPr>
        <w:pStyle w:val="GPSL2numberedclause"/>
        <w:rPr>
          <w:rFonts w:ascii="Arial" w:hAnsi="Arial"/>
          <w:b/>
        </w:rPr>
      </w:pPr>
      <w:r w:rsidRPr="00AA4B04">
        <w:rPr>
          <w:rFonts w:ascii="Arial" w:hAnsi="Arial"/>
        </w:rPr>
        <w:t xml:space="preserve">The following new Call Off </w:t>
      </w:r>
      <w:r w:rsidRPr="0027310A">
        <w:rPr>
          <w:rFonts w:ascii="Arial" w:hAnsi="Arial"/>
        </w:rPr>
        <w:t>Schedule [16] shall apply:</w:t>
      </w:r>
    </w:p>
    <w:p w14:paraId="6485D55A" w14:textId="77777777" w:rsidR="004E05DC" w:rsidRPr="00AA4B04" w:rsidRDefault="00F770DB">
      <w:pPr>
        <w:pStyle w:val="GPSSchPart"/>
        <w:rPr>
          <w:rFonts w:ascii="Arial" w:hAnsi="Arial" w:cs="Arial"/>
        </w:rPr>
      </w:pPr>
      <w:r w:rsidRPr="0027310A">
        <w:rPr>
          <w:rFonts w:ascii="Arial" w:hAnsi="Arial" w:cs="Arial"/>
        </w:rPr>
        <w:tab/>
        <w:t>CALL OFF 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w:t>
      </w:r>
      <w:proofErr w:type="gramStart"/>
      <w:r w:rsidRPr="00AA4B04">
        <w:rPr>
          <w:b/>
        </w:rPr>
        <w:t>Off</w:t>
      </w:r>
      <w:proofErr w:type="gramEnd"/>
      <w:r w:rsidRPr="00AA4B04">
        <w:rPr>
          <w:b/>
        </w:rPr>
        <w:t xml:space="preserve">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FC68E0" w:rsidRPr="00AA4B04" w14:paraId="206473DF" w14:textId="77777777" w:rsidTr="00435855">
        <w:trPr>
          <w:trHeight w:val="972"/>
        </w:trPr>
        <w:tc>
          <w:tcPr>
            <w:tcW w:w="2893" w:type="dxa"/>
            <w:shd w:val="clear" w:color="auto" w:fill="EEECE1"/>
          </w:tcPr>
          <w:p w14:paraId="0C2D856C" w14:textId="77777777" w:rsidR="00FC68E0" w:rsidRDefault="00FC68E0" w:rsidP="00435855">
            <w:pPr>
              <w:ind w:left="236"/>
              <w:jc w:val="center"/>
            </w:pPr>
          </w:p>
          <w:p w14:paraId="49643522" w14:textId="77777777" w:rsidR="00FC68E0" w:rsidRPr="00AA4B04" w:rsidRDefault="00FC68E0" w:rsidP="00435855">
            <w:pPr>
              <w:ind w:left="236"/>
              <w:jc w:val="center"/>
            </w:pPr>
            <w:r w:rsidRPr="00AA4B04">
              <w:t>DEFCON No</w:t>
            </w:r>
          </w:p>
        </w:tc>
        <w:tc>
          <w:tcPr>
            <w:tcW w:w="2875" w:type="dxa"/>
            <w:shd w:val="clear" w:color="auto" w:fill="EEECE1"/>
          </w:tcPr>
          <w:p w14:paraId="24573C55" w14:textId="77777777" w:rsidR="00FC68E0" w:rsidRPr="00AA4B04" w:rsidRDefault="00FC68E0" w:rsidP="00435855">
            <w:pPr>
              <w:ind w:left="236"/>
              <w:jc w:val="center"/>
            </w:pPr>
          </w:p>
          <w:p w14:paraId="41B260B2" w14:textId="77777777" w:rsidR="00FC68E0" w:rsidRPr="00AA4B04" w:rsidRDefault="00FC68E0" w:rsidP="00435855">
            <w:pPr>
              <w:ind w:left="236"/>
              <w:jc w:val="center"/>
              <w:rPr>
                <w:b/>
                <w:u w:val="single"/>
              </w:rPr>
            </w:pPr>
            <w:r w:rsidRPr="00AA4B04">
              <w:t>Version</w:t>
            </w:r>
          </w:p>
        </w:tc>
        <w:tc>
          <w:tcPr>
            <w:tcW w:w="2912" w:type="dxa"/>
            <w:shd w:val="clear" w:color="auto" w:fill="EEECE1"/>
          </w:tcPr>
          <w:p w14:paraId="73346201" w14:textId="77777777" w:rsidR="00FC68E0" w:rsidRPr="00AA4B04" w:rsidRDefault="00FC68E0" w:rsidP="00435855">
            <w:pPr>
              <w:ind w:left="236"/>
              <w:jc w:val="center"/>
            </w:pPr>
          </w:p>
          <w:p w14:paraId="3BA0BC4C" w14:textId="77777777" w:rsidR="00FC68E0" w:rsidRPr="00AA4B04" w:rsidRDefault="00FC68E0" w:rsidP="00435855">
            <w:pPr>
              <w:ind w:left="236"/>
              <w:jc w:val="center"/>
              <w:rPr>
                <w:b/>
                <w:u w:val="single"/>
              </w:rPr>
            </w:pPr>
            <w:r w:rsidRPr="00AA4B04">
              <w:t>Description</w:t>
            </w:r>
          </w:p>
        </w:tc>
      </w:tr>
      <w:tr w:rsidR="00FC68E0" w:rsidRPr="00AA4B04" w14:paraId="40A38050" w14:textId="77777777" w:rsidTr="00435855">
        <w:tc>
          <w:tcPr>
            <w:tcW w:w="2893" w:type="dxa"/>
          </w:tcPr>
          <w:p w14:paraId="48BDF7B2" w14:textId="77777777" w:rsidR="00FC68E0" w:rsidRDefault="00FC68E0" w:rsidP="00435855">
            <w:pPr>
              <w:ind w:left="774"/>
            </w:pPr>
            <w:r w:rsidRPr="009C7C75">
              <w:t>DEFCON 5J</w:t>
            </w:r>
          </w:p>
        </w:tc>
        <w:tc>
          <w:tcPr>
            <w:tcW w:w="2875" w:type="dxa"/>
          </w:tcPr>
          <w:p w14:paraId="3AD43EA8" w14:textId="77777777" w:rsidR="00FC68E0" w:rsidRDefault="00FC68E0" w:rsidP="00435855">
            <w:r w:rsidRPr="009C7C75">
              <w:t>18/11/16</w:t>
            </w:r>
          </w:p>
        </w:tc>
        <w:tc>
          <w:tcPr>
            <w:tcW w:w="2912" w:type="dxa"/>
          </w:tcPr>
          <w:p w14:paraId="7B748872" w14:textId="77777777" w:rsidR="00FC68E0" w:rsidRDefault="00FC68E0" w:rsidP="00435855">
            <w:pPr>
              <w:ind w:left="109"/>
            </w:pPr>
            <w:r w:rsidRPr="009C7C75">
              <w:t>Unique Identifiers</w:t>
            </w:r>
          </w:p>
        </w:tc>
      </w:tr>
      <w:tr w:rsidR="00FC68E0" w:rsidRPr="00AA4B04" w14:paraId="7203082D" w14:textId="77777777" w:rsidTr="00435855">
        <w:tc>
          <w:tcPr>
            <w:tcW w:w="2893" w:type="dxa"/>
          </w:tcPr>
          <w:p w14:paraId="5B7E637D" w14:textId="77777777" w:rsidR="00FC68E0" w:rsidRPr="009C7C75" w:rsidRDefault="00FC68E0" w:rsidP="00435855">
            <w:pPr>
              <w:ind w:left="774"/>
            </w:pPr>
            <w:r w:rsidRPr="009C7C75">
              <w:t>DEFCON 129J</w:t>
            </w:r>
          </w:p>
        </w:tc>
        <w:tc>
          <w:tcPr>
            <w:tcW w:w="2875" w:type="dxa"/>
          </w:tcPr>
          <w:p w14:paraId="1ABB97DE" w14:textId="77777777" w:rsidR="00FC68E0" w:rsidRPr="009C7C75" w:rsidRDefault="00FC68E0" w:rsidP="00435855">
            <w:r w:rsidRPr="009C7C75">
              <w:t>18/11/17</w:t>
            </w:r>
          </w:p>
        </w:tc>
        <w:tc>
          <w:tcPr>
            <w:tcW w:w="2912" w:type="dxa"/>
          </w:tcPr>
          <w:p w14:paraId="29BDD0E1" w14:textId="77777777" w:rsidR="00FC68E0" w:rsidRPr="009C7C75" w:rsidRDefault="00FC68E0" w:rsidP="00435855">
            <w:pPr>
              <w:ind w:left="109"/>
            </w:pPr>
            <w:r w:rsidRPr="009C7C75">
              <w:t>The Use of The Electronic Business Delivery Form</w:t>
            </w:r>
          </w:p>
        </w:tc>
      </w:tr>
      <w:tr w:rsidR="00FC68E0" w:rsidRPr="00AA4B04" w14:paraId="7B315C32" w14:textId="77777777" w:rsidTr="00435855">
        <w:tc>
          <w:tcPr>
            <w:tcW w:w="2893" w:type="dxa"/>
          </w:tcPr>
          <w:p w14:paraId="795D8847" w14:textId="77777777" w:rsidR="00FC68E0" w:rsidRPr="009C7C75" w:rsidRDefault="00FC68E0" w:rsidP="00435855">
            <w:pPr>
              <w:ind w:left="774"/>
            </w:pPr>
            <w:r w:rsidRPr="009C7C75">
              <w:t>DEFCON 502</w:t>
            </w:r>
          </w:p>
        </w:tc>
        <w:tc>
          <w:tcPr>
            <w:tcW w:w="2875" w:type="dxa"/>
          </w:tcPr>
          <w:p w14:paraId="1441F538" w14:textId="77777777" w:rsidR="00FC68E0" w:rsidRPr="009C7C75" w:rsidRDefault="00FC68E0" w:rsidP="00435855">
            <w:r w:rsidRPr="009C7C75">
              <w:t>05/17</w:t>
            </w:r>
          </w:p>
        </w:tc>
        <w:tc>
          <w:tcPr>
            <w:tcW w:w="2912" w:type="dxa"/>
          </w:tcPr>
          <w:p w14:paraId="41692EB3" w14:textId="77777777" w:rsidR="00FC68E0" w:rsidRPr="009C7C75" w:rsidRDefault="00FC68E0" w:rsidP="00435855">
            <w:pPr>
              <w:ind w:left="109"/>
            </w:pPr>
            <w:r w:rsidRPr="009C7C75">
              <w:t>Specifications Changes</w:t>
            </w:r>
          </w:p>
        </w:tc>
      </w:tr>
      <w:tr w:rsidR="00FC68E0" w:rsidRPr="00AA4B04" w14:paraId="4D88E1FD" w14:textId="77777777" w:rsidTr="00435855">
        <w:tc>
          <w:tcPr>
            <w:tcW w:w="2893" w:type="dxa"/>
          </w:tcPr>
          <w:p w14:paraId="2FAADBD5" w14:textId="77777777" w:rsidR="00FC68E0" w:rsidRPr="009C7C75" w:rsidRDefault="00FC68E0" w:rsidP="00435855">
            <w:pPr>
              <w:ind w:left="774"/>
            </w:pPr>
            <w:r w:rsidRPr="009C7C75">
              <w:t>DEFCON 503</w:t>
            </w:r>
          </w:p>
        </w:tc>
        <w:tc>
          <w:tcPr>
            <w:tcW w:w="2875" w:type="dxa"/>
          </w:tcPr>
          <w:p w14:paraId="48C042FC" w14:textId="77777777" w:rsidR="00FC68E0" w:rsidRPr="009C7C75" w:rsidRDefault="00FC68E0" w:rsidP="00435855">
            <w:r w:rsidRPr="009C7C75">
              <w:t>12/14</w:t>
            </w:r>
          </w:p>
        </w:tc>
        <w:tc>
          <w:tcPr>
            <w:tcW w:w="2912" w:type="dxa"/>
          </w:tcPr>
          <w:p w14:paraId="12D697C3" w14:textId="77777777" w:rsidR="00FC68E0" w:rsidRPr="009C7C75" w:rsidRDefault="00FC68E0" w:rsidP="00435855">
            <w:pPr>
              <w:ind w:left="109"/>
            </w:pPr>
            <w:r w:rsidRPr="009C7C75">
              <w:t>Formal Amendments to Contract</w:t>
            </w:r>
          </w:p>
        </w:tc>
      </w:tr>
      <w:tr w:rsidR="00FC68E0" w:rsidRPr="00AA4B04" w14:paraId="577C1E30" w14:textId="77777777" w:rsidTr="00435855">
        <w:tc>
          <w:tcPr>
            <w:tcW w:w="2893" w:type="dxa"/>
          </w:tcPr>
          <w:p w14:paraId="1752920F" w14:textId="77777777" w:rsidR="00FC68E0" w:rsidRPr="00AA4B04" w:rsidRDefault="00FC68E0" w:rsidP="00435855">
            <w:pPr>
              <w:ind w:left="774"/>
            </w:pPr>
            <w:r>
              <w:t>DEFCON 658</w:t>
            </w:r>
          </w:p>
        </w:tc>
        <w:tc>
          <w:tcPr>
            <w:tcW w:w="2875" w:type="dxa"/>
          </w:tcPr>
          <w:p w14:paraId="55BA198C" w14:textId="77777777" w:rsidR="00FC68E0" w:rsidRPr="00AA4B04" w:rsidRDefault="00FC68E0" w:rsidP="00435855">
            <w:r>
              <w:t>10/17</w:t>
            </w:r>
          </w:p>
        </w:tc>
        <w:tc>
          <w:tcPr>
            <w:tcW w:w="2912" w:type="dxa"/>
          </w:tcPr>
          <w:p w14:paraId="5F72F05E" w14:textId="77777777" w:rsidR="00FC68E0" w:rsidRPr="00AA4B04" w:rsidRDefault="00FC68E0" w:rsidP="00435855">
            <w:pPr>
              <w:ind w:left="109"/>
            </w:pPr>
            <w:r>
              <w:t>Cyber</w:t>
            </w:r>
          </w:p>
        </w:tc>
      </w:tr>
      <w:tr w:rsidR="00FC68E0" w:rsidRPr="00AA4B04" w14:paraId="14950665" w14:textId="77777777" w:rsidTr="00435855">
        <w:tc>
          <w:tcPr>
            <w:tcW w:w="2893" w:type="dxa"/>
          </w:tcPr>
          <w:p w14:paraId="4F9F01AF" w14:textId="77777777" w:rsidR="00FC68E0" w:rsidRPr="00AA4B04" w:rsidRDefault="00FC68E0" w:rsidP="00435855">
            <w:pPr>
              <w:ind w:left="774"/>
            </w:pPr>
            <w:r>
              <w:t>DEFCON 522</w:t>
            </w:r>
          </w:p>
        </w:tc>
        <w:tc>
          <w:tcPr>
            <w:tcW w:w="2875" w:type="dxa"/>
          </w:tcPr>
          <w:p w14:paraId="22108625" w14:textId="77777777" w:rsidR="00FC68E0" w:rsidRPr="00AA4B04" w:rsidRDefault="00FC68E0" w:rsidP="00435855">
            <w:r>
              <w:t>11/17</w:t>
            </w:r>
          </w:p>
        </w:tc>
        <w:tc>
          <w:tcPr>
            <w:tcW w:w="2912" w:type="dxa"/>
          </w:tcPr>
          <w:p w14:paraId="6EF6FEAC" w14:textId="77777777" w:rsidR="00FC68E0" w:rsidRPr="00AA4B04" w:rsidRDefault="00FC68E0" w:rsidP="00435855">
            <w:pPr>
              <w:ind w:left="109"/>
            </w:pPr>
            <w:r w:rsidRPr="0089679C">
              <w:t>Payment and Recovery of Sums Due</w:t>
            </w:r>
          </w:p>
        </w:tc>
      </w:tr>
      <w:tr w:rsidR="00FC68E0" w:rsidRPr="00AA4B04" w14:paraId="2AA41F98" w14:textId="77777777" w:rsidTr="00435855">
        <w:tc>
          <w:tcPr>
            <w:tcW w:w="2893" w:type="dxa"/>
          </w:tcPr>
          <w:p w14:paraId="3423188C" w14:textId="77777777" w:rsidR="00FC68E0" w:rsidRDefault="00FC68E0" w:rsidP="00435855">
            <w:pPr>
              <w:ind w:left="774"/>
            </w:pPr>
            <w:r w:rsidRPr="009C7C75">
              <w:t>DEFCON 703</w:t>
            </w:r>
          </w:p>
        </w:tc>
        <w:tc>
          <w:tcPr>
            <w:tcW w:w="2875" w:type="dxa"/>
          </w:tcPr>
          <w:p w14:paraId="4171941E" w14:textId="77777777" w:rsidR="00FC68E0" w:rsidRDefault="00FC68E0" w:rsidP="00435855">
            <w:r w:rsidRPr="009C7C75">
              <w:t>08/13</w:t>
            </w:r>
          </w:p>
        </w:tc>
        <w:tc>
          <w:tcPr>
            <w:tcW w:w="2912" w:type="dxa"/>
          </w:tcPr>
          <w:p w14:paraId="3D4C13E5" w14:textId="77777777" w:rsidR="00FC68E0" w:rsidRPr="0089679C" w:rsidRDefault="00FC68E0" w:rsidP="00435855">
            <w:pPr>
              <w:ind w:left="109"/>
            </w:pPr>
            <w:r w:rsidRPr="009C7C75">
              <w:t>Intellectual Property Rights - Vesting in the Authority</w:t>
            </w:r>
          </w:p>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5B77B5E" w:rsidR="004E05DC" w:rsidRPr="00AA4B04" w:rsidRDefault="004E05DC">
      <w:pPr>
        <w:pStyle w:val="GPSL1Guidance"/>
      </w:pP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77777777" w:rsidR="004E05DC" w:rsidRPr="0027310A" w:rsidRDefault="00F770DB" w:rsidP="005E1292">
      <w:pPr>
        <w:pStyle w:val="GPSL2numberedclause"/>
        <w:numPr>
          <w:ilvl w:val="1"/>
          <w:numId w:val="4"/>
        </w:numPr>
        <w:rPr>
          <w:rFonts w:ascii="Arial" w:hAnsi="Arial"/>
        </w:rPr>
      </w:pPr>
      <w:r w:rsidRPr="00AA4B04">
        <w:rPr>
          <w:rFonts w:ascii="Arial" w:hAnsi="Arial"/>
        </w:rPr>
        <w:t xml:space="preserve">The following new </w:t>
      </w:r>
      <w:r w:rsidRPr="0027310A">
        <w:rPr>
          <w:rFonts w:ascii="Arial" w:hAnsi="Arial"/>
        </w:rPr>
        <w:t>Clause [61] shall apply:</w:t>
      </w:r>
    </w:p>
    <w:p w14:paraId="6485D590" w14:textId="77777777" w:rsidR="004E05DC" w:rsidRPr="0027310A" w:rsidRDefault="00F770DB" w:rsidP="005E1292">
      <w:pPr>
        <w:numPr>
          <w:ilvl w:val="0"/>
          <w:numId w:val="17"/>
        </w:numPr>
        <w:rPr>
          <w:b/>
        </w:rPr>
      </w:pPr>
      <w:r w:rsidRPr="0027310A">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 xml:space="preserve">The Supplier shall ensure that all Sub-Contracts, which the Supplier intends to procure following date of this Call Off Contract, </w:t>
      </w:r>
      <w:r w:rsidRPr="00AA4B04">
        <w:rPr>
          <w:rFonts w:eastAsia="Calibri"/>
        </w:rPr>
        <w:lastRenderedPageBreak/>
        <w:t>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27310A"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 xml:space="preserve">CALL OFF SCHEDULE 15: </w:t>
      </w:r>
      <w:r w:rsidRPr="0027310A">
        <w:rPr>
          <w:rFonts w:ascii="Arial" w:hAnsi="Arial" w:cs="Arial"/>
        </w:rPr>
        <w:t>CALL OFF TENDER</w:t>
      </w:r>
      <w:bookmarkEnd w:id="2660"/>
    </w:p>
    <w:p w14:paraId="6485D599" w14:textId="1100BA55" w:rsidR="004E05DC" w:rsidRDefault="009236AF">
      <w:pPr>
        <w:pStyle w:val="GPSL1Guidance"/>
        <w:ind w:left="0"/>
        <w:jc w:val="center"/>
        <w:rPr>
          <w:i w:val="0"/>
        </w:rPr>
      </w:pPr>
      <w:r>
        <w:rPr>
          <w:i w:val="0"/>
        </w:rPr>
        <w:t>See Supplier Tender Response embedded below.</w:t>
      </w:r>
    </w:p>
    <w:p w14:paraId="4D8C9CF0" w14:textId="36455D88" w:rsidR="009236AF" w:rsidRPr="00AA4B04" w:rsidRDefault="00DD76BC" w:rsidP="00DD76BC">
      <w:pPr>
        <w:pStyle w:val="GPSL1Guidance"/>
        <w:ind w:left="0"/>
        <w:jc w:val="left"/>
        <w:rPr>
          <w:i w:val="0"/>
        </w:rPr>
      </w:pPr>
      <w:r>
        <w:rPr>
          <w:i w:val="0"/>
        </w:rPr>
        <w:tab/>
      </w:r>
      <w:r>
        <w:rPr>
          <w:i w:val="0"/>
        </w:rPr>
        <w:tab/>
      </w:r>
      <w:r>
        <w:rPr>
          <w:i w:val="0"/>
        </w:rPr>
        <w:tab/>
      </w:r>
      <w:r>
        <w:rPr>
          <w:i w:val="0"/>
        </w:rPr>
        <w:tab/>
      </w:r>
      <w:r>
        <w:rPr>
          <w:i w:val="0"/>
        </w:rPr>
        <w:tab/>
      </w:r>
      <w:r>
        <w:rPr>
          <w:i w:val="0"/>
        </w:rPr>
        <w:tab/>
        <w:t>Redacted</w:t>
      </w:r>
      <w:r>
        <w:rPr>
          <w:i w:val="0"/>
        </w:rPr>
        <w:br w:type="textWrapping" w:clear="all"/>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CA98E" w14:textId="77777777" w:rsidR="00671983" w:rsidRDefault="00671983">
      <w:r>
        <w:separator/>
      </w:r>
    </w:p>
    <w:p w14:paraId="4C81963C" w14:textId="77777777" w:rsidR="00671983" w:rsidRDefault="00671983"/>
    <w:p w14:paraId="226D59FC" w14:textId="77777777" w:rsidR="00671983" w:rsidRDefault="00671983"/>
    <w:p w14:paraId="5821D862" w14:textId="77777777" w:rsidR="00671983" w:rsidRDefault="00671983"/>
    <w:p w14:paraId="25771E84" w14:textId="77777777" w:rsidR="00671983" w:rsidRDefault="00671983"/>
  </w:endnote>
  <w:endnote w:type="continuationSeparator" w:id="0">
    <w:p w14:paraId="075C992D" w14:textId="77777777" w:rsidR="00671983" w:rsidRDefault="00671983">
      <w:r>
        <w:continuationSeparator/>
      </w:r>
    </w:p>
    <w:p w14:paraId="066D197C" w14:textId="77777777" w:rsidR="00671983" w:rsidRDefault="00671983"/>
    <w:p w14:paraId="22775E20" w14:textId="77777777" w:rsidR="00671983" w:rsidRDefault="00671983"/>
    <w:p w14:paraId="5862AE51" w14:textId="77777777" w:rsidR="00671983" w:rsidRDefault="00671983"/>
    <w:p w14:paraId="5CC63835" w14:textId="77777777" w:rsidR="00671983" w:rsidRDefault="00671983"/>
  </w:endnote>
  <w:endnote w:type="continuationNotice" w:id="1">
    <w:p w14:paraId="032F4E0D" w14:textId="77777777" w:rsidR="00671983" w:rsidRDefault="006719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D9738D" w:rsidRDefault="00D9738D" w:rsidP="00E66F0B">
        <w:pPr>
          <w:pStyle w:val="Footer"/>
          <w:ind w:left="0"/>
          <w:jc w:val="center"/>
        </w:pPr>
      </w:p>
      <w:p w14:paraId="1AA738A8" w14:textId="77777777" w:rsidR="00D9738D" w:rsidRDefault="00D9738D" w:rsidP="00E66F0B">
        <w:pPr>
          <w:pStyle w:val="Footer"/>
          <w:ind w:left="0"/>
          <w:jc w:val="left"/>
          <w:rPr>
            <w:sz w:val="18"/>
            <w:szCs w:val="18"/>
          </w:rPr>
        </w:pPr>
        <w:r>
          <w:rPr>
            <w:sz w:val="18"/>
            <w:szCs w:val="18"/>
          </w:rPr>
          <w:t xml:space="preserve">Contract: Provision of Consultancy for Defence </w:t>
        </w:r>
      </w:p>
      <w:p w14:paraId="33EF216C" w14:textId="0C9C4D37" w:rsidR="00D9738D" w:rsidRPr="00E66F0B" w:rsidRDefault="00D9738D" w:rsidP="00E66F0B">
        <w:pPr>
          <w:pStyle w:val="Footer"/>
          <w:ind w:left="0"/>
          <w:jc w:val="left"/>
          <w:rPr>
            <w:sz w:val="18"/>
            <w:szCs w:val="18"/>
          </w:rPr>
        </w:pPr>
        <w:r>
          <w:rPr>
            <w:sz w:val="18"/>
            <w:szCs w:val="18"/>
          </w:rPr>
          <w:t>Healthcare Delivery Optimisation Implementation</w:t>
        </w:r>
        <w:r w:rsidRPr="00E66F0B">
          <w:rPr>
            <w:sz w:val="18"/>
            <w:szCs w:val="18"/>
          </w:rPr>
          <w:tab/>
        </w:r>
        <w:r w:rsidRPr="00E66F0B">
          <w:rPr>
            <w:sz w:val="18"/>
            <w:szCs w:val="18"/>
          </w:rPr>
          <w:tab/>
        </w:r>
        <w:r>
          <w:rPr>
            <w:sz w:val="18"/>
            <w:szCs w:val="18"/>
          </w:rPr>
          <w:t>10</w:t>
        </w:r>
        <w:r w:rsidRPr="004B17AC">
          <w:rPr>
            <w:sz w:val="18"/>
            <w:szCs w:val="18"/>
            <w:vertAlign w:val="superscript"/>
          </w:rPr>
          <w:t>th</w:t>
        </w:r>
        <w:r>
          <w:rPr>
            <w:sz w:val="18"/>
            <w:szCs w:val="18"/>
          </w:rPr>
          <w:t xml:space="preserve"> December 2018</w:t>
        </w:r>
      </w:p>
      <w:p w14:paraId="57093668" w14:textId="4CEB27CD" w:rsidR="00D9738D" w:rsidRPr="00E66F0B" w:rsidRDefault="00D9738D" w:rsidP="00E66F0B">
        <w:pPr>
          <w:pStyle w:val="Footer"/>
          <w:ind w:left="0"/>
          <w:jc w:val="left"/>
          <w:rPr>
            <w:sz w:val="18"/>
            <w:szCs w:val="18"/>
          </w:rPr>
        </w:pPr>
        <w:r>
          <w:rPr>
            <w:sz w:val="18"/>
            <w:szCs w:val="18"/>
          </w:rPr>
          <w:t>Contract Number: CCCC18A94</w:t>
        </w:r>
        <w:r w:rsidRPr="00E66F0B">
          <w:rPr>
            <w:sz w:val="18"/>
            <w:szCs w:val="18"/>
          </w:rPr>
          <w:tab/>
        </w:r>
        <w:r w:rsidRPr="00E66F0B">
          <w:rPr>
            <w:sz w:val="18"/>
            <w:szCs w:val="18"/>
          </w:rPr>
          <w:tab/>
          <w:t>© Crown Copyright 2016</w:t>
        </w:r>
      </w:p>
      <w:p w14:paraId="67CD7B64" w14:textId="7ACD602A" w:rsidR="00D9738D" w:rsidRDefault="00D9738D" w:rsidP="00E66F0B">
        <w:pPr>
          <w:pStyle w:val="Footer"/>
          <w:ind w:left="0"/>
          <w:jc w:val="center"/>
        </w:pPr>
        <w:r>
          <w:fldChar w:fldCharType="begin"/>
        </w:r>
        <w:r>
          <w:instrText xml:space="preserve"> PAGE   \* MERGEFORMAT </w:instrText>
        </w:r>
        <w:r>
          <w:fldChar w:fldCharType="separate"/>
        </w:r>
        <w:r w:rsidR="00EE02DD">
          <w:rPr>
            <w:noProof/>
          </w:rPr>
          <w:t>2</w:t>
        </w:r>
        <w:r>
          <w:rPr>
            <w:noProof/>
          </w:rPr>
          <w:fldChar w:fldCharType="end"/>
        </w:r>
      </w:p>
      <w:p w14:paraId="6485D5B9" w14:textId="51038DB5" w:rsidR="00D9738D" w:rsidRDefault="00D9738D"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D9738D" w:rsidRDefault="00D9738D" w:rsidP="00AA4B04">
    <w:pPr>
      <w:pStyle w:val="Footer"/>
      <w:tabs>
        <w:tab w:val="clear" w:pos="4513"/>
        <w:tab w:val="clear" w:pos="9026"/>
      </w:tabs>
    </w:pPr>
  </w:p>
  <w:p w14:paraId="6485D5BC" w14:textId="77777777" w:rsidR="00D9738D" w:rsidRDefault="00D97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6DEF7" w14:textId="77777777" w:rsidR="00671983" w:rsidRDefault="00671983">
      <w:r>
        <w:separator/>
      </w:r>
    </w:p>
  </w:footnote>
  <w:footnote w:type="continuationSeparator" w:id="0">
    <w:p w14:paraId="4504C1F4" w14:textId="77777777" w:rsidR="00671983" w:rsidRDefault="00671983">
      <w:r>
        <w:continuationSeparator/>
      </w:r>
    </w:p>
  </w:footnote>
  <w:footnote w:type="continuationNotice" w:id="1">
    <w:p w14:paraId="0166A99F" w14:textId="77777777" w:rsidR="00671983" w:rsidRDefault="00671983">
      <w:pPr>
        <w:spacing w:after="0"/>
      </w:pPr>
    </w:p>
  </w:footnote>
  <w:footnote w:id="2">
    <w:p w14:paraId="26EE8A36" w14:textId="77777777" w:rsidR="00D9738D" w:rsidRDefault="00D9738D" w:rsidP="00F1520A">
      <w:pPr>
        <w:pStyle w:val="FootnoteText"/>
      </w:pPr>
      <w:r>
        <w:rPr>
          <w:rStyle w:val="FootnoteReference"/>
        </w:rPr>
        <w:footnoteRef/>
      </w:r>
      <w:r>
        <w:t xml:space="preserve"> </w:t>
      </w:r>
      <w:r w:rsidRPr="00161E80">
        <w:rPr>
          <w:color w:val="444444"/>
          <w:szCs w:val="16"/>
          <w:lang w:eastAsia="en-GB"/>
        </w:rPr>
        <w:t>MOD’s Approach to Investment Decisions</w:t>
      </w:r>
      <w:r>
        <w:rPr>
          <w:color w:val="444444"/>
          <w:szCs w:val="16"/>
          <w:lang w:eastAsia="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D9738D" w:rsidRDefault="00D9738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D9738D" w:rsidRDefault="00D9738D"/>
  <w:p w14:paraId="6485D5B6" w14:textId="77777777" w:rsidR="00D9738D" w:rsidRDefault="00D973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D9738D" w:rsidRDefault="00D9738D">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6"/>
  </w:num>
  <w:num w:numId="14">
    <w:abstractNumId w:val="4"/>
  </w:num>
  <w:num w:numId="15">
    <w:abstractNumId w:val="1"/>
  </w:num>
  <w:num w:numId="16">
    <w:abstractNumId w:val="21"/>
  </w:num>
  <w:num w:numId="17">
    <w:abstractNumId w:val="3"/>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0E87"/>
    <w:rsid w:val="00053D76"/>
    <w:rsid w:val="00085D24"/>
    <w:rsid w:val="0010525D"/>
    <w:rsid w:val="001529F3"/>
    <w:rsid w:val="00194EA9"/>
    <w:rsid w:val="0019527D"/>
    <w:rsid w:val="001A2FE9"/>
    <w:rsid w:val="001F69F2"/>
    <w:rsid w:val="00224F1D"/>
    <w:rsid w:val="0022588B"/>
    <w:rsid w:val="00231D1F"/>
    <w:rsid w:val="00252C2F"/>
    <w:rsid w:val="00257B3E"/>
    <w:rsid w:val="0027310A"/>
    <w:rsid w:val="002B12A5"/>
    <w:rsid w:val="00315968"/>
    <w:rsid w:val="003304C0"/>
    <w:rsid w:val="00340AAB"/>
    <w:rsid w:val="00386C55"/>
    <w:rsid w:val="003B184A"/>
    <w:rsid w:val="003E5563"/>
    <w:rsid w:val="003E7117"/>
    <w:rsid w:val="003F4EC3"/>
    <w:rsid w:val="003F7793"/>
    <w:rsid w:val="0040106A"/>
    <w:rsid w:val="00435855"/>
    <w:rsid w:val="0045694D"/>
    <w:rsid w:val="004A6D3C"/>
    <w:rsid w:val="004B17AC"/>
    <w:rsid w:val="004C5FDD"/>
    <w:rsid w:val="004C60B0"/>
    <w:rsid w:val="004E05DC"/>
    <w:rsid w:val="004E5CF5"/>
    <w:rsid w:val="004F2222"/>
    <w:rsid w:val="004F2451"/>
    <w:rsid w:val="00500356"/>
    <w:rsid w:val="00553A51"/>
    <w:rsid w:val="00561D90"/>
    <w:rsid w:val="005E1292"/>
    <w:rsid w:val="0060538B"/>
    <w:rsid w:val="006664A4"/>
    <w:rsid w:val="00671983"/>
    <w:rsid w:val="00676238"/>
    <w:rsid w:val="00682617"/>
    <w:rsid w:val="006D0BBE"/>
    <w:rsid w:val="007107F9"/>
    <w:rsid w:val="00753E53"/>
    <w:rsid w:val="0076386A"/>
    <w:rsid w:val="00780CED"/>
    <w:rsid w:val="007B3ACA"/>
    <w:rsid w:val="008727D1"/>
    <w:rsid w:val="00894C58"/>
    <w:rsid w:val="008A1596"/>
    <w:rsid w:val="008C5D80"/>
    <w:rsid w:val="009236AF"/>
    <w:rsid w:val="009353BD"/>
    <w:rsid w:val="00940B2F"/>
    <w:rsid w:val="00963FFF"/>
    <w:rsid w:val="009767C9"/>
    <w:rsid w:val="00A11170"/>
    <w:rsid w:val="00A17991"/>
    <w:rsid w:val="00A21587"/>
    <w:rsid w:val="00A42AA0"/>
    <w:rsid w:val="00A96F07"/>
    <w:rsid w:val="00AA4B04"/>
    <w:rsid w:val="00AC7BEE"/>
    <w:rsid w:val="00AF7151"/>
    <w:rsid w:val="00B57B10"/>
    <w:rsid w:val="00C11B59"/>
    <w:rsid w:val="00C906C1"/>
    <w:rsid w:val="00C9472E"/>
    <w:rsid w:val="00C94AA3"/>
    <w:rsid w:val="00CD376B"/>
    <w:rsid w:val="00CE0E6A"/>
    <w:rsid w:val="00D12144"/>
    <w:rsid w:val="00D75172"/>
    <w:rsid w:val="00D93C4C"/>
    <w:rsid w:val="00D9738D"/>
    <w:rsid w:val="00DC0657"/>
    <w:rsid w:val="00DD76BC"/>
    <w:rsid w:val="00E02A86"/>
    <w:rsid w:val="00E45F29"/>
    <w:rsid w:val="00E66F0B"/>
    <w:rsid w:val="00EE02DD"/>
    <w:rsid w:val="00EF6CE1"/>
    <w:rsid w:val="00F11D1B"/>
    <w:rsid w:val="00F1520A"/>
    <w:rsid w:val="00F72041"/>
    <w:rsid w:val="00F770DB"/>
    <w:rsid w:val="00F81323"/>
    <w:rsid w:val="00FB788E"/>
    <w:rsid w:val="00FC68E0"/>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L3">
    <w:name w:val="Schedule L3"/>
    <w:basedOn w:val="Normal"/>
    <w:rsid w:val="00F1520A"/>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F1520A"/>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F1520A"/>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F1520A"/>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F1520A"/>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F1520A"/>
    <w:pPr>
      <w:tabs>
        <w:tab w:val="num" w:pos="5040"/>
      </w:tabs>
      <w:overflowPunct/>
      <w:autoSpaceDE/>
      <w:autoSpaceDN/>
      <w:ind w:left="5040" w:hanging="720"/>
      <w:textAlignment w:val="auto"/>
      <w:outlineLvl w:val="8"/>
    </w:pPr>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81795180">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A28AC-5972-41CD-99B2-38EFA726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70855</Words>
  <Characters>403877</Characters>
  <Application>Microsoft Office Word</Application>
  <DocSecurity>0</DocSecurity>
  <Lines>3365</Lines>
  <Paragraphs>947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473785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2018-12-19T15:26:00Z</dcterms:created>
  <dcterms:modified xsi:type="dcterms:W3CDTF">2019-02-15T13:31:00Z</dcterms:modified>
</cp:coreProperties>
</file>