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87522" w14:textId="77777777" w:rsidR="005F738A" w:rsidRDefault="005F738A" w:rsidP="00893A3F">
      <w:pPr>
        <w:pStyle w:val="Norma"/>
        <w:rPr>
          <w:rFonts w:ascii="Calibri" w:hAnsi="Calibri" w:cs="Calibri"/>
          <w:sz w:val="32"/>
          <w:szCs w:val="32"/>
        </w:rPr>
      </w:pPr>
      <w:bookmarkStart w:id="0" w:name="_GoBack"/>
      <w:bookmarkEnd w:id="0"/>
    </w:p>
    <w:p w14:paraId="5EA87523" w14:textId="77777777" w:rsidR="00893A3F" w:rsidRDefault="00893A3F" w:rsidP="008F2B68">
      <w:pPr>
        <w:pStyle w:val="Norma"/>
        <w:rPr>
          <w:rFonts w:ascii="Calibri" w:hAnsi="Calibri" w:cs="Calibri"/>
          <w:b/>
          <w:sz w:val="32"/>
          <w:szCs w:val="32"/>
        </w:rPr>
      </w:pPr>
    </w:p>
    <w:p w14:paraId="48AB4DAF" w14:textId="567A5182" w:rsidR="00BC3379" w:rsidRPr="00BC3379" w:rsidRDefault="00CA7099" w:rsidP="00BC3379">
      <w:pPr>
        <w:pStyle w:val="BodyText"/>
        <w:jc w:val="center"/>
        <w:rPr>
          <w:b/>
          <w:color w:val="000000" w:themeColor="text1"/>
          <w:sz w:val="36"/>
          <w:szCs w:val="36"/>
        </w:rPr>
      </w:pPr>
      <w:r>
        <w:rPr>
          <w:rFonts w:cs="Arial"/>
          <w:b/>
          <w:sz w:val="36"/>
          <w:szCs w:val="36"/>
        </w:rPr>
        <w:t>Specification</w:t>
      </w:r>
      <w:r w:rsidR="00BC3379">
        <w:rPr>
          <w:rFonts w:cs="Arial"/>
          <w:b/>
          <w:sz w:val="36"/>
          <w:szCs w:val="36"/>
        </w:rPr>
        <w:t xml:space="preserve"> </w:t>
      </w:r>
      <w:r w:rsidR="00BC3379" w:rsidRPr="00BC3379">
        <w:rPr>
          <w:b/>
          <w:sz w:val="36"/>
          <w:szCs w:val="36"/>
        </w:rPr>
        <w:t>for</w:t>
      </w:r>
      <w:r w:rsidR="00BC3379">
        <w:rPr>
          <w:b/>
          <w:sz w:val="36"/>
          <w:szCs w:val="36"/>
        </w:rPr>
        <w:t xml:space="preserve"> the</w:t>
      </w:r>
      <w:r w:rsidR="00BC3379" w:rsidRPr="00BC3379">
        <w:rPr>
          <w:b/>
          <w:sz w:val="36"/>
          <w:szCs w:val="36"/>
        </w:rPr>
        <w:t xml:space="preserve"> </w:t>
      </w:r>
      <w:r w:rsidR="00BC3379" w:rsidRPr="00BC3379">
        <w:rPr>
          <w:b/>
          <w:color w:val="000000" w:themeColor="text1"/>
          <w:sz w:val="36"/>
          <w:szCs w:val="36"/>
        </w:rPr>
        <w:t xml:space="preserve">Provision of research to produce scenarios for deployment of hydrogen technologies and infrastructure in contributing to meeting carbon budget and the 2050 target  </w:t>
      </w:r>
    </w:p>
    <w:p w14:paraId="5EA87524" w14:textId="0D4C7182" w:rsidR="00FE0B21" w:rsidRDefault="00FE0B21" w:rsidP="00FE0B21">
      <w:pPr>
        <w:pStyle w:val="Norma"/>
        <w:rPr>
          <w:rFonts w:cs="Arial"/>
          <w:b/>
          <w:sz w:val="36"/>
          <w:szCs w:val="36"/>
        </w:rPr>
      </w:pPr>
    </w:p>
    <w:p w14:paraId="5EA87525" w14:textId="77777777" w:rsidR="00CB7AD6" w:rsidRPr="00CB7AD6" w:rsidRDefault="00CB7AD6" w:rsidP="00FE0B21">
      <w:pPr>
        <w:pStyle w:val="Norma"/>
        <w:rPr>
          <w:rFonts w:cs="Arial"/>
          <w:b/>
          <w:sz w:val="36"/>
          <w:szCs w:val="36"/>
        </w:rPr>
      </w:pPr>
    </w:p>
    <w:p w14:paraId="4AFA6017" w14:textId="77777777" w:rsidR="00DD521A" w:rsidRDefault="00DD521A" w:rsidP="008F2B68">
      <w:pPr>
        <w:pStyle w:val="Norma"/>
        <w:rPr>
          <w:rFonts w:cs="Arial"/>
          <w:sz w:val="36"/>
          <w:szCs w:val="36"/>
        </w:rPr>
      </w:pPr>
    </w:p>
    <w:p w14:paraId="02451D23" w14:textId="77777777" w:rsidR="00DD521A" w:rsidRDefault="00DD521A" w:rsidP="008F2B68">
      <w:pPr>
        <w:pStyle w:val="Norma"/>
        <w:rPr>
          <w:rFonts w:cs="Arial"/>
          <w:sz w:val="36"/>
          <w:szCs w:val="36"/>
        </w:rPr>
      </w:pPr>
    </w:p>
    <w:p w14:paraId="5EA87526" w14:textId="6DDFBF08" w:rsidR="00E53204" w:rsidRPr="00DD521A" w:rsidRDefault="00C53C6B" w:rsidP="008F2B68">
      <w:pPr>
        <w:pStyle w:val="Norma"/>
        <w:rPr>
          <w:rFonts w:cs="Arial"/>
          <w:color w:val="FF0000"/>
          <w:sz w:val="36"/>
          <w:szCs w:val="36"/>
        </w:rPr>
      </w:pPr>
      <w:r w:rsidRPr="00CB7AD6">
        <w:rPr>
          <w:rFonts w:cs="Arial"/>
          <w:sz w:val="36"/>
          <w:szCs w:val="36"/>
        </w:rPr>
        <w:t>T</w:t>
      </w:r>
      <w:r w:rsidR="00E53204" w:rsidRPr="00CB7AD6">
        <w:rPr>
          <w:rFonts w:cs="Arial"/>
          <w:sz w:val="36"/>
          <w:szCs w:val="36"/>
        </w:rPr>
        <w:t>ender Reference Number</w:t>
      </w:r>
      <w:r w:rsidR="006E31A8" w:rsidRPr="00CB7AD6">
        <w:rPr>
          <w:rFonts w:cs="Arial"/>
          <w:sz w:val="36"/>
          <w:szCs w:val="36"/>
        </w:rPr>
        <w:t xml:space="preserve">: </w:t>
      </w:r>
      <w:r w:rsidR="00BC3379" w:rsidRPr="00BC3379">
        <w:rPr>
          <w:rFonts w:cs="Arial"/>
          <w:sz w:val="36"/>
          <w:szCs w:val="36"/>
        </w:rPr>
        <w:t>DJ/0415</w:t>
      </w:r>
    </w:p>
    <w:p w14:paraId="5EA87527" w14:textId="77777777" w:rsidR="00444762" w:rsidRPr="002856D6" w:rsidRDefault="00444762" w:rsidP="008F2B68">
      <w:pPr>
        <w:pStyle w:val="Norma"/>
        <w:rPr>
          <w:rFonts w:cs="Arial"/>
          <w:szCs w:val="28"/>
        </w:rPr>
      </w:pPr>
    </w:p>
    <w:p w14:paraId="5EA87528" w14:textId="77777777" w:rsidR="00D95762" w:rsidRDefault="00D95762" w:rsidP="008F2B68">
      <w:pPr>
        <w:pStyle w:val="Norma"/>
        <w:rPr>
          <w:rFonts w:ascii="Calibri" w:hAnsi="Calibri" w:cs="Calibri"/>
          <w:b/>
          <w:color w:val="FF0000"/>
          <w:sz w:val="26"/>
          <w:szCs w:val="26"/>
        </w:rPr>
      </w:pPr>
    </w:p>
    <w:p w14:paraId="5EA87529" w14:textId="77777777" w:rsidR="00D95762" w:rsidRDefault="00D95762" w:rsidP="008F2B68">
      <w:pPr>
        <w:pStyle w:val="Norma"/>
        <w:rPr>
          <w:rFonts w:ascii="Calibri" w:hAnsi="Calibri" w:cs="Calibri"/>
          <w:b/>
          <w:color w:val="FF0000"/>
          <w:sz w:val="26"/>
          <w:szCs w:val="26"/>
        </w:rPr>
      </w:pPr>
    </w:p>
    <w:p w14:paraId="5EA8752A" w14:textId="77777777" w:rsidR="00327C8C" w:rsidRDefault="00327C8C" w:rsidP="00220F36">
      <w:pPr>
        <w:pStyle w:val="Norma"/>
        <w:rPr>
          <w:rFonts w:ascii="Calibri" w:hAnsi="Calibri" w:cs="Calibri"/>
          <w:b/>
          <w:sz w:val="28"/>
          <w:szCs w:val="28"/>
        </w:rPr>
      </w:pPr>
    </w:p>
    <w:p w14:paraId="5EA8752B" w14:textId="77777777" w:rsidR="00121E96" w:rsidRPr="00121E96" w:rsidRDefault="00121E96" w:rsidP="00CA7099">
      <w:pPr>
        <w:pStyle w:val="Norma"/>
        <w:rPr>
          <w:rFonts w:cs="Arial"/>
          <w:sz w:val="24"/>
          <w:szCs w:val="24"/>
        </w:rPr>
      </w:pPr>
    </w:p>
    <w:p w14:paraId="5EA87533" w14:textId="77777777" w:rsidR="00781BF5" w:rsidRPr="006C479E" w:rsidRDefault="00781BF5" w:rsidP="006C479E">
      <w:pPr>
        <w:pStyle w:val="Norma"/>
        <w:ind w:left="720"/>
        <w:rPr>
          <w:rFonts w:ascii="Calibri" w:hAnsi="Calibri" w:cs="Calibri"/>
        </w:rPr>
      </w:pPr>
      <w:bookmarkStart w:id="1" w:name="SectionOne"/>
    </w:p>
    <w:p w14:paraId="5EA87534" w14:textId="77777777" w:rsidR="003E5C19" w:rsidRPr="00CA7099" w:rsidRDefault="00091732" w:rsidP="00CA7099">
      <w:pPr>
        <w:pStyle w:val="Norma"/>
        <w:ind w:left="1080"/>
        <w:rPr>
          <w:rFonts w:cs="Calibri"/>
          <w:b/>
          <w:sz w:val="28"/>
          <w:szCs w:val="28"/>
        </w:rPr>
      </w:pPr>
      <w:bookmarkStart w:id="2" w:name="_Evaluation_of_Responses"/>
      <w:bookmarkEnd w:id="2"/>
      <w:r w:rsidRPr="00CA7099">
        <w:rPr>
          <w:rFonts w:cs="Calibri"/>
          <w:b/>
          <w:sz w:val="28"/>
          <w:szCs w:val="28"/>
        </w:rPr>
        <w:br w:type="page"/>
      </w:r>
      <w:bookmarkEnd w:id="1"/>
    </w:p>
    <w:p w14:paraId="5EA87535" w14:textId="77777777" w:rsidR="001D5D04" w:rsidRDefault="001D5D04" w:rsidP="007B3C23">
      <w:pPr>
        <w:pStyle w:val="Norma"/>
        <w:jc w:val="both"/>
        <w:rPr>
          <w:rFonts w:ascii="Calibri" w:hAnsi="Calibri" w:cs="Calibri"/>
          <w:b/>
          <w:sz w:val="28"/>
          <w:szCs w:val="28"/>
        </w:rPr>
      </w:pPr>
    </w:p>
    <w:p w14:paraId="5EA87536" w14:textId="77777777" w:rsidR="003E5C19" w:rsidRDefault="00C06839" w:rsidP="007B3C23">
      <w:pPr>
        <w:pStyle w:val="Norma"/>
        <w:jc w:val="both"/>
        <w:rPr>
          <w:rFonts w:ascii="Calibri" w:hAnsi="Calibri" w:cs="Calibri"/>
          <w:b/>
          <w:sz w:val="28"/>
          <w:szCs w:val="28"/>
        </w:rPr>
      </w:pPr>
      <w:r>
        <w:rPr>
          <w:noProof/>
        </w:rPr>
        <mc:AlternateContent>
          <mc:Choice Requires="wps">
            <w:drawing>
              <wp:anchor distT="0" distB="0" distL="114300" distR="114300" simplePos="0" relativeHeight="20" behindDoc="0" locked="0" layoutInCell="1" allowOverlap="1" wp14:anchorId="5EA8762A" wp14:editId="5EA8762B">
                <wp:simplePos x="0" y="0"/>
                <wp:positionH relativeFrom="column">
                  <wp:align>center</wp:align>
                </wp:positionH>
                <wp:positionV relativeFrom="paragraph">
                  <wp:posOffset>-207645</wp:posOffset>
                </wp:positionV>
                <wp:extent cx="5655310" cy="1943100"/>
                <wp:effectExtent l="0" t="0" r="21590" b="19050"/>
                <wp:wrapNone/>
                <wp:docPr id="2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1943100"/>
                        </a:xfrm>
                        <a:prstGeom prst="rect">
                          <a:avLst/>
                        </a:prstGeom>
                        <a:solidFill>
                          <a:srgbClr val="D8D8D8"/>
                        </a:solidFill>
                        <a:ln w="9525">
                          <a:solidFill>
                            <a:srgbClr val="000000"/>
                          </a:solidFill>
                          <a:miter lim="800000"/>
                          <a:headEnd/>
                          <a:tailEnd/>
                        </a:ln>
                      </wps:spPr>
                      <wps:txbx>
                        <w:txbxContent>
                          <w:p w14:paraId="5EA87635" w14:textId="77777777" w:rsidR="00DD15F0" w:rsidRDefault="00DD15F0" w:rsidP="003E5C19">
                            <w:pPr>
                              <w:pStyle w:val="Norma"/>
                              <w:jc w:val="center"/>
                              <w:rPr>
                                <w:b/>
                                <w:sz w:val="28"/>
                                <w:szCs w:val="28"/>
                              </w:rPr>
                            </w:pPr>
                          </w:p>
                          <w:p w14:paraId="5EA87636" w14:textId="77777777" w:rsidR="00DD15F0" w:rsidRDefault="00DD15F0" w:rsidP="003E5C19">
                            <w:pPr>
                              <w:pStyle w:val="Norma"/>
                              <w:jc w:val="center"/>
                              <w:rPr>
                                <w:b/>
                                <w:sz w:val="28"/>
                                <w:szCs w:val="28"/>
                              </w:rPr>
                            </w:pPr>
                          </w:p>
                          <w:p w14:paraId="5EA87637" w14:textId="77777777" w:rsidR="00DD15F0" w:rsidRPr="003E5C19" w:rsidRDefault="00DD15F0" w:rsidP="003E5C19">
                            <w:pPr>
                              <w:pStyle w:val="Norma"/>
                              <w:jc w:val="center"/>
                              <w:rPr>
                                <w:rFonts w:cs="Arial"/>
                                <w:b/>
                                <w:sz w:val="36"/>
                                <w:szCs w:val="36"/>
                              </w:rPr>
                            </w:pPr>
                            <w:r w:rsidRPr="003E5C19">
                              <w:rPr>
                                <w:b/>
                                <w:sz w:val="36"/>
                                <w:szCs w:val="36"/>
                              </w:rPr>
                              <w:t>Specification of Requirements</w:t>
                            </w:r>
                          </w:p>
                          <w:p w14:paraId="5EA87638" w14:textId="77777777" w:rsidR="00DD15F0" w:rsidRDefault="00DD15F0">
                            <w:pPr>
                              <w:pStyle w:val="Norma"/>
                            </w:pPr>
                          </w:p>
                          <w:p w14:paraId="5EA87639" w14:textId="77777777" w:rsidR="00DD15F0" w:rsidRDefault="00DD15F0">
                            <w:pPr>
                              <w:pStyle w:val="Norma"/>
                            </w:pPr>
                          </w:p>
                          <w:p w14:paraId="04D9951C" w14:textId="56A83BE7" w:rsidR="00652AAC" w:rsidRPr="00A06DC7" w:rsidRDefault="00DD15F0" w:rsidP="00652AAC">
                            <w:pPr>
                              <w:pStyle w:val="BodyText"/>
                              <w:jc w:val="center"/>
                              <w:rPr>
                                <w:rFonts w:ascii="Calibri" w:hAnsi="Calibri"/>
                                <w:b/>
                                <w:color w:val="000000" w:themeColor="text1"/>
                                <w:sz w:val="22"/>
                                <w:szCs w:val="22"/>
                              </w:rPr>
                            </w:pPr>
                            <w:r w:rsidRPr="0000739E">
                              <w:rPr>
                                <w:rFonts w:cs="Arial"/>
                              </w:rPr>
                              <w:t>Invitation to Tender for</w:t>
                            </w:r>
                            <w:r w:rsidR="00652AAC">
                              <w:rPr>
                                <w:rFonts w:cs="Arial"/>
                              </w:rPr>
                              <w:t xml:space="preserve"> the</w:t>
                            </w:r>
                            <w:r w:rsidRPr="006D645F">
                              <w:rPr>
                                <w:rFonts w:cs="Arial"/>
                              </w:rPr>
                              <w:t xml:space="preserve"> </w:t>
                            </w:r>
                            <w:r w:rsidR="00652AAC">
                              <w:rPr>
                                <w:rFonts w:ascii="Calibri" w:hAnsi="Calibri"/>
                                <w:b/>
                                <w:sz w:val="22"/>
                                <w:szCs w:val="22"/>
                              </w:rPr>
                              <w:t xml:space="preserve">invitation to tender for </w:t>
                            </w:r>
                            <w:r w:rsidR="00652AAC" w:rsidRPr="00A06DC7">
                              <w:rPr>
                                <w:rFonts w:ascii="Calibri" w:hAnsi="Calibri"/>
                                <w:b/>
                                <w:color w:val="000000" w:themeColor="text1"/>
                                <w:sz w:val="22"/>
                                <w:szCs w:val="22"/>
                              </w:rPr>
                              <w:t xml:space="preserve">Provision of research to produce scenarios for deployment of hydrogen technologies and infrastructure in contributing to meeting carbon budget and the 2050 target  </w:t>
                            </w:r>
                          </w:p>
                          <w:p w14:paraId="5EA8763A" w14:textId="55284485" w:rsidR="00DD15F0" w:rsidRPr="00DD521A" w:rsidRDefault="00DD15F0" w:rsidP="00405192">
                            <w:pPr>
                              <w:pStyle w:val="Norma"/>
                              <w:rPr>
                                <w:rFonts w:cs="Arial"/>
                                <w:color w:val="FF0000"/>
                              </w:rPr>
                            </w:pPr>
                          </w:p>
                          <w:p w14:paraId="5EA8763B" w14:textId="54B69B96" w:rsidR="00DD15F0" w:rsidRPr="0000739E" w:rsidRDefault="00DD15F0" w:rsidP="00405192">
                            <w:pPr>
                              <w:pStyle w:val="Norma"/>
                              <w:rPr>
                                <w:rFonts w:cs="Arial"/>
                              </w:rPr>
                            </w:pPr>
                            <w:r>
                              <w:rPr>
                                <w:rFonts w:cs="Arial"/>
                              </w:rPr>
                              <w:t xml:space="preserve">Tender Reference Number: </w:t>
                            </w:r>
                            <w:r w:rsidR="00652AAC" w:rsidRPr="008C6A43">
                              <w:rPr>
                                <w:rFonts w:cs="Arial"/>
                              </w:rPr>
                              <w:t>DJ/0415</w:t>
                            </w:r>
                          </w:p>
                          <w:p w14:paraId="5EA8763C" w14:textId="6B918A91" w:rsidR="00DD15F0" w:rsidRDefault="00DD15F0" w:rsidP="00405192">
                            <w:pPr>
                              <w:pStyle w:val="Norma"/>
                              <w:rPr>
                                <w:rFonts w:cs="Arial"/>
                              </w:rPr>
                            </w:pPr>
                            <w:r w:rsidRPr="0000739E">
                              <w:rPr>
                                <w:rFonts w:cs="Arial"/>
                              </w:rPr>
                              <w:t>Deadline for Tender Responses:</w:t>
                            </w:r>
                            <w:r w:rsidRPr="006D645F">
                              <w:rPr>
                                <w:rFonts w:cs="Arial"/>
                                <w:sz w:val="24"/>
                                <w:szCs w:val="24"/>
                              </w:rPr>
                              <w:t xml:space="preserve"> </w:t>
                            </w:r>
                            <w:r w:rsidR="00DD521A" w:rsidRPr="00DD521A">
                              <w:rPr>
                                <w:rFonts w:cs="Arial"/>
                                <w:color w:val="FF0000"/>
                                <w:sz w:val="24"/>
                                <w:szCs w:val="24"/>
                              </w:rPr>
                              <w:t>………………</w:t>
                            </w:r>
                          </w:p>
                          <w:p w14:paraId="5EA8763D" w14:textId="77777777" w:rsidR="00DD15F0" w:rsidRDefault="00DD15F0" w:rsidP="00790CE1">
                            <w:pPr>
                              <w:pStyle w:val="Norma"/>
                              <w:rPr>
                                <w:rFonts w:cs="Arial"/>
                              </w:rPr>
                            </w:pPr>
                          </w:p>
                          <w:p w14:paraId="5EA8763E" w14:textId="77777777" w:rsidR="00DD15F0" w:rsidRDefault="00DD15F0" w:rsidP="00790CE1">
                            <w:pPr>
                              <w:pStyle w:val="Norma"/>
                              <w:rPr>
                                <w:rFonts w:cs="Arial"/>
                              </w:rPr>
                            </w:pPr>
                          </w:p>
                          <w:p w14:paraId="5EA8763F" w14:textId="77777777" w:rsidR="00DD15F0" w:rsidRPr="0000739E" w:rsidRDefault="00DD15F0" w:rsidP="00790CE1">
                            <w:pPr>
                              <w:pStyle w:val="Norma"/>
                              <w:rPr>
                                <w:rFonts w:cs="Arial"/>
                              </w:rPr>
                            </w:pPr>
                          </w:p>
                          <w:p w14:paraId="5EA87640" w14:textId="77777777" w:rsidR="00DD15F0" w:rsidRDefault="00DD15F0">
                            <w:pPr>
                              <w:pStyle w:val="Norma"/>
                            </w:pPr>
                          </w:p>
                          <w:p w14:paraId="5EA87641" w14:textId="77777777" w:rsidR="00DD15F0" w:rsidRDefault="00DD15F0">
                            <w:pPr>
                              <w:pStyle w:val="Norma"/>
                            </w:pPr>
                          </w:p>
                          <w:p w14:paraId="5EA87642" w14:textId="77777777" w:rsidR="00DD15F0" w:rsidRDefault="00DD15F0">
                            <w:pPr>
                              <w:pStyle w:val="Norma"/>
                            </w:pPr>
                          </w:p>
                          <w:p w14:paraId="5EA87643" w14:textId="77777777" w:rsidR="00DD15F0" w:rsidRDefault="00DD15F0">
                            <w:pPr>
                              <w:pStyle w:val="Norma"/>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5" o:spid="_x0000_s1026" type="#_x0000_t202" style="position:absolute;left:0;text-align:left;margin-left:0;margin-top:-16.35pt;width:445.3pt;height:153pt;z-index: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" fillcolor="#d8d8d8">
                <v:textbox>
                  <w:txbxContent>
                    <w:p w14:paraId="5EA87635" w14:textId="77777777" w:rsidR="00DD15F0" w:rsidRDefault="00DD15F0" w:rsidP="003E5C19">
                      <w:pPr>
                        <w:pStyle w:val="Norma"/>
                        <w:jc w:val="center"/>
                        <w:rPr>
                          <w:b/>
                          <w:sz w:val="28"/>
                          <w:szCs w:val="28"/>
                        </w:rPr>
                      </w:pPr>
                    </w:p>
                    <w:p w14:paraId="5EA87636" w14:textId="77777777" w:rsidR="00DD15F0" w:rsidRDefault="00DD15F0" w:rsidP="003E5C19">
                      <w:pPr>
                        <w:pStyle w:val="Norma"/>
                        <w:jc w:val="center"/>
                        <w:rPr>
                          <w:b/>
                          <w:sz w:val="28"/>
                          <w:szCs w:val="28"/>
                        </w:rPr>
                      </w:pPr>
                    </w:p>
                    <w:p w14:paraId="5EA87637" w14:textId="77777777" w:rsidR="00DD15F0" w:rsidRPr="003E5C19" w:rsidRDefault="00DD15F0" w:rsidP="003E5C19">
                      <w:pPr>
                        <w:pStyle w:val="Norma"/>
                        <w:jc w:val="center"/>
                        <w:rPr>
                          <w:rFonts w:cs="Arial"/>
                          <w:b/>
                          <w:sz w:val="36"/>
                          <w:szCs w:val="36"/>
                        </w:rPr>
                      </w:pPr>
                      <w:r w:rsidRPr="003E5C19">
                        <w:rPr>
                          <w:b/>
                          <w:sz w:val="36"/>
                          <w:szCs w:val="36"/>
                        </w:rPr>
                        <w:t>Specification of Requirements</w:t>
                      </w:r>
                    </w:p>
                    <w:p w14:paraId="5EA87638" w14:textId="77777777" w:rsidR="00DD15F0" w:rsidRDefault="00DD15F0">
                      <w:pPr>
                        <w:pStyle w:val="Norma"/>
                      </w:pPr>
                    </w:p>
                    <w:p w14:paraId="5EA87639" w14:textId="77777777" w:rsidR="00DD15F0" w:rsidRDefault="00DD15F0">
                      <w:pPr>
                        <w:pStyle w:val="Norma"/>
                      </w:pPr>
                    </w:p>
                    <w:p w14:paraId="04D9951C" w14:textId="56A83BE7" w:rsidR="00652AAC" w:rsidRPr="00A06DC7" w:rsidRDefault="00DD15F0" w:rsidP="00652AAC">
                      <w:pPr>
                        <w:pStyle w:val="BodyText"/>
                        <w:jc w:val="center"/>
                        <w:rPr>
                          <w:rFonts w:ascii="Calibri" w:hAnsi="Calibri"/>
                          <w:b/>
                          <w:color w:val="000000" w:themeColor="text1"/>
                          <w:sz w:val="22"/>
                          <w:szCs w:val="22"/>
                        </w:rPr>
                      </w:pPr>
                      <w:r w:rsidRPr="0000739E">
                        <w:rPr>
                          <w:rFonts w:cs="Arial"/>
                        </w:rPr>
                        <w:t>Invitation to Tender for</w:t>
                      </w:r>
                      <w:r w:rsidR="00652AAC">
                        <w:rPr>
                          <w:rFonts w:cs="Arial"/>
                        </w:rPr>
                        <w:t xml:space="preserve"> the</w:t>
                      </w:r>
                      <w:r w:rsidRPr="006D645F">
                        <w:rPr>
                          <w:rFonts w:cs="Arial"/>
                        </w:rPr>
                        <w:t xml:space="preserve"> </w:t>
                      </w:r>
                      <w:r w:rsidR="00652AAC">
                        <w:rPr>
                          <w:rFonts w:ascii="Calibri" w:hAnsi="Calibri"/>
                          <w:b/>
                          <w:sz w:val="22"/>
                          <w:szCs w:val="22"/>
                        </w:rPr>
                        <w:t xml:space="preserve">invitation to tender for </w:t>
                      </w:r>
                      <w:r w:rsidR="00652AAC" w:rsidRPr="00A06DC7">
                        <w:rPr>
                          <w:rFonts w:ascii="Calibri" w:hAnsi="Calibri"/>
                          <w:b/>
                          <w:color w:val="000000" w:themeColor="text1"/>
                          <w:sz w:val="22"/>
                          <w:szCs w:val="22"/>
                        </w:rPr>
                        <w:t xml:space="preserve">Provision of research to produce scenarios for deployment of hydrogen technologies and infrastructure in contributing to meeting carbon budget and the 2050 target  </w:t>
                      </w:r>
                    </w:p>
                    <w:p w14:paraId="5EA8763A" w14:textId="55284485" w:rsidR="00DD15F0" w:rsidRPr="00DD521A" w:rsidRDefault="00DD15F0" w:rsidP="00405192">
                      <w:pPr>
                        <w:pStyle w:val="Norma"/>
                        <w:rPr>
                          <w:rFonts w:cs="Arial"/>
                          <w:color w:val="FF0000"/>
                        </w:rPr>
                      </w:pPr>
                    </w:p>
                    <w:p w14:paraId="5EA8763B" w14:textId="54B69B96" w:rsidR="00DD15F0" w:rsidRPr="0000739E" w:rsidRDefault="00DD15F0" w:rsidP="00405192">
                      <w:pPr>
                        <w:pStyle w:val="Norma"/>
                        <w:rPr>
                          <w:rFonts w:cs="Arial"/>
                        </w:rPr>
                      </w:pPr>
                      <w:r>
                        <w:rPr>
                          <w:rFonts w:cs="Arial"/>
                        </w:rPr>
                        <w:t xml:space="preserve">Tender Reference Number: </w:t>
                      </w:r>
                      <w:r w:rsidR="00652AAC" w:rsidRPr="008C6A43">
                        <w:rPr>
                          <w:rFonts w:cs="Arial"/>
                        </w:rPr>
                        <w:t>DJ/0415</w:t>
                      </w:r>
                    </w:p>
                    <w:p w14:paraId="5EA8763C" w14:textId="6B918A91" w:rsidR="00DD15F0" w:rsidRDefault="00DD15F0" w:rsidP="00405192">
                      <w:pPr>
                        <w:pStyle w:val="Norma"/>
                        <w:rPr>
                          <w:rFonts w:cs="Arial"/>
                        </w:rPr>
                      </w:pPr>
                      <w:r w:rsidRPr="0000739E">
                        <w:rPr>
                          <w:rFonts w:cs="Arial"/>
                        </w:rPr>
                        <w:t>Deadline for Tender Responses:</w:t>
                      </w:r>
                      <w:r w:rsidRPr="006D645F">
                        <w:rPr>
                          <w:rFonts w:cs="Arial"/>
                          <w:sz w:val="24"/>
                          <w:szCs w:val="24"/>
                        </w:rPr>
                        <w:t xml:space="preserve"> </w:t>
                      </w:r>
                      <w:r w:rsidR="00DD521A" w:rsidRPr="00DD521A">
                        <w:rPr>
                          <w:rFonts w:cs="Arial"/>
                          <w:color w:val="FF0000"/>
                          <w:sz w:val="24"/>
                          <w:szCs w:val="24"/>
                        </w:rPr>
                        <w:t>………………</w:t>
                      </w:r>
                    </w:p>
                    <w:p w14:paraId="5EA8763D" w14:textId="77777777" w:rsidR="00DD15F0" w:rsidRDefault="00DD15F0" w:rsidP="00790CE1">
                      <w:pPr>
                        <w:pStyle w:val="Norma"/>
                        <w:rPr>
                          <w:rFonts w:cs="Arial"/>
                        </w:rPr>
                      </w:pPr>
                    </w:p>
                    <w:p w14:paraId="5EA8763E" w14:textId="77777777" w:rsidR="00DD15F0" w:rsidRDefault="00DD15F0" w:rsidP="00790CE1">
                      <w:pPr>
                        <w:pStyle w:val="Norma"/>
                        <w:rPr>
                          <w:rFonts w:cs="Arial"/>
                        </w:rPr>
                      </w:pPr>
                    </w:p>
                    <w:p w14:paraId="5EA8763F" w14:textId="77777777" w:rsidR="00DD15F0" w:rsidRPr="0000739E" w:rsidRDefault="00DD15F0" w:rsidP="00790CE1">
                      <w:pPr>
                        <w:pStyle w:val="Norma"/>
                        <w:rPr>
                          <w:rFonts w:cs="Arial"/>
                        </w:rPr>
                      </w:pPr>
                    </w:p>
                    <w:p w14:paraId="5EA87640" w14:textId="77777777" w:rsidR="00DD15F0" w:rsidRDefault="00DD15F0">
                      <w:pPr>
                        <w:pStyle w:val="Norma"/>
                      </w:pPr>
                    </w:p>
                    <w:p w14:paraId="5EA87641" w14:textId="77777777" w:rsidR="00DD15F0" w:rsidRDefault="00DD15F0">
                      <w:pPr>
                        <w:pStyle w:val="Norma"/>
                      </w:pPr>
                    </w:p>
                    <w:p w14:paraId="5EA87642" w14:textId="77777777" w:rsidR="00DD15F0" w:rsidRDefault="00DD15F0">
                      <w:pPr>
                        <w:pStyle w:val="Norma"/>
                      </w:pPr>
                    </w:p>
                    <w:p w14:paraId="5EA87643" w14:textId="77777777" w:rsidR="00DD15F0" w:rsidRDefault="00DD15F0">
                      <w:pPr>
                        <w:pStyle w:val="Norma"/>
                      </w:pPr>
                    </w:p>
                  </w:txbxContent>
                </v:textbox>
              </v:shape>
            </w:pict>
          </mc:Fallback>
        </mc:AlternateContent>
      </w:r>
    </w:p>
    <w:p w14:paraId="5EA87537" w14:textId="77777777" w:rsidR="003E5C19" w:rsidRDefault="003E5C19" w:rsidP="007B3C23">
      <w:pPr>
        <w:pStyle w:val="Norma"/>
        <w:jc w:val="both"/>
        <w:rPr>
          <w:rFonts w:ascii="Calibri" w:hAnsi="Calibri" w:cs="Calibri"/>
          <w:b/>
          <w:sz w:val="28"/>
          <w:szCs w:val="28"/>
        </w:rPr>
      </w:pPr>
    </w:p>
    <w:p w14:paraId="5EA87538" w14:textId="77777777" w:rsidR="003E5C19" w:rsidRDefault="003E5C19" w:rsidP="007B3C23">
      <w:pPr>
        <w:pStyle w:val="Norma"/>
        <w:jc w:val="both"/>
        <w:rPr>
          <w:rFonts w:ascii="Calibri" w:hAnsi="Calibri" w:cs="Calibri"/>
          <w:b/>
          <w:sz w:val="28"/>
          <w:szCs w:val="28"/>
        </w:rPr>
      </w:pPr>
    </w:p>
    <w:p w14:paraId="5EA87539" w14:textId="77777777" w:rsidR="009954ED" w:rsidRPr="007B3C23" w:rsidRDefault="009954ED" w:rsidP="007B3C23">
      <w:pPr>
        <w:pStyle w:val="Norma"/>
        <w:jc w:val="both"/>
        <w:rPr>
          <w:rFonts w:cs="Arial"/>
          <w:sz w:val="24"/>
          <w:szCs w:val="24"/>
        </w:rPr>
      </w:pPr>
    </w:p>
    <w:p w14:paraId="5EA8753A" w14:textId="77777777" w:rsidR="003E5C19" w:rsidRDefault="003E5C19" w:rsidP="00B0368C">
      <w:pPr>
        <w:pStyle w:val="Numbered"/>
        <w:widowControl/>
        <w:jc w:val="both"/>
        <w:rPr>
          <w:b/>
          <w:sz w:val="28"/>
          <w:szCs w:val="28"/>
        </w:rPr>
      </w:pPr>
    </w:p>
    <w:p w14:paraId="5EA8753B" w14:textId="77777777" w:rsidR="003E5C19" w:rsidRDefault="003E5C19" w:rsidP="003E5C19">
      <w:pPr>
        <w:pStyle w:val="Numbered"/>
        <w:widowControl/>
        <w:rPr>
          <w:b/>
          <w:sz w:val="28"/>
          <w:szCs w:val="28"/>
        </w:rPr>
      </w:pPr>
    </w:p>
    <w:p w14:paraId="5EA8753C" w14:textId="77777777" w:rsidR="00790CE1" w:rsidRDefault="00790CE1" w:rsidP="003E5C19">
      <w:pPr>
        <w:pStyle w:val="Numbered"/>
        <w:widowControl/>
        <w:rPr>
          <w:b/>
          <w:sz w:val="28"/>
          <w:szCs w:val="28"/>
        </w:rPr>
      </w:pPr>
    </w:p>
    <w:p w14:paraId="5EA8753D" w14:textId="77777777" w:rsidR="00790CE1" w:rsidRDefault="00790CE1" w:rsidP="003E5C19">
      <w:pPr>
        <w:pStyle w:val="Numbered"/>
        <w:widowControl/>
        <w:rPr>
          <w:b/>
          <w:sz w:val="28"/>
          <w:szCs w:val="28"/>
        </w:rPr>
      </w:pPr>
    </w:p>
    <w:p w14:paraId="5EA8753F" w14:textId="361E1BC7" w:rsidR="002203AF" w:rsidRPr="00976685" w:rsidRDefault="002D32D5" w:rsidP="003E5C19">
      <w:pPr>
        <w:pStyle w:val="Numbered"/>
        <w:widowControl/>
        <w:rPr>
          <w:b/>
          <w:sz w:val="28"/>
          <w:szCs w:val="28"/>
        </w:rPr>
      </w:pPr>
      <w:r w:rsidRPr="00B0368C">
        <w:rPr>
          <w:b/>
          <w:sz w:val="28"/>
          <w:szCs w:val="28"/>
        </w:rPr>
        <w:t>Contents</w:t>
      </w:r>
    </w:p>
    <w:p w14:paraId="5EA87540" w14:textId="77777777" w:rsidR="00B0368C" w:rsidRPr="005D027D" w:rsidRDefault="00B0368C" w:rsidP="00B0368C">
      <w:pPr>
        <w:pStyle w:val="Norma"/>
        <w:rPr>
          <w:sz w:val="24"/>
          <w:szCs w:val="24"/>
          <w:lang w:val="en-US" w:eastAsia="ja-JP"/>
        </w:rPr>
      </w:pPr>
    </w:p>
    <w:p w14:paraId="2A553AC6" w14:textId="77777777" w:rsidR="004676C3" w:rsidRDefault="000744BD">
      <w:pPr>
        <w:pStyle w:val="TOC1"/>
        <w:rPr>
          <w:rFonts w:asciiTheme="minorHAnsi" w:eastAsiaTheme="minorEastAsia" w:hAnsiTheme="minorHAnsi" w:cstheme="minorBidi"/>
          <w:noProof/>
        </w:rPr>
      </w:pPr>
      <w:r w:rsidRPr="00C94BA7">
        <w:rPr>
          <w:color w:val="000000"/>
          <w:sz w:val="24"/>
          <w:szCs w:val="24"/>
        </w:rPr>
        <w:fldChar w:fldCharType="begin"/>
      </w:r>
      <w:r w:rsidRPr="00C94BA7">
        <w:rPr>
          <w:color w:val="000000"/>
          <w:sz w:val="24"/>
          <w:szCs w:val="24"/>
        </w:rPr>
        <w:instrText xml:space="preserve"> TOC \b SectionTwo \* MERGEFORMAT </w:instrText>
      </w:r>
      <w:r w:rsidRPr="00C94BA7">
        <w:rPr>
          <w:color w:val="000000"/>
          <w:sz w:val="24"/>
          <w:szCs w:val="24"/>
        </w:rPr>
        <w:fldChar w:fldCharType="separate"/>
      </w:r>
      <w:r w:rsidR="004676C3" w:rsidRPr="003D1632">
        <w:rPr>
          <w:rFonts w:cs="Arial"/>
          <w:noProof/>
        </w:rPr>
        <w:t>1.</w:t>
      </w:r>
      <w:r w:rsidR="004676C3">
        <w:rPr>
          <w:rFonts w:asciiTheme="minorHAnsi" w:eastAsiaTheme="minorEastAsia" w:hAnsiTheme="minorHAnsi" w:cstheme="minorBidi"/>
          <w:noProof/>
        </w:rPr>
        <w:tab/>
      </w:r>
      <w:r w:rsidR="004676C3" w:rsidRPr="003D1632">
        <w:rPr>
          <w:rFonts w:cs="Arial"/>
          <w:noProof/>
        </w:rPr>
        <w:t>Introduction and summary of requirements / Preamble</w:t>
      </w:r>
      <w:r w:rsidR="004676C3">
        <w:rPr>
          <w:noProof/>
        </w:rPr>
        <w:tab/>
      </w:r>
      <w:r w:rsidR="004676C3">
        <w:rPr>
          <w:noProof/>
        </w:rPr>
        <w:fldChar w:fldCharType="begin"/>
      </w:r>
      <w:r w:rsidR="004676C3">
        <w:rPr>
          <w:noProof/>
        </w:rPr>
        <w:instrText xml:space="preserve"> PAGEREF _Toc417546759 \h </w:instrText>
      </w:r>
      <w:r w:rsidR="004676C3">
        <w:rPr>
          <w:noProof/>
        </w:rPr>
      </w:r>
      <w:r w:rsidR="004676C3">
        <w:rPr>
          <w:noProof/>
        </w:rPr>
        <w:fldChar w:fldCharType="separate"/>
      </w:r>
      <w:r w:rsidR="004676C3">
        <w:rPr>
          <w:noProof/>
        </w:rPr>
        <w:t>3</w:t>
      </w:r>
      <w:r w:rsidR="004676C3">
        <w:rPr>
          <w:noProof/>
        </w:rPr>
        <w:fldChar w:fldCharType="end"/>
      </w:r>
    </w:p>
    <w:p w14:paraId="22BC90F4" w14:textId="77777777" w:rsidR="004676C3" w:rsidRDefault="004676C3">
      <w:pPr>
        <w:pStyle w:val="TOC1"/>
        <w:rPr>
          <w:rFonts w:asciiTheme="minorHAnsi" w:eastAsiaTheme="minorEastAsia" w:hAnsiTheme="minorHAnsi" w:cstheme="minorBidi"/>
          <w:noProof/>
        </w:rPr>
      </w:pPr>
      <w:r w:rsidRPr="003D1632">
        <w:rPr>
          <w:rFonts w:cs="Arial"/>
          <w:noProof/>
        </w:rPr>
        <w:t>2.</w:t>
      </w:r>
      <w:r>
        <w:rPr>
          <w:rFonts w:asciiTheme="minorHAnsi" w:eastAsiaTheme="minorEastAsia" w:hAnsiTheme="minorHAnsi" w:cstheme="minorBidi"/>
          <w:noProof/>
        </w:rPr>
        <w:tab/>
      </w:r>
      <w:r w:rsidRPr="003D1632">
        <w:rPr>
          <w:rFonts w:cs="Arial"/>
          <w:noProof/>
        </w:rPr>
        <w:t>Background</w:t>
      </w:r>
      <w:r>
        <w:rPr>
          <w:noProof/>
        </w:rPr>
        <w:tab/>
      </w:r>
      <w:r>
        <w:rPr>
          <w:noProof/>
        </w:rPr>
        <w:fldChar w:fldCharType="begin"/>
      </w:r>
      <w:r>
        <w:rPr>
          <w:noProof/>
        </w:rPr>
        <w:instrText xml:space="preserve"> PAGEREF _Toc417546760 \h </w:instrText>
      </w:r>
      <w:r>
        <w:rPr>
          <w:noProof/>
        </w:rPr>
      </w:r>
      <w:r>
        <w:rPr>
          <w:noProof/>
        </w:rPr>
        <w:fldChar w:fldCharType="separate"/>
      </w:r>
      <w:r>
        <w:rPr>
          <w:noProof/>
        </w:rPr>
        <w:t>3</w:t>
      </w:r>
      <w:r>
        <w:rPr>
          <w:noProof/>
        </w:rPr>
        <w:fldChar w:fldCharType="end"/>
      </w:r>
    </w:p>
    <w:p w14:paraId="37119E02" w14:textId="77777777" w:rsidR="004676C3" w:rsidRDefault="004676C3">
      <w:pPr>
        <w:pStyle w:val="TOC1"/>
        <w:rPr>
          <w:rFonts w:asciiTheme="minorHAnsi" w:eastAsiaTheme="minorEastAsia" w:hAnsiTheme="minorHAnsi" w:cstheme="minorBidi"/>
          <w:noProof/>
        </w:rPr>
      </w:pPr>
      <w:r w:rsidRPr="003D1632">
        <w:rPr>
          <w:rFonts w:cs="Arial"/>
          <w:noProof/>
        </w:rPr>
        <w:t>3.</w:t>
      </w:r>
      <w:r>
        <w:rPr>
          <w:rFonts w:asciiTheme="minorHAnsi" w:eastAsiaTheme="minorEastAsia" w:hAnsiTheme="minorHAnsi" w:cstheme="minorBidi"/>
          <w:noProof/>
        </w:rPr>
        <w:tab/>
      </w:r>
      <w:r w:rsidRPr="003D1632">
        <w:rPr>
          <w:rFonts w:cs="Arial"/>
          <w:noProof/>
        </w:rPr>
        <w:t>Aims and Objectives</w:t>
      </w:r>
      <w:r>
        <w:rPr>
          <w:noProof/>
        </w:rPr>
        <w:tab/>
      </w:r>
      <w:r>
        <w:rPr>
          <w:noProof/>
        </w:rPr>
        <w:fldChar w:fldCharType="begin"/>
      </w:r>
      <w:r>
        <w:rPr>
          <w:noProof/>
        </w:rPr>
        <w:instrText xml:space="preserve"> PAGEREF _Toc417546761 \h </w:instrText>
      </w:r>
      <w:r>
        <w:rPr>
          <w:noProof/>
        </w:rPr>
      </w:r>
      <w:r>
        <w:rPr>
          <w:noProof/>
        </w:rPr>
        <w:fldChar w:fldCharType="separate"/>
      </w:r>
      <w:r>
        <w:rPr>
          <w:noProof/>
        </w:rPr>
        <w:t>7</w:t>
      </w:r>
      <w:r>
        <w:rPr>
          <w:noProof/>
        </w:rPr>
        <w:fldChar w:fldCharType="end"/>
      </w:r>
    </w:p>
    <w:p w14:paraId="39E78380" w14:textId="77777777" w:rsidR="004676C3" w:rsidRDefault="004676C3">
      <w:pPr>
        <w:pStyle w:val="TOC1"/>
        <w:rPr>
          <w:rFonts w:asciiTheme="minorHAnsi" w:eastAsiaTheme="minorEastAsia" w:hAnsiTheme="minorHAnsi" w:cstheme="minorBidi"/>
          <w:noProof/>
        </w:rPr>
      </w:pPr>
      <w:r w:rsidRPr="003D1632">
        <w:rPr>
          <w:rFonts w:cs="Arial"/>
          <w:noProof/>
        </w:rPr>
        <w:t>4.</w:t>
      </w:r>
      <w:r>
        <w:rPr>
          <w:rFonts w:asciiTheme="minorHAnsi" w:eastAsiaTheme="minorEastAsia" w:hAnsiTheme="minorHAnsi" w:cstheme="minorBidi"/>
          <w:noProof/>
        </w:rPr>
        <w:tab/>
      </w:r>
      <w:r w:rsidRPr="003D1632">
        <w:rPr>
          <w:rFonts w:cs="Arial"/>
          <w:noProof/>
        </w:rPr>
        <w:t>Description of Work for consultants</w:t>
      </w:r>
      <w:r>
        <w:rPr>
          <w:noProof/>
        </w:rPr>
        <w:tab/>
      </w:r>
      <w:r>
        <w:rPr>
          <w:noProof/>
        </w:rPr>
        <w:fldChar w:fldCharType="begin"/>
      </w:r>
      <w:r>
        <w:rPr>
          <w:noProof/>
        </w:rPr>
        <w:instrText xml:space="preserve"> PAGEREF _Toc417546762 \h </w:instrText>
      </w:r>
      <w:r>
        <w:rPr>
          <w:noProof/>
        </w:rPr>
      </w:r>
      <w:r>
        <w:rPr>
          <w:noProof/>
        </w:rPr>
        <w:fldChar w:fldCharType="separate"/>
      </w:r>
      <w:r>
        <w:rPr>
          <w:noProof/>
        </w:rPr>
        <w:t>7</w:t>
      </w:r>
      <w:r>
        <w:rPr>
          <w:noProof/>
        </w:rPr>
        <w:fldChar w:fldCharType="end"/>
      </w:r>
    </w:p>
    <w:p w14:paraId="01AC9800" w14:textId="77777777" w:rsidR="004676C3" w:rsidRDefault="004676C3">
      <w:pPr>
        <w:pStyle w:val="TOC1"/>
        <w:rPr>
          <w:rFonts w:asciiTheme="minorHAnsi" w:eastAsiaTheme="minorEastAsia" w:hAnsiTheme="minorHAnsi" w:cstheme="minorBidi"/>
          <w:noProof/>
        </w:rPr>
      </w:pPr>
      <w:r w:rsidRPr="003D1632">
        <w:rPr>
          <w:rFonts w:cs="Arial"/>
          <w:noProof/>
        </w:rPr>
        <w:t>5.</w:t>
      </w:r>
      <w:r>
        <w:rPr>
          <w:rFonts w:asciiTheme="minorHAnsi" w:eastAsiaTheme="minorEastAsia" w:hAnsiTheme="minorHAnsi" w:cstheme="minorBidi"/>
          <w:noProof/>
        </w:rPr>
        <w:tab/>
      </w:r>
      <w:r w:rsidRPr="003D1632">
        <w:rPr>
          <w:rFonts w:cs="Arial"/>
          <w:noProof/>
        </w:rPr>
        <w:t>Outputs Required</w:t>
      </w:r>
      <w:r>
        <w:rPr>
          <w:noProof/>
        </w:rPr>
        <w:tab/>
      </w:r>
      <w:r>
        <w:rPr>
          <w:noProof/>
        </w:rPr>
        <w:fldChar w:fldCharType="begin"/>
      </w:r>
      <w:r>
        <w:rPr>
          <w:noProof/>
        </w:rPr>
        <w:instrText xml:space="preserve"> PAGEREF _Toc417546763 \h </w:instrText>
      </w:r>
      <w:r>
        <w:rPr>
          <w:noProof/>
        </w:rPr>
      </w:r>
      <w:r>
        <w:rPr>
          <w:noProof/>
        </w:rPr>
        <w:fldChar w:fldCharType="separate"/>
      </w:r>
      <w:r>
        <w:rPr>
          <w:noProof/>
        </w:rPr>
        <w:t>11</w:t>
      </w:r>
      <w:r>
        <w:rPr>
          <w:noProof/>
        </w:rPr>
        <w:fldChar w:fldCharType="end"/>
      </w:r>
    </w:p>
    <w:p w14:paraId="554FEAF3" w14:textId="77777777" w:rsidR="004676C3" w:rsidRDefault="004676C3">
      <w:pPr>
        <w:pStyle w:val="TOC1"/>
        <w:rPr>
          <w:rFonts w:asciiTheme="minorHAnsi" w:eastAsiaTheme="minorEastAsia" w:hAnsiTheme="minorHAnsi" w:cstheme="minorBidi"/>
          <w:noProof/>
        </w:rPr>
      </w:pPr>
      <w:r w:rsidRPr="003D1632">
        <w:rPr>
          <w:rFonts w:cs="Arial"/>
          <w:noProof/>
        </w:rPr>
        <w:t>6.</w:t>
      </w:r>
      <w:r>
        <w:rPr>
          <w:rFonts w:asciiTheme="minorHAnsi" w:eastAsiaTheme="minorEastAsia" w:hAnsiTheme="minorHAnsi" w:cstheme="minorBidi"/>
          <w:noProof/>
        </w:rPr>
        <w:tab/>
      </w:r>
      <w:r w:rsidRPr="003D1632">
        <w:rPr>
          <w:rFonts w:cs="Arial"/>
          <w:noProof/>
        </w:rPr>
        <w:t>Timetable</w:t>
      </w:r>
      <w:r>
        <w:rPr>
          <w:noProof/>
        </w:rPr>
        <w:tab/>
      </w:r>
      <w:r>
        <w:rPr>
          <w:noProof/>
        </w:rPr>
        <w:fldChar w:fldCharType="begin"/>
      </w:r>
      <w:r>
        <w:rPr>
          <w:noProof/>
        </w:rPr>
        <w:instrText xml:space="preserve"> PAGEREF _Toc417546764 \h </w:instrText>
      </w:r>
      <w:r>
        <w:rPr>
          <w:noProof/>
        </w:rPr>
      </w:r>
      <w:r>
        <w:rPr>
          <w:noProof/>
        </w:rPr>
        <w:fldChar w:fldCharType="separate"/>
      </w:r>
      <w:r>
        <w:rPr>
          <w:noProof/>
        </w:rPr>
        <w:t>12</w:t>
      </w:r>
      <w:r>
        <w:rPr>
          <w:noProof/>
        </w:rPr>
        <w:fldChar w:fldCharType="end"/>
      </w:r>
    </w:p>
    <w:p w14:paraId="75F559E6" w14:textId="77777777" w:rsidR="004676C3" w:rsidRDefault="004676C3">
      <w:pPr>
        <w:pStyle w:val="TOC1"/>
        <w:rPr>
          <w:rFonts w:asciiTheme="minorHAnsi" w:eastAsiaTheme="minorEastAsia" w:hAnsiTheme="minorHAnsi" w:cstheme="minorBidi"/>
          <w:noProof/>
        </w:rPr>
      </w:pPr>
      <w:r w:rsidRPr="003D1632">
        <w:rPr>
          <w:rFonts w:cs="Arial"/>
          <w:noProof/>
        </w:rPr>
        <w:t>7.</w:t>
      </w:r>
      <w:r>
        <w:rPr>
          <w:rFonts w:asciiTheme="minorHAnsi" w:eastAsiaTheme="minorEastAsia" w:hAnsiTheme="minorHAnsi" w:cstheme="minorBidi"/>
          <w:noProof/>
        </w:rPr>
        <w:tab/>
      </w:r>
      <w:r w:rsidRPr="003D1632">
        <w:rPr>
          <w:rFonts w:cs="Arial"/>
          <w:noProof/>
        </w:rPr>
        <w:t>Ethics</w:t>
      </w:r>
      <w:r>
        <w:rPr>
          <w:noProof/>
        </w:rPr>
        <w:tab/>
      </w:r>
      <w:r>
        <w:rPr>
          <w:noProof/>
        </w:rPr>
        <w:fldChar w:fldCharType="begin"/>
      </w:r>
      <w:r>
        <w:rPr>
          <w:noProof/>
        </w:rPr>
        <w:instrText xml:space="preserve"> PAGEREF _Toc417546765 \h </w:instrText>
      </w:r>
      <w:r>
        <w:rPr>
          <w:noProof/>
        </w:rPr>
      </w:r>
      <w:r>
        <w:rPr>
          <w:noProof/>
        </w:rPr>
        <w:fldChar w:fldCharType="separate"/>
      </w:r>
      <w:r>
        <w:rPr>
          <w:noProof/>
        </w:rPr>
        <w:t>13</w:t>
      </w:r>
      <w:r>
        <w:rPr>
          <w:noProof/>
        </w:rPr>
        <w:fldChar w:fldCharType="end"/>
      </w:r>
    </w:p>
    <w:p w14:paraId="6086B36E" w14:textId="77777777" w:rsidR="004676C3" w:rsidRDefault="004676C3">
      <w:pPr>
        <w:pStyle w:val="TOC1"/>
        <w:rPr>
          <w:rFonts w:asciiTheme="minorHAnsi" w:eastAsiaTheme="minorEastAsia" w:hAnsiTheme="minorHAnsi" w:cstheme="minorBidi"/>
          <w:noProof/>
        </w:rPr>
      </w:pPr>
      <w:r w:rsidRPr="003D1632">
        <w:rPr>
          <w:rFonts w:cs="Arial"/>
          <w:noProof/>
        </w:rPr>
        <w:t>8.</w:t>
      </w:r>
      <w:r>
        <w:rPr>
          <w:rFonts w:asciiTheme="minorHAnsi" w:eastAsiaTheme="minorEastAsia" w:hAnsiTheme="minorHAnsi" w:cstheme="minorBidi"/>
          <w:noProof/>
        </w:rPr>
        <w:tab/>
      </w:r>
      <w:r w:rsidRPr="003D1632">
        <w:rPr>
          <w:rFonts w:cs="Arial"/>
          <w:noProof/>
        </w:rPr>
        <w:t>Working Arrangements</w:t>
      </w:r>
      <w:r>
        <w:rPr>
          <w:noProof/>
        </w:rPr>
        <w:tab/>
      </w:r>
      <w:r>
        <w:rPr>
          <w:noProof/>
        </w:rPr>
        <w:fldChar w:fldCharType="begin"/>
      </w:r>
      <w:r>
        <w:rPr>
          <w:noProof/>
        </w:rPr>
        <w:instrText xml:space="preserve"> PAGEREF _Toc417546766 \h </w:instrText>
      </w:r>
      <w:r>
        <w:rPr>
          <w:noProof/>
        </w:rPr>
      </w:r>
      <w:r>
        <w:rPr>
          <w:noProof/>
        </w:rPr>
        <w:fldChar w:fldCharType="separate"/>
      </w:r>
      <w:r>
        <w:rPr>
          <w:noProof/>
        </w:rPr>
        <w:t>13</w:t>
      </w:r>
      <w:r>
        <w:rPr>
          <w:noProof/>
        </w:rPr>
        <w:fldChar w:fldCharType="end"/>
      </w:r>
    </w:p>
    <w:p w14:paraId="2A9E6BF0" w14:textId="77777777" w:rsidR="004676C3" w:rsidRDefault="004676C3">
      <w:pPr>
        <w:pStyle w:val="TOC1"/>
        <w:rPr>
          <w:rFonts w:asciiTheme="minorHAnsi" w:eastAsiaTheme="minorEastAsia" w:hAnsiTheme="minorHAnsi" w:cstheme="minorBidi"/>
          <w:noProof/>
        </w:rPr>
      </w:pPr>
      <w:r w:rsidRPr="003D1632">
        <w:rPr>
          <w:rFonts w:cs="Arial"/>
          <w:noProof/>
        </w:rPr>
        <w:t>9.</w:t>
      </w:r>
      <w:r>
        <w:rPr>
          <w:rFonts w:asciiTheme="minorHAnsi" w:eastAsiaTheme="minorEastAsia" w:hAnsiTheme="minorHAnsi" w:cstheme="minorBidi"/>
          <w:noProof/>
        </w:rPr>
        <w:tab/>
      </w:r>
      <w:r w:rsidRPr="003D1632">
        <w:rPr>
          <w:rFonts w:cs="Arial"/>
          <w:noProof/>
        </w:rPr>
        <w:t>Skills and experience</w:t>
      </w:r>
      <w:r>
        <w:rPr>
          <w:noProof/>
        </w:rPr>
        <w:tab/>
      </w:r>
      <w:r>
        <w:rPr>
          <w:noProof/>
        </w:rPr>
        <w:fldChar w:fldCharType="begin"/>
      </w:r>
      <w:r>
        <w:rPr>
          <w:noProof/>
        </w:rPr>
        <w:instrText xml:space="preserve"> PAGEREF _Toc417546767 \h </w:instrText>
      </w:r>
      <w:r>
        <w:rPr>
          <w:noProof/>
        </w:rPr>
      </w:r>
      <w:r>
        <w:rPr>
          <w:noProof/>
        </w:rPr>
        <w:fldChar w:fldCharType="separate"/>
      </w:r>
      <w:r>
        <w:rPr>
          <w:noProof/>
        </w:rPr>
        <w:t>13</w:t>
      </w:r>
      <w:r>
        <w:rPr>
          <w:noProof/>
        </w:rPr>
        <w:fldChar w:fldCharType="end"/>
      </w:r>
    </w:p>
    <w:p w14:paraId="1A9F9C06" w14:textId="77777777" w:rsidR="004676C3" w:rsidRDefault="004676C3">
      <w:pPr>
        <w:pStyle w:val="TOC1"/>
        <w:rPr>
          <w:rFonts w:asciiTheme="minorHAnsi" w:eastAsiaTheme="minorEastAsia" w:hAnsiTheme="minorHAnsi" w:cstheme="minorBidi"/>
          <w:noProof/>
        </w:rPr>
      </w:pPr>
      <w:r w:rsidRPr="003D1632">
        <w:rPr>
          <w:rFonts w:cs="Arial"/>
          <w:noProof/>
        </w:rPr>
        <w:t>10.</w:t>
      </w:r>
      <w:r>
        <w:rPr>
          <w:rFonts w:asciiTheme="minorHAnsi" w:eastAsiaTheme="minorEastAsia" w:hAnsiTheme="minorHAnsi" w:cstheme="minorBidi"/>
          <w:noProof/>
        </w:rPr>
        <w:tab/>
      </w:r>
      <w:r w:rsidRPr="003D1632">
        <w:rPr>
          <w:rFonts w:cs="Arial"/>
          <w:noProof/>
        </w:rPr>
        <w:t>Consortium Bids</w:t>
      </w:r>
      <w:r>
        <w:rPr>
          <w:noProof/>
        </w:rPr>
        <w:tab/>
      </w:r>
      <w:r>
        <w:rPr>
          <w:noProof/>
        </w:rPr>
        <w:fldChar w:fldCharType="begin"/>
      </w:r>
      <w:r>
        <w:rPr>
          <w:noProof/>
        </w:rPr>
        <w:instrText xml:space="preserve"> PAGEREF _Toc417546768 \h </w:instrText>
      </w:r>
      <w:r>
        <w:rPr>
          <w:noProof/>
        </w:rPr>
      </w:r>
      <w:r>
        <w:rPr>
          <w:noProof/>
        </w:rPr>
        <w:fldChar w:fldCharType="separate"/>
      </w:r>
      <w:r>
        <w:rPr>
          <w:noProof/>
        </w:rPr>
        <w:t>13</w:t>
      </w:r>
      <w:r>
        <w:rPr>
          <w:noProof/>
        </w:rPr>
        <w:fldChar w:fldCharType="end"/>
      </w:r>
    </w:p>
    <w:p w14:paraId="783150BE" w14:textId="77777777" w:rsidR="004676C3" w:rsidRDefault="004676C3">
      <w:pPr>
        <w:pStyle w:val="TOC1"/>
        <w:rPr>
          <w:rFonts w:asciiTheme="minorHAnsi" w:eastAsiaTheme="minorEastAsia" w:hAnsiTheme="minorHAnsi" w:cstheme="minorBidi"/>
          <w:noProof/>
        </w:rPr>
      </w:pPr>
      <w:r w:rsidRPr="003D1632">
        <w:rPr>
          <w:rFonts w:cs="Arial"/>
          <w:noProof/>
        </w:rPr>
        <w:t>11.</w:t>
      </w:r>
      <w:r>
        <w:rPr>
          <w:rFonts w:asciiTheme="minorHAnsi" w:eastAsiaTheme="minorEastAsia" w:hAnsiTheme="minorHAnsi" w:cstheme="minorBidi"/>
          <w:noProof/>
        </w:rPr>
        <w:tab/>
      </w:r>
      <w:r w:rsidRPr="003D1632">
        <w:rPr>
          <w:rFonts w:cs="Arial"/>
          <w:noProof/>
        </w:rPr>
        <w:t>Budget</w:t>
      </w:r>
      <w:r>
        <w:rPr>
          <w:noProof/>
        </w:rPr>
        <w:tab/>
      </w:r>
      <w:r>
        <w:rPr>
          <w:noProof/>
        </w:rPr>
        <w:fldChar w:fldCharType="begin"/>
      </w:r>
      <w:r>
        <w:rPr>
          <w:noProof/>
        </w:rPr>
        <w:instrText xml:space="preserve"> PAGEREF _Toc417546769 \h </w:instrText>
      </w:r>
      <w:r>
        <w:rPr>
          <w:noProof/>
        </w:rPr>
      </w:r>
      <w:r>
        <w:rPr>
          <w:noProof/>
        </w:rPr>
        <w:fldChar w:fldCharType="separate"/>
      </w:r>
      <w:r>
        <w:rPr>
          <w:noProof/>
        </w:rPr>
        <w:t>14</w:t>
      </w:r>
      <w:r>
        <w:rPr>
          <w:noProof/>
        </w:rPr>
        <w:fldChar w:fldCharType="end"/>
      </w:r>
    </w:p>
    <w:p w14:paraId="16F37C91" w14:textId="77777777" w:rsidR="004676C3" w:rsidRDefault="004676C3">
      <w:pPr>
        <w:pStyle w:val="TOC1"/>
        <w:rPr>
          <w:rFonts w:asciiTheme="minorHAnsi" w:eastAsiaTheme="minorEastAsia" w:hAnsiTheme="minorHAnsi" w:cstheme="minorBidi"/>
          <w:noProof/>
        </w:rPr>
      </w:pPr>
      <w:r w:rsidRPr="003D1632">
        <w:rPr>
          <w:rFonts w:cs="Arial"/>
          <w:noProof/>
        </w:rPr>
        <w:t>12.</w:t>
      </w:r>
      <w:r>
        <w:rPr>
          <w:rFonts w:asciiTheme="minorHAnsi" w:eastAsiaTheme="minorEastAsia" w:hAnsiTheme="minorHAnsi" w:cstheme="minorBidi"/>
          <w:noProof/>
        </w:rPr>
        <w:tab/>
      </w:r>
      <w:r w:rsidRPr="003D1632">
        <w:rPr>
          <w:rFonts w:cs="Arial"/>
          <w:noProof/>
        </w:rPr>
        <w:t>Evaluation of Tenders</w:t>
      </w:r>
      <w:r>
        <w:rPr>
          <w:noProof/>
        </w:rPr>
        <w:tab/>
      </w:r>
      <w:r>
        <w:rPr>
          <w:noProof/>
        </w:rPr>
        <w:fldChar w:fldCharType="begin"/>
      </w:r>
      <w:r>
        <w:rPr>
          <w:noProof/>
        </w:rPr>
        <w:instrText xml:space="preserve"> PAGEREF _Toc417546770 \h </w:instrText>
      </w:r>
      <w:r>
        <w:rPr>
          <w:noProof/>
        </w:rPr>
      </w:r>
      <w:r>
        <w:rPr>
          <w:noProof/>
        </w:rPr>
        <w:fldChar w:fldCharType="separate"/>
      </w:r>
      <w:r>
        <w:rPr>
          <w:noProof/>
        </w:rPr>
        <w:t>14</w:t>
      </w:r>
      <w:r>
        <w:rPr>
          <w:noProof/>
        </w:rPr>
        <w:fldChar w:fldCharType="end"/>
      </w:r>
    </w:p>
    <w:p w14:paraId="15FE7DC0" w14:textId="77777777" w:rsidR="004676C3" w:rsidRDefault="004676C3">
      <w:pPr>
        <w:pStyle w:val="TOC4"/>
        <w:tabs>
          <w:tab w:val="right" w:leader="dot" w:pos="9016"/>
        </w:tabs>
        <w:rPr>
          <w:rFonts w:asciiTheme="minorHAnsi" w:eastAsiaTheme="minorEastAsia" w:hAnsiTheme="minorHAnsi" w:cstheme="minorBidi"/>
          <w:noProof/>
          <w:sz w:val="22"/>
          <w:szCs w:val="22"/>
        </w:rPr>
      </w:pPr>
      <w:r w:rsidRPr="003D1632">
        <w:rPr>
          <w:rFonts w:ascii="Arial" w:hAnsi="Arial" w:cs="Arial"/>
          <w:noProof/>
        </w:rPr>
        <w:t>Criterion</w:t>
      </w:r>
      <w:r>
        <w:rPr>
          <w:noProof/>
        </w:rPr>
        <w:tab/>
      </w:r>
      <w:r>
        <w:rPr>
          <w:noProof/>
        </w:rPr>
        <w:fldChar w:fldCharType="begin"/>
      </w:r>
      <w:r>
        <w:rPr>
          <w:noProof/>
        </w:rPr>
        <w:instrText xml:space="preserve"> PAGEREF _Toc417546771 \h </w:instrText>
      </w:r>
      <w:r>
        <w:rPr>
          <w:noProof/>
        </w:rPr>
      </w:r>
      <w:r>
        <w:rPr>
          <w:noProof/>
        </w:rPr>
        <w:fldChar w:fldCharType="separate"/>
      </w:r>
      <w:r>
        <w:rPr>
          <w:noProof/>
        </w:rPr>
        <w:t>15</w:t>
      </w:r>
      <w:r>
        <w:rPr>
          <w:noProof/>
        </w:rPr>
        <w:fldChar w:fldCharType="end"/>
      </w:r>
    </w:p>
    <w:p w14:paraId="5F2AF5A1" w14:textId="77777777" w:rsidR="004676C3" w:rsidRDefault="004676C3">
      <w:pPr>
        <w:pStyle w:val="TOC4"/>
        <w:tabs>
          <w:tab w:val="right" w:leader="dot" w:pos="9016"/>
        </w:tabs>
        <w:rPr>
          <w:rFonts w:asciiTheme="minorHAnsi" w:eastAsiaTheme="minorEastAsia" w:hAnsiTheme="minorHAnsi" w:cstheme="minorBidi"/>
          <w:noProof/>
          <w:sz w:val="22"/>
          <w:szCs w:val="22"/>
        </w:rPr>
      </w:pPr>
      <w:r w:rsidRPr="003D1632">
        <w:rPr>
          <w:rFonts w:ascii="Arial" w:hAnsi="Arial" w:cs="Arial"/>
          <w:noProof/>
        </w:rPr>
        <w:t>Description</w:t>
      </w:r>
      <w:r>
        <w:rPr>
          <w:noProof/>
        </w:rPr>
        <w:tab/>
      </w:r>
      <w:r>
        <w:rPr>
          <w:noProof/>
        </w:rPr>
        <w:fldChar w:fldCharType="begin"/>
      </w:r>
      <w:r>
        <w:rPr>
          <w:noProof/>
        </w:rPr>
        <w:instrText xml:space="preserve"> PAGEREF _Toc417546772 \h </w:instrText>
      </w:r>
      <w:r>
        <w:rPr>
          <w:noProof/>
        </w:rPr>
      </w:r>
      <w:r>
        <w:rPr>
          <w:noProof/>
        </w:rPr>
        <w:fldChar w:fldCharType="separate"/>
      </w:r>
      <w:r>
        <w:rPr>
          <w:noProof/>
        </w:rPr>
        <w:t>15</w:t>
      </w:r>
      <w:r>
        <w:rPr>
          <w:noProof/>
        </w:rPr>
        <w:fldChar w:fldCharType="end"/>
      </w:r>
    </w:p>
    <w:p w14:paraId="0E1E1B40" w14:textId="77777777" w:rsidR="004676C3" w:rsidRDefault="004676C3">
      <w:pPr>
        <w:pStyle w:val="TOC4"/>
        <w:tabs>
          <w:tab w:val="right" w:leader="dot" w:pos="9016"/>
        </w:tabs>
        <w:rPr>
          <w:rFonts w:asciiTheme="minorHAnsi" w:eastAsiaTheme="minorEastAsia" w:hAnsiTheme="minorHAnsi" w:cstheme="minorBidi"/>
          <w:noProof/>
          <w:sz w:val="22"/>
          <w:szCs w:val="22"/>
        </w:rPr>
      </w:pPr>
      <w:r w:rsidRPr="003D1632">
        <w:rPr>
          <w:rFonts w:ascii="Arial" w:hAnsi="Arial" w:cs="Arial"/>
          <w:noProof/>
        </w:rPr>
        <w:t>Weighting</w:t>
      </w:r>
      <w:r>
        <w:rPr>
          <w:noProof/>
        </w:rPr>
        <w:tab/>
      </w:r>
      <w:r>
        <w:rPr>
          <w:noProof/>
        </w:rPr>
        <w:fldChar w:fldCharType="begin"/>
      </w:r>
      <w:r>
        <w:rPr>
          <w:noProof/>
        </w:rPr>
        <w:instrText xml:space="preserve"> PAGEREF _Toc417546773 \h </w:instrText>
      </w:r>
      <w:r>
        <w:rPr>
          <w:noProof/>
        </w:rPr>
      </w:r>
      <w:r>
        <w:rPr>
          <w:noProof/>
        </w:rPr>
        <w:fldChar w:fldCharType="separate"/>
      </w:r>
      <w:r>
        <w:rPr>
          <w:noProof/>
        </w:rPr>
        <w:t>15</w:t>
      </w:r>
      <w:r>
        <w:rPr>
          <w:noProof/>
        </w:rPr>
        <w:fldChar w:fldCharType="end"/>
      </w:r>
    </w:p>
    <w:p w14:paraId="5EA87550" w14:textId="77777777" w:rsidR="00630A46" w:rsidRPr="00C94BA7" w:rsidRDefault="000744BD" w:rsidP="00014519">
      <w:pPr>
        <w:pStyle w:val="Numbered"/>
        <w:widowControl/>
        <w:rPr>
          <w:rFonts w:cs="Arial"/>
          <w:color w:val="000000"/>
          <w:sz w:val="24"/>
          <w:szCs w:val="24"/>
        </w:rPr>
      </w:pPr>
      <w:r w:rsidRPr="00C94BA7">
        <w:rPr>
          <w:rFonts w:cs="Arial"/>
          <w:color w:val="000000"/>
          <w:sz w:val="24"/>
          <w:szCs w:val="24"/>
        </w:rPr>
        <w:fldChar w:fldCharType="end"/>
      </w:r>
      <w:r w:rsidR="00014519" w:rsidRPr="00C94BA7">
        <w:rPr>
          <w:rFonts w:cs="Arial"/>
          <w:color w:val="000000"/>
          <w:sz w:val="24"/>
          <w:szCs w:val="24"/>
        </w:rPr>
        <w:tab/>
      </w:r>
      <w:r w:rsidR="00014519" w:rsidRPr="00C94BA7">
        <w:rPr>
          <w:rFonts w:cs="Arial"/>
          <w:color w:val="000000"/>
          <w:sz w:val="24"/>
          <w:szCs w:val="24"/>
        </w:rPr>
        <w:tab/>
      </w:r>
    </w:p>
    <w:p w14:paraId="5EA87551" w14:textId="77777777" w:rsidR="00980288" w:rsidRPr="00C94BA7" w:rsidRDefault="00980288" w:rsidP="00842A67">
      <w:pPr>
        <w:pStyle w:val="Numbered"/>
        <w:widowControl/>
        <w:rPr>
          <w:rFonts w:cs="Arial"/>
          <w:bCs/>
          <w:sz w:val="24"/>
          <w:szCs w:val="24"/>
        </w:rPr>
      </w:pPr>
      <w:r w:rsidRPr="00C94BA7">
        <w:rPr>
          <w:rFonts w:cs="Arial"/>
          <w:bCs/>
          <w:sz w:val="24"/>
          <w:szCs w:val="24"/>
        </w:rPr>
        <w:tab/>
      </w:r>
    </w:p>
    <w:p w14:paraId="5EA87552" w14:textId="77777777" w:rsidR="00F80A85" w:rsidRPr="00622E6B" w:rsidRDefault="00B546EF" w:rsidP="00842A67">
      <w:pPr>
        <w:pStyle w:val="Numbered"/>
        <w:widowControl/>
        <w:rPr>
          <w:rFonts w:cs="Arial"/>
          <w:bCs/>
          <w:color w:val="222222"/>
          <w:sz w:val="24"/>
          <w:szCs w:val="24"/>
        </w:rPr>
      </w:pPr>
      <w:r w:rsidRPr="00622E6B">
        <w:rPr>
          <w:rFonts w:cs="Arial"/>
          <w:bCs/>
          <w:color w:val="222222"/>
          <w:sz w:val="24"/>
          <w:szCs w:val="24"/>
        </w:rPr>
        <w:tab/>
      </w:r>
    </w:p>
    <w:p w14:paraId="5EA87553" w14:textId="77777777" w:rsidR="00842A67" w:rsidRPr="00622E6B" w:rsidRDefault="00842A67" w:rsidP="00842A67">
      <w:pPr>
        <w:pStyle w:val="Numbered"/>
        <w:widowControl/>
        <w:rPr>
          <w:rFonts w:cs="Arial"/>
          <w:bCs/>
          <w:color w:val="222222"/>
          <w:sz w:val="24"/>
          <w:szCs w:val="24"/>
        </w:rPr>
      </w:pPr>
    </w:p>
    <w:p w14:paraId="5EA87554" w14:textId="77777777" w:rsidR="00016416" w:rsidRDefault="00096B2D" w:rsidP="00842A67">
      <w:pPr>
        <w:pStyle w:val="Numbered"/>
        <w:widowControl/>
        <w:rPr>
          <w:rFonts w:cs="Arial"/>
          <w:b/>
          <w:bCs/>
          <w:color w:val="222222"/>
        </w:rPr>
      </w:pPr>
      <w:r>
        <w:rPr>
          <w:rFonts w:cs="Arial"/>
          <w:b/>
          <w:bCs/>
          <w:color w:val="222222"/>
        </w:rPr>
        <w:tab/>
      </w:r>
      <w:r>
        <w:rPr>
          <w:rFonts w:cs="Arial"/>
          <w:b/>
          <w:bCs/>
          <w:color w:val="222222"/>
        </w:rPr>
        <w:tab/>
      </w:r>
      <w:r>
        <w:rPr>
          <w:rFonts w:cs="Arial"/>
          <w:b/>
          <w:bCs/>
          <w:color w:val="222222"/>
        </w:rPr>
        <w:tab/>
      </w:r>
    </w:p>
    <w:p w14:paraId="5EA87555" w14:textId="77777777" w:rsidR="00123880" w:rsidRPr="00BB6317" w:rsidRDefault="00FF13A1" w:rsidP="00BB6317">
      <w:pPr>
        <w:pStyle w:val="Norma"/>
        <w:shd w:val="clear" w:color="auto" w:fill="FFFFFF"/>
        <w:spacing w:line="312" w:lineRule="atLeast"/>
        <w:rPr>
          <w:rFonts w:cs="Arial"/>
          <w:b/>
          <w:bCs/>
        </w:rPr>
      </w:pPr>
      <w:r>
        <w:rPr>
          <w:rFonts w:cs="Arial"/>
          <w:b/>
          <w:bCs/>
        </w:rPr>
        <w:tab/>
      </w:r>
    </w:p>
    <w:p w14:paraId="5EA87556" w14:textId="18E52F2C" w:rsidR="00FE1227" w:rsidRDefault="00EB43D8" w:rsidP="00AC0399">
      <w:pPr>
        <w:pStyle w:val="Heading1"/>
        <w:numPr>
          <w:ilvl w:val="0"/>
          <w:numId w:val="1"/>
        </w:numPr>
        <w:rPr>
          <w:rFonts w:ascii="Arial" w:hAnsi="Arial" w:cs="Arial"/>
          <w:sz w:val="24"/>
          <w:szCs w:val="24"/>
        </w:rPr>
      </w:pPr>
      <w:r w:rsidRPr="002D4038">
        <w:br w:type="page"/>
      </w:r>
      <w:bookmarkStart w:id="3" w:name="_Ref357535594"/>
      <w:bookmarkStart w:id="4" w:name="_Ref373505096"/>
      <w:bookmarkStart w:id="5" w:name="_Toc381969506"/>
      <w:bookmarkStart w:id="6" w:name="_Toc405888455"/>
      <w:bookmarkStart w:id="7" w:name="_Toc417546759"/>
      <w:bookmarkStart w:id="8" w:name="SectionTwo"/>
      <w:r w:rsidR="00DC49C2" w:rsidRPr="00C4141B">
        <w:rPr>
          <w:rFonts w:ascii="Arial" w:hAnsi="Arial" w:cs="Arial"/>
          <w:sz w:val="24"/>
          <w:szCs w:val="24"/>
        </w:rPr>
        <w:lastRenderedPageBreak/>
        <w:t>Introduction</w:t>
      </w:r>
      <w:bookmarkEnd w:id="3"/>
      <w:r w:rsidR="00884DF5" w:rsidRPr="00C4141B">
        <w:rPr>
          <w:rFonts w:ascii="Arial" w:hAnsi="Arial" w:cs="Arial"/>
          <w:sz w:val="24"/>
          <w:szCs w:val="24"/>
        </w:rPr>
        <w:t xml:space="preserve"> and</w:t>
      </w:r>
      <w:r w:rsidR="00884DF5" w:rsidRPr="00622E6B">
        <w:rPr>
          <w:rFonts w:ascii="Arial" w:hAnsi="Arial" w:cs="Arial"/>
          <w:sz w:val="24"/>
          <w:szCs w:val="24"/>
        </w:rPr>
        <w:t xml:space="preserve"> summary of requirements</w:t>
      </w:r>
      <w:bookmarkEnd w:id="4"/>
      <w:bookmarkEnd w:id="5"/>
      <w:bookmarkEnd w:id="6"/>
      <w:r w:rsidR="00DD521A">
        <w:rPr>
          <w:rFonts w:ascii="Arial" w:hAnsi="Arial" w:cs="Arial"/>
          <w:sz w:val="24"/>
          <w:szCs w:val="24"/>
        </w:rPr>
        <w:t xml:space="preserve"> / Preamble</w:t>
      </w:r>
      <w:bookmarkEnd w:id="7"/>
    </w:p>
    <w:p w14:paraId="2B4F7458" w14:textId="77777777" w:rsidR="00DD521A" w:rsidRDefault="00DD521A" w:rsidP="00DD521A">
      <w:pPr>
        <w:pStyle w:val="Norma"/>
      </w:pPr>
    </w:p>
    <w:p w14:paraId="777E9B1B" w14:textId="77777777" w:rsidR="00DD521A" w:rsidRDefault="00DD521A" w:rsidP="00DD521A">
      <w:pPr>
        <w:pStyle w:val="Norma"/>
      </w:pPr>
    </w:p>
    <w:p w14:paraId="183BF64A" w14:textId="77777777" w:rsidR="00652AAC" w:rsidRPr="00652AAC" w:rsidRDefault="00DD521A" w:rsidP="00652AAC">
      <w:pPr>
        <w:spacing w:after="200" w:line="276" w:lineRule="auto"/>
        <w:jc w:val="both"/>
        <w:rPr>
          <w:rFonts w:asciiTheme="minorHAnsi" w:eastAsia="Times New Roman" w:hAnsiTheme="minorHAnsi"/>
          <w:sz w:val="22"/>
          <w:szCs w:val="22"/>
          <w:lang w:eastAsia="en-US"/>
        </w:rPr>
      </w:pPr>
      <w:r>
        <w:rPr>
          <w:b/>
          <w:color w:val="C00000"/>
        </w:rPr>
        <w:t xml:space="preserve"> </w:t>
      </w:r>
      <w:r w:rsidR="00652AAC" w:rsidRPr="00652AAC">
        <w:rPr>
          <w:rFonts w:eastAsia="Times New Roman"/>
          <w:sz w:val="22"/>
          <w:szCs w:val="22"/>
          <w:lang w:eastAsia="en-US"/>
        </w:rPr>
        <w:t>The Committee on Climate Change (CCC) was set up as part of the Climate Change Act. The Committee is an independent body tasked with providing advice to government on climate change issues, and particularly the setting of carbon budgets for the UK.</w:t>
      </w:r>
    </w:p>
    <w:p w14:paraId="4F6443C8" w14:textId="77777777" w:rsidR="00652AAC" w:rsidRPr="00652AAC" w:rsidRDefault="00652AAC" w:rsidP="00652AAC">
      <w:pPr>
        <w:jc w:val="both"/>
        <w:rPr>
          <w:rFonts w:eastAsia="Times New Roman"/>
          <w:sz w:val="22"/>
          <w:szCs w:val="22"/>
          <w:lang w:eastAsia="en-US"/>
        </w:rPr>
      </w:pPr>
      <w:r w:rsidRPr="00652AAC">
        <w:rPr>
          <w:rFonts w:eastAsia="Times New Roman"/>
          <w:sz w:val="22"/>
          <w:szCs w:val="22"/>
          <w:lang w:eastAsia="en-US"/>
        </w:rPr>
        <w:t>The CCC will recommend the level of the 5</w:t>
      </w:r>
      <w:r w:rsidRPr="00652AAC">
        <w:rPr>
          <w:rFonts w:eastAsia="Times New Roman"/>
          <w:sz w:val="22"/>
          <w:szCs w:val="22"/>
          <w:vertAlign w:val="superscript"/>
          <w:lang w:eastAsia="en-US"/>
        </w:rPr>
        <w:t>th</w:t>
      </w:r>
      <w:r w:rsidRPr="00652AAC">
        <w:rPr>
          <w:rFonts w:eastAsia="Times New Roman"/>
          <w:sz w:val="22"/>
          <w:szCs w:val="22"/>
          <w:lang w:eastAsia="en-US"/>
        </w:rPr>
        <w:t xml:space="preserve"> carbon budget, covering the period 2028-32, by the end of 2015.</w:t>
      </w:r>
    </w:p>
    <w:p w14:paraId="4F11553E" w14:textId="2EA8AE85" w:rsidR="00DD521A" w:rsidRPr="00DD521A" w:rsidRDefault="00DD521A" w:rsidP="00DD521A">
      <w:pPr>
        <w:pStyle w:val="Norma"/>
        <w:rPr>
          <w:b/>
          <w:color w:val="C00000"/>
        </w:rPr>
      </w:pPr>
    </w:p>
    <w:p w14:paraId="5EA87557" w14:textId="77777777" w:rsidR="00622E6B" w:rsidRPr="00622E6B" w:rsidRDefault="00622E6B" w:rsidP="00622E6B">
      <w:pPr>
        <w:pStyle w:val="Norma"/>
      </w:pPr>
    </w:p>
    <w:p w14:paraId="5EA87558" w14:textId="77777777" w:rsidR="001F4630" w:rsidRDefault="001F4630" w:rsidP="00AC0399">
      <w:pPr>
        <w:pStyle w:val="Heading1"/>
        <w:numPr>
          <w:ilvl w:val="0"/>
          <w:numId w:val="1"/>
        </w:numPr>
        <w:rPr>
          <w:rFonts w:ascii="Arial" w:hAnsi="Arial" w:cs="Arial"/>
          <w:sz w:val="24"/>
          <w:szCs w:val="24"/>
        </w:rPr>
      </w:pPr>
      <w:bookmarkStart w:id="9" w:name="_Ref357535668"/>
      <w:bookmarkStart w:id="10" w:name="_Toc381969507"/>
      <w:bookmarkStart w:id="11" w:name="_Toc405888456"/>
      <w:bookmarkStart w:id="12" w:name="_Toc417546760"/>
      <w:r w:rsidRPr="00C4141B">
        <w:rPr>
          <w:rFonts w:ascii="Arial" w:hAnsi="Arial" w:cs="Arial"/>
          <w:sz w:val="24"/>
          <w:szCs w:val="24"/>
        </w:rPr>
        <w:t>Background</w:t>
      </w:r>
      <w:bookmarkEnd w:id="9"/>
      <w:bookmarkEnd w:id="10"/>
      <w:bookmarkEnd w:id="11"/>
      <w:bookmarkEnd w:id="12"/>
    </w:p>
    <w:p w14:paraId="1A3B8E93" w14:textId="77777777" w:rsidR="00DD521A" w:rsidRDefault="00DD521A" w:rsidP="00DD521A">
      <w:pPr>
        <w:pStyle w:val="Norma"/>
      </w:pPr>
    </w:p>
    <w:p w14:paraId="1AE32FFB" w14:textId="77777777" w:rsidR="00652AAC" w:rsidRPr="004E1DEC" w:rsidRDefault="00652AAC" w:rsidP="00652AAC">
      <w:pPr>
        <w:spacing w:after="200" w:line="276" w:lineRule="auto"/>
        <w:jc w:val="both"/>
        <w:rPr>
          <w:rFonts w:asciiTheme="minorHAnsi" w:hAnsiTheme="minorHAnsi"/>
          <w:b/>
          <w:i/>
          <w:sz w:val="22"/>
          <w:szCs w:val="22"/>
        </w:rPr>
      </w:pPr>
      <w:r w:rsidRPr="004E1DEC">
        <w:rPr>
          <w:rFonts w:asciiTheme="minorHAnsi" w:hAnsiTheme="minorHAnsi"/>
          <w:b/>
          <w:i/>
          <w:sz w:val="22"/>
          <w:szCs w:val="22"/>
        </w:rPr>
        <w:t>The CCC approach to developing scenarios</w:t>
      </w:r>
    </w:p>
    <w:p w14:paraId="18B46DED" w14:textId="77777777" w:rsidR="00652AAC" w:rsidRDefault="00652AAC" w:rsidP="00652AAC">
      <w:pPr>
        <w:spacing w:after="200" w:line="276" w:lineRule="auto"/>
        <w:jc w:val="both"/>
        <w:rPr>
          <w:rFonts w:asciiTheme="minorHAnsi" w:hAnsiTheme="minorHAnsi"/>
          <w:sz w:val="22"/>
          <w:szCs w:val="22"/>
        </w:rPr>
      </w:pPr>
      <w:r w:rsidRPr="009D4172">
        <w:rPr>
          <w:rFonts w:asciiTheme="minorHAnsi" w:hAnsiTheme="minorHAnsi"/>
          <w:sz w:val="22"/>
          <w:szCs w:val="22"/>
        </w:rPr>
        <w:t xml:space="preserve">The CCC’s advice on carbon budgets is based on detailed </w:t>
      </w:r>
      <w:r>
        <w:rPr>
          <w:rFonts w:asciiTheme="minorHAnsi" w:hAnsiTheme="minorHAnsi"/>
          <w:sz w:val="22"/>
          <w:szCs w:val="22"/>
        </w:rPr>
        <w:t>analysis</w:t>
      </w:r>
      <w:r w:rsidRPr="009D4172">
        <w:rPr>
          <w:rFonts w:asciiTheme="minorHAnsi" w:hAnsiTheme="minorHAnsi"/>
          <w:sz w:val="22"/>
          <w:szCs w:val="22"/>
        </w:rPr>
        <w:t xml:space="preserve"> of a range of technologies and behaviours that could </w:t>
      </w:r>
      <w:r>
        <w:rPr>
          <w:rFonts w:asciiTheme="minorHAnsi" w:hAnsiTheme="minorHAnsi"/>
          <w:sz w:val="22"/>
          <w:szCs w:val="22"/>
        </w:rPr>
        <w:t>reduce UK emissions</w:t>
      </w:r>
      <w:r w:rsidRPr="009D4172">
        <w:rPr>
          <w:rFonts w:asciiTheme="minorHAnsi" w:hAnsiTheme="minorHAnsi"/>
          <w:sz w:val="22"/>
          <w:szCs w:val="22"/>
        </w:rPr>
        <w:t xml:space="preserve">. Using that </w:t>
      </w:r>
      <w:r>
        <w:rPr>
          <w:rFonts w:asciiTheme="minorHAnsi" w:hAnsiTheme="minorHAnsi"/>
          <w:sz w:val="22"/>
          <w:szCs w:val="22"/>
        </w:rPr>
        <w:t>analysis</w:t>
      </w:r>
      <w:r w:rsidRPr="009D4172">
        <w:rPr>
          <w:rFonts w:asciiTheme="minorHAnsi" w:hAnsiTheme="minorHAnsi"/>
          <w:sz w:val="22"/>
          <w:szCs w:val="22"/>
        </w:rPr>
        <w:t>, CCC has developed scenarios for deployment of technologies to reduce greenhouse gas emissions to 2020</w:t>
      </w:r>
      <w:r w:rsidRPr="009D4172">
        <w:rPr>
          <w:rStyle w:val="FootnoteReference"/>
          <w:rFonts w:asciiTheme="minorHAnsi" w:hAnsiTheme="minorHAnsi"/>
          <w:sz w:val="22"/>
          <w:szCs w:val="22"/>
        </w:rPr>
        <w:footnoteReference w:id="1"/>
      </w:r>
      <w:r w:rsidRPr="009D4172">
        <w:rPr>
          <w:rFonts w:asciiTheme="minorHAnsi" w:hAnsiTheme="minorHAnsi"/>
          <w:sz w:val="22"/>
          <w:szCs w:val="22"/>
        </w:rPr>
        <w:t>, 2030</w:t>
      </w:r>
      <w:r w:rsidRPr="009D4172">
        <w:rPr>
          <w:rStyle w:val="FootnoteReference"/>
          <w:rFonts w:asciiTheme="minorHAnsi" w:hAnsiTheme="minorHAnsi"/>
          <w:sz w:val="22"/>
          <w:szCs w:val="22"/>
        </w:rPr>
        <w:footnoteReference w:id="2"/>
      </w:r>
      <w:r w:rsidRPr="009D4172">
        <w:rPr>
          <w:rFonts w:asciiTheme="minorHAnsi" w:hAnsiTheme="minorHAnsi"/>
          <w:sz w:val="22"/>
          <w:szCs w:val="22"/>
        </w:rPr>
        <w:t xml:space="preserve"> and to 2050</w:t>
      </w:r>
      <w:r w:rsidRPr="009D4172">
        <w:rPr>
          <w:rStyle w:val="FootnoteReference"/>
          <w:rFonts w:asciiTheme="minorHAnsi" w:hAnsiTheme="minorHAnsi"/>
          <w:sz w:val="22"/>
          <w:szCs w:val="22"/>
        </w:rPr>
        <w:footnoteReference w:id="3"/>
      </w:r>
      <w:r w:rsidRPr="009D4172">
        <w:rPr>
          <w:rFonts w:asciiTheme="minorHAnsi" w:hAnsiTheme="minorHAnsi"/>
          <w:sz w:val="22"/>
          <w:szCs w:val="22"/>
        </w:rPr>
        <w:t>. These are intended to demonstrate possible ways in which carbon budgets and the 2050 target could be met, estimate the economic cost of doing so, and identify barriers to delivery and consid</w:t>
      </w:r>
      <w:r>
        <w:rPr>
          <w:rFonts w:asciiTheme="minorHAnsi" w:hAnsiTheme="minorHAnsi"/>
          <w:sz w:val="22"/>
          <w:szCs w:val="22"/>
        </w:rPr>
        <w:t>er how these could be overcome.</w:t>
      </w:r>
    </w:p>
    <w:p w14:paraId="5CE9EA59" w14:textId="77777777" w:rsidR="00652AAC" w:rsidRPr="009D4172" w:rsidRDefault="00652AAC" w:rsidP="00652AAC">
      <w:pPr>
        <w:spacing w:after="200" w:line="276" w:lineRule="auto"/>
        <w:jc w:val="both"/>
        <w:rPr>
          <w:rFonts w:asciiTheme="minorHAnsi" w:hAnsiTheme="minorHAnsi"/>
          <w:sz w:val="22"/>
          <w:szCs w:val="22"/>
        </w:rPr>
      </w:pPr>
      <w:r>
        <w:rPr>
          <w:rFonts w:asciiTheme="minorHAnsi" w:hAnsiTheme="minorHAnsi"/>
          <w:sz w:val="22"/>
          <w:szCs w:val="22"/>
        </w:rPr>
        <w:t xml:space="preserve">Our central </w:t>
      </w:r>
      <w:r w:rsidRPr="009D4172">
        <w:rPr>
          <w:rFonts w:asciiTheme="minorHAnsi" w:hAnsiTheme="minorHAnsi"/>
          <w:sz w:val="22"/>
          <w:szCs w:val="22"/>
        </w:rPr>
        <w:t xml:space="preserve">scenarios </w:t>
      </w:r>
      <w:r>
        <w:rPr>
          <w:rFonts w:asciiTheme="minorHAnsi" w:hAnsiTheme="minorHAnsi"/>
          <w:sz w:val="22"/>
          <w:szCs w:val="22"/>
        </w:rPr>
        <w:t>include</w:t>
      </w:r>
      <w:r w:rsidRPr="009D4172">
        <w:rPr>
          <w:rFonts w:asciiTheme="minorHAnsi" w:hAnsiTheme="minorHAnsi"/>
          <w:sz w:val="22"/>
          <w:szCs w:val="22"/>
        </w:rPr>
        <w:t>:</w:t>
      </w:r>
    </w:p>
    <w:p w14:paraId="14D03C97" w14:textId="77777777" w:rsidR="00652AAC" w:rsidRPr="009D4172" w:rsidRDefault="00652AAC" w:rsidP="00AC0399">
      <w:pPr>
        <w:numPr>
          <w:ilvl w:val="0"/>
          <w:numId w:val="4"/>
        </w:numPr>
        <w:spacing w:after="200" w:line="276" w:lineRule="auto"/>
        <w:jc w:val="both"/>
        <w:rPr>
          <w:rFonts w:asciiTheme="minorHAnsi" w:hAnsiTheme="minorHAnsi"/>
          <w:sz w:val="22"/>
          <w:szCs w:val="22"/>
        </w:rPr>
      </w:pPr>
      <w:r w:rsidRPr="009D4172">
        <w:rPr>
          <w:rFonts w:asciiTheme="minorHAnsi" w:hAnsiTheme="minorHAnsi"/>
          <w:sz w:val="22"/>
          <w:szCs w:val="22"/>
        </w:rPr>
        <w:t>Decarbonisation of the power sector through deployment of renewables, nuclear and carbon capture and storage (CCS), with the sector largely decarbonised by 2030 (e.g. to around 50-100 gCO</w:t>
      </w:r>
      <w:r w:rsidRPr="004D1DF0">
        <w:rPr>
          <w:rFonts w:asciiTheme="minorHAnsi" w:hAnsiTheme="minorHAnsi"/>
          <w:sz w:val="22"/>
          <w:szCs w:val="22"/>
          <w:vertAlign w:val="subscript"/>
        </w:rPr>
        <w:t>2</w:t>
      </w:r>
      <w:r w:rsidRPr="009D4172">
        <w:rPr>
          <w:rFonts w:asciiTheme="minorHAnsi" w:hAnsiTheme="minorHAnsi"/>
          <w:sz w:val="22"/>
          <w:szCs w:val="22"/>
        </w:rPr>
        <w:t xml:space="preserve">/kWh). Power sector emissions are further reduced through improved efficiency </w:t>
      </w:r>
      <w:r>
        <w:rPr>
          <w:rFonts w:asciiTheme="minorHAnsi" w:hAnsiTheme="minorHAnsi"/>
          <w:sz w:val="22"/>
          <w:szCs w:val="22"/>
        </w:rPr>
        <w:t xml:space="preserve">(e.g. </w:t>
      </w:r>
      <w:r w:rsidRPr="009D4172">
        <w:rPr>
          <w:rFonts w:asciiTheme="minorHAnsi" w:hAnsiTheme="minorHAnsi"/>
          <w:sz w:val="22"/>
          <w:szCs w:val="22"/>
        </w:rPr>
        <w:t>for lights and appliances</w:t>
      </w:r>
      <w:r>
        <w:rPr>
          <w:rFonts w:asciiTheme="minorHAnsi" w:hAnsiTheme="minorHAnsi"/>
          <w:sz w:val="22"/>
          <w:szCs w:val="22"/>
        </w:rPr>
        <w:t>)</w:t>
      </w:r>
      <w:r w:rsidRPr="009D4172">
        <w:rPr>
          <w:rFonts w:asciiTheme="minorHAnsi" w:hAnsiTheme="minorHAnsi"/>
          <w:sz w:val="22"/>
          <w:szCs w:val="22"/>
        </w:rPr>
        <w:t>.</w:t>
      </w:r>
    </w:p>
    <w:p w14:paraId="13B121AF" w14:textId="77777777" w:rsidR="00652AAC" w:rsidRPr="009D4172" w:rsidRDefault="00652AAC" w:rsidP="00AC0399">
      <w:pPr>
        <w:numPr>
          <w:ilvl w:val="0"/>
          <w:numId w:val="4"/>
        </w:numPr>
        <w:spacing w:after="200" w:line="276" w:lineRule="auto"/>
        <w:jc w:val="both"/>
        <w:rPr>
          <w:rFonts w:asciiTheme="minorHAnsi" w:hAnsiTheme="minorHAnsi"/>
          <w:sz w:val="22"/>
          <w:szCs w:val="22"/>
        </w:rPr>
      </w:pPr>
      <w:r w:rsidRPr="009D4172">
        <w:rPr>
          <w:rFonts w:asciiTheme="minorHAnsi" w:hAnsiTheme="minorHAnsi"/>
          <w:sz w:val="22"/>
          <w:szCs w:val="22"/>
        </w:rPr>
        <w:t xml:space="preserve">Deployment of electric and plug-in hybrid cars and vans reaches around </w:t>
      </w:r>
      <w:r>
        <w:rPr>
          <w:rFonts w:asciiTheme="minorHAnsi" w:hAnsiTheme="minorHAnsi"/>
          <w:sz w:val="22"/>
          <w:szCs w:val="22"/>
        </w:rPr>
        <w:t>6</w:t>
      </w:r>
      <w:r w:rsidRPr="009D4172">
        <w:rPr>
          <w:rFonts w:asciiTheme="minorHAnsi" w:hAnsiTheme="minorHAnsi"/>
          <w:sz w:val="22"/>
          <w:szCs w:val="22"/>
        </w:rPr>
        <w:t>0% of new vehicle sales by 2030 (</w:t>
      </w:r>
      <w:r>
        <w:rPr>
          <w:rFonts w:asciiTheme="minorHAnsi" w:hAnsiTheme="minorHAnsi"/>
          <w:sz w:val="22"/>
          <w:szCs w:val="22"/>
        </w:rPr>
        <w:t>3</w:t>
      </w:r>
      <w:r w:rsidRPr="009D4172">
        <w:rPr>
          <w:rFonts w:asciiTheme="minorHAnsi" w:hAnsiTheme="minorHAnsi"/>
          <w:sz w:val="22"/>
          <w:szCs w:val="22"/>
        </w:rPr>
        <w:t xml:space="preserve">0% of </w:t>
      </w:r>
      <w:r>
        <w:rPr>
          <w:rFonts w:asciiTheme="minorHAnsi" w:hAnsiTheme="minorHAnsi"/>
          <w:sz w:val="22"/>
          <w:szCs w:val="22"/>
        </w:rPr>
        <w:t>the stock</w:t>
      </w:r>
      <w:r w:rsidRPr="009D4172">
        <w:rPr>
          <w:rFonts w:asciiTheme="minorHAnsi" w:hAnsiTheme="minorHAnsi"/>
          <w:sz w:val="22"/>
          <w:szCs w:val="22"/>
        </w:rPr>
        <w:t>), with some deployment of hydrogen</w:t>
      </w:r>
      <w:r>
        <w:rPr>
          <w:rFonts w:asciiTheme="minorHAnsi" w:hAnsiTheme="minorHAnsi"/>
          <w:sz w:val="22"/>
          <w:szCs w:val="22"/>
        </w:rPr>
        <w:t>-fuelled heavy-duty vehicles in the 2020s</w:t>
      </w:r>
      <w:r w:rsidRPr="009D4172">
        <w:rPr>
          <w:rFonts w:asciiTheme="minorHAnsi" w:hAnsiTheme="minorHAnsi"/>
          <w:sz w:val="22"/>
          <w:szCs w:val="22"/>
        </w:rPr>
        <w:t>.</w:t>
      </w:r>
    </w:p>
    <w:p w14:paraId="0D65EC3A" w14:textId="77777777" w:rsidR="00652AAC" w:rsidRDefault="00652AAC" w:rsidP="00AC0399">
      <w:pPr>
        <w:numPr>
          <w:ilvl w:val="0"/>
          <w:numId w:val="4"/>
        </w:numPr>
        <w:spacing w:after="200" w:line="276" w:lineRule="auto"/>
        <w:jc w:val="both"/>
        <w:rPr>
          <w:rFonts w:asciiTheme="minorHAnsi" w:hAnsiTheme="minorHAnsi"/>
          <w:sz w:val="22"/>
          <w:szCs w:val="22"/>
        </w:rPr>
      </w:pPr>
      <w:r>
        <w:rPr>
          <w:rFonts w:asciiTheme="minorHAnsi" w:hAnsiTheme="minorHAnsi"/>
          <w:sz w:val="22"/>
          <w:szCs w:val="22"/>
        </w:rPr>
        <w:t>Decarbonisation of heat via heat networks and d</w:t>
      </w:r>
      <w:r w:rsidRPr="009D4172">
        <w:rPr>
          <w:rFonts w:asciiTheme="minorHAnsi" w:hAnsiTheme="minorHAnsi"/>
          <w:sz w:val="22"/>
          <w:szCs w:val="22"/>
        </w:rPr>
        <w:t>eployment of heat pumps in homes</w:t>
      </w:r>
      <w:r>
        <w:rPr>
          <w:rFonts w:asciiTheme="minorHAnsi" w:hAnsiTheme="minorHAnsi"/>
          <w:sz w:val="22"/>
          <w:szCs w:val="22"/>
        </w:rPr>
        <w:t>. Heat pump deployment</w:t>
      </w:r>
      <w:r w:rsidRPr="009D4172">
        <w:rPr>
          <w:rFonts w:asciiTheme="minorHAnsi" w:hAnsiTheme="minorHAnsi"/>
          <w:sz w:val="22"/>
          <w:szCs w:val="22"/>
        </w:rPr>
        <w:t xml:space="preserve"> reaches a cumulative 4 million installations by 2030, covering 13% of homes, with additional deployment in non-residential buildings</w:t>
      </w:r>
      <w:r>
        <w:rPr>
          <w:rFonts w:asciiTheme="minorHAnsi" w:hAnsiTheme="minorHAnsi"/>
          <w:sz w:val="22"/>
          <w:szCs w:val="22"/>
        </w:rPr>
        <w:t>, while heat networks meet 6% of demand by the same date</w:t>
      </w:r>
      <w:r w:rsidRPr="009D4172">
        <w:rPr>
          <w:rFonts w:asciiTheme="minorHAnsi" w:hAnsiTheme="minorHAnsi"/>
          <w:sz w:val="22"/>
          <w:szCs w:val="22"/>
        </w:rPr>
        <w:t>.</w:t>
      </w:r>
    </w:p>
    <w:p w14:paraId="1A2422A6" w14:textId="77777777" w:rsidR="00652AAC" w:rsidRPr="00311061" w:rsidRDefault="00652AAC" w:rsidP="00AC0399">
      <w:pPr>
        <w:numPr>
          <w:ilvl w:val="0"/>
          <w:numId w:val="4"/>
        </w:numPr>
        <w:spacing w:after="200" w:line="276" w:lineRule="auto"/>
        <w:jc w:val="both"/>
        <w:rPr>
          <w:rFonts w:asciiTheme="minorHAnsi" w:hAnsiTheme="minorHAnsi"/>
          <w:sz w:val="22"/>
          <w:szCs w:val="22"/>
        </w:rPr>
      </w:pPr>
      <w:r w:rsidRPr="00311061">
        <w:rPr>
          <w:rFonts w:asciiTheme="minorHAnsi" w:hAnsiTheme="minorHAnsi"/>
          <w:sz w:val="22"/>
          <w:szCs w:val="22"/>
        </w:rPr>
        <w:t>Improvement of energy efficiency in industrial sectors, together with decarbonisation via use of biomass and biogas and the application of CCS.</w:t>
      </w:r>
    </w:p>
    <w:p w14:paraId="7751E8E8" w14:textId="77777777" w:rsidR="00652AAC" w:rsidRPr="009D4172" w:rsidRDefault="00652AAC" w:rsidP="00AC0399">
      <w:pPr>
        <w:numPr>
          <w:ilvl w:val="0"/>
          <w:numId w:val="4"/>
        </w:numPr>
        <w:spacing w:after="200" w:line="276" w:lineRule="auto"/>
        <w:jc w:val="both"/>
        <w:rPr>
          <w:rFonts w:asciiTheme="minorHAnsi" w:hAnsiTheme="minorHAnsi"/>
          <w:sz w:val="22"/>
          <w:szCs w:val="22"/>
        </w:rPr>
      </w:pPr>
      <w:r w:rsidRPr="009D4172">
        <w:rPr>
          <w:rFonts w:asciiTheme="minorHAnsi" w:hAnsiTheme="minorHAnsi"/>
          <w:sz w:val="22"/>
          <w:szCs w:val="22"/>
        </w:rPr>
        <w:lastRenderedPageBreak/>
        <w:t>Other measures to reduce GHG emissions across the transport, buildings, industry, agriculture, waste and other non-CO</w:t>
      </w:r>
      <w:r w:rsidRPr="004D1DF0">
        <w:rPr>
          <w:rFonts w:asciiTheme="minorHAnsi" w:hAnsiTheme="minorHAnsi"/>
          <w:sz w:val="22"/>
          <w:szCs w:val="22"/>
          <w:vertAlign w:val="subscript"/>
        </w:rPr>
        <w:t>2</w:t>
      </w:r>
      <w:r w:rsidRPr="009D4172">
        <w:rPr>
          <w:rFonts w:asciiTheme="minorHAnsi" w:hAnsiTheme="minorHAnsi"/>
          <w:sz w:val="22"/>
          <w:szCs w:val="22"/>
        </w:rPr>
        <w:t xml:space="preserve"> sectors. </w:t>
      </w:r>
    </w:p>
    <w:p w14:paraId="1C610BBD" w14:textId="77777777" w:rsidR="00652AAC" w:rsidRDefault="00652AAC" w:rsidP="00652AAC">
      <w:pPr>
        <w:spacing w:after="200" w:line="276" w:lineRule="auto"/>
        <w:jc w:val="both"/>
        <w:rPr>
          <w:rFonts w:asciiTheme="minorHAnsi" w:hAnsiTheme="minorHAnsi"/>
          <w:sz w:val="22"/>
          <w:szCs w:val="22"/>
        </w:rPr>
      </w:pPr>
      <w:r w:rsidRPr="007E428B">
        <w:rPr>
          <w:rFonts w:asciiTheme="minorHAnsi" w:hAnsiTheme="minorHAnsi"/>
          <w:sz w:val="22"/>
          <w:szCs w:val="22"/>
        </w:rPr>
        <w:t xml:space="preserve">Our </w:t>
      </w:r>
      <w:r>
        <w:rPr>
          <w:rFonts w:asciiTheme="minorHAnsi" w:hAnsiTheme="minorHAnsi"/>
          <w:sz w:val="22"/>
          <w:szCs w:val="22"/>
        </w:rPr>
        <w:t xml:space="preserve">medium-term </w:t>
      </w:r>
      <w:r w:rsidRPr="007E428B">
        <w:rPr>
          <w:rFonts w:asciiTheme="minorHAnsi" w:hAnsiTheme="minorHAnsi"/>
          <w:sz w:val="22"/>
          <w:szCs w:val="22"/>
        </w:rPr>
        <w:t xml:space="preserve">scenarios </w:t>
      </w:r>
      <w:r>
        <w:rPr>
          <w:rFonts w:asciiTheme="minorHAnsi" w:hAnsiTheme="minorHAnsi"/>
          <w:sz w:val="22"/>
          <w:szCs w:val="22"/>
        </w:rPr>
        <w:t xml:space="preserve">(e.g. </w:t>
      </w:r>
      <w:r w:rsidRPr="007E428B">
        <w:rPr>
          <w:rFonts w:asciiTheme="minorHAnsi" w:hAnsiTheme="minorHAnsi"/>
          <w:sz w:val="22"/>
          <w:szCs w:val="22"/>
        </w:rPr>
        <w:t>to 2030</w:t>
      </w:r>
      <w:r>
        <w:rPr>
          <w:rFonts w:asciiTheme="minorHAnsi" w:hAnsiTheme="minorHAnsi"/>
          <w:sz w:val="22"/>
          <w:szCs w:val="22"/>
        </w:rPr>
        <w:t>)</w:t>
      </w:r>
      <w:r w:rsidRPr="007E428B">
        <w:rPr>
          <w:rFonts w:asciiTheme="minorHAnsi" w:hAnsiTheme="minorHAnsi"/>
          <w:sz w:val="22"/>
          <w:szCs w:val="22"/>
        </w:rPr>
        <w:t xml:space="preserve"> </w:t>
      </w:r>
      <w:r>
        <w:rPr>
          <w:rFonts w:asciiTheme="minorHAnsi" w:hAnsiTheme="minorHAnsi"/>
          <w:sz w:val="22"/>
          <w:szCs w:val="22"/>
        </w:rPr>
        <w:t xml:space="preserve">are designed to represent the CCC’s assessment of the least-cost way of reducing emissions on the path to meeting the 2050 target to reduce emissions by at least 80% by 2050. As such, they </w:t>
      </w:r>
      <w:r w:rsidRPr="007E428B">
        <w:rPr>
          <w:rFonts w:asciiTheme="minorHAnsi" w:hAnsiTheme="minorHAnsi"/>
          <w:sz w:val="22"/>
          <w:szCs w:val="22"/>
        </w:rPr>
        <w:t xml:space="preserve">contain both measures that are cost-effective </w:t>
      </w:r>
      <w:r>
        <w:rPr>
          <w:rFonts w:asciiTheme="minorHAnsi" w:hAnsiTheme="minorHAnsi"/>
          <w:sz w:val="22"/>
          <w:szCs w:val="22"/>
        </w:rPr>
        <w:t xml:space="preserve">against projected carbon prices </w:t>
      </w:r>
      <w:r w:rsidRPr="007E428B">
        <w:rPr>
          <w:rFonts w:asciiTheme="minorHAnsi" w:hAnsiTheme="minorHAnsi"/>
          <w:sz w:val="22"/>
          <w:szCs w:val="22"/>
        </w:rPr>
        <w:t>and those required on the path to 2050</w:t>
      </w:r>
      <w:r>
        <w:rPr>
          <w:rFonts w:asciiTheme="minorHAnsi" w:hAnsiTheme="minorHAnsi"/>
          <w:sz w:val="22"/>
          <w:szCs w:val="22"/>
        </w:rPr>
        <w:t xml:space="preserve">. </w:t>
      </w:r>
    </w:p>
    <w:p w14:paraId="520C0416" w14:textId="77777777" w:rsidR="00652AAC" w:rsidRDefault="00652AAC" w:rsidP="00AC0399">
      <w:pPr>
        <w:pStyle w:val="ListParagraph"/>
        <w:numPr>
          <w:ilvl w:val="0"/>
          <w:numId w:val="5"/>
        </w:numPr>
        <w:contextualSpacing w:val="0"/>
        <w:jc w:val="both"/>
        <w:rPr>
          <w:rFonts w:asciiTheme="minorHAnsi" w:hAnsiTheme="minorHAnsi"/>
        </w:rPr>
      </w:pPr>
      <w:r w:rsidRPr="004E1DEC">
        <w:rPr>
          <w:rFonts w:asciiTheme="minorHAnsi" w:hAnsiTheme="minorHAnsi"/>
        </w:rPr>
        <w:t>Examples of cost-effective measures are efficiency improvements across a range of sectors (e.g</w:t>
      </w:r>
      <w:r>
        <w:rPr>
          <w:rFonts w:asciiTheme="minorHAnsi" w:hAnsiTheme="minorHAnsi"/>
        </w:rPr>
        <w:t>. appliances, lighting, vehicles</w:t>
      </w:r>
      <w:r w:rsidRPr="004E1DEC">
        <w:rPr>
          <w:rFonts w:asciiTheme="minorHAnsi" w:hAnsiTheme="minorHAnsi"/>
        </w:rPr>
        <w:t>) or dep</w:t>
      </w:r>
      <w:r>
        <w:rPr>
          <w:rFonts w:asciiTheme="minorHAnsi" w:hAnsiTheme="minorHAnsi"/>
        </w:rPr>
        <w:t>loyment of mature low-carbon power generation (e.g. onshore wind, nuclear).</w:t>
      </w:r>
    </w:p>
    <w:p w14:paraId="3205A333" w14:textId="77777777" w:rsidR="00652AAC" w:rsidRDefault="00652AAC" w:rsidP="00AC0399">
      <w:pPr>
        <w:pStyle w:val="ListParagraph"/>
        <w:numPr>
          <w:ilvl w:val="0"/>
          <w:numId w:val="5"/>
        </w:numPr>
        <w:contextualSpacing w:val="0"/>
        <w:jc w:val="both"/>
        <w:rPr>
          <w:rFonts w:asciiTheme="minorHAnsi" w:hAnsiTheme="minorHAnsi"/>
        </w:rPr>
      </w:pPr>
      <w:r>
        <w:rPr>
          <w:rFonts w:asciiTheme="minorHAnsi" w:hAnsiTheme="minorHAnsi"/>
        </w:rPr>
        <w:t>There are m</w:t>
      </w:r>
      <w:r w:rsidRPr="004E1DEC">
        <w:rPr>
          <w:rFonts w:asciiTheme="minorHAnsi" w:hAnsiTheme="minorHAnsi"/>
        </w:rPr>
        <w:t xml:space="preserve">easures included in our scenarios are required </w:t>
      </w:r>
      <w:r>
        <w:rPr>
          <w:rFonts w:asciiTheme="minorHAnsi" w:hAnsiTheme="minorHAnsi"/>
        </w:rPr>
        <w:t xml:space="preserve">to be on track </w:t>
      </w:r>
      <w:r w:rsidRPr="004E1DEC">
        <w:rPr>
          <w:rFonts w:asciiTheme="minorHAnsi" w:hAnsiTheme="minorHAnsi"/>
        </w:rPr>
        <w:t xml:space="preserve">for 2050, but </w:t>
      </w:r>
      <w:r>
        <w:rPr>
          <w:rFonts w:asciiTheme="minorHAnsi" w:hAnsiTheme="minorHAnsi"/>
        </w:rPr>
        <w:t xml:space="preserve">that </w:t>
      </w:r>
      <w:r w:rsidRPr="004E1DEC">
        <w:rPr>
          <w:rFonts w:asciiTheme="minorHAnsi" w:hAnsiTheme="minorHAnsi"/>
        </w:rPr>
        <w:t>are not necessarily cost-effective at prevailing carbon prices during the 2020s</w:t>
      </w:r>
      <w:r>
        <w:rPr>
          <w:rFonts w:asciiTheme="minorHAnsi" w:hAnsiTheme="minorHAnsi"/>
        </w:rPr>
        <w:t>. These are included at the minimum level consistent with required cost reductions and feasible paths for deployment to the level that may be needed by 2050 (the ‘critical path’ level). Examples of such technologies are offshore wind and carbon capture and storage.</w:t>
      </w:r>
    </w:p>
    <w:p w14:paraId="1D52A1E3" w14:textId="77777777" w:rsidR="00652AAC" w:rsidRDefault="00652AAC" w:rsidP="00AC0399">
      <w:pPr>
        <w:pStyle w:val="ListParagraph"/>
        <w:numPr>
          <w:ilvl w:val="0"/>
          <w:numId w:val="5"/>
        </w:numPr>
        <w:contextualSpacing w:val="0"/>
        <w:jc w:val="both"/>
        <w:rPr>
          <w:rFonts w:asciiTheme="minorHAnsi" w:hAnsiTheme="minorHAnsi"/>
        </w:rPr>
      </w:pPr>
      <w:r>
        <w:rPr>
          <w:rFonts w:asciiTheme="minorHAnsi" w:hAnsiTheme="minorHAnsi"/>
        </w:rPr>
        <w:t>Some technologies become cost-effective during the 2020s, such as electric vehicles and heat pumps. The level of deployment in our scenarios is the greater of the cost-effective and critical path levels of deployment (e.g. for heat pumps, the critical path level of cumulative deployment by 2030 is 2.5 million, while the cost-effective level is 4 million – the latter is the built into our central scenario).</w:t>
      </w:r>
    </w:p>
    <w:p w14:paraId="06194A73" w14:textId="77777777" w:rsidR="00652AAC" w:rsidRDefault="00652AAC" w:rsidP="00652AAC">
      <w:pPr>
        <w:spacing w:after="200" w:line="276" w:lineRule="auto"/>
        <w:jc w:val="both"/>
        <w:rPr>
          <w:rFonts w:asciiTheme="minorHAnsi" w:hAnsiTheme="minorHAnsi"/>
          <w:sz w:val="22"/>
          <w:szCs w:val="22"/>
        </w:rPr>
      </w:pPr>
      <w:r>
        <w:rPr>
          <w:rFonts w:asciiTheme="minorHAnsi" w:hAnsiTheme="minorHAnsi"/>
          <w:sz w:val="22"/>
          <w:szCs w:val="22"/>
        </w:rPr>
        <w:t>When considering the level of technology deployment that may be required by 2050, we consider a range of 2050 scenarios rather than a single one. This keeps in play a range of ways to meet the 2050 target, thus avoiding being overly prescriptive while also managing risks, given the range of uncertainties regarding the appropriate path to 2050.</w:t>
      </w:r>
    </w:p>
    <w:p w14:paraId="1349CE1C" w14:textId="77777777" w:rsidR="00652AAC" w:rsidRPr="00164F6F" w:rsidRDefault="00652AAC" w:rsidP="00652AAC">
      <w:pPr>
        <w:spacing w:after="200" w:line="276" w:lineRule="auto"/>
        <w:jc w:val="both"/>
        <w:rPr>
          <w:rFonts w:asciiTheme="minorHAnsi" w:hAnsiTheme="minorHAnsi"/>
          <w:sz w:val="22"/>
          <w:szCs w:val="22"/>
        </w:rPr>
      </w:pPr>
      <w:r>
        <w:rPr>
          <w:rFonts w:asciiTheme="minorHAnsi" w:hAnsiTheme="minorHAnsi"/>
          <w:sz w:val="22"/>
          <w:szCs w:val="22"/>
        </w:rPr>
        <w:t xml:space="preserve">The range of 2050 scenarios tends to be based on those set out in our report </w:t>
      </w:r>
      <w:r>
        <w:rPr>
          <w:rFonts w:asciiTheme="minorHAnsi" w:hAnsiTheme="minorHAnsi"/>
          <w:i/>
          <w:sz w:val="22"/>
          <w:szCs w:val="22"/>
        </w:rPr>
        <w:t>The 2050 Target</w:t>
      </w:r>
      <w:r w:rsidRPr="009D4172">
        <w:rPr>
          <w:rStyle w:val="FootnoteReference"/>
          <w:rFonts w:asciiTheme="minorHAnsi" w:hAnsiTheme="minorHAnsi"/>
          <w:sz w:val="22"/>
          <w:szCs w:val="22"/>
        </w:rPr>
        <w:footnoteReference w:id="4"/>
      </w:r>
      <w:r>
        <w:rPr>
          <w:rFonts w:asciiTheme="minorHAnsi" w:hAnsiTheme="minorHAnsi"/>
          <w:sz w:val="22"/>
          <w:szCs w:val="22"/>
        </w:rPr>
        <w:t xml:space="preserve">, which accompanied our 2012 advice on inclusion of international aviation and shipping in carbon budgets. However, we keep these under review, and are happy to use alternative scenarios where this is appropriate. </w:t>
      </w:r>
    </w:p>
    <w:p w14:paraId="1174C1B8" w14:textId="77777777" w:rsidR="00652AAC" w:rsidRPr="004E1DEC" w:rsidRDefault="00652AAC" w:rsidP="00652AAC">
      <w:pPr>
        <w:keepNext/>
        <w:spacing w:after="200" w:line="276" w:lineRule="auto"/>
        <w:jc w:val="both"/>
        <w:rPr>
          <w:rFonts w:asciiTheme="minorHAnsi" w:hAnsiTheme="minorHAnsi"/>
          <w:b/>
          <w:i/>
          <w:sz w:val="22"/>
          <w:szCs w:val="22"/>
        </w:rPr>
      </w:pPr>
      <w:r>
        <w:rPr>
          <w:rFonts w:asciiTheme="minorHAnsi" w:hAnsiTheme="minorHAnsi"/>
          <w:b/>
          <w:i/>
          <w:sz w:val="22"/>
          <w:szCs w:val="22"/>
        </w:rPr>
        <w:t>How hydrogen has featured in our published scenarios to 2030 and 2050</w:t>
      </w:r>
    </w:p>
    <w:p w14:paraId="47387680" w14:textId="77777777" w:rsidR="00652AAC" w:rsidRPr="005A519F" w:rsidRDefault="00652AAC" w:rsidP="00652AAC">
      <w:pPr>
        <w:spacing w:after="200" w:line="276" w:lineRule="auto"/>
        <w:jc w:val="both"/>
        <w:rPr>
          <w:rFonts w:asciiTheme="minorHAnsi" w:hAnsiTheme="minorHAnsi"/>
          <w:b/>
          <w:sz w:val="22"/>
          <w:szCs w:val="22"/>
        </w:rPr>
      </w:pPr>
      <w:r w:rsidRPr="005A519F">
        <w:rPr>
          <w:rFonts w:asciiTheme="minorHAnsi" w:hAnsiTheme="minorHAnsi"/>
          <w:b/>
          <w:sz w:val="22"/>
          <w:szCs w:val="22"/>
        </w:rPr>
        <w:t>Transport</w:t>
      </w:r>
    </w:p>
    <w:p w14:paraId="5C26F15A" w14:textId="77777777" w:rsidR="00652AAC" w:rsidRPr="00DF1F3E" w:rsidRDefault="00652AAC" w:rsidP="00652AAC">
      <w:pPr>
        <w:spacing w:after="200" w:line="276" w:lineRule="auto"/>
        <w:jc w:val="both"/>
        <w:rPr>
          <w:rFonts w:asciiTheme="minorHAnsi" w:hAnsiTheme="minorHAnsi"/>
          <w:sz w:val="22"/>
          <w:szCs w:val="22"/>
        </w:rPr>
      </w:pPr>
      <w:r w:rsidRPr="00DF1F3E">
        <w:rPr>
          <w:rFonts w:asciiTheme="minorHAnsi" w:hAnsiTheme="minorHAnsi"/>
          <w:sz w:val="22"/>
          <w:szCs w:val="22"/>
        </w:rPr>
        <w:t>In our 4</w:t>
      </w:r>
      <w:r w:rsidRPr="00DF1F3E">
        <w:rPr>
          <w:rFonts w:asciiTheme="minorHAnsi" w:hAnsiTheme="minorHAnsi"/>
          <w:sz w:val="22"/>
          <w:szCs w:val="22"/>
          <w:vertAlign w:val="superscript"/>
        </w:rPr>
        <w:t>th</w:t>
      </w:r>
      <w:r w:rsidRPr="00DF1F3E">
        <w:rPr>
          <w:rFonts w:asciiTheme="minorHAnsi" w:hAnsiTheme="minorHAnsi"/>
          <w:sz w:val="22"/>
          <w:szCs w:val="22"/>
        </w:rPr>
        <w:t xml:space="preserve"> Carbon Budget Review, we assessed the potential future costs and possible uptake of hydrogen fuel cell light duty vehicles (LDVs - cars and vans) and heavy duty vehicles (HDVs - buses and HGVs) to 2030.</w:t>
      </w:r>
    </w:p>
    <w:p w14:paraId="5D05F644" w14:textId="77777777" w:rsidR="00652AAC" w:rsidRDefault="00652AAC" w:rsidP="00652AAC">
      <w:pPr>
        <w:spacing w:after="200" w:line="276" w:lineRule="auto"/>
        <w:jc w:val="both"/>
        <w:rPr>
          <w:rFonts w:asciiTheme="minorHAnsi" w:hAnsiTheme="minorHAnsi"/>
          <w:sz w:val="22"/>
          <w:szCs w:val="22"/>
        </w:rPr>
      </w:pPr>
      <w:r w:rsidRPr="00DF1F3E">
        <w:rPr>
          <w:rFonts w:asciiTheme="minorHAnsi" w:hAnsiTheme="minorHAnsi"/>
          <w:sz w:val="22"/>
          <w:szCs w:val="22"/>
        </w:rPr>
        <w:t xml:space="preserve">A number of studies </w:t>
      </w:r>
      <w:r>
        <w:rPr>
          <w:rFonts w:asciiTheme="minorHAnsi" w:hAnsiTheme="minorHAnsi"/>
          <w:sz w:val="22"/>
          <w:szCs w:val="22"/>
        </w:rPr>
        <w:t xml:space="preserve">have </w:t>
      </w:r>
      <w:r w:rsidRPr="00DF1F3E">
        <w:rPr>
          <w:rFonts w:asciiTheme="minorHAnsi" w:hAnsiTheme="minorHAnsi"/>
          <w:sz w:val="22"/>
          <w:szCs w:val="22"/>
        </w:rPr>
        <w:t>suggested that hydrogen could feasibly make up around 10% of car and van sales by 2030</w:t>
      </w:r>
      <w:r w:rsidRPr="00DF1F3E">
        <w:rPr>
          <w:rStyle w:val="FootnoteReference"/>
          <w:rFonts w:asciiTheme="minorHAnsi" w:hAnsiTheme="minorHAnsi"/>
          <w:sz w:val="22"/>
          <w:szCs w:val="22"/>
        </w:rPr>
        <w:footnoteReference w:id="5"/>
      </w:r>
      <w:r w:rsidRPr="00DF1F3E">
        <w:rPr>
          <w:rFonts w:asciiTheme="minorHAnsi" w:hAnsiTheme="minorHAnsi"/>
          <w:sz w:val="22"/>
          <w:szCs w:val="22"/>
          <w:vertAlign w:val="superscript"/>
        </w:rPr>
        <w:t>,</w:t>
      </w:r>
      <w:r w:rsidRPr="00DF1F3E">
        <w:rPr>
          <w:rStyle w:val="FootnoteReference"/>
          <w:rFonts w:asciiTheme="minorHAnsi" w:hAnsiTheme="minorHAnsi"/>
          <w:sz w:val="22"/>
          <w:szCs w:val="22"/>
        </w:rPr>
        <w:footnoteReference w:id="6"/>
      </w:r>
      <w:r w:rsidRPr="00DF1F3E">
        <w:rPr>
          <w:rFonts w:asciiTheme="minorHAnsi" w:hAnsiTheme="minorHAnsi"/>
          <w:sz w:val="22"/>
          <w:szCs w:val="22"/>
          <w:vertAlign w:val="superscript"/>
        </w:rPr>
        <w:t>,</w:t>
      </w:r>
      <w:r w:rsidRPr="00DF1F3E">
        <w:rPr>
          <w:rStyle w:val="FootnoteReference"/>
          <w:rFonts w:asciiTheme="minorHAnsi" w:hAnsiTheme="minorHAnsi"/>
          <w:sz w:val="22"/>
          <w:szCs w:val="22"/>
        </w:rPr>
        <w:footnoteReference w:id="7"/>
      </w:r>
      <w:r w:rsidRPr="00DF1F3E">
        <w:rPr>
          <w:rFonts w:asciiTheme="minorHAnsi" w:hAnsiTheme="minorHAnsi"/>
          <w:sz w:val="22"/>
          <w:szCs w:val="22"/>
        </w:rPr>
        <w:t xml:space="preserve">, as part of a wider target of 60% of new car and van sales being Ultra-Low </w:t>
      </w:r>
      <w:r w:rsidRPr="00DF1F3E">
        <w:rPr>
          <w:rFonts w:asciiTheme="minorHAnsi" w:hAnsiTheme="minorHAnsi"/>
          <w:sz w:val="22"/>
          <w:szCs w:val="22"/>
        </w:rPr>
        <w:lastRenderedPageBreak/>
        <w:t>Emission Vehicles (ULEVs). However, in the near term, hydrogen LDVs do not appear to be as promising a mass market proposition as plug-in electric vehicles, partly due to higher purchase prices and also because of the challenges relating to</w:t>
      </w:r>
      <w:r>
        <w:rPr>
          <w:rFonts w:asciiTheme="minorHAnsi" w:hAnsiTheme="minorHAnsi"/>
          <w:sz w:val="22"/>
          <w:szCs w:val="22"/>
        </w:rPr>
        <w:t xml:space="preserve"> development of fuelling infrastructure and of </w:t>
      </w:r>
      <w:r w:rsidRPr="00DF1F3E">
        <w:rPr>
          <w:rFonts w:asciiTheme="minorHAnsi" w:hAnsiTheme="minorHAnsi"/>
          <w:sz w:val="22"/>
          <w:szCs w:val="22"/>
        </w:rPr>
        <w:t xml:space="preserve">a full-scale </w:t>
      </w:r>
      <w:r>
        <w:rPr>
          <w:rFonts w:asciiTheme="minorHAnsi" w:hAnsiTheme="minorHAnsi"/>
          <w:sz w:val="22"/>
          <w:szCs w:val="22"/>
        </w:rPr>
        <w:t xml:space="preserve">supply </w:t>
      </w:r>
      <w:r w:rsidRPr="00DF1F3E">
        <w:rPr>
          <w:rFonts w:asciiTheme="minorHAnsi" w:hAnsiTheme="minorHAnsi"/>
          <w:sz w:val="22"/>
          <w:szCs w:val="22"/>
        </w:rPr>
        <w:t xml:space="preserve">infrastructure for low-carbon </w:t>
      </w:r>
      <w:r>
        <w:rPr>
          <w:rFonts w:asciiTheme="minorHAnsi" w:hAnsiTheme="minorHAnsi"/>
          <w:sz w:val="22"/>
          <w:szCs w:val="22"/>
        </w:rPr>
        <w:t>hydrogen</w:t>
      </w:r>
      <w:r w:rsidRPr="00DF1F3E">
        <w:rPr>
          <w:rFonts w:asciiTheme="minorHAnsi" w:hAnsiTheme="minorHAnsi"/>
          <w:sz w:val="22"/>
          <w:szCs w:val="22"/>
        </w:rPr>
        <w:t>.</w:t>
      </w:r>
    </w:p>
    <w:p w14:paraId="48C5701C" w14:textId="77777777" w:rsidR="00652AAC" w:rsidRPr="00DF1F3E" w:rsidRDefault="00652AAC" w:rsidP="00652AAC">
      <w:pPr>
        <w:spacing w:after="200" w:line="276" w:lineRule="auto"/>
        <w:jc w:val="both"/>
        <w:rPr>
          <w:rFonts w:asciiTheme="minorHAnsi" w:hAnsiTheme="minorHAnsi"/>
          <w:sz w:val="22"/>
          <w:szCs w:val="22"/>
        </w:rPr>
      </w:pPr>
      <w:r w:rsidRPr="00DF1F3E">
        <w:rPr>
          <w:rFonts w:asciiTheme="minorHAnsi" w:hAnsiTheme="minorHAnsi"/>
          <w:sz w:val="22"/>
          <w:szCs w:val="22"/>
        </w:rPr>
        <w:t>We therefore chose not to include hydrogen fuel cell LDVs in our central scenario but noted that it could be important to keep the option open for the longer term</w:t>
      </w:r>
      <w:r>
        <w:rPr>
          <w:rFonts w:asciiTheme="minorHAnsi" w:hAnsiTheme="minorHAnsi"/>
          <w:sz w:val="22"/>
          <w:szCs w:val="22"/>
        </w:rPr>
        <w:t>, both</w:t>
      </w:r>
      <w:r w:rsidRPr="00DF1F3E">
        <w:rPr>
          <w:rFonts w:asciiTheme="minorHAnsi" w:hAnsiTheme="minorHAnsi"/>
          <w:sz w:val="22"/>
          <w:szCs w:val="22"/>
        </w:rPr>
        <w:t xml:space="preserve"> for more demanding duty cycles where even longer-range electric vehicles may not be suitable and for new car buyers without access to off-street parking and hence readily available overnight charging.</w:t>
      </w:r>
      <w:r>
        <w:rPr>
          <w:rFonts w:asciiTheme="minorHAnsi" w:hAnsiTheme="minorHAnsi"/>
          <w:sz w:val="22"/>
          <w:szCs w:val="22"/>
        </w:rPr>
        <w:t xml:space="preserve"> More generally, if plug-in vehicles do not turn out to be accepted by consumers, hydrogen offers an alternative for mass-market deployment.</w:t>
      </w:r>
    </w:p>
    <w:p w14:paraId="596AC11B" w14:textId="77777777" w:rsidR="00652AAC" w:rsidRDefault="00652AAC" w:rsidP="00652AAC">
      <w:pPr>
        <w:spacing w:after="200" w:line="276" w:lineRule="auto"/>
        <w:jc w:val="both"/>
        <w:rPr>
          <w:rFonts w:asciiTheme="minorHAnsi" w:hAnsiTheme="minorHAnsi"/>
          <w:sz w:val="22"/>
          <w:szCs w:val="22"/>
        </w:rPr>
      </w:pPr>
      <w:r w:rsidRPr="00DF1F3E">
        <w:rPr>
          <w:rFonts w:asciiTheme="minorHAnsi" w:hAnsiTheme="minorHAnsi"/>
          <w:sz w:val="22"/>
          <w:szCs w:val="22"/>
        </w:rPr>
        <w:t>The 4</w:t>
      </w:r>
      <w:r w:rsidRPr="00DF1F3E">
        <w:rPr>
          <w:rFonts w:asciiTheme="minorHAnsi" w:hAnsiTheme="minorHAnsi"/>
          <w:sz w:val="22"/>
          <w:szCs w:val="22"/>
          <w:vertAlign w:val="superscript"/>
        </w:rPr>
        <w:t>th</w:t>
      </w:r>
      <w:r w:rsidRPr="00DF1F3E">
        <w:rPr>
          <w:rFonts w:asciiTheme="minorHAnsi" w:hAnsiTheme="minorHAnsi"/>
          <w:sz w:val="22"/>
          <w:szCs w:val="22"/>
        </w:rPr>
        <w:t xml:space="preserve"> Carbon Budget Review also recognised the potential in the longer term for hydrogen to reduce emissions from buses and HGVs, where battery electric vehicles may be unsuitable (e.g. due to size, weight and cost of the battery required), and if current challenges can be overcome (e.g. around hydrogen storage technology). To meet the 2050 decarbonisation target, our central scenario assumed that 50% of new bus sales would by hydrogen fuelled by 2030, rising to 100% by 2040. For HGVs we assumed that the share of hydrogen fuel cell vehicles would begin to grow in 2030, increasing rapidly to 100% of new sales by 2040.</w:t>
      </w:r>
    </w:p>
    <w:p w14:paraId="6F7F07F7" w14:textId="77777777" w:rsidR="00652AAC" w:rsidRDefault="00652AAC" w:rsidP="00652AAC">
      <w:pPr>
        <w:spacing w:after="200" w:line="276" w:lineRule="auto"/>
        <w:jc w:val="both"/>
        <w:rPr>
          <w:rFonts w:asciiTheme="minorHAnsi" w:hAnsiTheme="minorHAnsi"/>
          <w:sz w:val="22"/>
          <w:szCs w:val="22"/>
        </w:rPr>
      </w:pPr>
      <w:r>
        <w:rPr>
          <w:rFonts w:asciiTheme="minorHAnsi" w:hAnsiTheme="minorHAnsi"/>
          <w:b/>
          <w:sz w:val="22"/>
          <w:szCs w:val="22"/>
        </w:rPr>
        <w:t>Power</w:t>
      </w:r>
    </w:p>
    <w:p w14:paraId="776182CB" w14:textId="77777777" w:rsidR="00652AAC" w:rsidRDefault="00652AAC" w:rsidP="00652AAC">
      <w:pPr>
        <w:spacing w:after="200" w:line="276" w:lineRule="auto"/>
        <w:jc w:val="both"/>
        <w:rPr>
          <w:rFonts w:asciiTheme="minorHAnsi" w:hAnsiTheme="minorHAnsi"/>
          <w:sz w:val="22"/>
          <w:szCs w:val="22"/>
        </w:rPr>
      </w:pPr>
      <w:r>
        <w:rPr>
          <w:rFonts w:asciiTheme="minorHAnsi" w:hAnsiTheme="minorHAnsi"/>
          <w:sz w:val="22"/>
          <w:szCs w:val="22"/>
        </w:rPr>
        <w:t>Our scenarios for power sector decarbonisation to 2030 each include at least 6 GW of carbon capture and storage (CCS) stations, in order to drive the commercialisation of that set of technologies. While we are not explicit about the balance within this of technology types (i.e. pre-combustion vs. post-combustion vs. oxy-fuel), we have recognised the value of pre-combustion CCS in assisting in development of hydrogen options.</w:t>
      </w:r>
    </w:p>
    <w:p w14:paraId="72E38D85" w14:textId="77777777" w:rsidR="00652AAC" w:rsidRPr="00A06DC7" w:rsidRDefault="00652AAC" w:rsidP="00652AAC">
      <w:pPr>
        <w:spacing w:after="200" w:line="276" w:lineRule="auto"/>
        <w:jc w:val="both"/>
        <w:rPr>
          <w:rFonts w:asciiTheme="minorHAnsi" w:hAnsiTheme="minorHAnsi"/>
          <w:sz w:val="22"/>
          <w:szCs w:val="22"/>
        </w:rPr>
      </w:pPr>
      <w:r>
        <w:rPr>
          <w:rFonts w:asciiTheme="minorHAnsi" w:hAnsiTheme="minorHAnsi"/>
          <w:sz w:val="22"/>
          <w:szCs w:val="22"/>
        </w:rPr>
        <w:t>On the 2050 timescale, our 2012 scenarios included the potential for hydrogen turbines to provide a low-carbon option to displace high-carbon peaking plants. We also recognise the potential for hydrogen to provide seasonal storage in order to manage the seasonality of UK energy demand, although we have not included this in our scenarios to date.</w:t>
      </w:r>
    </w:p>
    <w:p w14:paraId="1EB91730" w14:textId="77777777" w:rsidR="00652AAC" w:rsidRPr="00A06DC7" w:rsidRDefault="00652AAC" w:rsidP="00652AAC">
      <w:pPr>
        <w:spacing w:after="200" w:line="276" w:lineRule="auto"/>
        <w:jc w:val="both"/>
        <w:rPr>
          <w:rFonts w:asciiTheme="minorHAnsi" w:hAnsiTheme="minorHAnsi"/>
          <w:b/>
          <w:sz w:val="22"/>
          <w:szCs w:val="22"/>
        </w:rPr>
      </w:pPr>
      <w:r w:rsidRPr="00A06DC7">
        <w:rPr>
          <w:rFonts w:asciiTheme="minorHAnsi" w:hAnsiTheme="minorHAnsi"/>
          <w:b/>
          <w:sz w:val="22"/>
          <w:szCs w:val="22"/>
        </w:rPr>
        <w:t>Industry</w:t>
      </w:r>
    </w:p>
    <w:p w14:paraId="3DBB4742" w14:textId="77777777" w:rsidR="00652AAC" w:rsidRDefault="00652AAC" w:rsidP="00652AAC">
      <w:pPr>
        <w:spacing w:after="200" w:line="276" w:lineRule="auto"/>
        <w:jc w:val="both"/>
        <w:rPr>
          <w:rFonts w:asciiTheme="minorHAnsi" w:hAnsiTheme="minorHAnsi"/>
          <w:sz w:val="22"/>
          <w:szCs w:val="22"/>
        </w:rPr>
      </w:pPr>
      <w:r>
        <w:rPr>
          <w:rFonts w:asciiTheme="minorHAnsi" w:hAnsiTheme="minorHAnsi"/>
          <w:sz w:val="22"/>
          <w:szCs w:val="22"/>
        </w:rPr>
        <w:t>Our scenarios to 2030 do not contain any use of hydrogen to decarbonise industry, but various pieces of analysis have identified a potentially significant contribution it could make to meeting the 2050 target</w:t>
      </w:r>
      <w:r>
        <w:rPr>
          <w:rStyle w:val="FootnoteReference"/>
          <w:rFonts w:asciiTheme="minorHAnsi" w:hAnsiTheme="minorHAnsi"/>
          <w:sz w:val="22"/>
          <w:szCs w:val="22"/>
        </w:rPr>
        <w:footnoteReference w:id="8"/>
      </w:r>
      <w:r w:rsidRPr="00A06DC7">
        <w:rPr>
          <w:rFonts w:asciiTheme="minorHAnsi" w:hAnsiTheme="minorHAnsi"/>
          <w:sz w:val="22"/>
          <w:szCs w:val="22"/>
          <w:vertAlign w:val="superscript"/>
        </w:rPr>
        <w:t>,</w:t>
      </w:r>
      <w:r>
        <w:rPr>
          <w:rStyle w:val="FootnoteReference"/>
          <w:rFonts w:asciiTheme="minorHAnsi" w:hAnsiTheme="minorHAnsi"/>
          <w:sz w:val="22"/>
          <w:szCs w:val="22"/>
        </w:rPr>
        <w:footnoteReference w:id="9"/>
      </w:r>
      <w:r w:rsidRPr="00A06DC7">
        <w:rPr>
          <w:rFonts w:asciiTheme="minorHAnsi" w:hAnsiTheme="minorHAnsi"/>
          <w:sz w:val="22"/>
          <w:szCs w:val="22"/>
          <w:vertAlign w:val="superscript"/>
        </w:rPr>
        <w:t>,</w:t>
      </w:r>
      <w:r>
        <w:rPr>
          <w:rStyle w:val="FootnoteReference"/>
          <w:rFonts w:asciiTheme="minorHAnsi" w:hAnsiTheme="minorHAnsi"/>
          <w:sz w:val="22"/>
          <w:szCs w:val="22"/>
        </w:rPr>
        <w:footnoteReference w:id="10"/>
      </w:r>
      <w:r>
        <w:rPr>
          <w:rFonts w:asciiTheme="minorHAnsi" w:hAnsiTheme="minorHAnsi"/>
          <w:sz w:val="22"/>
          <w:szCs w:val="22"/>
        </w:rPr>
        <w:t>.</w:t>
      </w:r>
    </w:p>
    <w:p w14:paraId="54A97901" w14:textId="77777777" w:rsidR="00652AAC" w:rsidRDefault="00652AAC" w:rsidP="00652AAC">
      <w:pPr>
        <w:spacing w:after="200" w:line="276" w:lineRule="auto"/>
        <w:jc w:val="both"/>
        <w:rPr>
          <w:rFonts w:asciiTheme="minorHAnsi" w:hAnsiTheme="minorHAnsi"/>
          <w:sz w:val="22"/>
          <w:szCs w:val="22"/>
        </w:rPr>
      </w:pPr>
      <w:r>
        <w:rPr>
          <w:rFonts w:asciiTheme="minorHAnsi" w:hAnsiTheme="minorHAnsi"/>
          <w:sz w:val="22"/>
          <w:szCs w:val="22"/>
        </w:rPr>
        <w:lastRenderedPageBreak/>
        <w:t>The extent to which it can contribute to decarbonisation of industry depends on the supply of relatively low-cost hydrogen to industrial installations. We have hitherto assumed that this would necessitate the use of pre-combustion CCS, located relatively close to industrial clusters.</w:t>
      </w:r>
    </w:p>
    <w:p w14:paraId="049406E4" w14:textId="77777777" w:rsidR="00652AAC" w:rsidRDefault="00652AAC" w:rsidP="00652AAC">
      <w:pPr>
        <w:spacing w:after="200" w:line="276" w:lineRule="auto"/>
        <w:jc w:val="both"/>
        <w:rPr>
          <w:rFonts w:asciiTheme="minorHAnsi" w:hAnsiTheme="minorHAnsi"/>
          <w:sz w:val="22"/>
          <w:szCs w:val="22"/>
        </w:rPr>
      </w:pPr>
      <w:r>
        <w:rPr>
          <w:rFonts w:asciiTheme="minorHAnsi" w:hAnsiTheme="minorHAnsi"/>
          <w:sz w:val="22"/>
          <w:szCs w:val="22"/>
        </w:rPr>
        <w:t>Our economy-wide scenarios include the development of CCS plants in the power sector, together with some capture on industrial installations to 2030. However, they do not explicitly involve hydrogen production on the back of these developments, though clearly this would be possible.</w:t>
      </w:r>
    </w:p>
    <w:p w14:paraId="3DD8FF0B" w14:textId="77777777" w:rsidR="00652AAC" w:rsidRPr="00A06DC7" w:rsidRDefault="00652AAC" w:rsidP="00652AAC">
      <w:pPr>
        <w:spacing w:after="200" w:line="276" w:lineRule="auto"/>
        <w:jc w:val="both"/>
        <w:rPr>
          <w:rFonts w:asciiTheme="minorHAnsi" w:hAnsiTheme="minorHAnsi"/>
          <w:b/>
          <w:sz w:val="22"/>
          <w:szCs w:val="22"/>
        </w:rPr>
      </w:pPr>
      <w:r w:rsidRPr="00A06DC7">
        <w:rPr>
          <w:rFonts w:asciiTheme="minorHAnsi" w:hAnsiTheme="minorHAnsi"/>
          <w:b/>
          <w:sz w:val="22"/>
          <w:szCs w:val="22"/>
        </w:rPr>
        <w:t>Heat for buildings</w:t>
      </w:r>
    </w:p>
    <w:p w14:paraId="48BD14E6" w14:textId="77777777" w:rsidR="00652AAC" w:rsidRDefault="00652AAC" w:rsidP="00652AAC">
      <w:pPr>
        <w:spacing w:after="200" w:line="276" w:lineRule="auto"/>
        <w:jc w:val="both"/>
        <w:rPr>
          <w:rFonts w:asciiTheme="minorHAnsi" w:hAnsiTheme="minorHAnsi"/>
          <w:sz w:val="22"/>
          <w:szCs w:val="22"/>
        </w:rPr>
      </w:pPr>
      <w:r>
        <w:rPr>
          <w:rFonts w:asciiTheme="minorHAnsi" w:hAnsiTheme="minorHAnsi"/>
          <w:sz w:val="22"/>
          <w:szCs w:val="22"/>
        </w:rPr>
        <w:t>Our scenarios for 2030 and 2050 do not contain any contribution from hydrogen in supplying heat for buildings.</w:t>
      </w:r>
    </w:p>
    <w:p w14:paraId="18D79579" w14:textId="77777777" w:rsidR="00652AAC" w:rsidRDefault="00652AAC" w:rsidP="00652AAC">
      <w:pPr>
        <w:spacing w:after="200" w:line="276" w:lineRule="auto"/>
        <w:jc w:val="both"/>
        <w:rPr>
          <w:rFonts w:asciiTheme="minorHAnsi" w:hAnsiTheme="minorHAnsi"/>
          <w:sz w:val="22"/>
          <w:szCs w:val="22"/>
        </w:rPr>
      </w:pPr>
    </w:p>
    <w:p w14:paraId="218DF53C" w14:textId="77777777" w:rsidR="00652AAC" w:rsidRPr="006969FD" w:rsidRDefault="00652AAC" w:rsidP="00652AAC">
      <w:pPr>
        <w:keepNext/>
        <w:spacing w:after="200" w:line="276" w:lineRule="auto"/>
        <w:jc w:val="both"/>
        <w:rPr>
          <w:rFonts w:asciiTheme="minorHAnsi" w:hAnsiTheme="minorHAnsi"/>
          <w:b/>
          <w:i/>
          <w:sz w:val="22"/>
          <w:szCs w:val="22"/>
        </w:rPr>
      </w:pPr>
      <w:r>
        <w:rPr>
          <w:rFonts w:asciiTheme="minorHAnsi" w:hAnsiTheme="minorHAnsi"/>
          <w:b/>
          <w:i/>
          <w:sz w:val="22"/>
          <w:szCs w:val="22"/>
        </w:rPr>
        <w:t>Development of s</w:t>
      </w:r>
      <w:r w:rsidRPr="006969FD">
        <w:rPr>
          <w:rFonts w:asciiTheme="minorHAnsi" w:hAnsiTheme="minorHAnsi"/>
          <w:b/>
          <w:i/>
          <w:sz w:val="22"/>
          <w:szCs w:val="22"/>
        </w:rPr>
        <w:t>cenarios for the 5</w:t>
      </w:r>
      <w:r w:rsidRPr="006969FD">
        <w:rPr>
          <w:rFonts w:asciiTheme="minorHAnsi" w:hAnsiTheme="minorHAnsi"/>
          <w:b/>
          <w:i/>
          <w:sz w:val="22"/>
          <w:szCs w:val="22"/>
          <w:vertAlign w:val="superscript"/>
        </w:rPr>
        <w:t>th</w:t>
      </w:r>
      <w:r w:rsidRPr="006969FD">
        <w:rPr>
          <w:rFonts w:asciiTheme="minorHAnsi" w:hAnsiTheme="minorHAnsi"/>
          <w:b/>
          <w:i/>
          <w:sz w:val="22"/>
          <w:szCs w:val="22"/>
        </w:rPr>
        <w:t xml:space="preserve"> carbon budget analysis</w:t>
      </w:r>
    </w:p>
    <w:p w14:paraId="5E05D410" w14:textId="77777777" w:rsidR="00652AAC" w:rsidRDefault="00652AAC" w:rsidP="00652AAC">
      <w:pPr>
        <w:spacing w:after="200" w:line="276" w:lineRule="auto"/>
        <w:jc w:val="both"/>
        <w:rPr>
          <w:rFonts w:asciiTheme="minorHAnsi" w:hAnsiTheme="minorHAnsi"/>
          <w:sz w:val="22"/>
          <w:szCs w:val="22"/>
        </w:rPr>
      </w:pPr>
      <w:r>
        <w:rPr>
          <w:rFonts w:asciiTheme="minorHAnsi" w:hAnsiTheme="minorHAnsi"/>
          <w:sz w:val="22"/>
          <w:szCs w:val="22"/>
        </w:rPr>
        <w:t>For the 5</w:t>
      </w:r>
      <w:r w:rsidRPr="006969FD">
        <w:rPr>
          <w:rFonts w:asciiTheme="minorHAnsi" w:hAnsiTheme="minorHAnsi"/>
          <w:sz w:val="22"/>
          <w:szCs w:val="22"/>
          <w:vertAlign w:val="superscript"/>
        </w:rPr>
        <w:t>th</w:t>
      </w:r>
      <w:r>
        <w:rPr>
          <w:rFonts w:asciiTheme="minorHAnsi" w:hAnsiTheme="minorHAnsi"/>
          <w:sz w:val="22"/>
          <w:szCs w:val="22"/>
        </w:rPr>
        <w:t xml:space="preserve"> carbon budget analysis, our detailed scenarios will now go to 2035 (c.f. 2030 for the 4</w:t>
      </w:r>
      <w:r w:rsidRPr="006969FD">
        <w:rPr>
          <w:rFonts w:asciiTheme="minorHAnsi" w:hAnsiTheme="minorHAnsi"/>
          <w:sz w:val="22"/>
          <w:szCs w:val="22"/>
          <w:vertAlign w:val="superscript"/>
        </w:rPr>
        <w:t>th</w:t>
      </w:r>
      <w:r>
        <w:rPr>
          <w:rFonts w:asciiTheme="minorHAnsi" w:hAnsiTheme="minorHAnsi"/>
          <w:sz w:val="22"/>
          <w:szCs w:val="22"/>
        </w:rPr>
        <w:t xml:space="preserve"> carbon budget and 4</w:t>
      </w:r>
      <w:r w:rsidRPr="006969FD">
        <w:rPr>
          <w:rFonts w:asciiTheme="minorHAnsi" w:hAnsiTheme="minorHAnsi"/>
          <w:sz w:val="22"/>
          <w:szCs w:val="22"/>
          <w:vertAlign w:val="superscript"/>
        </w:rPr>
        <w:t>th</w:t>
      </w:r>
      <w:r>
        <w:rPr>
          <w:rFonts w:asciiTheme="minorHAnsi" w:hAnsiTheme="minorHAnsi"/>
          <w:sz w:val="22"/>
          <w:szCs w:val="22"/>
        </w:rPr>
        <w:t xml:space="preserve"> carbon budget review). The process for their development will include reviewing the existing central sectoral scenarios to 2030 as well as extending an additional five years.</w:t>
      </w:r>
    </w:p>
    <w:p w14:paraId="20A55EC7" w14:textId="77777777" w:rsidR="00652AAC" w:rsidRDefault="00652AAC" w:rsidP="00652AAC">
      <w:pPr>
        <w:spacing w:after="200" w:line="276" w:lineRule="auto"/>
        <w:jc w:val="both"/>
        <w:rPr>
          <w:rFonts w:asciiTheme="minorHAnsi" w:hAnsiTheme="minorHAnsi"/>
          <w:sz w:val="22"/>
          <w:szCs w:val="22"/>
        </w:rPr>
      </w:pPr>
      <w:r>
        <w:rPr>
          <w:rFonts w:asciiTheme="minorHAnsi" w:hAnsiTheme="minorHAnsi"/>
          <w:sz w:val="22"/>
          <w:szCs w:val="22"/>
        </w:rPr>
        <w:t>We are also introducing ‘alternative’ sectoral scenarios, which get to the same level of emissions reduction as our central scenario, but using a different set of measures. Given its potential to contribute to emissions reductions across a wide range of sectors, together with its relatively small contribution in our medium-term analysis to date, this approach provides an opportunity for hydrogen to play a much larger role in our decarbonisation scenarios.</w:t>
      </w:r>
    </w:p>
    <w:p w14:paraId="0331C087" w14:textId="77777777" w:rsidR="00652AAC" w:rsidRDefault="00652AAC" w:rsidP="00652AAC">
      <w:pPr>
        <w:spacing w:after="200" w:line="276" w:lineRule="auto"/>
        <w:jc w:val="both"/>
        <w:rPr>
          <w:rFonts w:asciiTheme="minorHAnsi" w:hAnsiTheme="minorHAnsi"/>
          <w:sz w:val="22"/>
          <w:szCs w:val="22"/>
        </w:rPr>
      </w:pPr>
      <w:r>
        <w:rPr>
          <w:rFonts w:asciiTheme="minorHAnsi" w:hAnsiTheme="minorHAnsi"/>
          <w:sz w:val="22"/>
          <w:szCs w:val="22"/>
        </w:rPr>
        <w:t>This approach aims to set out the different ways in which carbon budgets can be met, while also highlighting the nature and timing of the strategic choices that will be required on the path to meeting the 80% target.</w:t>
      </w:r>
    </w:p>
    <w:p w14:paraId="5EA87559" w14:textId="77777777" w:rsidR="009C2990" w:rsidRDefault="009C2990" w:rsidP="009C2990">
      <w:pPr>
        <w:pStyle w:val="Norma"/>
      </w:pPr>
    </w:p>
    <w:p w14:paraId="02F578C8" w14:textId="77777777" w:rsidR="00F94E62" w:rsidRDefault="00F94E62" w:rsidP="009C2990">
      <w:pPr>
        <w:pStyle w:val="Norma"/>
      </w:pPr>
    </w:p>
    <w:p w14:paraId="1E2748A1" w14:textId="77777777" w:rsidR="00F94E62" w:rsidRDefault="00F94E62" w:rsidP="009C2990">
      <w:pPr>
        <w:pStyle w:val="Norma"/>
      </w:pPr>
    </w:p>
    <w:p w14:paraId="641A1644" w14:textId="77777777" w:rsidR="00F94E62" w:rsidRDefault="00F94E62" w:rsidP="009C2990">
      <w:pPr>
        <w:pStyle w:val="Norma"/>
      </w:pPr>
    </w:p>
    <w:p w14:paraId="57D50E03" w14:textId="77777777" w:rsidR="00F94E62" w:rsidRDefault="00F94E62" w:rsidP="009C2990">
      <w:pPr>
        <w:pStyle w:val="Norma"/>
      </w:pPr>
    </w:p>
    <w:p w14:paraId="238764BB" w14:textId="77777777" w:rsidR="00F94E62" w:rsidRDefault="00F94E62" w:rsidP="009C2990">
      <w:pPr>
        <w:pStyle w:val="Norma"/>
      </w:pPr>
    </w:p>
    <w:p w14:paraId="1C301308" w14:textId="77777777" w:rsidR="00F94E62" w:rsidRDefault="00F94E62" w:rsidP="009C2990">
      <w:pPr>
        <w:pStyle w:val="Norma"/>
      </w:pPr>
    </w:p>
    <w:p w14:paraId="7B56DD1D" w14:textId="77777777" w:rsidR="00F94E62" w:rsidRDefault="00F94E62" w:rsidP="009C2990">
      <w:pPr>
        <w:pStyle w:val="Norma"/>
      </w:pPr>
    </w:p>
    <w:p w14:paraId="4E6D9F1D" w14:textId="77777777" w:rsidR="00F94E62" w:rsidRDefault="00F94E62" w:rsidP="009C2990">
      <w:pPr>
        <w:pStyle w:val="Norma"/>
      </w:pPr>
    </w:p>
    <w:p w14:paraId="3C051532" w14:textId="77777777" w:rsidR="00F94E62" w:rsidRDefault="00F94E62" w:rsidP="009C2990">
      <w:pPr>
        <w:pStyle w:val="Norma"/>
      </w:pPr>
    </w:p>
    <w:p w14:paraId="2A0AF316" w14:textId="77777777" w:rsidR="00F94E62" w:rsidRDefault="00F94E62" w:rsidP="009C2990">
      <w:pPr>
        <w:pStyle w:val="Norma"/>
      </w:pPr>
    </w:p>
    <w:p w14:paraId="5EA8755A" w14:textId="77777777" w:rsidR="00FE1227" w:rsidRDefault="00016416" w:rsidP="00AC0399">
      <w:pPr>
        <w:pStyle w:val="Heading1"/>
        <w:numPr>
          <w:ilvl w:val="0"/>
          <w:numId w:val="1"/>
        </w:numPr>
        <w:jc w:val="both"/>
        <w:rPr>
          <w:rFonts w:ascii="Arial" w:hAnsi="Arial" w:cs="Arial"/>
          <w:sz w:val="24"/>
          <w:szCs w:val="24"/>
        </w:rPr>
      </w:pPr>
      <w:bookmarkStart w:id="13" w:name="_Ref357535689"/>
      <w:bookmarkStart w:id="14" w:name="_Toc381969508"/>
      <w:bookmarkStart w:id="15" w:name="_Toc405888457"/>
      <w:bookmarkStart w:id="16" w:name="_Toc417546761"/>
      <w:r w:rsidRPr="007963DA">
        <w:rPr>
          <w:rFonts w:ascii="Arial" w:hAnsi="Arial" w:cs="Arial"/>
          <w:sz w:val="24"/>
          <w:szCs w:val="24"/>
        </w:rPr>
        <w:lastRenderedPageBreak/>
        <w:t>Aims and Objectives</w:t>
      </w:r>
      <w:bookmarkEnd w:id="13"/>
      <w:bookmarkEnd w:id="14"/>
      <w:bookmarkEnd w:id="15"/>
      <w:bookmarkEnd w:id="16"/>
    </w:p>
    <w:p w14:paraId="19343453" w14:textId="77777777" w:rsidR="00DD521A" w:rsidRDefault="00DD521A" w:rsidP="00DD521A">
      <w:pPr>
        <w:pStyle w:val="Norma"/>
      </w:pPr>
    </w:p>
    <w:p w14:paraId="2C3DD5B1" w14:textId="77777777" w:rsidR="0086531C" w:rsidRPr="009D4172" w:rsidRDefault="0086531C" w:rsidP="0086531C">
      <w:pPr>
        <w:keepNext/>
        <w:spacing w:after="200" w:line="276" w:lineRule="auto"/>
        <w:jc w:val="both"/>
        <w:rPr>
          <w:rFonts w:asciiTheme="minorHAnsi" w:hAnsiTheme="minorHAnsi"/>
          <w:sz w:val="22"/>
          <w:szCs w:val="22"/>
        </w:rPr>
      </w:pPr>
      <w:r w:rsidRPr="009D4172">
        <w:rPr>
          <w:rFonts w:asciiTheme="minorHAnsi" w:hAnsiTheme="minorHAnsi"/>
          <w:sz w:val="22"/>
          <w:szCs w:val="22"/>
        </w:rPr>
        <w:t>The aims of the project are:</w:t>
      </w:r>
    </w:p>
    <w:p w14:paraId="5B3BA903" w14:textId="77777777" w:rsidR="0086531C" w:rsidRDefault="0086531C" w:rsidP="0086531C">
      <w:pPr>
        <w:pStyle w:val="ListParagraph"/>
        <w:numPr>
          <w:ilvl w:val="0"/>
          <w:numId w:val="10"/>
        </w:numPr>
        <w:contextualSpacing w:val="0"/>
        <w:jc w:val="both"/>
        <w:rPr>
          <w:rFonts w:asciiTheme="minorHAnsi" w:hAnsiTheme="minorHAnsi"/>
        </w:rPr>
      </w:pPr>
      <w:r>
        <w:rPr>
          <w:rFonts w:asciiTheme="minorHAnsi" w:hAnsiTheme="minorHAnsi"/>
        </w:rPr>
        <w:t>To provide an overview of the prospects and potential roles for hydrogen technologies to play a role in reducing emissions in the transport, power, industry sectors, and in heat supply for buildings, including the synergies and conflicts between these applications, and the full chain from production through distribution to use.</w:t>
      </w:r>
    </w:p>
    <w:p w14:paraId="1ACFBD65" w14:textId="77777777" w:rsidR="0086531C" w:rsidRDefault="0086531C" w:rsidP="0086531C">
      <w:pPr>
        <w:pStyle w:val="ListParagraph"/>
        <w:numPr>
          <w:ilvl w:val="0"/>
          <w:numId w:val="10"/>
        </w:numPr>
        <w:contextualSpacing w:val="0"/>
        <w:jc w:val="both"/>
        <w:rPr>
          <w:rFonts w:asciiTheme="minorHAnsi" w:hAnsiTheme="minorHAnsi"/>
        </w:rPr>
      </w:pPr>
      <w:r>
        <w:rPr>
          <w:rFonts w:asciiTheme="minorHAnsi" w:hAnsiTheme="minorHAnsi"/>
        </w:rPr>
        <w:t>To develop two scenarios for hydrogen deployment</w:t>
      </w:r>
    </w:p>
    <w:p w14:paraId="2EA19559" w14:textId="77777777" w:rsidR="0086531C" w:rsidRPr="00CC7C5F" w:rsidRDefault="0086531C" w:rsidP="0086531C">
      <w:pPr>
        <w:pStyle w:val="ListParagraph"/>
        <w:numPr>
          <w:ilvl w:val="1"/>
          <w:numId w:val="10"/>
        </w:numPr>
        <w:contextualSpacing w:val="0"/>
        <w:jc w:val="both"/>
        <w:rPr>
          <w:rFonts w:asciiTheme="minorHAnsi" w:hAnsiTheme="minorHAnsi"/>
        </w:rPr>
      </w:pPr>
      <w:r w:rsidRPr="00EF0F44">
        <w:rPr>
          <w:rFonts w:asciiTheme="minorHAnsi" w:hAnsiTheme="minorHAnsi"/>
          <w:b/>
        </w:rPr>
        <w:t>Critical Path</w:t>
      </w:r>
      <w:r w:rsidRPr="00CC7C5F">
        <w:rPr>
          <w:rFonts w:asciiTheme="minorHAnsi" w:hAnsiTheme="minorHAnsi"/>
        </w:rPr>
        <w:t xml:space="preserve">: this scenario has a </w:t>
      </w:r>
      <w:r>
        <w:rPr>
          <w:rFonts w:asciiTheme="minorHAnsi" w:hAnsiTheme="minorHAnsi"/>
        </w:rPr>
        <w:t>background</w:t>
      </w:r>
      <w:r w:rsidRPr="00CC7C5F">
        <w:rPr>
          <w:rFonts w:asciiTheme="minorHAnsi" w:hAnsiTheme="minorHAnsi"/>
        </w:rPr>
        <w:t xml:space="preserve"> role for hydrogen</w:t>
      </w:r>
      <w:r>
        <w:rPr>
          <w:rFonts w:asciiTheme="minorHAnsi" w:hAnsiTheme="minorHAnsi"/>
        </w:rPr>
        <w:t xml:space="preserve"> in the medium term</w:t>
      </w:r>
      <w:r w:rsidRPr="00CC7C5F">
        <w:rPr>
          <w:rFonts w:asciiTheme="minorHAnsi" w:hAnsiTheme="minorHAnsi"/>
        </w:rPr>
        <w:t>, concentrating on developing markets and infrastructure</w:t>
      </w:r>
      <w:r>
        <w:rPr>
          <w:rFonts w:asciiTheme="minorHAnsi" w:hAnsiTheme="minorHAnsi"/>
        </w:rPr>
        <w:t xml:space="preserve"> in</w:t>
      </w:r>
      <w:r w:rsidRPr="00CC7C5F">
        <w:rPr>
          <w:rFonts w:asciiTheme="minorHAnsi" w:hAnsiTheme="minorHAnsi"/>
        </w:rPr>
        <w:t xml:space="preserve"> such a way that hydrogen technologies c</w:t>
      </w:r>
      <w:r>
        <w:rPr>
          <w:rFonts w:asciiTheme="minorHAnsi" w:hAnsiTheme="minorHAnsi"/>
        </w:rPr>
        <w:t>ould still</w:t>
      </w:r>
      <w:r w:rsidRPr="00CC7C5F">
        <w:rPr>
          <w:rFonts w:asciiTheme="minorHAnsi" w:hAnsiTheme="minorHAnsi"/>
        </w:rPr>
        <w:t xml:space="preserve"> play an important role in 2050</w:t>
      </w:r>
    </w:p>
    <w:p w14:paraId="07EB4004" w14:textId="77777777" w:rsidR="0086531C" w:rsidRPr="00CC7C5F" w:rsidRDefault="0086531C" w:rsidP="0086531C">
      <w:pPr>
        <w:pStyle w:val="ListParagraph"/>
        <w:numPr>
          <w:ilvl w:val="1"/>
          <w:numId w:val="10"/>
        </w:numPr>
        <w:contextualSpacing w:val="0"/>
        <w:jc w:val="both"/>
        <w:rPr>
          <w:rFonts w:asciiTheme="minorHAnsi" w:hAnsiTheme="minorHAnsi"/>
        </w:rPr>
      </w:pPr>
      <w:r w:rsidRPr="00EF0F44">
        <w:rPr>
          <w:rFonts w:asciiTheme="minorHAnsi" w:hAnsiTheme="minorHAnsi"/>
          <w:b/>
        </w:rPr>
        <w:t>Full Contribution</w:t>
      </w:r>
      <w:r w:rsidRPr="00CC7C5F">
        <w:rPr>
          <w:rFonts w:asciiTheme="minorHAnsi" w:hAnsiTheme="minorHAnsi"/>
        </w:rPr>
        <w:t>: in this scenario, hydrogen technologies grow rapidly and play an important part in reducing emissions over the period to 2035, across multiple sectors</w:t>
      </w:r>
      <w:r>
        <w:rPr>
          <w:rFonts w:asciiTheme="minorHAnsi" w:hAnsiTheme="minorHAnsi"/>
        </w:rPr>
        <w:t>, on the way to potentially playing a dominant role in the energy system by 2050</w:t>
      </w:r>
    </w:p>
    <w:p w14:paraId="67039445" w14:textId="77777777" w:rsidR="0086531C" w:rsidRDefault="0086531C" w:rsidP="0086531C">
      <w:pPr>
        <w:pStyle w:val="ListParagraph"/>
        <w:numPr>
          <w:ilvl w:val="0"/>
          <w:numId w:val="10"/>
        </w:numPr>
        <w:contextualSpacing w:val="0"/>
        <w:jc w:val="both"/>
        <w:rPr>
          <w:rFonts w:asciiTheme="minorHAnsi" w:hAnsiTheme="minorHAnsi"/>
        </w:rPr>
      </w:pPr>
      <w:r>
        <w:rPr>
          <w:rFonts w:asciiTheme="minorHAnsi" w:hAnsiTheme="minorHAnsi"/>
        </w:rPr>
        <w:t>To pull out the strategic considerations for the roll-out of hydrogen technologies over time in the UK, taking into account the need for development of infrastructure and markets together with interactions between hydrogen deployment across sectors. This should lead to timelines for decisions and deployment, and the identification of key uncertainties and choices between hydrogen pathways vs. alternative decarbonisation pathways</w:t>
      </w:r>
    </w:p>
    <w:p w14:paraId="0F5C0B76" w14:textId="77777777" w:rsidR="0086531C" w:rsidRPr="009D4172" w:rsidRDefault="0086531C" w:rsidP="0086531C">
      <w:pPr>
        <w:pStyle w:val="ListParagraph"/>
        <w:numPr>
          <w:ilvl w:val="0"/>
          <w:numId w:val="10"/>
        </w:numPr>
        <w:contextualSpacing w:val="0"/>
        <w:jc w:val="both"/>
        <w:rPr>
          <w:rFonts w:asciiTheme="minorHAnsi" w:hAnsiTheme="minorHAnsi"/>
        </w:rPr>
      </w:pPr>
      <w:r>
        <w:rPr>
          <w:rFonts w:asciiTheme="minorHAnsi" w:hAnsiTheme="minorHAnsi"/>
        </w:rPr>
        <w:t>Potentially, to provide a costing of the Full Contribution and Critical Path scenarios</w:t>
      </w:r>
    </w:p>
    <w:p w14:paraId="59307306" w14:textId="77777777" w:rsidR="0086531C" w:rsidRDefault="0086531C" w:rsidP="0086531C">
      <w:pPr>
        <w:rPr>
          <w:b/>
          <w:sz w:val="22"/>
          <w:szCs w:val="22"/>
        </w:rPr>
      </w:pPr>
    </w:p>
    <w:p w14:paraId="05EAA2F2" w14:textId="4D6004D9" w:rsidR="0086531C" w:rsidRDefault="0086531C" w:rsidP="0086531C">
      <w:pPr>
        <w:pStyle w:val="Heading1"/>
        <w:numPr>
          <w:ilvl w:val="0"/>
          <w:numId w:val="1"/>
        </w:numPr>
        <w:jc w:val="both"/>
        <w:rPr>
          <w:rFonts w:ascii="Arial" w:hAnsi="Arial" w:cs="Arial"/>
          <w:sz w:val="24"/>
          <w:szCs w:val="24"/>
        </w:rPr>
      </w:pPr>
      <w:bookmarkStart w:id="17" w:name="_Toc417546762"/>
      <w:r w:rsidRPr="0086531C">
        <w:rPr>
          <w:rFonts w:ascii="Arial" w:hAnsi="Arial" w:cs="Arial"/>
          <w:sz w:val="24"/>
          <w:szCs w:val="24"/>
        </w:rPr>
        <w:t>Description of Work for consultants</w:t>
      </w:r>
      <w:bookmarkEnd w:id="17"/>
    </w:p>
    <w:p w14:paraId="2747BB56" w14:textId="77777777" w:rsidR="0086531C" w:rsidRDefault="0086531C" w:rsidP="0086531C">
      <w:pPr>
        <w:rPr>
          <w:b/>
          <w:sz w:val="22"/>
          <w:szCs w:val="22"/>
        </w:rPr>
      </w:pPr>
    </w:p>
    <w:p w14:paraId="460DD22C" w14:textId="77777777" w:rsidR="0086531C" w:rsidRPr="009D4172" w:rsidRDefault="0086531C" w:rsidP="0086531C">
      <w:pPr>
        <w:keepNext/>
        <w:spacing w:after="200" w:line="276" w:lineRule="auto"/>
        <w:jc w:val="both"/>
        <w:rPr>
          <w:rFonts w:asciiTheme="minorHAnsi" w:hAnsiTheme="minorHAnsi"/>
          <w:sz w:val="22"/>
          <w:szCs w:val="22"/>
        </w:rPr>
      </w:pPr>
      <w:r>
        <w:rPr>
          <w:rFonts w:asciiTheme="minorHAnsi" w:hAnsiTheme="minorHAnsi"/>
          <w:sz w:val="22"/>
          <w:szCs w:val="22"/>
        </w:rPr>
        <w:t>The core part of t</w:t>
      </w:r>
      <w:r w:rsidRPr="009D4172">
        <w:rPr>
          <w:rFonts w:asciiTheme="minorHAnsi" w:hAnsiTheme="minorHAnsi"/>
          <w:sz w:val="22"/>
          <w:szCs w:val="22"/>
        </w:rPr>
        <w:t>his project contains four components:</w:t>
      </w:r>
    </w:p>
    <w:p w14:paraId="1B44BAA1" w14:textId="77777777" w:rsidR="0086531C" w:rsidRPr="00CB0B06" w:rsidRDefault="0086531C" w:rsidP="0086531C">
      <w:pPr>
        <w:pStyle w:val="ListParagraph"/>
        <w:keepNext/>
        <w:numPr>
          <w:ilvl w:val="0"/>
          <w:numId w:val="11"/>
        </w:numPr>
        <w:contextualSpacing w:val="0"/>
        <w:jc w:val="both"/>
        <w:rPr>
          <w:rFonts w:asciiTheme="minorHAnsi" w:hAnsiTheme="minorHAnsi"/>
        </w:rPr>
      </w:pPr>
      <w:r w:rsidRPr="00CB0B06">
        <w:rPr>
          <w:rFonts w:asciiTheme="minorHAnsi" w:hAnsiTheme="minorHAnsi"/>
        </w:rPr>
        <w:t xml:space="preserve">Task 1: Overview of hydrogen technologies status </w:t>
      </w:r>
      <w:r>
        <w:rPr>
          <w:rFonts w:asciiTheme="minorHAnsi" w:hAnsiTheme="minorHAnsi"/>
        </w:rPr>
        <w:t xml:space="preserve">/ prospects </w:t>
      </w:r>
    </w:p>
    <w:p w14:paraId="36B86165" w14:textId="77777777" w:rsidR="0086531C" w:rsidRPr="00CC7C5F" w:rsidRDefault="0086531C" w:rsidP="0086531C">
      <w:pPr>
        <w:pStyle w:val="ListParagraph"/>
        <w:keepNext/>
        <w:numPr>
          <w:ilvl w:val="0"/>
          <w:numId w:val="11"/>
        </w:numPr>
        <w:contextualSpacing w:val="0"/>
        <w:jc w:val="both"/>
        <w:rPr>
          <w:rFonts w:asciiTheme="minorHAnsi" w:hAnsiTheme="minorHAnsi"/>
        </w:rPr>
      </w:pPr>
      <w:r w:rsidRPr="00CC7C5F">
        <w:rPr>
          <w:rFonts w:asciiTheme="minorHAnsi" w:hAnsiTheme="minorHAnsi"/>
        </w:rPr>
        <w:t xml:space="preserve">Task </w:t>
      </w:r>
      <w:r>
        <w:rPr>
          <w:rFonts w:asciiTheme="minorHAnsi" w:hAnsiTheme="minorHAnsi"/>
        </w:rPr>
        <w:t>2</w:t>
      </w:r>
      <w:r w:rsidRPr="00CC7C5F">
        <w:rPr>
          <w:rFonts w:asciiTheme="minorHAnsi" w:hAnsiTheme="minorHAnsi"/>
        </w:rPr>
        <w:t>: Characterise Critical Path hydrogen scenario</w:t>
      </w:r>
    </w:p>
    <w:p w14:paraId="5A7D2E4A" w14:textId="77777777" w:rsidR="0086531C" w:rsidRPr="00CC7C5F" w:rsidRDefault="0086531C" w:rsidP="0086531C">
      <w:pPr>
        <w:pStyle w:val="ListParagraph"/>
        <w:keepNext/>
        <w:numPr>
          <w:ilvl w:val="0"/>
          <w:numId w:val="11"/>
        </w:numPr>
        <w:contextualSpacing w:val="0"/>
        <w:jc w:val="both"/>
        <w:rPr>
          <w:rFonts w:asciiTheme="minorHAnsi" w:hAnsiTheme="minorHAnsi"/>
        </w:rPr>
      </w:pPr>
      <w:r>
        <w:rPr>
          <w:rFonts w:asciiTheme="minorHAnsi" w:hAnsiTheme="minorHAnsi"/>
        </w:rPr>
        <w:t>Task 3</w:t>
      </w:r>
      <w:r w:rsidRPr="00CC7C5F">
        <w:rPr>
          <w:rFonts w:asciiTheme="minorHAnsi" w:hAnsiTheme="minorHAnsi"/>
        </w:rPr>
        <w:t>: Characterise Full Contribution hydrogen scenario</w:t>
      </w:r>
    </w:p>
    <w:p w14:paraId="0F65BB7B" w14:textId="77777777" w:rsidR="0086531C" w:rsidRPr="00CC7C5F" w:rsidRDefault="0086531C" w:rsidP="0086531C">
      <w:pPr>
        <w:pStyle w:val="ListParagraph"/>
        <w:numPr>
          <w:ilvl w:val="0"/>
          <w:numId w:val="11"/>
        </w:numPr>
        <w:contextualSpacing w:val="0"/>
        <w:jc w:val="both"/>
        <w:rPr>
          <w:rFonts w:asciiTheme="minorHAnsi" w:hAnsiTheme="minorHAnsi"/>
        </w:rPr>
      </w:pPr>
      <w:r w:rsidRPr="00CC7C5F">
        <w:rPr>
          <w:rFonts w:asciiTheme="minorHAnsi" w:hAnsiTheme="minorHAnsi"/>
        </w:rPr>
        <w:t xml:space="preserve">Task 4: Strategic consideration of hydrogen pathways </w:t>
      </w:r>
    </w:p>
    <w:p w14:paraId="4CD6150E" w14:textId="77777777" w:rsidR="0086531C" w:rsidRPr="00CC7C5F" w:rsidRDefault="0086531C" w:rsidP="0086531C">
      <w:pPr>
        <w:spacing w:after="200" w:line="276" w:lineRule="auto"/>
        <w:jc w:val="both"/>
        <w:rPr>
          <w:rFonts w:asciiTheme="minorHAnsi" w:hAnsiTheme="minorHAnsi"/>
          <w:sz w:val="22"/>
          <w:szCs w:val="22"/>
        </w:rPr>
      </w:pPr>
      <w:r w:rsidRPr="00CC7C5F">
        <w:rPr>
          <w:rFonts w:asciiTheme="minorHAnsi" w:hAnsiTheme="minorHAnsi"/>
          <w:sz w:val="22"/>
          <w:szCs w:val="22"/>
        </w:rPr>
        <w:t>A fifth task is potentially desirable, if the consultants are able to provide it (in which case it should be provided as an optional extra part of the proposal, costed separately):</w:t>
      </w:r>
    </w:p>
    <w:p w14:paraId="4BF29CD7" w14:textId="77777777" w:rsidR="0086531C" w:rsidRPr="00CC7C5F" w:rsidRDefault="0086531C" w:rsidP="0086531C">
      <w:pPr>
        <w:pStyle w:val="ListParagraph"/>
        <w:numPr>
          <w:ilvl w:val="0"/>
          <w:numId w:val="12"/>
        </w:numPr>
        <w:contextualSpacing w:val="0"/>
        <w:jc w:val="both"/>
        <w:rPr>
          <w:rFonts w:asciiTheme="minorHAnsi" w:hAnsiTheme="minorHAnsi"/>
        </w:rPr>
      </w:pPr>
      <w:r w:rsidRPr="00CC7C5F">
        <w:rPr>
          <w:rFonts w:asciiTheme="minorHAnsi" w:hAnsiTheme="minorHAnsi"/>
        </w:rPr>
        <w:t>Task 5: Costing of the Full Contribution and Critical Path hydrogen scenarios</w:t>
      </w:r>
    </w:p>
    <w:p w14:paraId="3577CD61" w14:textId="77777777" w:rsidR="0086531C" w:rsidRPr="00CC7C5F" w:rsidRDefault="0086531C" w:rsidP="0086531C">
      <w:pPr>
        <w:spacing w:after="200" w:line="276" w:lineRule="auto"/>
        <w:jc w:val="both"/>
        <w:rPr>
          <w:rFonts w:asciiTheme="minorHAnsi" w:hAnsiTheme="minorHAnsi"/>
          <w:sz w:val="22"/>
          <w:szCs w:val="22"/>
        </w:rPr>
      </w:pPr>
      <w:r w:rsidRPr="00CC7C5F">
        <w:rPr>
          <w:rFonts w:asciiTheme="minorHAnsi" w:hAnsiTheme="minorHAnsi"/>
          <w:sz w:val="22"/>
          <w:szCs w:val="22"/>
        </w:rPr>
        <w:t>Consultants should set out in their bid their proposed method for accomplishing tasks 1-4</w:t>
      </w:r>
      <w:r>
        <w:rPr>
          <w:rFonts w:asciiTheme="minorHAnsi" w:hAnsiTheme="minorHAnsi"/>
          <w:sz w:val="22"/>
          <w:szCs w:val="22"/>
        </w:rPr>
        <w:t xml:space="preserve"> and also, if relevant, Task 5</w:t>
      </w:r>
      <w:r w:rsidRPr="00CC7C5F">
        <w:rPr>
          <w:rFonts w:asciiTheme="minorHAnsi" w:hAnsiTheme="minorHAnsi"/>
          <w:sz w:val="22"/>
          <w:szCs w:val="22"/>
        </w:rPr>
        <w:t xml:space="preserve">. </w:t>
      </w:r>
    </w:p>
    <w:p w14:paraId="500EE3F2" w14:textId="77777777" w:rsidR="0086531C" w:rsidRDefault="0086531C" w:rsidP="0086531C">
      <w:pPr>
        <w:keepNext/>
        <w:spacing w:after="200" w:line="276" w:lineRule="auto"/>
        <w:jc w:val="both"/>
        <w:rPr>
          <w:rFonts w:asciiTheme="minorHAnsi" w:hAnsiTheme="minorHAnsi"/>
          <w:b/>
          <w:sz w:val="22"/>
          <w:szCs w:val="22"/>
        </w:rPr>
      </w:pPr>
      <w:r w:rsidRPr="00CC7C5F">
        <w:rPr>
          <w:rFonts w:asciiTheme="minorHAnsi" w:hAnsiTheme="minorHAnsi"/>
          <w:b/>
          <w:sz w:val="22"/>
          <w:szCs w:val="22"/>
        </w:rPr>
        <w:lastRenderedPageBreak/>
        <w:t>Task 1: Overview of hydrogen technologies status / prospects</w:t>
      </w:r>
    </w:p>
    <w:p w14:paraId="664B8F5B" w14:textId="77777777" w:rsidR="0086531C" w:rsidRDefault="0086531C" w:rsidP="0086531C">
      <w:pPr>
        <w:spacing w:after="200" w:line="276" w:lineRule="auto"/>
        <w:jc w:val="both"/>
        <w:rPr>
          <w:rFonts w:asciiTheme="minorHAnsi" w:hAnsiTheme="minorHAnsi"/>
          <w:sz w:val="22"/>
          <w:szCs w:val="22"/>
        </w:rPr>
      </w:pPr>
      <w:r>
        <w:rPr>
          <w:rFonts w:asciiTheme="minorHAnsi" w:hAnsiTheme="minorHAnsi"/>
          <w:sz w:val="22"/>
          <w:szCs w:val="22"/>
        </w:rPr>
        <w:t>This task would set out the range of hydrogen technologies that could help to reduce emissions over the period to 2050, their current status and costs, their prospects and barriers to deployment.</w:t>
      </w:r>
    </w:p>
    <w:p w14:paraId="7BC78B18" w14:textId="77777777" w:rsidR="0086531C" w:rsidRDefault="0086531C" w:rsidP="0086531C">
      <w:pPr>
        <w:spacing w:after="200" w:line="276" w:lineRule="auto"/>
        <w:jc w:val="both"/>
        <w:rPr>
          <w:rFonts w:asciiTheme="minorHAnsi" w:hAnsiTheme="minorHAnsi"/>
          <w:sz w:val="22"/>
          <w:szCs w:val="22"/>
        </w:rPr>
      </w:pPr>
      <w:r>
        <w:rPr>
          <w:rFonts w:asciiTheme="minorHAnsi" w:hAnsiTheme="minorHAnsi"/>
          <w:sz w:val="22"/>
          <w:szCs w:val="22"/>
        </w:rPr>
        <w:t>The range of technologies should include, but not necessarily be limited to:</w:t>
      </w:r>
    </w:p>
    <w:p w14:paraId="31300D48" w14:textId="77777777" w:rsidR="0086531C" w:rsidRDefault="0086531C" w:rsidP="0086531C">
      <w:pPr>
        <w:pStyle w:val="ListParagraph"/>
        <w:numPr>
          <w:ilvl w:val="0"/>
          <w:numId w:val="12"/>
        </w:numPr>
        <w:contextualSpacing w:val="0"/>
        <w:jc w:val="both"/>
        <w:rPr>
          <w:rFonts w:asciiTheme="minorHAnsi" w:hAnsiTheme="minorHAnsi"/>
        </w:rPr>
      </w:pPr>
      <w:r w:rsidRPr="00C72B0D">
        <w:rPr>
          <w:rFonts w:asciiTheme="minorHAnsi" w:hAnsiTheme="minorHAnsi"/>
          <w:b/>
        </w:rPr>
        <w:t>Transport</w:t>
      </w:r>
      <w:r>
        <w:rPr>
          <w:rFonts w:asciiTheme="minorHAnsi" w:hAnsiTheme="minorHAnsi"/>
        </w:rPr>
        <w:t>. Hydrogen fuel cell vehicles for light-duty (e.g. cars, vans) and heavy-duty (e.g. buses, HGVs), and also hydrogen internal combustion engine vehicles if these have a reasonable prospect of being deployed successfully.</w:t>
      </w:r>
    </w:p>
    <w:p w14:paraId="1B7A5CD9" w14:textId="77777777" w:rsidR="0086531C" w:rsidRDefault="0086531C" w:rsidP="0086531C">
      <w:pPr>
        <w:pStyle w:val="ListParagraph"/>
        <w:numPr>
          <w:ilvl w:val="0"/>
          <w:numId w:val="12"/>
        </w:numPr>
        <w:contextualSpacing w:val="0"/>
        <w:jc w:val="both"/>
        <w:rPr>
          <w:rFonts w:asciiTheme="minorHAnsi" w:hAnsiTheme="minorHAnsi"/>
        </w:rPr>
      </w:pPr>
      <w:r w:rsidRPr="00C72B0D">
        <w:rPr>
          <w:rFonts w:asciiTheme="minorHAnsi" w:hAnsiTheme="minorHAnsi"/>
          <w:b/>
        </w:rPr>
        <w:t>Power sector</w:t>
      </w:r>
      <w:r>
        <w:rPr>
          <w:rFonts w:asciiTheme="minorHAnsi" w:hAnsiTheme="minorHAnsi"/>
        </w:rPr>
        <w:t>. Electricity generation via both hydrogen turbines and large-scale fuels cells; smaller-scale distributed fuel cells for power generation/CHP.</w:t>
      </w:r>
    </w:p>
    <w:p w14:paraId="4048B491" w14:textId="77777777" w:rsidR="0086531C" w:rsidRDefault="0086531C" w:rsidP="0086531C">
      <w:pPr>
        <w:pStyle w:val="ListParagraph"/>
        <w:numPr>
          <w:ilvl w:val="0"/>
          <w:numId w:val="12"/>
        </w:numPr>
        <w:contextualSpacing w:val="0"/>
        <w:jc w:val="both"/>
        <w:rPr>
          <w:rFonts w:asciiTheme="minorHAnsi" w:hAnsiTheme="minorHAnsi"/>
        </w:rPr>
      </w:pPr>
      <w:r w:rsidRPr="00C72B0D">
        <w:rPr>
          <w:rFonts w:asciiTheme="minorHAnsi" w:hAnsiTheme="minorHAnsi"/>
          <w:b/>
        </w:rPr>
        <w:t>Industry</w:t>
      </w:r>
      <w:r>
        <w:rPr>
          <w:rFonts w:asciiTheme="minorHAnsi" w:hAnsiTheme="minorHAnsi"/>
        </w:rPr>
        <w:t>. Hydrogen options for displacing fossil fuels in high-temperature heat applications.</w:t>
      </w:r>
    </w:p>
    <w:p w14:paraId="4044004F" w14:textId="77777777" w:rsidR="0086531C" w:rsidRDefault="0086531C" w:rsidP="0086531C">
      <w:pPr>
        <w:pStyle w:val="ListParagraph"/>
        <w:numPr>
          <w:ilvl w:val="0"/>
          <w:numId w:val="12"/>
        </w:numPr>
        <w:contextualSpacing w:val="0"/>
        <w:jc w:val="both"/>
        <w:rPr>
          <w:rFonts w:asciiTheme="minorHAnsi" w:hAnsiTheme="minorHAnsi"/>
        </w:rPr>
      </w:pPr>
      <w:r w:rsidRPr="00C72B0D">
        <w:rPr>
          <w:rFonts w:asciiTheme="minorHAnsi" w:hAnsiTheme="minorHAnsi"/>
          <w:b/>
        </w:rPr>
        <w:t>Heat in buildings</w:t>
      </w:r>
      <w:r>
        <w:rPr>
          <w:rFonts w:asciiTheme="minorHAnsi" w:hAnsiTheme="minorHAnsi"/>
        </w:rPr>
        <w:t>. This should include both piping hydrogen into buildings and use at the district scale in conjunction with heat networks.</w:t>
      </w:r>
    </w:p>
    <w:p w14:paraId="0BCCA42E" w14:textId="77777777" w:rsidR="0086531C" w:rsidRPr="000D7421" w:rsidRDefault="0086531C" w:rsidP="0086531C">
      <w:pPr>
        <w:pStyle w:val="ListParagraph"/>
        <w:numPr>
          <w:ilvl w:val="0"/>
          <w:numId w:val="12"/>
        </w:numPr>
        <w:contextualSpacing w:val="0"/>
        <w:jc w:val="both"/>
        <w:rPr>
          <w:rFonts w:asciiTheme="minorHAnsi" w:hAnsiTheme="minorHAnsi"/>
        </w:rPr>
      </w:pPr>
      <w:r w:rsidRPr="000D7421">
        <w:rPr>
          <w:rFonts w:asciiTheme="minorHAnsi" w:hAnsiTheme="minorHAnsi"/>
          <w:b/>
        </w:rPr>
        <w:t>Hydrogen supply</w:t>
      </w:r>
      <w:r>
        <w:rPr>
          <w:rFonts w:asciiTheme="minorHAnsi" w:hAnsiTheme="minorHAnsi"/>
        </w:rPr>
        <w:t>. Pre-combustion CCS (both steam methane reforming and biomass/coal gasification), small scale SMR without CCS, electrolysis.</w:t>
      </w:r>
    </w:p>
    <w:p w14:paraId="44C32525" w14:textId="77777777" w:rsidR="0086531C" w:rsidRDefault="0086531C" w:rsidP="0086531C">
      <w:pPr>
        <w:pStyle w:val="ListParagraph"/>
        <w:numPr>
          <w:ilvl w:val="0"/>
          <w:numId w:val="12"/>
        </w:numPr>
        <w:contextualSpacing w:val="0"/>
        <w:jc w:val="both"/>
        <w:rPr>
          <w:rFonts w:asciiTheme="minorHAnsi" w:hAnsiTheme="minorHAnsi"/>
        </w:rPr>
      </w:pPr>
      <w:r w:rsidRPr="00C72B0D">
        <w:rPr>
          <w:rFonts w:asciiTheme="minorHAnsi" w:hAnsiTheme="minorHAnsi"/>
          <w:b/>
        </w:rPr>
        <w:t>Storage</w:t>
      </w:r>
      <w:r>
        <w:rPr>
          <w:rFonts w:asciiTheme="minorHAnsi" w:hAnsiTheme="minorHAnsi"/>
        </w:rPr>
        <w:t>. Viable storage options in relation to the other hydrogen technologies considered, including seasonal storage in salt caverns.</w:t>
      </w:r>
    </w:p>
    <w:p w14:paraId="0D74CB45" w14:textId="77777777" w:rsidR="0086531C" w:rsidRDefault="0086531C" w:rsidP="0086531C">
      <w:pPr>
        <w:pStyle w:val="ListParagraph"/>
        <w:numPr>
          <w:ilvl w:val="0"/>
          <w:numId w:val="12"/>
        </w:numPr>
        <w:contextualSpacing w:val="0"/>
        <w:jc w:val="both"/>
        <w:rPr>
          <w:rFonts w:asciiTheme="minorHAnsi" w:hAnsiTheme="minorHAnsi"/>
        </w:rPr>
      </w:pPr>
      <w:r w:rsidRPr="00C72B0D">
        <w:rPr>
          <w:rFonts w:asciiTheme="minorHAnsi" w:hAnsiTheme="minorHAnsi"/>
          <w:b/>
        </w:rPr>
        <w:t>Distribution infrastructure</w:t>
      </w:r>
      <w:r>
        <w:rPr>
          <w:rFonts w:asciiTheme="minorHAnsi" w:hAnsiTheme="minorHAnsi"/>
        </w:rPr>
        <w:t>. This should cover the UK-relevant considerations around the use of dedicated hydrogen pipelines, liquid hydrogen tankers and repurposing of the natural gas grid.</w:t>
      </w:r>
    </w:p>
    <w:p w14:paraId="54A6CCD7" w14:textId="77777777" w:rsidR="0086531C" w:rsidRDefault="0086531C" w:rsidP="0086531C">
      <w:pPr>
        <w:spacing w:after="200" w:line="276" w:lineRule="auto"/>
        <w:jc w:val="both"/>
        <w:rPr>
          <w:rFonts w:asciiTheme="minorHAnsi" w:hAnsiTheme="minorHAnsi"/>
          <w:sz w:val="22"/>
          <w:szCs w:val="22"/>
        </w:rPr>
      </w:pPr>
      <w:r>
        <w:rPr>
          <w:rFonts w:asciiTheme="minorHAnsi" w:hAnsiTheme="minorHAnsi"/>
          <w:sz w:val="22"/>
          <w:szCs w:val="22"/>
        </w:rPr>
        <w:t>We would expect this task to be high-level and based on existing work alongside an understanding of current activity and prospects within the sector.</w:t>
      </w:r>
    </w:p>
    <w:p w14:paraId="1E0D257B" w14:textId="77777777" w:rsidR="0086531C" w:rsidRPr="00C72B0D" w:rsidRDefault="0086531C" w:rsidP="0086531C">
      <w:pPr>
        <w:spacing w:after="200" w:line="276" w:lineRule="auto"/>
        <w:jc w:val="both"/>
        <w:rPr>
          <w:rFonts w:asciiTheme="minorHAnsi" w:hAnsiTheme="minorHAnsi"/>
          <w:sz w:val="22"/>
          <w:szCs w:val="22"/>
        </w:rPr>
      </w:pPr>
      <w:r>
        <w:rPr>
          <w:rFonts w:asciiTheme="minorHAnsi" w:hAnsiTheme="minorHAnsi"/>
          <w:sz w:val="22"/>
          <w:szCs w:val="22"/>
        </w:rPr>
        <w:t>Consideration of the barriers to deployment should focus on the fundamental challenges, rather than any present weaknesses in the policy framework (although these can also be considered).</w:t>
      </w:r>
    </w:p>
    <w:p w14:paraId="79639D32" w14:textId="77777777" w:rsidR="0086531C" w:rsidRPr="00CC7C5F" w:rsidRDefault="0086531C" w:rsidP="0086531C">
      <w:pPr>
        <w:rPr>
          <w:sz w:val="22"/>
          <w:szCs w:val="22"/>
        </w:rPr>
      </w:pPr>
    </w:p>
    <w:p w14:paraId="7D928C3C" w14:textId="77777777" w:rsidR="0086531C" w:rsidRPr="009D4172" w:rsidRDefault="0086531C" w:rsidP="0086531C">
      <w:pPr>
        <w:keepNext/>
        <w:spacing w:after="200" w:line="276" w:lineRule="auto"/>
        <w:jc w:val="both"/>
        <w:rPr>
          <w:rFonts w:asciiTheme="minorHAnsi" w:hAnsiTheme="minorHAnsi"/>
          <w:b/>
          <w:sz w:val="22"/>
          <w:szCs w:val="22"/>
        </w:rPr>
      </w:pPr>
      <w:r w:rsidRPr="009D4172">
        <w:rPr>
          <w:rFonts w:asciiTheme="minorHAnsi" w:hAnsiTheme="minorHAnsi"/>
          <w:b/>
          <w:sz w:val="22"/>
          <w:szCs w:val="22"/>
        </w:rPr>
        <w:t xml:space="preserve">Task </w:t>
      </w:r>
      <w:r>
        <w:rPr>
          <w:rFonts w:asciiTheme="minorHAnsi" w:hAnsiTheme="minorHAnsi"/>
          <w:b/>
          <w:sz w:val="22"/>
          <w:szCs w:val="22"/>
        </w:rPr>
        <w:t>2</w:t>
      </w:r>
      <w:r w:rsidRPr="009D4172">
        <w:rPr>
          <w:rFonts w:asciiTheme="minorHAnsi" w:hAnsiTheme="minorHAnsi"/>
          <w:b/>
          <w:sz w:val="22"/>
          <w:szCs w:val="22"/>
        </w:rPr>
        <w:t xml:space="preserve">: </w:t>
      </w:r>
      <w:r w:rsidRPr="00DD4143">
        <w:rPr>
          <w:rFonts w:asciiTheme="minorHAnsi" w:hAnsiTheme="minorHAnsi"/>
          <w:b/>
          <w:sz w:val="22"/>
          <w:szCs w:val="22"/>
        </w:rPr>
        <w:t>Critical Path hydrogen scenario</w:t>
      </w:r>
    </w:p>
    <w:p w14:paraId="7A1ACA69" w14:textId="77777777" w:rsidR="0086531C" w:rsidRDefault="0086531C" w:rsidP="0086531C">
      <w:pPr>
        <w:spacing w:after="200" w:line="276" w:lineRule="auto"/>
        <w:jc w:val="both"/>
        <w:rPr>
          <w:rFonts w:asciiTheme="minorHAnsi" w:hAnsiTheme="minorHAnsi"/>
          <w:sz w:val="22"/>
          <w:szCs w:val="22"/>
        </w:rPr>
      </w:pPr>
      <w:r>
        <w:rPr>
          <w:rFonts w:asciiTheme="minorHAnsi" w:hAnsiTheme="minorHAnsi"/>
          <w:sz w:val="22"/>
          <w:szCs w:val="22"/>
        </w:rPr>
        <w:t>The role of the Critical Path scenario to 2035 is to set out the key measures needed in this period in order to keep open the option of hydrogen playing a substantial role in a low-carbon energy system in 2050.</w:t>
      </w:r>
    </w:p>
    <w:p w14:paraId="70D41EA5" w14:textId="77777777" w:rsidR="0086531C" w:rsidRDefault="0086531C" w:rsidP="0086531C">
      <w:pPr>
        <w:spacing w:after="200" w:line="276" w:lineRule="auto"/>
        <w:jc w:val="both"/>
        <w:rPr>
          <w:rFonts w:asciiTheme="minorHAnsi" w:hAnsiTheme="minorHAnsi"/>
          <w:sz w:val="22"/>
          <w:szCs w:val="22"/>
        </w:rPr>
      </w:pPr>
      <w:r>
        <w:rPr>
          <w:rFonts w:asciiTheme="minorHAnsi" w:hAnsiTheme="minorHAnsi"/>
          <w:sz w:val="22"/>
          <w:szCs w:val="22"/>
        </w:rPr>
        <w:t>The intention is that these measures could be included in our Central sectoral scenarios, in order to keep open the hydrogen option even if it’s not one of the main contributions to medium-term emissions reduction.</w:t>
      </w:r>
    </w:p>
    <w:p w14:paraId="14A88D91" w14:textId="77777777" w:rsidR="0086531C" w:rsidRDefault="0086531C" w:rsidP="0086531C">
      <w:pPr>
        <w:spacing w:after="200" w:line="276" w:lineRule="auto"/>
        <w:jc w:val="both"/>
        <w:rPr>
          <w:rFonts w:asciiTheme="minorHAnsi" w:hAnsiTheme="minorHAnsi"/>
          <w:sz w:val="22"/>
          <w:szCs w:val="22"/>
        </w:rPr>
      </w:pPr>
      <w:r>
        <w:rPr>
          <w:rFonts w:asciiTheme="minorHAnsi" w:hAnsiTheme="minorHAnsi"/>
          <w:sz w:val="22"/>
          <w:szCs w:val="22"/>
        </w:rPr>
        <w:t xml:space="preserve">As the scenario is defined by keeping open a level of deployment in the long-term, it </w:t>
      </w:r>
      <w:proofErr w:type="gramStart"/>
      <w:r>
        <w:rPr>
          <w:rFonts w:asciiTheme="minorHAnsi" w:hAnsiTheme="minorHAnsi"/>
          <w:sz w:val="22"/>
          <w:szCs w:val="22"/>
        </w:rPr>
        <w:t>may  first</w:t>
      </w:r>
      <w:proofErr w:type="gramEnd"/>
      <w:r>
        <w:rPr>
          <w:rFonts w:asciiTheme="minorHAnsi" w:hAnsiTheme="minorHAnsi"/>
          <w:sz w:val="22"/>
          <w:szCs w:val="22"/>
        </w:rPr>
        <w:t xml:space="preserve"> be necessary to set out the potential role for hydrogen in 2050. It would then be necessary to work back from this long-term picture in order to set out the profile for the minimum amount of market development, hydrogen infrastructure development and roll-out of hydrogen technologies over the intervening period.</w:t>
      </w:r>
    </w:p>
    <w:p w14:paraId="214B9D43" w14:textId="77777777" w:rsidR="0086531C" w:rsidRDefault="0086531C" w:rsidP="0086531C">
      <w:pPr>
        <w:spacing w:after="200" w:line="276" w:lineRule="auto"/>
        <w:jc w:val="both"/>
        <w:rPr>
          <w:rFonts w:asciiTheme="minorHAnsi" w:hAnsiTheme="minorHAnsi"/>
          <w:sz w:val="22"/>
          <w:szCs w:val="22"/>
        </w:rPr>
      </w:pPr>
      <w:r>
        <w:rPr>
          <w:rFonts w:asciiTheme="minorHAnsi" w:hAnsiTheme="minorHAnsi"/>
          <w:sz w:val="22"/>
          <w:szCs w:val="22"/>
        </w:rPr>
        <w:lastRenderedPageBreak/>
        <w:t>The consultants will need to agree this 2050 picture with the CCC, in order to ensure that this is consistent with our wider analysis. It may be useful to use our existing 2050 scenarios as a starting point for this</w:t>
      </w:r>
      <w:r w:rsidRPr="009D4172">
        <w:rPr>
          <w:rStyle w:val="FootnoteReference"/>
          <w:rFonts w:asciiTheme="minorHAnsi" w:hAnsiTheme="minorHAnsi"/>
          <w:sz w:val="22"/>
          <w:szCs w:val="22"/>
        </w:rPr>
        <w:footnoteReference w:id="11"/>
      </w:r>
      <w:r>
        <w:rPr>
          <w:rFonts w:asciiTheme="minorHAnsi" w:hAnsiTheme="minorHAnsi"/>
          <w:sz w:val="22"/>
          <w:szCs w:val="22"/>
        </w:rPr>
        <w:t>, although if improvements can be made to the characterisation of the role for hydrogen in these we are open to changes.</w:t>
      </w:r>
    </w:p>
    <w:p w14:paraId="6CDCE5E9" w14:textId="77777777" w:rsidR="0086531C" w:rsidRDefault="0086531C" w:rsidP="0086531C">
      <w:pPr>
        <w:spacing w:after="200" w:line="276" w:lineRule="auto"/>
        <w:jc w:val="both"/>
        <w:rPr>
          <w:rFonts w:asciiTheme="minorHAnsi" w:hAnsiTheme="minorHAnsi"/>
          <w:sz w:val="22"/>
          <w:szCs w:val="22"/>
        </w:rPr>
      </w:pPr>
      <w:r>
        <w:rPr>
          <w:rFonts w:asciiTheme="minorHAnsi" w:hAnsiTheme="minorHAnsi"/>
          <w:sz w:val="22"/>
          <w:szCs w:val="22"/>
        </w:rPr>
        <w:t>The key outputs of these tasks are a quantified timeline to 2035 for deployment of hydrogen technologies by sector, and associated infrastructure, including setting out the emissions savings and effect on consumption of other energy vectors (fossil fuels, electricity) over time.</w:t>
      </w:r>
    </w:p>
    <w:p w14:paraId="716CFBED" w14:textId="77777777" w:rsidR="0086531C" w:rsidRDefault="0086531C" w:rsidP="0086531C">
      <w:pPr>
        <w:spacing w:after="200" w:line="276" w:lineRule="auto"/>
        <w:jc w:val="both"/>
        <w:rPr>
          <w:rFonts w:asciiTheme="minorHAnsi" w:hAnsiTheme="minorHAnsi"/>
          <w:sz w:val="22"/>
          <w:szCs w:val="22"/>
        </w:rPr>
      </w:pPr>
      <w:r>
        <w:rPr>
          <w:rFonts w:asciiTheme="minorHAnsi" w:hAnsiTheme="minorHAnsi"/>
          <w:sz w:val="22"/>
          <w:szCs w:val="22"/>
        </w:rPr>
        <w:t>This should be accompanied by a narrative that sets out how this keeps the option open for the longer term, the rationale for why this is the appropriate degree of action to do so, and identified interactions and synergies between deployment in different sectors (e.g. due to shared infrastructure).</w:t>
      </w:r>
    </w:p>
    <w:p w14:paraId="7D099CAB" w14:textId="77777777" w:rsidR="0086531C" w:rsidRDefault="0086531C" w:rsidP="0086531C">
      <w:pPr>
        <w:spacing w:after="200" w:line="276" w:lineRule="auto"/>
        <w:jc w:val="both"/>
        <w:rPr>
          <w:rFonts w:asciiTheme="minorHAnsi" w:hAnsiTheme="minorHAnsi"/>
          <w:sz w:val="22"/>
          <w:szCs w:val="22"/>
        </w:rPr>
      </w:pPr>
      <w:r>
        <w:rPr>
          <w:rFonts w:asciiTheme="minorHAnsi" w:hAnsiTheme="minorHAnsi"/>
          <w:sz w:val="22"/>
          <w:szCs w:val="22"/>
        </w:rPr>
        <w:t>It should also outline how it interacts with other potential abatement measures (e.g. displacing or facilitating other low-carbon technologies, impact on demand etc.), and give an indication of geographical deployment (e.g. concentration close to particular energy sources or types of demands).</w:t>
      </w:r>
    </w:p>
    <w:p w14:paraId="74CC49C6" w14:textId="77777777" w:rsidR="0086531C" w:rsidRPr="009D4172" w:rsidRDefault="0086531C" w:rsidP="0086531C">
      <w:pPr>
        <w:spacing w:after="200" w:line="276" w:lineRule="auto"/>
        <w:jc w:val="both"/>
        <w:rPr>
          <w:rFonts w:asciiTheme="minorHAnsi" w:hAnsiTheme="minorHAnsi"/>
          <w:sz w:val="22"/>
          <w:szCs w:val="22"/>
        </w:rPr>
      </w:pPr>
      <w:r>
        <w:rPr>
          <w:rFonts w:asciiTheme="minorHAnsi" w:hAnsiTheme="minorHAnsi"/>
          <w:sz w:val="22"/>
          <w:szCs w:val="22"/>
        </w:rPr>
        <w:t>The components of the scenario need not be generated from scratch – the consultants are free to build on existing analysis, where this helps to provide a robust contribution to scenario development.</w:t>
      </w:r>
    </w:p>
    <w:p w14:paraId="5C37224B" w14:textId="77777777" w:rsidR="0086531C" w:rsidRPr="00CC7C5F" w:rsidRDefault="0086531C" w:rsidP="0086531C">
      <w:pPr>
        <w:keepNext/>
        <w:spacing w:after="200" w:line="276" w:lineRule="auto"/>
        <w:jc w:val="both"/>
        <w:rPr>
          <w:rFonts w:asciiTheme="minorHAnsi" w:hAnsiTheme="minorHAnsi"/>
          <w:b/>
          <w:sz w:val="22"/>
          <w:szCs w:val="22"/>
        </w:rPr>
      </w:pPr>
      <w:r w:rsidRPr="00CC7C5F">
        <w:rPr>
          <w:rFonts w:asciiTheme="minorHAnsi" w:hAnsiTheme="minorHAnsi"/>
          <w:b/>
          <w:sz w:val="22"/>
          <w:szCs w:val="22"/>
        </w:rPr>
        <w:t xml:space="preserve">Task </w:t>
      </w:r>
      <w:r>
        <w:rPr>
          <w:rFonts w:asciiTheme="minorHAnsi" w:hAnsiTheme="minorHAnsi"/>
          <w:b/>
          <w:sz w:val="22"/>
          <w:szCs w:val="22"/>
        </w:rPr>
        <w:t>3</w:t>
      </w:r>
      <w:r w:rsidRPr="00CC7C5F">
        <w:rPr>
          <w:rFonts w:asciiTheme="minorHAnsi" w:hAnsiTheme="minorHAnsi"/>
          <w:b/>
          <w:sz w:val="22"/>
          <w:szCs w:val="22"/>
        </w:rPr>
        <w:t>: Full Contribution hydrogen scenario</w:t>
      </w:r>
    </w:p>
    <w:p w14:paraId="4A2B90B4" w14:textId="77777777" w:rsidR="0086531C" w:rsidRPr="00FA74DF" w:rsidRDefault="0086531C" w:rsidP="0086531C">
      <w:pPr>
        <w:spacing w:after="200" w:line="276" w:lineRule="auto"/>
        <w:jc w:val="both"/>
        <w:rPr>
          <w:rFonts w:asciiTheme="minorHAnsi" w:hAnsiTheme="minorHAnsi"/>
          <w:sz w:val="22"/>
          <w:szCs w:val="22"/>
        </w:rPr>
      </w:pPr>
      <w:r>
        <w:rPr>
          <w:rFonts w:asciiTheme="minorHAnsi" w:hAnsiTheme="minorHAnsi"/>
          <w:sz w:val="22"/>
          <w:szCs w:val="22"/>
        </w:rPr>
        <w:t>The role of this scenario is to present a case in which hydrogen technologies make a substantial contribution to decarbonisation over the period to 2035.</w:t>
      </w:r>
    </w:p>
    <w:p w14:paraId="045B3418" w14:textId="77777777" w:rsidR="0086531C" w:rsidRDefault="0086531C" w:rsidP="0086531C">
      <w:pPr>
        <w:spacing w:after="200" w:line="276" w:lineRule="auto"/>
        <w:jc w:val="both"/>
        <w:rPr>
          <w:rFonts w:asciiTheme="minorHAnsi" w:hAnsiTheme="minorHAnsi"/>
          <w:sz w:val="22"/>
          <w:szCs w:val="22"/>
        </w:rPr>
      </w:pPr>
      <w:r w:rsidRPr="00FA74DF">
        <w:rPr>
          <w:rFonts w:asciiTheme="minorHAnsi" w:hAnsiTheme="minorHAnsi"/>
          <w:sz w:val="22"/>
          <w:szCs w:val="22"/>
        </w:rPr>
        <w:t xml:space="preserve">We would not expect the </w:t>
      </w:r>
      <w:r>
        <w:rPr>
          <w:rFonts w:asciiTheme="minorHAnsi" w:hAnsiTheme="minorHAnsi"/>
          <w:sz w:val="22"/>
          <w:szCs w:val="22"/>
        </w:rPr>
        <w:t xml:space="preserve">sectoral </w:t>
      </w:r>
      <w:r w:rsidRPr="00FA74DF">
        <w:rPr>
          <w:rFonts w:asciiTheme="minorHAnsi" w:hAnsiTheme="minorHAnsi"/>
          <w:sz w:val="22"/>
          <w:szCs w:val="22"/>
        </w:rPr>
        <w:t xml:space="preserve">emissions </w:t>
      </w:r>
      <w:r>
        <w:rPr>
          <w:rFonts w:asciiTheme="minorHAnsi" w:hAnsiTheme="minorHAnsi"/>
          <w:sz w:val="22"/>
          <w:szCs w:val="22"/>
        </w:rPr>
        <w:t xml:space="preserve">reductions </w:t>
      </w:r>
      <w:r w:rsidRPr="00FA74DF">
        <w:rPr>
          <w:rFonts w:asciiTheme="minorHAnsi" w:hAnsiTheme="minorHAnsi"/>
          <w:sz w:val="22"/>
          <w:szCs w:val="22"/>
        </w:rPr>
        <w:t>from hydrogen technologies in this scenario to go beyond those in our Central scenario</w:t>
      </w:r>
      <w:r>
        <w:rPr>
          <w:rFonts w:asciiTheme="minorHAnsi" w:hAnsiTheme="minorHAnsi"/>
          <w:sz w:val="22"/>
          <w:szCs w:val="22"/>
        </w:rPr>
        <w:t>, which is expected to be similar to scenarios to 2030 in our previous carbon budget reports in 2010 and 2013</w:t>
      </w:r>
      <w:r w:rsidRPr="009D4172">
        <w:rPr>
          <w:rStyle w:val="FootnoteReference"/>
          <w:rFonts w:asciiTheme="minorHAnsi" w:hAnsiTheme="minorHAnsi"/>
          <w:sz w:val="22"/>
          <w:szCs w:val="22"/>
        </w:rPr>
        <w:footnoteReference w:id="12"/>
      </w:r>
      <w:r>
        <w:rPr>
          <w:rFonts w:asciiTheme="minorHAnsi" w:hAnsiTheme="minorHAnsi"/>
          <w:sz w:val="22"/>
          <w:szCs w:val="22"/>
        </w:rPr>
        <w:t>. It may be that it is not feasible, at least in some sectors, for emissions reductions to match those in our other scenarios – in this case the scenario should go as far as feasible, which can then be supplemented by non-hydrogen measures.</w:t>
      </w:r>
    </w:p>
    <w:p w14:paraId="39EA2302" w14:textId="77777777" w:rsidR="0086531C" w:rsidRDefault="0086531C" w:rsidP="0086531C">
      <w:pPr>
        <w:spacing w:after="200" w:line="276" w:lineRule="auto"/>
        <w:jc w:val="both"/>
        <w:rPr>
          <w:rFonts w:asciiTheme="minorHAnsi" w:hAnsiTheme="minorHAnsi"/>
          <w:sz w:val="22"/>
          <w:szCs w:val="22"/>
        </w:rPr>
      </w:pPr>
      <w:r>
        <w:rPr>
          <w:rFonts w:asciiTheme="minorHAnsi" w:hAnsiTheme="minorHAnsi"/>
          <w:sz w:val="22"/>
          <w:szCs w:val="22"/>
        </w:rPr>
        <w:t>A key issue in the development of this scenario surrounds the future of the gas grid. Consultants should take a view on whether and how the gas grid can be used to support deployment of hydrogen within this scenario. As this is an important determinant of the pattern of hydrogen deployment within the scenario, this assumption should be agreed with CCC early in the scenario development process.</w:t>
      </w:r>
    </w:p>
    <w:p w14:paraId="664DD698" w14:textId="77777777" w:rsidR="0086531C" w:rsidRPr="00FA74DF" w:rsidRDefault="0086531C" w:rsidP="0086531C">
      <w:pPr>
        <w:spacing w:after="200" w:line="276" w:lineRule="auto"/>
        <w:jc w:val="both"/>
        <w:rPr>
          <w:rFonts w:asciiTheme="minorHAnsi" w:hAnsiTheme="minorHAnsi"/>
          <w:sz w:val="22"/>
          <w:szCs w:val="22"/>
        </w:rPr>
      </w:pPr>
      <w:r>
        <w:rPr>
          <w:rFonts w:asciiTheme="minorHAnsi" w:hAnsiTheme="minorHAnsi"/>
          <w:sz w:val="22"/>
          <w:szCs w:val="22"/>
        </w:rPr>
        <w:t>While this Task is more focused on the period to 2035 than to 2050, it should also consider the period post-2035 and, at a high level, what the overall contribution of hydrogen could be by 2050.</w:t>
      </w:r>
    </w:p>
    <w:p w14:paraId="532E8160" w14:textId="77777777" w:rsidR="0086531C" w:rsidRDefault="0086531C" w:rsidP="0086531C">
      <w:pPr>
        <w:spacing w:after="200" w:line="276" w:lineRule="auto"/>
        <w:jc w:val="both"/>
        <w:rPr>
          <w:rFonts w:asciiTheme="minorHAnsi" w:hAnsiTheme="minorHAnsi"/>
          <w:sz w:val="22"/>
          <w:szCs w:val="22"/>
        </w:rPr>
      </w:pPr>
      <w:r>
        <w:rPr>
          <w:rFonts w:asciiTheme="minorHAnsi" w:hAnsiTheme="minorHAnsi"/>
          <w:sz w:val="22"/>
          <w:szCs w:val="22"/>
        </w:rPr>
        <w:lastRenderedPageBreak/>
        <w:t xml:space="preserve">The key outputs of this Task are a quantified timeline </w:t>
      </w:r>
      <w:r w:rsidRPr="00194D0E">
        <w:rPr>
          <w:rFonts w:asciiTheme="minorHAnsi" w:hAnsiTheme="minorHAnsi"/>
          <w:color w:val="000000" w:themeColor="text1"/>
          <w:sz w:val="22"/>
          <w:szCs w:val="22"/>
        </w:rPr>
        <w:t xml:space="preserve">to 2035 </w:t>
      </w:r>
      <w:r>
        <w:rPr>
          <w:rFonts w:asciiTheme="minorHAnsi" w:hAnsiTheme="minorHAnsi"/>
          <w:sz w:val="22"/>
          <w:szCs w:val="22"/>
        </w:rPr>
        <w:t>for deployment of hydrogen technologies by sector, and associated infrastructure, including setting out the emissions savings and effect on consumption of other energy vectors (fossil fuels, electricity) over time.</w:t>
      </w:r>
    </w:p>
    <w:p w14:paraId="3A2618E4" w14:textId="77777777" w:rsidR="0086531C" w:rsidRDefault="0086531C" w:rsidP="0086531C">
      <w:pPr>
        <w:spacing w:after="200" w:line="276" w:lineRule="auto"/>
        <w:jc w:val="both"/>
        <w:rPr>
          <w:rFonts w:asciiTheme="minorHAnsi" w:hAnsiTheme="minorHAnsi"/>
          <w:sz w:val="22"/>
          <w:szCs w:val="22"/>
        </w:rPr>
      </w:pPr>
      <w:r>
        <w:rPr>
          <w:rFonts w:asciiTheme="minorHAnsi" w:hAnsiTheme="minorHAnsi"/>
          <w:sz w:val="22"/>
          <w:szCs w:val="22"/>
        </w:rPr>
        <w:t>This should include a justification for why this level of deployment is feasible and potentially a cost-effective approach to decarbonisation. This should also be accompanied by a narrative that identifies interactions and synergies between deployment in different sectors (e.g. due to shared infrastructure).</w:t>
      </w:r>
    </w:p>
    <w:p w14:paraId="6295B493" w14:textId="77777777" w:rsidR="0086531C" w:rsidRDefault="0086531C" w:rsidP="0086531C">
      <w:pPr>
        <w:spacing w:after="200" w:line="276" w:lineRule="auto"/>
        <w:jc w:val="both"/>
        <w:rPr>
          <w:rFonts w:asciiTheme="minorHAnsi" w:hAnsiTheme="minorHAnsi"/>
          <w:sz w:val="22"/>
          <w:szCs w:val="22"/>
        </w:rPr>
      </w:pPr>
      <w:r>
        <w:rPr>
          <w:rFonts w:asciiTheme="minorHAnsi" w:hAnsiTheme="minorHAnsi"/>
          <w:sz w:val="22"/>
          <w:szCs w:val="22"/>
        </w:rPr>
        <w:t>It should also outline how it interacts with other potential abatement measures (e.g. displacing or facilitating other low-carbon technologies, impact on demand etc.), and give an indication of geographical deployment (e.g. concentration close to particular energy sources or types of demands).</w:t>
      </w:r>
    </w:p>
    <w:p w14:paraId="243D4BC3" w14:textId="77777777" w:rsidR="0086531C" w:rsidRPr="009D4172" w:rsidRDefault="0086531C" w:rsidP="0086531C">
      <w:pPr>
        <w:spacing w:after="200" w:line="276" w:lineRule="auto"/>
        <w:jc w:val="both"/>
        <w:rPr>
          <w:rFonts w:asciiTheme="minorHAnsi" w:hAnsiTheme="minorHAnsi"/>
          <w:sz w:val="22"/>
          <w:szCs w:val="22"/>
        </w:rPr>
      </w:pPr>
      <w:r>
        <w:rPr>
          <w:rFonts w:asciiTheme="minorHAnsi" w:hAnsiTheme="minorHAnsi"/>
          <w:sz w:val="22"/>
          <w:szCs w:val="22"/>
        </w:rPr>
        <w:t>Again, the components of the scenario need not be generated from scratch – the consultants are free to build on existing analysis, where this helps to provide a robust contribution to scenario development.</w:t>
      </w:r>
    </w:p>
    <w:p w14:paraId="5E9041F1" w14:textId="77777777" w:rsidR="0086531C" w:rsidRPr="009D4172" w:rsidRDefault="0086531C" w:rsidP="0086531C">
      <w:pPr>
        <w:keepNext/>
        <w:spacing w:after="200" w:line="276" w:lineRule="auto"/>
        <w:jc w:val="both"/>
        <w:rPr>
          <w:rFonts w:asciiTheme="minorHAnsi" w:hAnsiTheme="minorHAnsi"/>
          <w:b/>
          <w:sz w:val="22"/>
          <w:szCs w:val="22"/>
        </w:rPr>
      </w:pPr>
      <w:r w:rsidRPr="009D4172">
        <w:rPr>
          <w:rFonts w:asciiTheme="minorHAnsi" w:hAnsiTheme="minorHAnsi"/>
          <w:b/>
          <w:sz w:val="22"/>
          <w:szCs w:val="22"/>
        </w:rPr>
        <w:t xml:space="preserve">Task 4: </w:t>
      </w:r>
      <w:r w:rsidRPr="00DD4143">
        <w:rPr>
          <w:rFonts w:asciiTheme="minorHAnsi" w:hAnsiTheme="minorHAnsi"/>
          <w:b/>
          <w:sz w:val="22"/>
          <w:szCs w:val="22"/>
        </w:rPr>
        <w:t>Strategic consideration of hydrogen pathways</w:t>
      </w:r>
    </w:p>
    <w:p w14:paraId="5F3EAD0A" w14:textId="77777777" w:rsidR="0086531C" w:rsidRDefault="0086531C" w:rsidP="0086531C">
      <w:pPr>
        <w:spacing w:after="200" w:line="276" w:lineRule="auto"/>
        <w:jc w:val="both"/>
        <w:rPr>
          <w:rFonts w:asciiTheme="minorHAnsi" w:hAnsiTheme="minorHAnsi"/>
          <w:sz w:val="22"/>
          <w:szCs w:val="22"/>
        </w:rPr>
      </w:pPr>
      <w:r>
        <w:rPr>
          <w:rFonts w:asciiTheme="minorHAnsi" w:hAnsiTheme="minorHAnsi"/>
          <w:sz w:val="22"/>
          <w:szCs w:val="22"/>
        </w:rPr>
        <w:t>This task builds on the Full Contribution and Critical Path scenarios, to pull out the strategic considerations around how to approach the roles for hydrogen over the period to 2035.</w:t>
      </w:r>
    </w:p>
    <w:p w14:paraId="02814775" w14:textId="77777777" w:rsidR="0086531C" w:rsidRDefault="0086531C" w:rsidP="0086531C">
      <w:pPr>
        <w:spacing w:after="200" w:line="276" w:lineRule="auto"/>
        <w:jc w:val="both"/>
        <w:rPr>
          <w:rFonts w:asciiTheme="minorHAnsi" w:hAnsiTheme="minorHAnsi"/>
          <w:sz w:val="22"/>
          <w:szCs w:val="22"/>
        </w:rPr>
      </w:pPr>
      <w:r>
        <w:rPr>
          <w:rFonts w:asciiTheme="minorHAnsi" w:hAnsiTheme="minorHAnsi"/>
          <w:sz w:val="22"/>
          <w:szCs w:val="22"/>
        </w:rPr>
        <w:t>It should identify any no-regrets actions, together with the key factors on which more ambitious action depend (e.g. costs, technology performance, infrastructure and consumer acceptability, both for hydrogen technologies and competing alternatives).</w:t>
      </w:r>
    </w:p>
    <w:p w14:paraId="349EF96B" w14:textId="77777777" w:rsidR="0086531C" w:rsidRDefault="0086531C" w:rsidP="0086531C">
      <w:pPr>
        <w:spacing w:after="200" w:line="276" w:lineRule="auto"/>
        <w:jc w:val="both"/>
        <w:rPr>
          <w:rFonts w:asciiTheme="minorHAnsi" w:hAnsiTheme="minorHAnsi"/>
          <w:sz w:val="22"/>
          <w:szCs w:val="22"/>
        </w:rPr>
      </w:pPr>
      <w:r>
        <w:rPr>
          <w:rFonts w:asciiTheme="minorHAnsi" w:hAnsiTheme="minorHAnsi"/>
          <w:sz w:val="22"/>
          <w:szCs w:val="22"/>
        </w:rPr>
        <w:t>This should take into account:</w:t>
      </w:r>
    </w:p>
    <w:p w14:paraId="51D35444" w14:textId="77777777" w:rsidR="0086531C" w:rsidRDefault="0086531C" w:rsidP="0086531C">
      <w:pPr>
        <w:pStyle w:val="ListParagraph"/>
        <w:numPr>
          <w:ilvl w:val="0"/>
          <w:numId w:val="13"/>
        </w:numPr>
        <w:contextualSpacing w:val="0"/>
        <w:jc w:val="both"/>
        <w:rPr>
          <w:rFonts w:asciiTheme="minorHAnsi" w:hAnsiTheme="minorHAnsi"/>
        </w:rPr>
      </w:pPr>
      <w:r w:rsidRPr="00C64589">
        <w:rPr>
          <w:rFonts w:asciiTheme="minorHAnsi" w:hAnsiTheme="minorHAnsi"/>
        </w:rPr>
        <w:t>the interactions between hydrogen deployment across sectors identified</w:t>
      </w:r>
      <w:r>
        <w:rPr>
          <w:rFonts w:asciiTheme="minorHAnsi" w:hAnsiTheme="minorHAnsi"/>
        </w:rPr>
        <w:t xml:space="preserve"> in Tasks 2 and 3;</w:t>
      </w:r>
    </w:p>
    <w:p w14:paraId="33548FBE" w14:textId="77777777" w:rsidR="0086531C" w:rsidRDefault="0086531C" w:rsidP="0086531C">
      <w:pPr>
        <w:pStyle w:val="ListParagraph"/>
        <w:numPr>
          <w:ilvl w:val="0"/>
          <w:numId w:val="13"/>
        </w:numPr>
        <w:contextualSpacing w:val="0"/>
        <w:jc w:val="both"/>
        <w:rPr>
          <w:rFonts w:asciiTheme="minorHAnsi" w:hAnsiTheme="minorHAnsi"/>
        </w:rPr>
      </w:pPr>
      <w:r>
        <w:rPr>
          <w:rFonts w:asciiTheme="minorHAnsi" w:hAnsiTheme="minorHAnsi"/>
        </w:rPr>
        <w:t>the expectation that information will gradually emerge over the prospects of options for decarbonisation, both hydrogen technologies and alternatives</w:t>
      </w:r>
    </w:p>
    <w:p w14:paraId="4E1B3A19" w14:textId="77777777" w:rsidR="0086531C" w:rsidRDefault="0086531C" w:rsidP="0086531C">
      <w:pPr>
        <w:pStyle w:val="ListParagraph"/>
        <w:numPr>
          <w:ilvl w:val="0"/>
          <w:numId w:val="13"/>
        </w:numPr>
        <w:contextualSpacing w:val="0"/>
        <w:jc w:val="both"/>
        <w:rPr>
          <w:rFonts w:asciiTheme="minorHAnsi" w:hAnsiTheme="minorHAnsi"/>
        </w:rPr>
      </w:pPr>
      <w:r>
        <w:rPr>
          <w:rFonts w:asciiTheme="minorHAnsi" w:hAnsiTheme="minorHAnsi"/>
        </w:rPr>
        <w:t>lead-times for hydrogen market development and infrastructure development</w:t>
      </w:r>
    </w:p>
    <w:p w14:paraId="0590B544" w14:textId="77777777" w:rsidR="0086531C" w:rsidRDefault="0086531C" w:rsidP="0086531C">
      <w:pPr>
        <w:spacing w:after="200" w:line="276" w:lineRule="auto"/>
        <w:jc w:val="both"/>
        <w:rPr>
          <w:rFonts w:asciiTheme="minorHAnsi" w:hAnsiTheme="minorHAnsi"/>
          <w:sz w:val="22"/>
          <w:szCs w:val="22"/>
        </w:rPr>
      </w:pPr>
      <w:r>
        <w:rPr>
          <w:rFonts w:asciiTheme="minorHAnsi" w:hAnsiTheme="minorHAnsi"/>
          <w:sz w:val="22"/>
          <w:szCs w:val="22"/>
        </w:rPr>
        <w:t>In particular this task should identify decision points over the roles and level of ambition for hydrogen technologies, together with the relevant considerations in making these decisions. It should assess which aspects of the potential roles for hydrogen should be regarded as part of ‘Plan A’ for decarbonisation, should be ‘Plan B’ (triggered under what circumstances) or part of a portfolio approach to decarbonisation.</w:t>
      </w:r>
    </w:p>
    <w:p w14:paraId="1B869F90" w14:textId="77777777" w:rsidR="0086531C" w:rsidRPr="009D4172" w:rsidRDefault="0086531C" w:rsidP="0086531C">
      <w:pPr>
        <w:spacing w:after="200" w:line="276" w:lineRule="auto"/>
        <w:jc w:val="both"/>
        <w:rPr>
          <w:rFonts w:asciiTheme="minorHAnsi" w:hAnsiTheme="minorHAnsi"/>
          <w:b/>
          <w:sz w:val="22"/>
          <w:szCs w:val="22"/>
        </w:rPr>
      </w:pPr>
      <w:r w:rsidRPr="009D4172">
        <w:rPr>
          <w:rFonts w:asciiTheme="minorHAnsi" w:hAnsiTheme="minorHAnsi"/>
          <w:b/>
          <w:sz w:val="22"/>
          <w:szCs w:val="22"/>
        </w:rPr>
        <w:t xml:space="preserve">Task </w:t>
      </w:r>
      <w:r>
        <w:rPr>
          <w:rFonts w:asciiTheme="minorHAnsi" w:hAnsiTheme="minorHAnsi"/>
          <w:b/>
          <w:sz w:val="22"/>
          <w:szCs w:val="22"/>
        </w:rPr>
        <w:t>5</w:t>
      </w:r>
      <w:r w:rsidRPr="009D4172">
        <w:rPr>
          <w:rFonts w:asciiTheme="minorHAnsi" w:hAnsiTheme="minorHAnsi"/>
          <w:b/>
          <w:sz w:val="22"/>
          <w:szCs w:val="22"/>
        </w:rPr>
        <w:t xml:space="preserve">: </w:t>
      </w:r>
      <w:r>
        <w:rPr>
          <w:rFonts w:asciiTheme="minorHAnsi" w:hAnsiTheme="minorHAnsi"/>
          <w:b/>
          <w:sz w:val="22"/>
          <w:szCs w:val="22"/>
        </w:rPr>
        <w:t>Costing of the Full Contribution and Critical Path scenarios</w:t>
      </w:r>
    </w:p>
    <w:p w14:paraId="16A41116" w14:textId="77777777" w:rsidR="0086531C" w:rsidRDefault="0086531C" w:rsidP="0086531C">
      <w:pPr>
        <w:spacing w:after="200" w:line="276" w:lineRule="auto"/>
        <w:jc w:val="both"/>
        <w:rPr>
          <w:sz w:val="22"/>
          <w:szCs w:val="22"/>
        </w:rPr>
      </w:pPr>
      <w:r w:rsidRPr="00FA74DF">
        <w:rPr>
          <w:sz w:val="22"/>
          <w:szCs w:val="22"/>
        </w:rPr>
        <w:t xml:space="preserve">This optional, additional Task (which should be </w:t>
      </w:r>
      <w:r>
        <w:rPr>
          <w:sz w:val="22"/>
          <w:szCs w:val="22"/>
        </w:rPr>
        <w:t>priced</w:t>
      </w:r>
      <w:r w:rsidRPr="00FA74DF">
        <w:rPr>
          <w:sz w:val="22"/>
          <w:szCs w:val="22"/>
        </w:rPr>
        <w:t xml:space="preserve"> separately), provides costings</w:t>
      </w:r>
      <w:r>
        <w:rPr>
          <w:sz w:val="22"/>
          <w:szCs w:val="22"/>
        </w:rPr>
        <w:t xml:space="preserve"> to 2035</w:t>
      </w:r>
      <w:r w:rsidRPr="00FA74DF">
        <w:rPr>
          <w:sz w:val="22"/>
          <w:szCs w:val="22"/>
        </w:rPr>
        <w:t xml:space="preserve"> for the Critical Path and Full Contribution </w:t>
      </w:r>
      <w:r>
        <w:rPr>
          <w:sz w:val="22"/>
          <w:szCs w:val="22"/>
        </w:rPr>
        <w:t>scenarios developed in Tasks 2 and 3.</w:t>
      </w:r>
    </w:p>
    <w:p w14:paraId="2F302E31" w14:textId="77777777" w:rsidR="0086531C" w:rsidRDefault="0086531C" w:rsidP="0086531C">
      <w:pPr>
        <w:spacing w:after="200" w:line="276" w:lineRule="auto"/>
        <w:jc w:val="both"/>
        <w:rPr>
          <w:rFonts w:asciiTheme="minorHAnsi" w:hAnsiTheme="minorHAnsi"/>
          <w:sz w:val="22"/>
          <w:szCs w:val="22"/>
        </w:rPr>
      </w:pPr>
      <w:r>
        <w:rPr>
          <w:rFonts w:asciiTheme="minorHAnsi" w:hAnsiTheme="minorHAnsi"/>
          <w:sz w:val="22"/>
          <w:szCs w:val="22"/>
        </w:rPr>
        <w:t xml:space="preserve">This costing should cover the costs of deploying hydrogen technologies and accompanying infrastructure at the levels specified in </w:t>
      </w:r>
      <w:proofErr w:type="gramStart"/>
      <w:r>
        <w:rPr>
          <w:rFonts w:asciiTheme="minorHAnsi" w:hAnsiTheme="minorHAnsi"/>
          <w:sz w:val="22"/>
          <w:szCs w:val="22"/>
        </w:rPr>
        <w:t>the these</w:t>
      </w:r>
      <w:proofErr w:type="gramEnd"/>
      <w:r>
        <w:rPr>
          <w:rFonts w:asciiTheme="minorHAnsi" w:hAnsiTheme="minorHAnsi"/>
          <w:sz w:val="22"/>
          <w:szCs w:val="22"/>
        </w:rPr>
        <w:t xml:space="preserve"> scenarios, including anticipated cost reductions over time. These costs will need to be calculated relative to a counterfactual technology (which will </w:t>
      </w:r>
      <w:r>
        <w:rPr>
          <w:rFonts w:asciiTheme="minorHAnsi" w:hAnsiTheme="minorHAnsi"/>
          <w:sz w:val="22"/>
          <w:szCs w:val="22"/>
        </w:rPr>
        <w:lastRenderedPageBreak/>
        <w:t xml:space="preserve">generally be higher carbon, e.g. a </w:t>
      </w:r>
      <w:proofErr w:type="spellStart"/>
      <w:r>
        <w:rPr>
          <w:rFonts w:asciiTheme="minorHAnsi" w:hAnsiTheme="minorHAnsi"/>
          <w:sz w:val="22"/>
          <w:szCs w:val="22"/>
        </w:rPr>
        <w:t>petrol</w:t>
      </w:r>
      <w:proofErr w:type="spellEnd"/>
      <w:r>
        <w:rPr>
          <w:rFonts w:asciiTheme="minorHAnsi" w:hAnsiTheme="minorHAnsi"/>
          <w:sz w:val="22"/>
          <w:szCs w:val="22"/>
        </w:rPr>
        <w:t xml:space="preserve"> car or a gas boiler) – the CCC will provide assumptions on the identities and costs of these counterfactual technologies.</w:t>
      </w:r>
    </w:p>
    <w:p w14:paraId="6668E64A" w14:textId="77777777" w:rsidR="0086531C" w:rsidRDefault="0086531C" w:rsidP="0086531C">
      <w:pPr>
        <w:keepNext/>
        <w:spacing w:after="200" w:line="276" w:lineRule="auto"/>
        <w:jc w:val="both"/>
        <w:rPr>
          <w:rFonts w:asciiTheme="minorHAnsi" w:hAnsiTheme="minorHAnsi"/>
          <w:sz w:val="22"/>
          <w:szCs w:val="22"/>
        </w:rPr>
      </w:pPr>
      <w:r>
        <w:rPr>
          <w:rFonts w:asciiTheme="minorHAnsi" w:hAnsiTheme="minorHAnsi"/>
          <w:sz w:val="22"/>
          <w:szCs w:val="22"/>
        </w:rPr>
        <w:t>A spreadsheet should be provided, including:</w:t>
      </w:r>
    </w:p>
    <w:p w14:paraId="61579293" w14:textId="77777777" w:rsidR="0086531C" w:rsidRDefault="0086531C" w:rsidP="0086531C">
      <w:pPr>
        <w:pStyle w:val="ListParagraph"/>
        <w:numPr>
          <w:ilvl w:val="0"/>
          <w:numId w:val="14"/>
        </w:numPr>
        <w:contextualSpacing w:val="0"/>
        <w:jc w:val="both"/>
        <w:rPr>
          <w:rFonts w:asciiTheme="minorHAnsi" w:hAnsiTheme="minorHAnsi"/>
        </w:rPr>
      </w:pPr>
      <w:r>
        <w:rPr>
          <w:rFonts w:asciiTheme="minorHAnsi" w:hAnsiTheme="minorHAnsi"/>
        </w:rPr>
        <w:t>Overall scenario costs relative to a scenario without hydrogen</w:t>
      </w:r>
    </w:p>
    <w:p w14:paraId="779F0E9B" w14:textId="77777777" w:rsidR="0086531C" w:rsidRDefault="0086531C" w:rsidP="0086531C">
      <w:pPr>
        <w:pStyle w:val="ListParagraph"/>
        <w:numPr>
          <w:ilvl w:val="0"/>
          <w:numId w:val="14"/>
        </w:numPr>
        <w:contextualSpacing w:val="0"/>
        <w:jc w:val="both"/>
        <w:rPr>
          <w:rFonts w:asciiTheme="minorHAnsi" w:hAnsiTheme="minorHAnsi"/>
        </w:rPr>
      </w:pPr>
      <w:r w:rsidRPr="00DE6590">
        <w:rPr>
          <w:rFonts w:asciiTheme="minorHAnsi" w:hAnsiTheme="minorHAnsi"/>
        </w:rPr>
        <w:t xml:space="preserve">Costs </w:t>
      </w:r>
      <w:r>
        <w:rPr>
          <w:rFonts w:asciiTheme="minorHAnsi" w:hAnsiTheme="minorHAnsi"/>
        </w:rPr>
        <w:t xml:space="preserve">of individual technologies </w:t>
      </w:r>
      <w:r w:rsidRPr="00DE6590">
        <w:rPr>
          <w:rFonts w:asciiTheme="minorHAnsi" w:hAnsiTheme="minorHAnsi"/>
        </w:rPr>
        <w:t>separated into capital costs, operation and maintenance and energy costs, with hydrogen supply a</w:t>
      </w:r>
      <w:r>
        <w:rPr>
          <w:rFonts w:asciiTheme="minorHAnsi" w:hAnsiTheme="minorHAnsi"/>
        </w:rPr>
        <w:t>nd end-use presented separately</w:t>
      </w:r>
    </w:p>
    <w:p w14:paraId="2C003E28" w14:textId="77777777" w:rsidR="0086531C" w:rsidRDefault="0086531C" w:rsidP="0086531C">
      <w:pPr>
        <w:pStyle w:val="ListParagraph"/>
        <w:numPr>
          <w:ilvl w:val="0"/>
          <w:numId w:val="14"/>
        </w:numPr>
        <w:contextualSpacing w:val="0"/>
        <w:jc w:val="both"/>
        <w:rPr>
          <w:rFonts w:asciiTheme="minorHAnsi" w:hAnsiTheme="minorHAnsi"/>
        </w:rPr>
      </w:pPr>
      <w:r>
        <w:rPr>
          <w:rFonts w:asciiTheme="minorHAnsi" w:hAnsiTheme="minorHAnsi"/>
        </w:rPr>
        <w:t>Technology performance parameters – lifetimes, efficiencies and other relevant characteristics (e.g. CO</w:t>
      </w:r>
      <w:r w:rsidRPr="00DE6590">
        <w:rPr>
          <w:rFonts w:asciiTheme="minorHAnsi" w:hAnsiTheme="minorHAnsi"/>
          <w:vertAlign w:val="subscript"/>
        </w:rPr>
        <w:t>2</w:t>
      </w:r>
      <w:r>
        <w:rPr>
          <w:rFonts w:asciiTheme="minorHAnsi" w:hAnsiTheme="minorHAnsi"/>
        </w:rPr>
        <w:t xml:space="preserve"> capture rate for CCS)</w:t>
      </w:r>
    </w:p>
    <w:p w14:paraId="205D4319" w14:textId="77777777" w:rsidR="0086531C" w:rsidRDefault="0086531C" w:rsidP="0086531C">
      <w:pPr>
        <w:spacing w:after="200" w:line="276" w:lineRule="auto"/>
        <w:jc w:val="both"/>
        <w:rPr>
          <w:rFonts w:asciiTheme="minorHAnsi" w:hAnsiTheme="minorHAnsi"/>
          <w:sz w:val="22"/>
          <w:szCs w:val="22"/>
        </w:rPr>
      </w:pPr>
      <w:r>
        <w:rPr>
          <w:rFonts w:asciiTheme="minorHAnsi" w:hAnsiTheme="minorHAnsi"/>
          <w:sz w:val="22"/>
          <w:szCs w:val="22"/>
        </w:rPr>
        <w:t>Where infrastructure is deployed in the period to 2035 in order to support deployment later on, the full cost should be included in the calculations, together with an indication of the utilisation of this capacity over the period to 2035.</w:t>
      </w:r>
    </w:p>
    <w:p w14:paraId="5EA8755B" w14:textId="77777777" w:rsidR="007963DA" w:rsidRDefault="007963DA" w:rsidP="007963DA">
      <w:pPr>
        <w:pStyle w:val="Norma"/>
      </w:pPr>
    </w:p>
    <w:p w14:paraId="5EA8755E" w14:textId="77777777" w:rsidR="0034658D" w:rsidRDefault="0034658D" w:rsidP="004676C3">
      <w:pPr>
        <w:pStyle w:val="Heading1"/>
        <w:numPr>
          <w:ilvl w:val="0"/>
          <w:numId w:val="1"/>
        </w:numPr>
        <w:rPr>
          <w:rFonts w:ascii="Arial" w:hAnsi="Arial" w:cs="Arial"/>
          <w:sz w:val="24"/>
          <w:szCs w:val="24"/>
        </w:rPr>
      </w:pPr>
      <w:bookmarkStart w:id="18" w:name="_Ref357541705"/>
      <w:bookmarkStart w:id="19" w:name="_Toc381969510"/>
      <w:bookmarkStart w:id="20" w:name="_Toc405888459"/>
      <w:bookmarkStart w:id="21" w:name="_Toc417546763"/>
      <w:r w:rsidRPr="002D32D5">
        <w:rPr>
          <w:rFonts w:ascii="Arial" w:hAnsi="Arial" w:cs="Arial"/>
          <w:sz w:val="24"/>
          <w:szCs w:val="24"/>
        </w:rPr>
        <w:t xml:space="preserve">Outputs </w:t>
      </w:r>
      <w:r w:rsidR="00104197" w:rsidRPr="002D32D5">
        <w:rPr>
          <w:rFonts w:ascii="Arial" w:hAnsi="Arial" w:cs="Arial"/>
          <w:sz w:val="24"/>
          <w:szCs w:val="24"/>
        </w:rPr>
        <w:t>Required</w:t>
      </w:r>
      <w:bookmarkEnd w:id="18"/>
      <w:bookmarkEnd w:id="19"/>
      <w:bookmarkEnd w:id="20"/>
      <w:bookmarkEnd w:id="21"/>
    </w:p>
    <w:p w14:paraId="69074535" w14:textId="77777777" w:rsidR="00AC0399" w:rsidRPr="00AC0399" w:rsidRDefault="00AC0399" w:rsidP="00AC0399">
      <w:pPr>
        <w:pStyle w:val="Norma"/>
      </w:pPr>
    </w:p>
    <w:p w14:paraId="559F16FC" w14:textId="77777777" w:rsidR="0086531C" w:rsidRPr="0007021B" w:rsidRDefault="0086531C" w:rsidP="0086531C">
      <w:pPr>
        <w:keepNext/>
        <w:rPr>
          <w:i/>
          <w:color w:val="FF0000"/>
          <w:sz w:val="22"/>
          <w:szCs w:val="22"/>
        </w:rPr>
      </w:pPr>
      <w:r w:rsidRPr="0007021B">
        <w:rPr>
          <w:sz w:val="22"/>
          <w:szCs w:val="22"/>
        </w:rPr>
        <w:t>The deliverables from this assignment will be:</w:t>
      </w:r>
    </w:p>
    <w:p w14:paraId="534191DF" w14:textId="77777777" w:rsidR="0086531C" w:rsidRPr="0007021B" w:rsidRDefault="0086531C" w:rsidP="0086531C">
      <w:pPr>
        <w:keepNext/>
        <w:rPr>
          <w:i/>
          <w:color w:val="FF0000"/>
          <w:sz w:val="22"/>
          <w:szCs w:val="22"/>
        </w:rPr>
      </w:pPr>
    </w:p>
    <w:p w14:paraId="1585E710" w14:textId="77777777" w:rsidR="0086531C" w:rsidRPr="0007021B" w:rsidRDefault="0086531C" w:rsidP="0086531C">
      <w:pPr>
        <w:pStyle w:val="ListParagraph"/>
        <w:keepNext/>
        <w:numPr>
          <w:ilvl w:val="0"/>
          <w:numId w:val="7"/>
        </w:numPr>
        <w:spacing w:after="120"/>
        <w:ind w:left="360" w:hanging="357"/>
        <w:contextualSpacing w:val="0"/>
        <w:jc w:val="both"/>
        <w:rPr>
          <w:rFonts w:asciiTheme="minorHAnsi" w:hAnsiTheme="minorHAnsi"/>
        </w:rPr>
      </w:pPr>
      <w:r w:rsidRPr="0007021B">
        <w:rPr>
          <w:rFonts w:asciiTheme="minorHAnsi" w:hAnsiTheme="minorHAnsi"/>
        </w:rPr>
        <w:t>A report setting out the findings of</w:t>
      </w:r>
      <w:r>
        <w:rPr>
          <w:rFonts w:asciiTheme="minorHAnsi" w:hAnsiTheme="minorHAnsi"/>
        </w:rPr>
        <w:t xml:space="preserve"> all</w:t>
      </w:r>
      <w:r w:rsidRPr="0007021B">
        <w:rPr>
          <w:rFonts w:asciiTheme="minorHAnsi" w:hAnsiTheme="minorHAnsi"/>
        </w:rPr>
        <w:t xml:space="preserve"> Tasks</w:t>
      </w:r>
      <w:r>
        <w:rPr>
          <w:rFonts w:asciiTheme="minorHAnsi" w:hAnsiTheme="minorHAnsi"/>
        </w:rPr>
        <w:t>,</w:t>
      </w:r>
      <w:r w:rsidRPr="0007021B">
        <w:rPr>
          <w:rFonts w:asciiTheme="minorHAnsi" w:hAnsiTheme="minorHAnsi"/>
        </w:rPr>
        <w:t xml:space="preserve"> i.e.:</w:t>
      </w:r>
    </w:p>
    <w:p w14:paraId="4CFE1C7D" w14:textId="77777777" w:rsidR="0086531C" w:rsidRPr="00DD4143" w:rsidRDefault="0086531C" w:rsidP="0086531C">
      <w:pPr>
        <w:pStyle w:val="ListParagraph"/>
        <w:keepNext/>
        <w:numPr>
          <w:ilvl w:val="1"/>
          <w:numId w:val="8"/>
        </w:numPr>
        <w:spacing w:after="120"/>
        <w:ind w:left="1080" w:hanging="357"/>
        <w:contextualSpacing w:val="0"/>
        <w:jc w:val="both"/>
        <w:rPr>
          <w:rFonts w:asciiTheme="minorHAnsi" w:hAnsiTheme="minorHAnsi"/>
        </w:rPr>
      </w:pPr>
      <w:r>
        <w:rPr>
          <w:rFonts w:asciiTheme="minorHAnsi" w:hAnsiTheme="minorHAnsi"/>
        </w:rPr>
        <w:t>An o</w:t>
      </w:r>
      <w:r w:rsidRPr="00DD4143">
        <w:rPr>
          <w:rFonts w:asciiTheme="minorHAnsi" w:hAnsiTheme="minorHAnsi"/>
        </w:rPr>
        <w:t xml:space="preserve">verview of the status of hydrogen technologies, current costs and barriers to deployment </w:t>
      </w:r>
    </w:p>
    <w:p w14:paraId="4B97D2C8" w14:textId="77777777" w:rsidR="0086531C" w:rsidRPr="00DD4143" w:rsidRDefault="0086531C" w:rsidP="0086531C">
      <w:pPr>
        <w:pStyle w:val="ListParagraph"/>
        <w:keepNext/>
        <w:numPr>
          <w:ilvl w:val="1"/>
          <w:numId w:val="8"/>
        </w:numPr>
        <w:spacing w:after="120"/>
        <w:ind w:left="1080" w:hanging="357"/>
        <w:contextualSpacing w:val="0"/>
        <w:jc w:val="both"/>
        <w:rPr>
          <w:rFonts w:asciiTheme="minorHAnsi" w:hAnsiTheme="minorHAnsi"/>
        </w:rPr>
      </w:pPr>
      <w:r>
        <w:rPr>
          <w:rFonts w:asciiTheme="minorHAnsi" w:hAnsiTheme="minorHAnsi"/>
        </w:rPr>
        <w:t xml:space="preserve">Characterisation of the </w:t>
      </w:r>
      <w:r w:rsidRPr="00CC7C5F">
        <w:rPr>
          <w:rFonts w:asciiTheme="minorHAnsi" w:hAnsiTheme="minorHAnsi"/>
        </w:rPr>
        <w:t xml:space="preserve">Full Contribution </w:t>
      </w:r>
      <w:r>
        <w:rPr>
          <w:rFonts w:asciiTheme="minorHAnsi" w:hAnsiTheme="minorHAnsi"/>
        </w:rPr>
        <w:t>and Critical Path hydrogen scenarios, including quantified levels of technology and infrastructure deployment to 2050</w:t>
      </w:r>
    </w:p>
    <w:p w14:paraId="1A7E27AA" w14:textId="77777777" w:rsidR="0086531C" w:rsidRPr="0007021B" w:rsidRDefault="0086531C" w:rsidP="0086531C">
      <w:pPr>
        <w:pStyle w:val="ListParagraph"/>
        <w:keepNext/>
        <w:numPr>
          <w:ilvl w:val="1"/>
          <w:numId w:val="8"/>
        </w:numPr>
        <w:ind w:left="1080"/>
        <w:contextualSpacing w:val="0"/>
        <w:jc w:val="both"/>
        <w:rPr>
          <w:rFonts w:asciiTheme="minorHAnsi" w:hAnsiTheme="minorHAnsi"/>
        </w:rPr>
      </w:pPr>
      <w:r>
        <w:rPr>
          <w:rFonts w:asciiTheme="minorHAnsi" w:hAnsiTheme="minorHAnsi"/>
        </w:rPr>
        <w:t>A discussion of strategic considerations relating to these hydrogen scenarios, including uncertainties, key actions and decision points</w:t>
      </w:r>
    </w:p>
    <w:p w14:paraId="74C45289" w14:textId="77777777" w:rsidR="0086531C" w:rsidRPr="0007021B" w:rsidRDefault="0086531C" w:rsidP="0086531C">
      <w:pPr>
        <w:pStyle w:val="ListParagraph"/>
        <w:numPr>
          <w:ilvl w:val="0"/>
          <w:numId w:val="7"/>
        </w:numPr>
        <w:ind w:left="360"/>
        <w:contextualSpacing w:val="0"/>
        <w:jc w:val="both"/>
        <w:rPr>
          <w:rFonts w:asciiTheme="minorHAnsi" w:hAnsiTheme="minorHAnsi"/>
        </w:rPr>
      </w:pPr>
      <w:r w:rsidRPr="0007021B">
        <w:rPr>
          <w:rFonts w:asciiTheme="minorHAnsi" w:hAnsiTheme="minorHAnsi"/>
        </w:rPr>
        <w:t xml:space="preserve">A set of Excel spreadsheets containing all quantitative data produced in </w:t>
      </w:r>
      <w:r>
        <w:rPr>
          <w:rFonts w:asciiTheme="minorHAnsi" w:hAnsiTheme="minorHAnsi"/>
        </w:rPr>
        <w:t xml:space="preserve">all </w:t>
      </w:r>
      <w:r w:rsidRPr="0007021B">
        <w:rPr>
          <w:rFonts w:asciiTheme="minorHAnsi" w:hAnsiTheme="minorHAnsi"/>
        </w:rPr>
        <w:t xml:space="preserve">Tasks, and any detailed analysis used to calculate the outputs. </w:t>
      </w:r>
    </w:p>
    <w:p w14:paraId="07BE133F" w14:textId="77777777" w:rsidR="00AC0399" w:rsidRPr="00AD19CC" w:rsidRDefault="00AC0399" w:rsidP="00AC0399">
      <w:pPr>
        <w:spacing w:after="200" w:line="276" w:lineRule="auto"/>
        <w:jc w:val="both"/>
        <w:rPr>
          <w:rFonts w:asciiTheme="minorHAnsi" w:hAnsiTheme="minorHAnsi"/>
          <w:sz w:val="22"/>
          <w:szCs w:val="22"/>
        </w:rPr>
      </w:pPr>
      <w:r w:rsidRPr="00AD19CC">
        <w:rPr>
          <w:rFonts w:asciiTheme="minorHAnsi" w:hAnsiTheme="minorHAnsi"/>
          <w:sz w:val="22"/>
          <w:szCs w:val="22"/>
        </w:rPr>
        <w:t xml:space="preserve">This project must comply with the ‘CCC – Quality Assurance of Evidence and Analysis’ guidance and bidders must set out their approach to quality assurance in their response to this ITT.  </w:t>
      </w:r>
    </w:p>
    <w:p w14:paraId="21F518ED" w14:textId="77777777" w:rsidR="00AC0399" w:rsidRPr="00AD19CC" w:rsidRDefault="00AC0399" w:rsidP="00AC0399">
      <w:pPr>
        <w:spacing w:after="200" w:line="276" w:lineRule="auto"/>
        <w:jc w:val="both"/>
        <w:rPr>
          <w:rFonts w:asciiTheme="minorHAnsi" w:hAnsiTheme="minorHAnsi"/>
          <w:sz w:val="22"/>
          <w:szCs w:val="22"/>
        </w:rPr>
      </w:pPr>
      <w:r w:rsidRPr="00AD19CC">
        <w:rPr>
          <w:rFonts w:asciiTheme="minorHAnsi" w:hAnsiTheme="minorHAnsi"/>
          <w:sz w:val="22"/>
          <w:szCs w:val="22"/>
        </w:rPr>
        <w:t xml:space="preserve">All research tasks and modelling must be quality assured and documented. Contractors should: </w:t>
      </w:r>
    </w:p>
    <w:p w14:paraId="52CA090C" w14:textId="77777777" w:rsidR="00AC0399" w:rsidRPr="00AD19CC" w:rsidRDefault="00AC0399" w:rsidP="00AC0399">
      <w:pPr>
        <w:pStyle w:val="ListParagraph"/>
        <w:numPr>
          <w:ilvl w:val="0"/>
          <w:numId w:val="6"/>
        </w:numPr>
        <w:contextualSpacing w:val="0"/>
        <w:jc w:val="both"/>
        <w:rPr>
          <w:rFonts w:asciiTheme="minorHAnsi" w:hAnsiTheme="minorHAnsi"/>
        </w:rPr>
      </w:pPr>
      <w:r w:rsidRPr="00AD19CC">
        <w:rPr>
          <w:rFonts w:asciiTheme="minorHAnsi" w:hAnsiTheme="minorHAnsi"/>
        </w:rPr>
        <w:t xml:space="preserve">Include a quality assurance (QA) plan that they will apply to all of the research tasks and modelling, </w:t>
      </w:r>
    </w:p>
    <w:p w14:paraId="2BCA001B" w14:textId="77777777" w:rsidR="00AC0399" w:rsidRPr="00F57C58" w:rsidRDefault="00AC0399" w:rsidP="00AC0399">
      <w:pPr>
        <w:pStyle w:val="ListParagraph"/>
        <w:numPr>
          <w:ilvl w:val="0"/>
          <w:numId w:val="6"/>
        </w:numPr>
        <w:contextualSpacing w:val="0"/>
        <w:jc w:val="both"/>
        <w:rPr>
          <w:rFonts w:asciiTheme="minorHAnsi" w:hAnsiTheme="minorHAnsi"/>
        </w:rPr>
      </w:pPr>
      <w:r w:rsidRPr="00AD19CC">
        <w:rPr>
          <w:rFonts w:asciiTheme="minorHAnsi" w:hAnsiTheme="minorHAnsi"/>
        </w:rPr>
        <w:t>Specify who will take lead responsibility for ensuring quality assurance and ensure that this responsibility rests with an individual not directly involved in the research, analysis or model development</w:t>
      </w:r>
      <w:r>
        <w:rPr>
          <w:rFonts w:asciiTheme="minorHAnsi" w:hAnsiTheme="minorHAnsi"/>
        </w:rPr>
        <w:t>,</w:t>
      </w:r>
    </w:p>
    <w:p w14:paraId="7F72D11D" w14:textId="77777777" w:rsidR="00AC0399" w:rsidRPr="00AD19CC" w:rsidRDefault="00AC0399" w:rsidP="00AC0399">
      <w:pPr>
        <w:pStyle w:val="ListParagraph"/>
        <w:numPr>
          <w:ilvl w:val="0"/>
          <w:numId w:val="6"/>
        </w:numPr>
        <w:contextualSpacing w:val="0"/>
        <w:jc w:val="both"/>
        <w:rPr>
          <w:rFonts w:asciiTheme="minorHAnsi" w:hAnsiTheme="minorHAnsi"/>
        </w:rPr>
      </w:pPr>
      <w:r w:rsidRPr="00F57C58">
        <w:rPr>
          <w:rFonts w:asciiTheme="minorHAnsi" w:hAnsiTheme="minorHAnsi"/>
        </w:rPr>
        <w:lastRenderedPageBreak/>
        <w:t>Provide</w:t>
      </w:r>
      <w:r w:rsidRPr="00AD19CC">
        <w:rPr>
          <w:rFonts w:asciiTheme="minorHAnsi" w:hAnsiTheme="minorHAnsi"/>
        </w:rPr>
        <w:t xml:space="preserve"> QA log to demonstrate the QA undertaken, including who undertook the QA and the scope, type and level of QA that has been undertaken (e.g. a log entry only stating ‘the data was checked’ will not be sufficient) </w:t>
      </w:r>
    </w:p>
    <w:p w14:paraId="72CD4669" w14:textId="77777777" w:rsidR="00AC0399" w:rsidRPr="00F57C58" w:rsidRDefault="00AC0399" w:rsidP="00AC0399">
      <w:pPr>
        <w:spacing w:after="120" w:line="276" w:lineRule="auto"/>
        <w:jc w:val="both"/>
        <w:rPr>
          <w:rFonts w:asciiTheme="minorHAnsi" w:hAnsiTheme="minorHAnsi" w:cs="Arial"/>
          <w:sz w:val="22"/>
          <w:szCs w:val="22"/>
        </w:rPr>
      </w:pPr>
      <w:r w:rsidRPr="00F57C58">
        <w:rPr>
          <w:rFonts w:asciiTheme="minorHAnsi" w:hAnsiTheme="minorHAnsi" w:cs="Arial"/>
          <w:sz w:val="22"/>
          <w:szCs w:val="22"/>
        </w:rPr>
        <w:t>Sign-off for the quality assurance must be done by someone of sufficient seniority within the contractor organisation to be able take responsibility for the work done.  Acceptance of the work by the CCC will take this into consideration. The CCC reserves the right to refuse to sign off outputs which do not meet the required standard specified in this invitation to tender.</w:t>
      </w:r>
    </w:p>
    <w:p w14:paraId="4813142B" w14:textId="77777777" w:rsidR="00AC0399" w:rsidRPr="00F57C58" w:rsidRDefault="00AC0399" w:rsidP="00AC0399">
      <w:pPr>
        <w:spacing w:after="120" w:line="276" w:lineRule="auto"/>
        <w:jc w:val="both"/>
        <w:rPr>
          <w:rFonts w:asciiTheme="minorHAnsi" w:hAnsiTheme="minorHAnsi" w:cs="Arial"/>
          <w:sz w:val="22"/>
          <w:szCs w:val="22"/>
        </w:rPr>
      </w:pPr>
      <w:r w:rsidRPr="00F57C58">
        <w:rPr>
          <w:rFonts w:asciiTheme="minorHAnsi" w:hAnsiTheme="minorHAnsi" w:cs="Arial"/>
          <w:sz w:val="22"/>
          <w:szCs w:val="22"/>
        </w:rPr>
        <w:t>The successful bidder will be responsible for any work supplied by sub-contractors and should therefore provide assurance that all work in the contract is undertaken in accordance with the quality assurance expectation agreed at the beginning of the project.</w:t>
      </w:r>
    </w:p>
    <w:p w14:paraId="1EF9905D" w14:textId="77777777" w:rsidR="00AC0399" w:rsidRPr="00F57C58" w:rsidRDefault="00AC0399" w:rsidP="00AC0399">
      <w:pPr>
        <w:spacing w:after="120" w:line="276" w:lineRule="auto"/>
        <w:jc w:val="both"/>
        <w:rPr>
          <w:rFonts w:asciiTheme="minorHAnsi" w:hAnsiTheme="minorHAnsi" w:cs="Arial"/>
          <w:sz w:val="22"/>
          <w:szCs w:val="22"/>
        </w:rPr>
      </w:pPr>
      <w:r w:rsidRPr="00757EEC">
        <w:rPr>
          <w:rFonts w:asciiTheme="minorHAnsi" w:hAnsiTheme="minorHAnsi" w:cs="Arial"/>
          <w:sz w:val="22"/>
          <w:szCs w:val="22"/>
        </w:rPr>
        <w:t xml:space="preserve">For primary research, contractors should be willing to facilitate </w:t>
      </w:r>
      <w:r>
        <w:rPr>
          <w:rFonts w:asciiTheme="minorHAnsi" w:hAnsiTheme="minorHAnsi" w:cs="Arial"/>
          <w:sz w:val="22"/>
          <w:szCs w:val="22"/>
        </w:rPr>
        <w:t>CCC</w:t>
      </w:r>
      <w:r w:rsidRPr="00F57C58">
        <w:rPr>
          <w:rFonts w:asciiTheme="minorHAnsi" w:hAnsiTheme="minorHAnsi" w:cs="Arial"/>
          <w:sz w:val="22"/>
          <w:szCs w:val="22"/>
        </w:rPr>
        <w:t xml:space="preserve"> research staff to attend interviews or listen in to telephone surveys as part of the quality assurance process.</w:t>
      </w:r>
    </w:p>
    <w:p w14:paraId="5EA87563" w14:textId="5E4C4C5C" w:rsidR="006700D3" w:rsidRPr="00F94E62" w:rsidRDefault="00AC0399" w:rsidP="00F94E62">
      <w:pPr>
        <w:rPr>
          <w:i/>
          <w:color w:val="FF0000"/>
          <w:sz w:val="22"/>
          <w:szCs w:val="22"/>
        </w:rPr>
      </w:pPr>
      <w:r w:rsidRPr="00D20C56" w:rsidDel="00195DAE">
        <w:rPr>
          <w:i/>
          <w:color w:val="FF0000"/>
          <w:sz w:val="22"/>
          <w:szCs w:val="22"/>
        </w:rPr>
        <w:t xml:space="preserve"> </w:t>
      </w:r>
      <w:bookmarkStart w:id="22" w:name="_Ref357541720"/>
    </w:p>
    <w:p w14:paraId="5EA87564" w14:textId="77777777" w:rsidR="0038006D" w:rsidRDefault="0038006D" w:rsidP="004676C3">
      <w:pPr>
        <w:pStyle w:val="Heading1"/>
        <w:numPr>
          <w:ilvl w:val="0"/>
          <w:numId w:val="1"/>
        </w:numPr>
        <w:rPr>
          <w:rFonts w:ascii="Arial" w:hAnsi="Arial" w:cs="Arial"/>
          <w:sz w:val="24"/>
          <w:szCs w:val="24"/>
        </w:rPr>
      </w:pPr>
      <w:bookmarkStart w:id="23" w:name="_Ref373505215"/>
      <w:bookmarkStart w:id="24" w:name="_Toc381969513"/>
      <w:bookmarkStart w:id="25" w:name="_Toc405888462"/>
      <w:bookmarkStart w:id="26" w:name="_Toc417546764"/>
      <w:r w:rsidRPr="002D32D5">
        <w:rPr>
          <w:rFonts w:ascii="Arial" w:hAnsi="Arial" w:cs="Arial"/>
          <w:sz w:val="24"/>
          <w:szCs w:val="24"/>
        </w:rPr>
        <w:t>Timetable</w:t>
      </w:r>
      <w:bookmarkEnd w:id="22"/>
      <w:bookmarkEnd w:id="23"/>
      <w:bookmarkEnd w:id="24"/>
      <w:bookmarkEnd w:id="25"/>
      <w:bookmarkEnd w:id="26"/>
    </w:p>
    <w:p w14:paraId="4C7213E9" w14:textId="77777777" w:rsidR="00AC0399" w:rsidRPr="00AC0399" w:rsidRDefault="00AC0399" w:rsidP="00AC0399">
      <w:pPr>
        <w:pStyle w:val="Norma"/>
      </w:pPr>
    </w:p>
    <w:p w14:paraId="521B202E" w14:textId="77777777" w:rsidR="00AC0399" w:rsidRPr="00334AEE" w:rsidRDefault="00AC0399" w:rsidP="00AC0399">
      <w:pPr>
        <w:pStyle w:val="ListParagraph"/>
        <w:keepNext/>
        <w:spacing w:after="120"/>
        <w:ind w:left="0"/>
      </w:pPr>
      <w:r w:rsidRPr="00334AEE">
        <w:t>The proposed timetable will run as follows.</w:t>
      </w:r>
    </w:p>
    <w:tbl>
      <w:tblPr>
        <w:tblW w:w="5197"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809"/>
        <w:gridCol w:w="7797"/>
      </w:tblGrid>
      <w:tr w:rsidR="00AC0399" w:rsidRPr="000F2A28" w14:paraId="727B4A26" w14:textId="77777777" w:rsidTr="00A34290">
        <w:tc>
          <w:tcPr>
            <w:tcW w:w="1809" w:type="dxa"/>
            <w:shd w:val="clear" w:color="auto" w:fill="auto"/>
          </w:tcPr>
          <w:p w14:paraId="75AE7374" w14:textId="77777777" w:rsidR="00AC0399" w:rsidRPr="000F2A28" w:rsidRDefault="00AC0399" w:rsidP="00551BC0">
            <w:pPr>
              <w:keepNext/>
              <w:spacing w:before="60" w:after="60" w:line="276" w:lineRule="auto"/>
              <w:rPr>
                <w:b/>
                <w:bCs/>
                <w:sz w:val="22"/>
                <w:szCs w:val="22"/>
              </w:rPr>
            </w:pPr>
            <w:r>
              <w:rPr>
                <w:b/>
                <w:bCs/>
                <w:sz w:val="22"/>
                <w:szCs w:val="22"/>
              </w:rPr>
              <w:t>Date</w:t>
            </w:r>
          </w:p>
        </w:tc>
        <w:tc>
          <w:tcPr>
            <w:tcW w:w="7797" w:type="dxa"/>
            <w:shd w:val="clear" w:color="auto" w:fill="auto"/>
          </w:tcPr>
          <w:p w14:paraId="409014D0" w14:textId="77777777" w:rsidR="00AC0399" w:rsidRPr="000F2A28" w:rsidRDefault="00AC0399" w:rsidP="00551BC0">
            <w:pPr>
              <w:keepNext/>
              <w:spacing w:before="60" w:after="60" w:line="276" w:lineRule="auto"/>
              <w:rPr>
                <w:b/>
                <w:bCs/>
                <w:sz w:val="22"/>
                <w:szCs w:val="22"/>
              </w:rPr>
            </w:pPr>
            <w:r>
              <w:rPr>
                <w:b/>
                <w:bCs/>
                <w:sz w:val="22"/>
                <w:szCs w:val="22"/>
              </w:rPr>
              <w:t>Action</w:t>
            </w:r>
          </w:p>
        </w:tc>
      </w:tr>
      <w:tr w:rsidR="00AC0399" w:rsidRPr="002C0367" w14:paraId="58CE44B7" w14:textId="77777777" w:rsidTr="00A34290">
        <w:tc>
          <w:tcPr>
            <w:tcW w:w="1809" w:type="dxa"/>
            <w:shd w:val="clear" w:color="auto" w:fill="auto"/>
          </w:tcPr>
          <w:p w14:paraId="7ED884CB" w14:textId="57A0CE2D" w:rsidR="00AC0399" w:rsidRPr="002C0367" w:rsidRDefault="00AC0399" w:rsidP="00A34290">
            <w:pPr>
              <w:keepNext/>
              <w:spacing w:before="60" w:after="60" w:line="276" w:lineRule="auto"/>
              <w:rPr>
                <w:sz w:val="22"/>
                <w:szCs w:val="22"/>
              </w:rPr>
            </w:pPr>
            <w:r>
              <w:rPr>
                <w:sz w:val="22"/>
                <w:szCs w:val="22"/>
              </w:rPr>
              <w:t>1</w:t>
            </w:r>
            <w:r w:rsidR="00A34290">
              <w:rPr>
                <w:sz w:val="22"/>
                <w:szCs w:val="22"/>
              </w:rPr>
              <w:t>3</w:t>
            </w:r>
            <w:r>
              <w:rPr>
                <w:sz w:val="22"/>
                <w:szCs w:val="22"/>
              </w:rPr>
              <w:t xml:space="preserve"> May 2015</w:t>
            </w:r>
          </w:p>
        </w:tc>
        <w:tc>
          <w:tcPr>
            <w:tcW w:w="7797" w:type="dxa"/>
            <w:shd w:val="clear" w:color="auto" w:fill="auto"/>
          </w:tcPr>
          <w:p w14:paraId="536B5CA7" w14:textId="77777777" w:rsidR="00AC0399" w:rsidRPr="002C0367" w:rsidRDefault="00AC0399" w:rsidP="00551BC0">
            <w:pPr>
              <w:keepNext/>
              <w:spacing w:before="60" w:after="60" w:line="276" w:lineRule="auto"/>
              <w:rPr>
                <w:sz w:val="22"/>
                <w:szCs w:val="22"/>
              </w:rPr>
            </w:pPr>
            <w:r w:rsidRPr="002C0367">
              <w:rPr>
                <w:sz w:val="22"/>
                <w:szCs w:val="22"/>
              </w:rPr>
              <w:t>Deadline for response to ITT</w:t>
            </w:r>
          </w:p>
        </w:tc>
      </w:tr>
      <w:tr w:rsidR="00AC0399" w:rsidRPr="002C0367" w14:paraId="0E1FB521" w14:textId="77777777" w:rsidTr="00A34290">
        <w:tc>
          <w:tcPr>
            <w:tcW w:w="1809" w:type="dxa"/>
            <w:shd w:val="clear" w:color="auto" w:fill="auto"/>
          </w:tcPr>
          <w:p w14:paraId="7C2EF658" w14:textId="77777777" w:rsidR="00AC0399" w:rsidRPr="002C0367" w:rsidRDefault="00AC0399" w:rsidP="00551BC0">
            <w:pPr>
              <w:keepNext/>
              <w:spacing w:before="60" w:after="60" w:line="276" w:lineRule="auto"/>
              <w:rPr>
                <w:sz w:val="22"/>
                <w:szCs w:val="22"/>
              </w:rPr>
            </w:pPr>
            <w:r>
              <w:rPr>
                <w:sz w:val="22"/>
                <w:szCs w:val="22"/>
              </w:rPr>
              <w:t>18/19</w:t>
            </w:r>
            <w:r w:rsidRPr="002C0367">
              <w:rPr>
                <w:sz w:val="22"/>
                <w:szCs w:val="22"/>
              </w:rPr>
              <w:t xml:space="preserve"> May</w:t>
            </w:r>
          </w:p>
        </w:tc>
        <w:tc>
          <w:tcPr>
            <w:tcW w:w="7797" w:type="dxa"/>
            <w:shd w:val="clear" w:color="auto" w:fill="auto"/>
          </w:tcPr>
          <w:p w14:paraId="30AD9451" w14:textId="77777777" w:rsidR="00AC0399" w:rsidRPr="002C0367" w:rsidRDefault="00AC0399" w:rsidP="00551BC0">
            <w:pPr>
              <w:keepNext/>
              <w:spacing w:before="60" w:after="60" w:line="276" w:lineRule="auto"/>
              <w:rPr>
                <w:sz w:val="22"/>
                <w:szCs w:val="22"/>
              </w:rPr>
            </w:pPr>
            <w:r w:rsidRPr="002C0367">
              <w:rPr>
                <w:sz w:val="22"/>
                <w:szCs w:val="22"/>
              </w:rPr>
              <w:t>Interviews</w:t>
            </w:r>
          </w:p>
        </w:tc>
      </w:tr>
      <w:tr w:rsidR="00AC0399" w:rsidRPr="00A06DC7" w14:paraId="508A6128" w14:textId="77777777" w:rsidTr="00A34290">
        <w:tc>
          <w:tcPr>
            <w:tcW w:w="1809" w:type="dxa"/>
            <w:shd w:val="clear" w:color="auto" w:fill="auto"/>
          </w:tcPr>
          <w:p w14:paraId="71747453" w14:textId="77777777" w:rsidR="00AC0399" w:rsidRPr="002C0367" w:rsidRDefault="00AC0399" w:rsidP="00551BC0">
            <w:pPr>
              <w:keepNext/>
              <w:spacing w:before="60" w:after="60" w:line="276" w:lineRule="auto"/>
              <w:rPr>
                <w:sz w:val="22"/>
                <w:szCs w:val="22"/>
              </w:rPr>
            </w:pPr>
            <w:r>
              <w:rPr>
                <w:sz w:val="22"/>
                <w:szCs w:val="22"/>
              </w:rPr>
              <w:t>21/22</w:t>
            </w:r>
            <w:r w:rsidRPr="002C0367">
              <w:rPr>
                <w:sz w:val="22"/>
                <w:szCs w:val="22"/>
              </w:rPr>
              <w:t xml:space="preserve"> May</w:t>
            </w:r>
          </w:p>
        </w:tc>
        <w:tc>
          <w:tcPr>
            <w:tcW w:w="7797" w:type="dxa"/>
            <w:shd w:val="clear" w:color="auto" w:fill="auto"/>
          </w:tcPr>
          <w:p w14:paraId="1B9F7CFB" w14:textId="77777777" w:rsidR="00AC0399" w:rsidRPr="002C0367" w:rsidRDefault="00AC0399" w:rsidP="00551BC0">
            <w:pPr>
              <w:keepNext/>
              <w:spacing w:before="60" w:after="60" w:line="276" w:lineRule="auto"/>
              <w:rPr>
                <w:sz w:val="22"/>
                <w:szCs w:val="22"/>
              </w:rPr>
            </w:pPr>
            <w:r w:rsidRPr="002C0367">
              <w:rPr>
                <w:sz w:val="22"/>
                <w:szCs w:val="22"/>
              </w:rPr>
              <w:t>Kick-off meeting</w:t>
            </w:r>
          </w:p>
        </w:tc>
      </w:tr>
      <w:tr w:rsidR="00AC0399" w:rsidRPr="005B18E0" w14:paraId="1272DF12" w14:textId="77777777" w:rsidTr="00A34290">
        <w:tc>
          <w:tcPr>
            <w:tcW w:w="1809" w:type="dxa"/>
            <w:shd w:val="clear" w:color="auto" w:fill="auto"/>
          </w:tcPr>
          <w:p w14:paraId="67BE094E" w14:textId="77777777" w:rsidR="00AC0399" w:rsidRPr="005B18E0" w:rsidRDefault="00AC0399" w:rsidP="00551BC0">
            <w:pPr>
              <w:keepNext/>
              <w:spacing w:before="60" w:after="60"/>
              <w:jc w:val="both"/>
              <w:rPr>
                <w:sz w:val="22"/>
              </w:rPr>
            </w:pPr>
            <w:r w:rsidRPr="005B18E0">
              <w:rPr>
                <w:sz w:val="22"/>
              </w:rPr>
              <w:t xml:space="preserve">w/c </w:t>
            </w:r>
            <w:r>
              <w:rPr>
                <w:sz w:val="22"/>
              </w:rPr>
              <w:t>22</w:t>
            </w:r>
            <w:r w:rsidRPr="005B18E0">
              <w:rPr>
                <w:sz w:val="22"/>
              </w:rPr>
              <w:t xml:space="preserve"> June</w:t>
            </w:r>
          </w:p>
        </w:tc>
        <w:tc>
          <w:tcPr>
            <w:tcW w:w="7797" w:type="dxa"/>
            <w:shd w:val="clear" w:color="auto" w:fill="auto"/>
          </w:tcPr>
          <w:p w14:paraId="0077E402" w14:textId="77777777" w:rsidR="00AC0399" w:rsidRPr="005B18E0" w:rsidRDefault="00AC0399" w:rsidP="00551BC0">
            <w:pPr>
              <w:keepNext/>
              <w:spacing w:before="60" w:after="60"/>
              <w:jc w:val="both"/>
              <w:rPr>
                <w:sz w:val="22"/>
              </w:rPr>
            </w:pPr>
            <w:r w:rsidRPr="005B18E0">
              <w:rPr>
                <w:sz w:val="22"/>
              </w:rPr>
              <w:t>1</w:t>
            </w:r>
            <w:r w:rsidRPr="005B18E0">
              <w:rPr>
                <w:sz w:val="22"/>
                <w:vertAlign w:val="superscript"/>
              </w:rPr>
              <w:t>st</w:t>
            </w:r>
            <w:r w:rsidRPr="005B18E0">
              <w:rPr>
                <w:sz w:val="22"/>
              </w:rPr>
              <w:t xml:space="preserve"> interim meeting (present and discuss initial findings for Tasks 1-3)</w:t>
            </w:r>
          </w:p>
        </w:tc>
      </w:tr>
      <w:tr w:rsidR="00AC0399" w:rsidRPr="002C0367" w14:paraId="1F02AA35" w14:textId="77777777" w:rsidTr="00A34290">
        <w:tc>
          <w:tcPr>
            <w:tcW w:w="1809" w:type="dxa"/>
            <w:shd w:val="clear" w:color="auto" w:fill="auto"/>
          </w:tcPr>
          <w:p w14:paraId="5BE46DCF" w14:textId="77777777" w:rsidR="00AC0399" w:rsidRPr="002C0367" w:rsidRDefault="00AC0399" w:rsidP="00551BC0">
            <w:pPr>
              <w:keepNext/>
              <w:spacing w:before="60" w:after="60" w:line="276" w:lineRule="auto"/>
              <w:rPr>
                <w:sz w:val="22"/>
                <w:szCs w:val="22"/>
              </w:rPr>
            </w:pPr>
            <w:r>
              <w:rPr>
                <w:sz w:val="22"/>
                <w:szCs w:val="22"/>
              </w:rPr>
              <w:t>3</w:t>
            </w:r>
            <w:r w:rsidRPr="002C0367">
              <w:rPr>
                <w:sz w:val="22"/>
                <w:szCs w:val="22"/>
              </w:rPr>
              <w:t xml:space="preserve"> July</w:t>
            </w:r>
          </w:p>
        </w:tc>
        <w:tc>
          <w:tcPr>
            <w:tcW w:w="7797" w:type="dxa"/>
            <w:shd w:val="clear" w:color="auto" w:fill="auto"/>
          </w:tcPr>
          <w:p w14:paraId="65559359" w14:textId="77777777" w:rsidR="00AC0399" w:rsidRPr="002C0367" w:rsidRDefault="00AC0399" w:rsidP="00551BC0">
            <w:pPr>
              <w:keepNext/>
              <w:spacing w:before="60" w:after="60" w:line="276" w:lineRule="auto"/>
              <w:rPr>
                <w:sz w:val="22"/>
                <w:szCs w:val="22"/>
              </w:rPr>
            </w:pPr>
            <w:r>
              <w:rPr>
                <w:sz w:val="22"/>
              </w:rPr>
              <w:t>Finalise scenario definition</w:t>
            </w:r>
            <w:r w:rsidRPr="002C0367">
              <w:rPr>
                <w:sz w:val="22"/>
              </w:rPr>
              <w:t xml:space="preserve"> for Task 2, </w:t>
            </w:r>
            <w:r>
              <w:rPr>
                <w:sz w:val="22"/>
              </w:rPr>
              <w:t>and provide spreadsheet</w:t>
            </w:r>
          </w:p>
        </w:tc>
      </w:tr>
      <w:tr w:rsidR="00AC0399" w:rsidRPr="002C0367" w14:paraId="665022F6" w14:textId="77777777" w:rsidTr="00A34290">
        <w:tc>
          <w:tcPr>
            <w:tcW w:w="1809" w:type="dxa"/>
            <w:shd w:val="clear" w:color="auto" w:fill="auto"/>
          </w:tcPr>
          <w:p w14:paraId="444863CF" w14:textId="77777777" w:rsidR="00AC0399" w:rsidRPr="002C0367" w:rsidRDefault="00AC0399" w:rsidP="00551BC0">
            <w:pPr>
              <w:keepNext/>
              <w:spacing w:before="60" w:after="60" w:line="276" w:lineRule="auto"/>
              <w:rPr>
                <w:sz w:val="22"/>
                <w:szCs w:val="22"/>
              </w:rPr>
            </w:pPr>
            <w:r>
              <w:rPr>
                <w:sz w:val="22"/>
                <w:szCs w:val="22"/>
              </w:rPr>
              <w:t>15</w:t>
            </w:r>
            <w:r w:rsidRPr="002C0367">
              <w:rPr>
                <w:sz w:val="22"/>
                <w:szCs w:val="22"/>
              </w:rPr>
              <w:t xml:space="preserve"> July</w:t>
            </w:r>
          </w:p>
        </w:tc>
        <w:tc>
          <w:tcPr>
            <w:tcW w:w="7797" w:type="dxa"/>
            <w:shd w:val="clear" w:color="auto" w:fill="auto"/>
          </w:tcPr>
          <w:p w14:paraId="2829CAA7" w14:textId="77777777" w:rsidR="00AC0399" w:rsidRPr="002C0367" w:rsidRDefault="00AC0399" w:rsidP="00551BC0">
            <w:pPr>
              <w:keepNext/>
              <w:spacing w:before="60" w:after="60" w:line="276" w:lineRule="auto"/>
              <w:rPr>
                <w:sz w:val="22"/>
                <w:szCs w:val="22"/>
              </w:rPr>
            </w:pPr>
            <w:r w:rsidRPr="002C0367">
              <w:rPr>
                <w:sz w:val="22"/>
              </w:rPr>
              <w:t xml:space="preserve">Finalise scenario definition for Task 3, </w:t>
            </w:r>
            <w:r>
              <w:rPr>
                <w:sz w:val="22"/>
              </w:rPr>
              <w:t>with spreadsheet,</w:t>
            </w:r>
            <w:r w:rsidRPr="002C0367">
              <w:rPr>
                <w:sz w:val="22"/>
              </w:rPr>
              <w:t xml:space="preserve"> and provide draft of Task 4</w:t>
            </w:r>
          </w:p>
        </w:tc>
      </w:tr>
      <w:tr w:rsidR="00AC0399" w:rsidRPr="002C0367" w14:paraId="065A32C7" w14:textId="77777777" w:rsidTr="00A34290">
        <w:tc>
          <w:tcPr>
            <w:tcW w:w="1809" w:type="dxa"/>
            <w:shd w:val="clear" w:color="auto" w:fill="auto"/>
          </w:tcPr>
          <w:p w14:paraId="2B5A1D59" w14:textId="77777777" w:rsidR="00AC0399" w:rsidRPr="002C0367" w:rsidRDefault="00AC0399" w:rsidP="00551BC0">
            <w:pPr>
              <w:keepNext/>
              <w:spacing w:before="60" w:after="60" w:line="276" w:lineRule="auto"/>
              <w:rPr>
                <w:sz w:val="22"/>
                <w:szCs w:val="22"/>
              </w:rPr>
            </w:pPr>
            <w:r w:rsidRPr="002C0367">
              <w:rPr>
                <w:sz w:val="22"/>
                <w:szCs w:val="22"/>
              </w:rPr>
              <w:t xml:space="preserve">w/c </w:t>
            </w:r>
            <w:r>
              <w:rPr>
                <w:sz w:val="22"/>
                <w:szCs w:val="22"/>
              </w:rPr>
              <w:t>18</w:t>
            </w:r>
            <w:r w:rsidRPr="002C0367">
              <w:rPr>
                <w:sz w:val="22"/>
                <w:szCs w:val="22"/>
              </w:rPr>
              <w:t xml:space="preserve"> July</w:t>
            </w:r>
          </w:p>
        </w:tc>
        <w:tc>
          <w:tcPr>
            <w:tcW w:w="7797" w:type="dxa"/>
            <w:shd w:val="clear" w:color="auto" w:fill="auto"/>
          </w:tcPr>
          <w:p w14:paraId="3B249AFA" w14:textId="77777777" w:rsidR="00AC0399" w:rsidRPr="002C0367" w:rsidRDefault="00AC0399" w:rsidP="00551BC0">
            <w:pPr>
              <w:keepNext/>
              <w:spacing w:before="60" w:after="60" w:line="276" w:lineRule="auto"/>
              <w:rPr>
                <w:sz w:val="22"/>
                <w:szCs w:val="22"/>
              </w:rPr>
            </w:pPr>
            <w:r w:rsidRPr="002C0367">
              <w:rPr>
                <w:sz w:val="22"/>
                <w:szCs w:val="22"/>
              </w:rPr>
              <w:t>Final project meeting (present and discuss results and findings)</w:t>
            </w:r>
          </w:p>
        </w:tc>
      </w:tr>
      <w:tr w:rsidR="00AC0399" w:rsidRPr="005B18E0" w14:paraId="1C1D25EB" w14:textId="77777777" w:rsidTr="00A342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09" w:type="dxa"/>
            <w:shd w:val="clear" w:color="auto" w:fill="auto"/>
          </w:tcPr>
          <w:p w14:paraId="4D5ABA7C" w14:textId="77777777" w:rsidR="00AC0399" w:rsidRPr="005B18E0" w:rsidRDefault="00AC0399" w:rsidP="00551BC0">
            <w:pPr>
              <w:keepNext/>
              <w:spacing w:before="60" w:after="60"/>
              <w:jc w:val="both"/>
              <w:rPr>
                <w:sz w:val="22"/>
              </w:rPr>
            </w:pPr>
            <w:r>
              <w:rPr>
                <w:sz w:val="22"/>
              </w:rPr>
              <w:t>19 August</w:t>
            </w:r>
          </w:p>
        </w:tc>
        <w:tc>
          <w:tcPr>
            <w:tcW w:w="7797" w:type="dxa"/>
            <w:shd w:val="clear" w:color="auto" w:fill="auto"/>
          </w:tcPr>
          <w:p w14:paraId="2CB0F7BF" w14:textId="77777777" w:rsidR="00AC0399" w:rsidRPr="005B18E0" w:rsidRDefault="00AC0399" w:rsidP="00551BC0">
            <w:pPr>
              <w:keepNext/>
              <w:spacing w:before="60" w:after="60"/>
              <w:jc w:val="both"/>
              <w:rPr>
                <w:sz w:val="22"/>
              </w:rPr>
            </w:pPr>
            <w:r w:rsidRPr="002C0367">
              <w:rPr>
                <w:sz w:val="22"/>
              </w:rPr>
              <w:t>Full draft report</w:t>
            </w:r>
          </w:p>
        </w:tc>
      </w:tr>
      <w:tr w:rsidR="00AC0399" w:rsidRPr="00A06DC7" w14:paraId="016ABA02" w14:textId="77777777" w:rsidTr="00A342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7"/>
        </w:trPr>
        <w:tc>
          <w:tcPr>
            <w:tcW w:w="1809" w:type="dxa"/>
            <w:shd w:val="clear" w:color="auto" w:fill="auto"/>
          </w:tcPr>
          <w:p w14:paraId="25445F72" w14:textId="77777777" w:rsidR="00AC0399" w:rsidRPr="005B18E0" w:rsidRDefault="00AC0399" w:rsidP="00551BC0">
            <w:pPr>
              <w:keepNext/>
              <w:spacing w:before="60" w:after="60"/>
              <w:jc w:val="both"/>
              <w:rPr>
                <w:sz w:val="22"/>
              </w:rPr>
            </w:pPr>
            <w:r>
              <w:rPr>
                <w:sz w:val="22"/>
              </w:rPr>
              <w:t>26 August</w:t>
            </w:r>
          </w:p>
        </w:tc>
        <w:tc>
          <w:tcPr>
            <w:tcW w:w="7797" w:type="dxa"/>
            <w:shd w:val="clear" w:color="auto" w:fill="auto"/>
          </w:tcPr>
          <w:p w14:paraId="4B0E5F4C" w14:textId="77777777" w:rsidR="00AC0399" w:rsidRPr="005B18E0" w:rsidRDefault="00AC0399" w:rsidP="00551BC0">
            <w:pPr>
              <w:keepNext/>
              <w:spacing w:before="60" w:after="60"/>
              <w:jc w:val="both"/>
              <w:rPr>
                <w:sz w:val="22"/>
              </w:rPr>
            </w:pPr>
            <w:r w:rsidRPr="005B18E0">
              <w:rPr>
                <w:sz w:val="22"/>
              </w:rPr>
              <w:t xml:space="preserve">Comments from CCC on draft report </w:t>
            </w:r>
          </w:p>
        </w:tc>
      </w:tr>
      <w:tr w:rsidR="00AC0399" w:rsidRPr="00334AEE" w14:paraId="2AC2EFE0" w14:textId="77777777" w:rsidTr="00A34290">
        <w:tc>
          <w:tcPr>
            <w:tcW w:w="1809" w:type="dxa"/>
            <w:shd w:val="clear" w:color="auto" w:fill="auto"/>
          </w:tcPr>
          <w:p w14:paraId="766E9891" w14:textId="77777777" w:rsidR="00AC0399" w:rsidRPr="002C0367" w:rsidRDefault="00AC0399" w:rsidP="00551BC0">
            <w:pPr>
              <w:keepNext/>
              <w:spacing w:before="60" w:after="60"/>
              <w:jc w:val="both"/>
              <w:rPr>
                <w:sz w:val="22"/>
              </w:rPr>
            </w:pPr>
            <w:r w:rsidRPr="002C0367">
              <w:rPr>
                <w:sz w:val="22"/>
              </w:rPr>
              <w:t>September</w:t>
            </w:r>
            <w:r>
              <w:rPr>
                <w:sz w:val="22"/>
              </w:rPr>
              <w:t xml:space="preserve"> 2015</w:t>
            </w:r>
          </w:p>
        </w:tc>
        <w:tc>
          <w:tcPr>
            <w:tcW w:w="7797" w:type="dxa"/>
            <w:shd w:val="clear" w:color="auto" w:fill="auto"/>
          </w:tcPr>
          <w:p w14:paraId="0BDFFB93" w14:textId="77777777" w:rsidR="00AC0399" w:rsidRPr="00D17BEE" w:rsidRDefault="00AC0399" w:rsidP="00551BC0">
            <w:pPr>
              <w:keepNext/>
              <w:spacing w:before="60" w:after="60"/>
              <w:jc w:val="both"/>
              <w:rPr>
                <w:sz w:val="22"/>
              </w:rPr>
            </w:pPr>
            <w:r w:rsidRPr="002C0367">
              <w:rPr>
                <w:sz w:val="22"/>
              </w:rPr>
              <w:t>Final report</w:t>
            </w:r>
          </w:p>
        </w:tc>
      </w:tr>
    </w:tbl>
    <w:p w14:paraId="13792411" w14:textId="77777777" w:rsidR="00AC0399" w:rsidRDefault="00AC0399" w:rsidP="00AC0399">
      <w:pPr>
        <w:pStyle w:val="Style12ptJustifiedAfter12ptLinespacingMultiple115"/>
        <w:spacing w:after="120"/>
        <w:jc w:val="left"/>
        <w:rPr>
          <w:rFonts w:ascii="Calibri" w:hAnsi="Calibri"/>
          <w:sz w:val="22"/>
          <w:szCs w:val="22"/>
        </w:rPr>
      </w:pPr>
    </w:p>
    <w:p w14:paraId="296962CA" w14:textId="77777777" w:rsidR="00AC0399" w:rsidRDefault="00AC0399" w:rsidP="00AC0399">
      <w:pPr>
        <w:pStyle w:val="Style12ptJustifiedAfter12ptLinespacingMultiple115"/>
        <w:spacing w:after="120"/>
        <w:rPr>
          <w:rFonts w:ascii="Calibri" w:hAnsi="Calibri"/>
          <w:sz w:val="22"/>
          <w:szCs w:val="22"/>
        </w:rPr>
      </w:pPr>
      <w:r>
        <w:rPr>
          <w:rFonts w:ascii="Calibri" w:hAnsi="Calibri"/>
          <w:sz w:val="22"/>
          <w:szCs w:val="22"/>
        </w:rPr>
        <w:t>If the optional Task 5 is also being undertaken, we would anticipate this being done alongside scenario definition, but potentially with final cost outputs lagging the other outputs slightly.</w:t>
      </w:r>
    </w:p>
    <w:p w14:paraId="4AFFA537" w14:textId="77777777" w:rsidR="00AC0399" w:rsidRDefault="00AC0399" w:rsidP="00AC0399">
      <w:pPr>
        <w:pStyle w:val="Style12ptJustifiedAfter12ptLinespacingMultiple115"/>
        <w:spacing w:after="120"/>
        <w:rPr>
          <w:rFonts w:ascii="Calibri" w:hAnsi="Calibri"/>
          <w:sz w:val="22"/>
          <w:szCs w:val="22"/>
        </w:rPr>
      </w:pPr>
      <w:r w:rsidRPr="00334AEE">
        <w:rPr>
          <w:rFonts w:ascii="Calibri" w:hAnsi="Calibri"/>
          <w:sz w:val="22"/>
          <w:szCs w:val="22"/>
        </w:rPr>
        <w:t>In addition to these formal reporting points, the CCC would expect to have regular discussions to ensure the work is progressing as expected and focuses on key issues of interest to the Committee.</w:t>
      </w:r>
    </w:p>
    <w:p w14:paraId="64F27811" w14:textId="77777777" w:rsidR="0086531C" w:rsidRPr="00334AEE" w:rsidRDefault="0086531C" w:rsidP="00AC0399">
      <w:pPr>
        <w:pStyle w:val="Style12ptJustifiedAfter12ptLinespacingMultiple115"/>
        <w:spacing w:after="120"/>
        <w:rPr>
          <w:rFonts w:ascii="Calibri" w:hAnsi="Calibri"/>
          <w:sz w:val="22"/>
          <w:szCs w:val="22"/>
        </w:rPr>
      </w:pPr>
    </w:p>
    <w:p w14:paraId="5EA87568" w14:textId="7B43BB92" w:rsidR="008F4BEB" w:rsidRPr="002D32D5" w:rsidRDefault="008F4BEB" w:rsidP="004676C3">
      <w:pPr>
        <w:pStyle w:val="Heading1"/>
        <w:numPr>
          <w:ilvl w:val="0"/>
          <w:numId w:val="1"/>
        </w:numPr>
        <w:rPr>
          <w:rFonts w:ascii="Arial" w:hAnsi="Arial" w:cs="Arial"/>
          <w:sz w:val="24"/>
          <w:szCs w:val="24"/>
        </w:rPr>
      </w:pPr>
      <w:bookmarkStart w:id="27" w:name="_Toc381969515"/>
      <w:bookmarkStart w:id="28" w:name="_Toc405888464"/>
      <w:bookmarkStart w:id="29" w:name="_Toc417546765"/>
      <w:bookmarkStart w:id="30" w:name="_Toc271272913"/>
      <w:r w:rsidRPr="002D32D5">
        <w:rPr>
          <w:rFonts w:ascii="Arial" w:hAnsi="Arial" w:cs="Arial"/>
          <w:sz w:val="24"/>
          <w:szCs w:val="24"/>
        </w:rPr>
        <w:lastRenderedPageBreak/>
        <w:t>Ethics</w:t>
      </w:r>
      <w:bookmarkEnd w:id="27"/>
      <w:bookmarkEnd w:id="28"/>
      <w:bookmarkEnd w:id="29"/>
      <w:r w:rsidR="009E2B4B">
        <w:rPr>
          <w:rFonts w:ascii="Arial" w:hAnsi="Arial" w:cs="Arial"/>
          <w:sz w:val="24"/>
          <w:szCs w:val="24"/>
        </w:rPr>
        <w:t xml:space="preserve"> </w:t>
      </w:r>
    </w:p>
    <w:p w14:paraId="5EA87569" w14:textId="77777777" w:rsidR="002D32D5" w:rsidRDefault="002D32D5" w:rsidP="0086531C">
      <w:pPr>
        <w:pStyle w:val="ListParagraph"/>
        <w:keepNext/>
        <w:spacing w:after="0" w:line="240" w:lineRule="auto"/>
        <w:ind w:left="0"/>
        <w:contextualSpacing w:val="0"/>
      </w:pPr>
    </w:p>
    <w:p w14:paraId="5EA8756A" w14:textId="77777777" w:rsidR="005C0467" w:rsidRDefault="008F4BEB" w:rsidP="0086531C">
      <w:pPr>
        <w:pStyle w:val="ListParagraph"/>
        <w:keepNext/>
        <w:spacing w:after="0" w:line="240" w:lineRule="auto"/>
        <w:ind w:left="360"/>
        <w:contextualSpacing w:val="0"/>
        <w:jc w:val="both"/>
        <w:rPr>
          <w:rFonts w:ascii="Arial" w:hAnsi="Arial" w:cs="Arial"/>
          <w:sz w:val="24"/>
          <w:szCs w:val="24"/>
        </w:rPr>
      </w:pPr>
      <w:r w:rsidRPr="002D32D5">
        <w:rPr>
          <w:rFonts w:ascii="Arial" w:hAnsi="Arial" w:cs="Arial"/>
          <w:sz w:val="24"/>
          <w:szCs w:val="24"/>
        </w:rPr>
        <w:t>All applicants will need to identify and propose arrangements for initial scrutiny and on-going monitoring of ethical issues.</w:t>
      </w:r>
      <w:r w:rsidR="00BF74E5">
        <w:rPr>
          <w:rFonts w:ascii="Arial" w:hAnsi="Arial" w:cs="Arial"/>
          <w:sz w:val="24"/>
          <w:szCs w:val="24"/>
        </w:rPr>
        <w:t xml:space="preserve"> </w:t>
      </w:r>
      <w:r w:rsidR="005C0467" w:rsidRPr="002D32D5">
        <w:rPr>
          <w:rFonts w:ascii="Arial" w:hAnsi="Arial" w:cs="Arial"/>
          <w:sz w:val="24"/>
          <w:szCs w:val="24"/>
        </w:rPr>
        <w:t>The appropriat</w:t>
      </w:r>
      <w:r w:rsidR="005C0467">
        <w:rPr>
          <w:rFonts w:ascii="Arial" w:hAnsi="Arial" w:cs="Arial"/>
          <w:sz w:val="24"/>
          <w:szCs w:val="24"/>
        </w:rPr>
        <w:t xml:space="preserve">e handling of ethical issues </w:t>
      </w:r>
      <w:r w:rsidR="005C0467" w:rsidRPr="002D32D5">
        <w:rPr>
          <w:rFonts w:ascii="Arial" w:hAnsi="Arial" w:cs="Arial"/>
          <w:sz w:val="24"/>
          <w:szCs w:val="24"/>
        </w:rPr>
        <w:t xml:space="preserve">is part of the tender assessment exercise and proposals will be evaluated </w:t>
      </w:r>
      <w:r w:rsidR="005C0467">
        <w:rPr>
          <w:rFonts w:ascii="Arial" w:hAnsi="Arial" w:cs="Arial"/>
          <w:sz w:val="24"/>
          <w:szCs w:val="24"/>
        </w:rPr>
        <w:t>on this</w:t>
      </w:r>
      <w:r w:rsidR="005C0467" w:rsidRPr="002D32D5">
        <w:rPr>
          <w:rFonts w:ascii="Arial" w:hAnsi="Arial" w:cs="Arial"/>
          <w:sz w:val="24"/>
          <w:szCs w:val="24"/>
        </w:rPr>
        <w:t xml:space="preserve"> as part of the ‘addressing </w:t>
      </w:r>
      <w:r w:rsidR="005C0467">
        <w:rPr>
          <w:rFonts w:ascii="Arial" w:hAnsi="Arial" w:cs="Arial"/>
          <w:sz w:val="24"/>
          <w:szCs w:val="24"/>
        </w:rPr>
        <w:t>challenges and risks’ criterion.</w:t>
      </w:r>
    </w:p>
    <w:p w14:paraId="5EA8756B" w14:textId="77777777" w:rsidR="005C0467" w:rsidRDefault="005C0467" w:rsidP="002D32D5">
      <w:pPr>
        <w:pStyle w:val="ListParagraph"/>
        <w:spacing w:after="0" w:line="240" w:lineRule="auto"/>
        <w:ind w:left="0"/>
        <w:contextualSpacing w:val="0"/>
        <w:jc w:val="both"/>
        <w:rPr>
          <w:rFonts w:ascii="Arial" w:hAnsi="Arial" w:cs="Arial"/>
          <w:sz w:val="24"/>
          <w:szCs w:val="24"/>
        </w:rPr>
      </w:pPr>
    </w:p>
    <w:p w14:paraId="5EA8756C" w14:textId="77777777" w:rsidR="00D75586" w:rsidRDefault="00BF74E5" w:rsidP="00293D12">
      <w:pPr>
        <w:pStyle w:val="ListParagraph"/>
        <w:spacing w:after="0" w:line="240" w:lineRule="auto"/>
        <w:ind w:left="360"/>
        <w:contextualSpacing w:val="0"/>
        <w:jc w:val="both"/>
        <w:rPr>
          <w:rFonts w:ascii="Arial" w:hAnsi="Arial" w:cs="Arial"/>
          <w:sz w:val="24"/>
          <w:szCs w:val="24"/>
        </w:rPr>
      </w:pPr>
      <w:r>
        <w:rPr>
          <w:rFonts w:ascii="Arial" w:hAnsi="Arial" w:cs="Arial"/>
          <w:sz w:val="24"/>
          <w:szCs w:val="24"/>
        </w:rPr>
        <w:t>We expect contractors to adhere to the</w:t>
      </w:r>
      <w:r w:rsidR="00D75586">
        <w:rPr>
          <w:rFonts w:ascii="Arial" w:hAnsi="Arial" w:cs="Arial"/>
          <w:sz w:val="24"/>
          <w:szCs w:val="24"/>
        </w:rPr>
        <w:t xml:space="preserve"> following</w:t>
      </w:r>
      <w:r>
        <w:rPr>
          <w:rFonts w:ascii="Arial" w:hAnsi="Arial" w:cs="Arial"/>
          <w:sz w:val="24"/>
          <w:szCs w:val="24"/>
        </w:rPr>
        <w:t xml:space="preserve"> GSR</w:t>
      </w:r>
      <w:r w:rsidR="00D75586">
        <w:rPr>
          <w:rFonts w:ascii="Arial" w:hAnsi="Arial" w:cs="Arial"/>
          <w:sz w:val="24"/>
          <w:szCs w:val="24"/>
        </w:rPr>
        <w:t xml:space="preserve"> Principals:</w:t>
      </w:r>
    </w:p>
    <w:p w14:paraId="5EA8756D" w14:textId="77777777" w:rsidR="00D75586" w:rsidRPr="00BF74E5" w:rsidRDefault="00D75586" w:rsidP="00AC0399">
      <w:pPr>
        <w:pStyle w:val="ListParagraph"/>
        <w:numPr>
          <w:ilvl w:val="0"/>
          <w:numId w:val="2"/>
        </w:numPr>
        <w:rPr>
          <w:rFonts w:ascii="Arial" w:hAnsi="Arial" w:cs="Arial"/>
          <w:iCs/>
          <w:sz w:val="24"/>
          <w:szCs w:val="24"/>
        </w:rPr>
      </w:pPr>
      <w:r w:rsidRPr="00BF74E5">
        <w:rPr>
          <w:rFonts w:ascii="Arial" w:hAnsi="Arial" w:cs="Arial"/>
          <w:iCs/>
          <w:sz w:val="24"/>
          <w:szCs w:val="24"/>
        </w:rPr>
        <w:t>Sound application</w:t>
      </w:r>
      <w:r w:rsidR="009E2B4B">
        <w:rPr>
          <w:rFonts w:ascii="Arial" w:hAnsi="Arial" w:cs="Arial"/>
          <w:iCs/>
          <w:sz w:val="24"/>
          <w:szCs w:val="24"/>
        </w:rPr>
        <w:t xml:space="preserve"> and conduct of social research </w:t>
      </w:r>
      <w:r w:rsidRPr="00BF74E5">
        <w:rPr>
          <w:rFonts w:ascii="Arial" w:hAnsi="Arial" w:cs="Arial"/>
          <w:iCs/>
          <w:sz w:val="24"/>
          <w:szCs w:val="24"/>
        </w:rPr>
        <w:t>methods and appropriate dissemination and utilisation of findings</w:t>
      </w:r>
    </w:p>
    <w:p w14:paraId="5EA8756E" w14:textId="77777777" w:rsidR="00D75586" w:rsidRPr="00BF74E5" w:rsidRDefault="00D75586" w:rsidP="00AC0399">
      <w:pPr>
        <w:pStyle w:val="ListParagraph"/>
        <w:numPr>
          <w:ilvl w:val="0"/>
          <w:numId w:val="2"/>
        </w:numPr>
        <w:jc w:val="both"/>
        <w:rPr>
          <w:rFonts w:ascii="Arial" w:hAnsi="Arial" w:cs="Arial"/>
          <w:iCs/>
          <w:sz w:val="24"/>
          <w:szCs w:val="24"/>
        </w:rPr>
      </w:pPr>
      <w:r w:rsidRPr="00BF74E5">
        <w:rPr>
          <w:rFonts w:ascii="Arial" w:hAnsi="Arial" w:cs="Arial"/>
          <w:iCs/>
          <w:sz w:val="24"/>
          <w:szCs w:val="24"/>
        </w:rPr>
        <w:t>Participation based on valid consent</w:t>
      </w:r>
    </w:p>
    <w:p w14:paraId="5EA8756F" w14:textId="77777777" w:rsidR="00D75586" w:rsidRPr="00BF74E5" w:rsidRDefault="00D75586" w:rsidP="00AC0399">
      <w:pPr>
        <w:pStyle w:val="ListParagraph"/>
        <w:numPr>
          <w:ilvl w:val="0"/>
          <w:numId w:val="2"/>
        </w:numPr>
        <w:jc w:val="both"/>
        <w:rPr>
          <w:rFonts w:ascii="Arial" w:hAnsi="Arial" w:cs="Arial"/>
          <w:iCs/>
          <w:sz w:val="24"/>
          <w:szCs w:val="24"/>
        </w:rPr>
      </w:pPr>
      <w:r w:rsidRPr="00BF74E5">
        <w:rPr>
          <w:rFonts w:ascii="Arial" w:hAnsi="Arial" w:cs="Arial"/>
          <w:iCs/>
          <w:sz w:val="24"/>
          <w:szCs w:val="24"/>
        </w:rPr>
        <w:t>Enabling participation</w:t>
      </w:r>
    </w:p>
    <w:p w14:paraId="5EA87570" w14:textId="77777777" w:rsidR="00D75586" w:rsidRPr="00BF74E5" w:rsidRDefault="00D75586" w:rsidP="00AC0399">
      <w:pPr>
        <w:pStyle w:val="ListParagraph"/>
        <w:numPr>
          <w:ilvl w:val="0"/>
          <w:numId w:val="2"/>
        </w:numPr>
        <w:jc w:val="both"/>
        <w:rPr>
          <w:rFonts w:ascii="Arial" w:hAnsi="Arial" w:cs="Arial"/>
          <w:iCs/>
          <w:sz w:val="24"/>
          <w:szCs w:val="24"/>
        </w:rPr>
      </w:pPr>
      <w:r w:rsidRPr="00BF74E5">
        <w:rPr>
          <w:rFonts w:ascii="Arial" w:hAnsi="Arial" w:cs="Arial"/>
          <w:iCs/>
          <w:sz w:val="24"/>
          <w:szCs w:val="24"/>
        </w:rPr>
        <w:t>Avoidance of personal harm</w:t>
      </w:r>
    </w:p>
    <w:p w14:paraId="5EA87571" w14:textId="77777777" w:rsidR="00D75586" w:rsidRPr="00BF74E5" w:rsidRDefault="00D75586" w:rsidP="00AC0399">
      <w:pPr>
        <w:pStyle w:val="ListParagraph"/>
        <w:numPr>
          <w:ilvl w:val="0"/>
          <w:numId w:val="2"/>
        </w:numPr>
        <w:spacing w:after="0" w:line="240" w:lineRule="auto"/>
        <w:contextualSpacing w:val="0"/>
        <w:jc w:val="both"/>
        <w:rPr>
          <w:rFonts w:ascii="Arial" w:hAnsi="Arial" w:cs="Arial"/>
          <w:iCs/>
          <w:sz w:val="24"/>
          <w:szCs w:val="24"/>
        </w:rPr>
      </w:pPr>
      <w:r w:rsidRPr="00BF74E5">
        <w:rPr>
          <w:rFonts w:ascii="Arial" w:hAnsi="Arial" w:cs="Arial"/>
          <w:iCs/>
          <w:sz w:val="24"/>
          <w:szCs w:val="24"/>
        </w:rPr>
        <w:t>Non-disclosure of identity and personal information</w:t>
      </w:r>
    </w:p>
    <w:p w14:paraId="5EA87572" w14:textId="77777777" w:rsidR="00D75586" w:rsidRDefault="00D75586" w:rsidP="002D32D5">
      <w:pPr>
        <w:pStyle w:val="ListParagraph"/>
        <w:spacing w:after="0" w:line="240" w:lineRule="auto"/>
        <w:ind w:left="0"/>
        <w:contextualSpacing w:val="0"/>
        <w:jc w:val="both"/>
        <w:rPr>
          <w:rFonts w:ascii="Arial" w:hAnsi="Arial" w:cs="Arial"/>
          <w:sz w:val="24"/>
          <w:szCs w:val="24"/>
        </w:rPr>
      </w:pPr>
    </w:p>
    <w:p w14:paraId="5EA87573" w14:textId="77777777" w:rsidR="00E070AD" w:rsidRPr="002D32D5" w:rsidRDefault="00E070AD" w:rsidP="004676C3">
      <w:pPr>
        <w:pStyle w:val="Heading1"/>
        <w:numPr>
          <w:ilvl w:val="0"/>
          <w:numId w:val="1"/>
        </w:numPr>
        <w:rPr>
          <w:rFonts w:ascii="Arial" w:hAnsi="Arial" w:cs="Arial"/>
          <w:sz w:val="24"/>
          <w:szCs w:val="24"/>
        </w:rPr>
      </w:pPr>
      <w:bookmarkStart w:id="31" w:name="_Ref338852517"/>
      <w:bookmarkStart w:id="32" w:name="_Toc381969516"/>
      <w:bookmarkStart w:id="33" w:name="_Toc405888465"/>
      <w:bookmarkStart w:id="34" w:name="_Toc417546766"/>
      <w:bookmarkEnd w:id="30"/>
      <w:r w:rsidRPr="002D32D5">
        <w:rPr>
          <w:rFonts w:ascii="Arial" w:hAnsi="Arial" w:cs="Arial"/>
          <w:sz w:val="24"/>
          <w:szCs w:val="24"/>
        </w:rPr>
        <w:t>Working Arrangements</w:t>
      </w:r>
      <w:bookmarkEnd w:id="31"/>
      <w:bookmarkEnd w:id="32"/>
      <w:bookmarkEnd w:id="33"/>
      <w:bookmarkEnd w:id="34"/>
    </w:p>
    <w:p w14:paraId="5EA87574" w14:textId="77777777" w:rsidR="00AA62E8" w:rsidRPr="005A7FBC" w:rsidRDefault="00AA62E8" w:rsidP="005A7FBC">
      <w:pPr>
        <w:pStyle w:val="Norma"/>
        <w:jc w:val="both"/>
        <w:rPr>
          <w:rFonts w:cs="Arial"/>
          <w:b/>
          <w:bCs/>
          <w:iCs/>
          <w:sz w:val="24"/>
          <w:szCs w:val="24"/>
        </w:rPr>
      </w:pPr>
    </w:p>
    <w:p w14:paraId="5EA87575" w14:textId="016847B5" w:rsidR="00AA62E8" w:rsidRPr="005A7FBC" w:rsidRDefault="00AA62E8" w:rsidP="00293D12">
      <w:pPr>
        <w:pStyle w:val="Norma"/>
        <w:ind w:left="360"/>
        <w:jc w:val="both"/>
        <w:rPr>
          <w:rFonts w:cs="Arial"/>
          <w:bCs/>
          <w:sz w:val="24"/>
          <w:szCs w:val="24"/>
        </w:rPr>
      </w:pPr>
      <w:r w:rsidRPr="005A7FBC">
        <w:rPr>
          <w:rFonts w:cs="Arial"/>
          <w:bCs/>
          <w:sz w:val="24"/>
          <w:szCs w:val="24"/>
        </w:rPr>
        <w:t>The successful contractor will be expected to identify one named point of contract through</w:t>
      </w:r>
      <w:r w:rsidR="005A7FBC">
        <w:rPr>
          <w:rFonts w:cs="Arial"/>
          <w:bCs/>
          <w:sz w:val="24"/>
          <w:szCs w:val="24"/>
        </w:rPr>
        <w:t xml:space="preserve"> </w:t>
      </w:r>
      <w:r w:rsidRPr="005A7FBC">
        <w:rPr>
          <w:rFonts w:cs="Arial"/>
          <w:bCs/>
          <w:sz w:val="24"/>
          <w:szCs w:val="24"/>
        </w:rPr>
        <w:t>whom all e</w:t>
      </w:r>
      <w:r w:rsidR="0097210C">
        <w:rPr>
          <w:rFonts w:cs="Arial"/>
          <w:bCs/>
          <w:sz w:val="24"/>
          <w:szCs w:val="24"/>
        </w:rPr>
        <w:t>nquiries can be filtered. A CCC</w:t>
      </w:r>
      <w:r w:rsidRPr="005A7FBC">
        <w:rPr>
          <w:rFonts w:cs="Arial"/>
          <w:bCs/>
          <w:sz w:val="24"/>
          <w:szCs w:val="24"/>
        </w:rPr>
        <w:t xml:space="preserve"> project manager will be assigned to the project and will be the central point of contact. </w:t>
      </w:r>
    </w:p>
    <w:p w14:paraId="5EA87578" w14:textId="77777777" w:rsidR="00AA62E8" w:rsidRPr="00D421AC" w:rsidRDefault="00AA62E8" w:rsidP="00AA62E8">
      <w:pPr>
        <w:pStyle w:val="ListParagraph"/>
        <w:ind w:left="0"/>
        <w:rPr>
          <w:rFonts w:eastAsia="Times New Roman" w:cs="Calibri"/>
        </w:rPr>
      </w:pPr>
    </w:p>
    <w:p w14:paraId="5EA87579" w14:textId="77777777" w:rsidR="003C1CE8" w:rsidRPr="002D32D5" w:rsidRDefault="007A7010" w:rsidP="004676C3">
      <w:pPr>
        <w:pStyle w:val="Heading1"/>
        <w:numPr>
          <w:ilvl w:val="0"/>
          <w:numId w:val="1"/>
        </w:numPr>
        <w:rPr>
          <w:rFonts w:ascii="Arial" w:hAnsi="Arial" w:cs="Arial"/>
          <w:sz w:val="24"/>
          <w:szCs w:val="24"/>
        </w:rPr>
      </w:pPr>
      <w:bookmarkStart w:id="35" w:name="_Toc417546767"/>
      <w:r>
        <w:rPr>
          <w:rFonts w:ascii="Arial" w:hAnsi="Arial" w:cs="Arial"/>
          <w:sz w:val="24"/>
          <w:szCs w:val="24"/>
        </w:rPr>
        <w:t>Skills and experience</w:t>
      </w:r>
      <w:bookmarkEnd w:id="35"/>
    </w:p>
    <w:p w14:paraId="5EA8757A" w14:textId="77777777" w:rsidR="00427AFA" w:rsidRPr="00B960BC" w:rsidRDefault="00427AFA" w:rsidP="00B960BC">
      <w:pPr>
        <w:pStyle w:val="Norma"/>
        <w:ind w:left="360"/>
        <w:jc w:val="both"/>
        <w:rPr>
          <w:rFonts w:cs="Arial"/>
          <w:sz w:val="24"/>
          <w:szCs w:val="24"/>
        </w:rPr>
      </w:pPr>
    </w:p>
    <w:p w14:paraId="5EA8757B" w14:textId="5FB8080B" w:rsidR="00FA702B" w:rsidRPr="00B960BC" w:rsidRDefault="0097210C" w:rsidP="00E72DB1">
      <w:pPr>
        <w:pStyle w:val="PTablebodyCharCharChar"/>
        <w:tabs>
          <w:tab w:val="clear" w:pos="7823"/>
          <w:tab w:val="right" w:pos="709"/>
        </w:tabs>
        <w:spacing w:after="0"/>
        <w:ind w:left="360"/>
        <w:rPr>
          <w:rFonts w:cs="Arial"/>
          <w:highlight w:val="yellow"/>
        </w:rPr>
      </w:pPr>
      <w:r>
        <w:rPr>
          <w:rFonts w:ascii="Arial" w:hAnsi="Arial" w:cs="Arial"/>
        </w:rPr>
        <w:t>C</w:t>
      </w:r>
      <w:r w:rsidR="004B3AD5">
        <w:rPr>
          <w:rFonts w:ascii="Arial" w:hAnsi="Arial" w:cs="Arial"/>
        </w:rPr>
        <w:t xml:space="preserve">CC </w:t>
      </w:r>
      <w:r w:rsidR="007A7010">
        <w:rPr>
          <w:rFonts w:ascii="Arial" w:hAnsi="Arial" w:cs="Arial"/>
        </w:rPr>
        <w:t xml:space="preserve">would like you to demonstrate that you have </w:t>
      </w:r>
      <w:r w:rsidR="009F7CC0">
        <w:rPr>
          <w:rFonts w:ascii="Arial" w:hAnsi="Arial" w:cs="Arial"/>
        </w:rPr>
        <w:t>the experience and capabilities to undertake the project</w:t>
      </w:r>
      <w:r w:rsidR="007A7010">
        <w:rPr>
          <w:rFonts w:ascii="Arial" w:hAnsi="Arial" w:cs="Arial"/>
        </w:rPr>
        <w:t xml:space="preserve">. Your tender response should include a summary of </w:t>
      </w:r>
      <w:r w:rsidR="009F7CC0">
        <w:rPr>
          <w:rFonts w:ascii="Arial" w:hAnsi="Arial" w:cs="Arial"/>
        </w:rPr>
        <w:t>each proposed team members experience</w:t>
      </w:r>
      <w:r w:rsidR="007A7010">
        <w:rPr>
          <w:rFonts w:ascii="Arial" w:hAnsi="Arial" w:cs="Arial"/>
        </w:rPr>
        <w:t xml:space="preserve"> </w:t>
      </w:r>
      <w:r w:rsidR="009F7CC0">
        <w:rPr>
          <w:rFonts w:ascii="Arial" w:hAnsi="Arial" w:cs="Arial"/>
        </w:rPr>
        <w:t>and capabilities</w:t>
      </w:r>
      <w:r w:rsidR="007A7010">
        <w:rPr>
          <w:rFonts w:ascii="Arial" w:hAnsi="Arial" w:cs="Arial"/>
        </w:rPr>
        <w:t>.</w:t>
      </w:r>
      <w:r w:rsidR="00816371" w:rsidRPr="00B960BC">
        <w:rPr>
          <w:rFonts w:cs="Arial"/>
          <w:highlight w:val="yellow"/>
        </w:rPr>
        <w:t xml:space="preserve"> </w:t>
      </w:r>
    </w:p>
    <w:p w14:paraId="5EA8757C" w14:textId="77777777" w:rsidR="00FA702B" w:rsidRPr="00B960BC" w:rsidRDefault="00FA702B" w:rsidP="00B960BC">
      <w:pPr>
        <w:pStyle w:val="PTablebodyCharCharChar"/>
        <w:spacing w:after="0"/>
        <w:ind w:left="0"/>
        <w:rPr>
          <w:rFonts w:ascii="Arial" w:hAnsi="Arial" w:cs="Arial"/>
        </w:rPr>
      </w:pPr>
    </w:p>
    <w:p w14:paraId="5EA8757D" w14:textId="77777777" w:rsidR="003C1CE8" w:rsidRPr="00B960BC" w:rsidRDefault="003C1CE8" w:rsidP="00E72DB1">
      <w:pPr>
        <w:pStyle w:val="PTablebodyCharCharChar"/>
        <w:tabs>
          <w:tab w:val="clear" w:pos="7823"/>
          <w:tab w:val="right" w:pos="709"/>
        </w:tabs>
        <w:spacing w:after="0"/>
        <w:ind w:left="360"/>
        <w:rPr>
          <w:rFonts w:ascii="Arial" w:hAnsi="Arial" w:cs="Arial"/>
        </w:rPr>
      </w:pPr>
      <w:r w:rsidRPr="00B960BC">
        <w:rPr>
          <w:rFonts w:ascii="Arial" w:hAnsi="Arial" w:cs="Arial"/>
        </w:rPr>
        <w:tab/>
        <w:t>Contractors should propose named members of the project team, and include the tasks and responsibilities of each team member. This should be clearly linked to the work programme, indicating the grade/ seniority of staff and number of days allocated to specific tasks.</w:t>
      </w:r>
    </w:p>
    <w:p w14:paraId="5EA8757E" w14:textId="77777777" w:rsidR="003C1CE8" w:rsidRPr="00B960BC" w:rsidRDefault="003C1CE8" w:rsidP="00B960BC">
      <w:pPr>
        <w:pStyle w:val="PTablebodyCharCharChar"/>
        <w:spacing w:after="0"/>
        <w:ind w:left="0"/>
        <w:rPr>
          <w:rFonts w:ascii="Arial" w:hAnsi="Arial" w:cs="Arial"/>
        </w:rPr>
      </w:pPr>
    </w:p>
    <w:p w14:paraId="5EA8757F" w14:textId="77777777" w:rsidR="00D64BB0" w:rsidRPr="00B960BC" w:rsidRDefault="003C1CE8" w:rsidP="00E72DB1">
      <w:pPr>
        <w:pStyle w:val="Norma"/>
        <w:ind w:left="360"/>
        <w:jc w:val="both"/>
        <w:rPr>
          <w:rFonts w:cs="Arial"/>
          <w:sz w:val="24"/>
          <w:szCs w:val="24"/>
        </w:rPr>
      </w:pPr>
      <w:r w:rsidRPr="00B960BC">
        <w:rPr>
          <w:rFonts w:cs="Arial"/>
          <w:sz w:val="24"/>
          <w:szCs w:val="24"/>
        </w:rPr>
        <w:t>Contractors should identify the individual(s) who will be responsible for managing the project.</w:t>
      </w:r>
      <w:bookmarkStart w:id="36" w:name="_Ref338852499"/>
    </w:p>
    <w:p w14:paraId="5EA87580" w14:textId="77777777" w:rsidR="00986070" w:rsidRDefault="00986070" w:rsidP="00D64BB0">
      <w:pPr>
        <w:pStyle w:val="Norma"/>
        <w:jc w:val="both"/>
        <w:rPr>
          <w:rFonts w:ascii="Calibri" w:hAnsi="Calibri" w:cs="Calibri"/>
        </w:rPr>
      </w:pPr>
    </w:p>
    <w:p w14:paraId="5EA87581" w14:textId="77777777" w:rsidR="003043AD" w:rsidRPr="002D32D5" w:rsidRDefault="00D64BB0" w:rsidP="004676C3">
      <w:pPr>
        <w:pStyle w:val="Heading1"/>
        <w:numPr>
          <w:ilvl w:val="0"/>
          <w:numId w:val="1"/>
        </w:numPr>
        <w:rPr>
          <w:rFonts w:ascii="Arial" w:hAnsi="Arial" w:cs="Arial"/>
          <w:sz w:val="24"/>
          <w:szCs w:val="24"/>
        </w:rPr>
      </w:pPr>
      <w:bookmarkStart w:id="37" w:name="_Ref373505239"/>
      <w:bookmarkStart w:id="38" w:name="_Toc381969518"/>
      <w:bookmarkStart w:id="39" w:name="_Toc405888467"/>
      <w:bookmarkStart w:id="40" w:name="_Toc417546768"/>
      <w:r w:rsidRPr="002D32D5">
        <w:rPr>
          <w:rFonts w:ascii="Arial" w:hAnsi="Arial" w:cs="Arial"/>
          <w:sz w:val="24"/>
          <w:szCs w:val="24"/>
        </w:rPr>
        <w:t>C</w:t>
      </w:r>
      <w:r w:rsidR="00A64B82" w:rsidRPr="002D32D5">
        <w:rPr>
          <w:rFonts w:ascii="Arial" w:hAnsi="Arial" w:cs="Arial"/>
          <w:sz w:val="24"/>
          <w:szCs w:val="24"/>
        </w:rPr>
        <w:t>onsortium Bids</w:t>
      </w:r>
      <w:bookmarkEnd w:id="37"/>
      <w:bookmarkEnd w:id="38"/>
      <w:bookmarkEnd w:id="39"/>
      <w:bookmarkEnd w:id="40"/>
    </w:p>
    <w:p w14:paraId="5EA87582" w14:textId="77777777" w:rsidR="00D64BB0" w:rsidRPr="00E4650D" w:rsidRDefault="00D64BB0" w:rsidP="00E4650D">
      <w:pPr>
        <w:pStyle w:val="Norma"/>
        <w:jc w:val="both"/>
        <w:rPr>
          <w:rFonts w:cs="Arial"/>
          <w:sz w:val="24"/>
          <w:szCs w:val="24"/>
        </w:rPr>
      </w:pPr>
    </w:p>
    <w:p w14:paraId="5EA87583" w14:textId="77777777" w:rsidR="00D65A99" w:rsidRPr="00E4650D" w:rsidRDefault="003043AD" w:rsidP="00E72DB1">
      <w:pPr>
        <w:pStyle w:val="FootnoteText"/>
        <w:ind w:left="360"/>
        <w:jc w:val="both"/>
        <w:rPr>
          <w:rFonts w:ascii="Arial" w:hAnsi="Arial" w:cs="Arial"/>
          <w:sz w:val="24"/>
          <w:szCs w:val="24"/>
          <w:lang w:eastAsia="en-GB"/>
        </w:rPr>
      </w:pPr>
      <w:r w:rsidRPr="00E4650D">
        <w:rPr>
          <w:rFonts w:ascii="Arial" w:hAnsi="Arial" w:cs="Arial"/>
          <w:sz w:val="24"/>
          <w:szCs w:val="24"/>
          <w:lang w:eastAsia="en-GB"/>
        </w:rPr>
        <w:t>In the case of a consortium tender, only one submission covering all of the partners is required but consortia are advised to make clear the proposed role that each partner will play in performing the contract as per the requirements of the technical specification.</w:t>
      </w:r>
      <w:r w:rsidR="00D65A99" w:rsidRPr="00E4650D">
        <w:rPr>
          <w:rFonts w:ascii="Arial" w:hAnsi="Arial" w:cs="Arial"/>
          <w:sz w:val="24"/>
          <w:szCs w:val="24"/>
          <w:lang w:eastAsia="en-GB"/>
        </w:rPr>
        <w:t xml:space="preserve">  We </w:t>
      </w:r>
      <w:r w:rsidR="00D65A99" w:rsidRPr="00E4650D">
        <w:rPr>
          <w:rFonts w:ascii="Arial" w:hAnsi="Arial" w:cs="Arial"/>
          <w:sz w:val="24"/>
          <w:szCs w:val="24"/>
        </w:rPr>
        <w:t>expect the bidder to indicate who in the consortium will be th</w:t>
      </w:r>
      <w:r w:rsidR="00CD651A" w:rsidRPr="00E4650D">
        <w:rPr>
          <w:rFonts w:ascii="Arial" w:hAnsi="Arial" w:cs="Arial"/>
          <w:sz w:val="24"/>
          <w:szCs w:val="24"/>
        </w:rPr>
        <w:t xml:space="preserve">e </w:t>
      </w:r>
      <w:r w:rsidR="00CD651A" w:rsidRPr="00E4650D">
        <w:rPr>
          <w:rFonts w:ascii="Arial" w:hAnsi="Arial" w:cs="Arial"/>
          <w:sz w:val="24"/>
          <w:szCs w:val="24"/>
          <w:lang w:eastAsia="en-GB"/>
        </w:rPr>
        <w:t>lead contact for this project, and the organisation and governance associated with the consortia.</w:t>
      </w:r>
    </w:p>
    <w:p w14:paraId="5EA87584" w14:textId="77777777" w:rsidR="003043AD" w:rsidRPr="00E4650D" w:rsidRDefault="003043AD" w:rsidP="00E4650D">
      <w:pPr>
        <w:pStyle w:val="FootnoteText"/>
        <w:ind w:left="567"/>
        <w:jc w:val="both"/>
        <w:rPr>
          <w:rFonts w:ascii="Arial" w:hAnsi="Arial" w:cs="Arial"/>
          <w:sz w:val="24"/>
          <w:szCs w:val="24"/>
          <w:lang w:eastAsia="en-GB"/>
        </w:rPr>
      </w:pPr>
    </w:p>
    <w:p w14:paraId="5EA87585" w14:textId="77777777" w:rsidR="003043AD" w:rsidRPr="00E4650D" w:rsidRDefault="003043AD" w:rsidP="00E72DB1">
      <w:pPr>
        <w:pStyle w:val="FootnoteText"/>
        <w:ind w:left="360"/>
        <w:jc w:val="both"/>
        <w:rPr>
          <w:rFonts w:ascii="Arial" w:hAnsi="Arial" w:cs="Arial"/>
          <w:sz w:val="24"/>
          <w:szCs w:val="24"/>
          <w:lang w:eastAsia="en-GB"/>
        </w:rPr>
      </w:pPr>
      <w:r w:rsidRPr="00E4650D">
        <w:rPr>
          <w:rFonts w:ascii="Arial" w:hAnsi="Arial" w:cs="Arial"/>
          <w:sz w:val="24"/>
          <w:szCs w:val="24"/>
          <w:lang w:eastAsia="en-GB"/>
        </w:rPr>
        <w:lastRenderedPageBreak/>
        <w:t>Contractors must provide details as to how they will manage any sub-contractors and what percentage of the tendered activity (in terms of monetary value) will be sub-contracted.</w:t>
      </w:r>
    </w:p>
    <w:p w14:paraId="5EA87586" w14:textId="77777777" w:rsidR="003043AD" w:rsidRPr="00E4650D" w:rsidRDefault="003043AD" w:rsidP="00E4650D">
      <w:pPr>
        <w:pStyle w:val="FootnoteText"/>
        <w:ind w:left="567"/>
        <w:jc w:val="both"/>
        <w:rPr>
          <w:rFonts w:ascii="Arial" w:hAnsi="Arial" w:cs="Arial"/>
          <w:sz w:val="24"/>
          <w:szCs w:val="24"/>
          <w:lang w:eastAsia="en-GB"/>
        </w:rPr>
      </w:pPr>
    </w:p>
    <w:p w14:paraId="5EA87587" w14:textId="79EB2CDE" w:rsidR="00AD130E" w:rsidRPr="00E4650D" w:rsidRDefault="00AD130E" w:rsidP="00E72DB1">
      <w:pPr>
        <w:pStyle w:val="NoSpacing"/>
        <w:ind w:left="360"/>
        <w:jc w:val="both"/>
        <w:rPr>
          <w:rFonts w:ascii="Arial" w:hAnsi="Arial" w:cs="Arial"/>
          <w:sz w:val="24"/>
          <w:szCs w:val="24"/>
        </w:rPr>
      </w:pPr>
      <w:r w:rsidRPr="00E4650D">
        <w:rPr>
          <w:rFonts w:ascii="Arial" w:hAnsi="Arial" w:cs="Arial"/>
          <w:sz w:val="24"/>
          <w:szCs w:val="24"/>
        </w:rPr>
        <w:t>If a consortium is not proposing to form a corporate entity, full details of alternative proposed arran</w:t>
      </w:r>
      <w:r w:rsidR="007A11CB">
        <w:rPr>
          <w:rFonts w:ascii="Arial" w:hAnsi="Arial" w:cs="Arial"/>
          <w:sz w:val="24"/>
          <w:szCs w:val="24"/>
        </w:rPr>
        <w:t>gements should be provided</w:t>
      </w:r>
      <w:r w:rsidR="0097210C">
        <w:rPr>
          <w:rFonts w:ascii="Arial" w:hAnsi="Arial" w:cs="Arial"/>
          <w:sz w:val="24"/>
          <w:szCs w:val="24"/>
        </w:rPr>
        <w:t>. However, please note C</w:t>
      </w:r>
      <w:r w:rsidRPr="00E4650D">
        <w:rPr>
          <w:rFonts w:ascii="Arial" w:hAnsi="Arial" w:cs="Arial"/>
          <w:sz w:val="24"/>
          <w:szCs w:val="24"/>
        </w:rPr>
        <w:t xml:space="preserve">CC reserves the right to require a successful consortium to form a single legal entity in accordance with Regulation 28 of the Public Contracts Regulations 2006. </w:t>
      </w:r>
    </w:p>
    <w:p w14:paraId="5EA87588" w14:textId="77777777" w:rsidR="00AD130E" w:rsidRPr="00E4650D" w:rsidRDefault="00AD130E" w:rsidP="00E4650D">
      <w:pPr>
        <w:pStyle w:val="NoSpacing"/>
        <w:jc w:val="both"/>
        <w:rPr>
          <w:rFonts w:ascii="Arial" w:hAnsi="Arial" w:cs="Arial"/>
          <w:sz w:val="24"/>
          <w:szCs w:val="24"/>
        </w:rPr>
      </w:pPr>
    </w:p>
    <w:p w14:paraId="5EA87589" w14:textId="40024243" w:rsidR="00AD130E" w:rsidRPr="00E4650D" w:rsidRDefault="0097210C" w:rsidP="00E72DB1">
      <w:pPr>
        <w:pStyle w:val="NoSpacing"/>
        <w:ind w:left="360"/>
        <w:jc w:val="both"/>
        <w:rPr>
          <w:rFonts w:ascii="Arial" w:hAnsi="Arial" w:cs="Arial"/>
          <w:sz w:val="24"/>
          <w:szCs w:val="24"/>
        </w:rPr>
      </w:pPr>
      <w:r>
        <w:rPr>
          <w:rFonts w:ascii="Arial" w:hAnsi="Arial" w:cs="Arial"/>
          <w:sz w:val="24"/>
          <w:szCs w:val="24"/>
        </w:rPr>
        <w:t>C</w:t>
      </w:r>
      <w:r w:rsidR="00AD130E" w:rsidRPr="00E4650D">
        <w:rPr>
          <w:rFonts w:ascii="Arial" w:hAnsi="Arial" w:cs="Arial"/>
          <w:sz w:val="24"/>
          <w:szCs w:val="24"/>
        </w:rPr>
        <w:t xml:space="preserve">CC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w:t>
      </w:r>
      <w:r>
        <w:rPr>
          <w:rFonts w:ascii="Arial" w:hAnsi="Arial" w:cs="Arial"/>
          <w:sz w:val="24"/>
          <w:szCs w:val="24"/>
        </w:rPr>
        <w:t>consortia must be notified to C</w:t>
      </w:r>
      <w:r w:rsidR="00AD130E" w:rsidRPr="00E4650D">
        <w:rPr>
          <w:rFonts w:ascii="Arial" w:hAnsi="Arial" w:cs="Arial"/>
          <w:sz w:val="24"/>
          <w:szCs w:val="24"/>
        </w:rPr>
        <w:t xml:space="preserve">CC so that it can make a further assessment by applying the selection criteria to the new information provided. </w:t>
      </w:r>
    </w:p>
    <w:p w14:paraId="5EA8758A" w14:textId="77777777" w:rsidR="004A2B75" w:rsidRPr="002D4038" w:rsidRDefault="004A2B75" w:rsidP="00053592">
      <w:pPr>
        <w:pStyle w:val="FootnoteText"/>
        <w:rPr>
          <w:rFonts w:cs="Calibri"/>
          <w:sz w:val="22"/>
          <w:szCs w:val="22"/>
          <w:lang w:eastAsia="en-GB"/>
        </w:rPr>
      </w:pPr>
    </w:p>
    <w:p w14:paraId="5EA8758B" w14:textId="77777777" w:rsidR="00F0291F" w:rsidRPr="002D32D5" w:rsidRDefault="00F0291F" w:rsidP="004676C3">
      <w:pPr>
        <w:pStyle w:val="Heading1"/>
        <w:numPr>
          <w:ilvl w:val="0"/>
          <w:numId w:val="1"/>
        </w:numPr>
        <w:rPr>
          <w:rFonts w:ascii="Arial" w:hAnsi="Arial" w:cs="Arial"/>
          <w:sz w:val="24"/>
          <w:szCs w:val="24"/>
        </w:rPr>
      </w:pPr>
      <w:bookmarkStart w:id="41" w:name="_Ref357541811"/>
      <w:bookmarkStart w:id="42" w:name="_Toc381969519"/>
      <w:bookmarkStart w:id="43" w:name="_Toc405888468"/>
      <w:bookmarkStart w:id="44" w:name="_Toc417546769"/>
      <w:bookmarkStart w:id="45" w:name="_Toc246831559"/>
      <w:bookmarkStart w:id="46" w:name="_Toc271272917"/>
      <w:bookmarkStart w:id="47" w:name="_Ref338852577"/>
      <w:bookmarkEnd w:id="36"/>
      <w:r w:rsidRPr="002D32D5">
        <w:rPr>
          <w:rFonts w:ascii="Arial" w:hAnsi="Arial" w:cs="Arial"/>
          <w:sz w:val="24"/>
          <w:szCs w:val="24"/>
        </w:rPr>
        <w:t>Budget</w:t>
      </w:r>
      <w:bookmarkEnd w:id="41"/>
      <w:bookmarkEnd w:id="42"/>
      <w:bookmarkEnd w:id="43"/>
      <w:bookmarkEnd w:id="44"/>
      <w:r w:rsidRPr="002D32D5">
        <w:rPr>
          <w:rFonts w:ascii="Arial" w:hAnsi="Arial" w:cs="Arial"/>
          <w:sz w:val="24"/>
          <w:szCs w:val="24"/>
        </w:rPr>
        <w:t xml:space="preserve"> </w:t>
      </w:r>
    </w:p>
    <w:p w14:paraId="5EA8758C" w14:textId="77777777" w:rsidR="004335BC" w:rsidRPr="004335BC" w:rsidRDefault="004335BC" w:rsidP="004335BC">
      <w:pPr>
        <w:pStyle w:val="Norma"/>
        <w:rPr>
          <w:rFonts w:ascii="Calibri" w:hAnsi="Calibri" w:cs="Calibri"/>
          <w:b/>
          <w:bCs/>
          <w:iCs/>
        </w:rPr>
      </w:pPr>
    </w:p>
    <w:p w14:paraId="5EA8758D" w14:textId="1274C182" w:rsidR="003C1CE8" w:rsidRPr="00E4650D" w:rsidRDefault="003C1CE8" w:rsidP="00A34290">
      <w:pPr>
        <w:pStyle w:val="Paragraph"/>
      </w:pPr>
      <w:r w:rsidRPr="00E4650D">
        <w:t>The budget for this project</w:t>
      </w:r>
      <w:r w:rsidR="00AC0399">
        <w:t xml:space="preserve"> is £42,</w:t>
      </w:r>
      <w:r w:rsidR="00AC0399" w:rsidRPr="00AC0399">
        <w:t>000</w:t>
      </w:r>
      <w:r w:rsidR="004A2B75" w:rsidRPr="00AC0399">
        <w:t xml:space="preserve"> </w:t>
      </w:r>
      <w:r w:rsidR="00AC0399" w:rsidRPr="00AC0399">
        <w:t xml:space="preserve">to £58,000 </w:t>
      </w:r>
      <w:r w:rsidR="00685B87" w:rsidRPr="00E4650D">
        <w:t>excluding VAT</w:t>
      </w:r>
      <w:r w:rsidR="00A34290">
        <w:t>, for the core Tasks 1-4. Bids including the optional Task 5 are subject to an overall maximum budget of £71,000.</w:t>
      </w:r>
    </w:p>
    <w:p w14:paraId="5EA8758E" w14:textId="77777777" w:rsidR="00B00EA2" w:rsidRPr="00E4650D" w:rsidRDefault="00B00EA2" w:rsidP="00E4650D">
      <w:pPr>
        <w:pStyle w:val="ListParagraph"/>
        <w:spacing w:line="240" w:lineRule="auto"/>
        <w:ind w:left="0"/>
        <w:jc w:val="both"/>
        <w:rPr>
          <w:rFonts w:ascii="Arial" w:hAnsi="Arial" w:cs="Arial"/>
          <w:sz w:val="24"/>
          <w:szCs w:val="24"/>
        </w:rPr>
      </w:pPr>
    </w:p>
    <w:p w14:paraId="5EA8758F" w14:textId="77777777" w:rsidR="0089058C" w:rsidRPr="00E4650D" w:rsidRDefault="003C1CE8" w:rsidP="00E72DB1">
      <w:pPr>
        <w:pStyle w:val="ListParagraph"/>
        <w:spacing w:line="240" w:lineRule="auto"/>
        <w:ind w:left="360"/>
        <w:jc w:val="both"/>
        <w:rPr>
          <w:rFonts w:ascii="Arial" w:hAnsi="Arial" w:cs="Arial"/>
          <w:sz w:val="24"/>
          <w:szCs w:val="24"/>
        </w:rPr>
      </w:pPr>
      <w:r w:rsidRPr="00E4650D">
        <w:rPr>
          <w:rFonts w:ascii="Arial" w:hAnsi="Arial" w:cs="Arial"/>
          <w:sz w:val="24"/>
          <w:szCs w:val="24"/>
        </w:rPr>
        <w:t xml:space="preserve">Contractors should provide a full and detailed breakdown of costs (including options where appropriate). This should include staff (and day rate) allocated to specific tasks. </w:t>
      </w:r>
      <w:bookmarkEnd w:id="45"/>
      <w:bookmarkEnd w:id="46"/>
      <w:bookmarkEnd w:id="47"/>
    </w:p>
    <w:p w14:paraId="5EA87590" w14:textId="77777777" w:rsidR="00272E19" w:rsidRPr="00E4650D" w:rsidRDefault="00272E19" w:rsidP="00E4650D">
      <w:pPr>
        <w:pStyle w:val="ListParagraph"/>
        <w:spacing w:line="240" w:lineRule="auto"/>
        <w:ind w:left="0"/>
        <w:jc w:val="both"/>
        <w:rPr>
          <w:rFonts w:ascii="Arial" w:hAnsi="Arial" w:cs="Arial"/>
          <w:sz w:val="24"/>
          <w:szCs w:val="24"/>
        </w:rPr>
      </w:pPr>
    </w:p>
    <w:p w14:paraId="5EA87591" w14:textId="77777777" w:rsidR="00220792" w:rsidRPr="00E4650D" w:rsidRDefault="00220792" w:rsidP="00E72DB1">
      <w:pPr>
        <w:pStyle w:val="ListParagraph"/>
        <w:spacing w:line="240" w:lineRule="auto"/>
        <w:ind w:left="360"/>
        <w:jc w:val="both"/>
        <w:rPr>
          <w:rFonts w:ascii="Arial" w:hAnsi="Arial" w:cs="Arial"/>
          <w:sz w:val="24"/>
          <w:szCs w:val="24"/>
        </w:rPr>
      </w:pPr>
      <w:r w:rsidRPr="00E4650D">
        <w:rPr>
          <w:rFonts w:ascii="Arial" w:hAnsi="Arial" w:cs="Arial"/>
          <w:sz w:val="24"/>
          <w:szCs w:val="24"/>
        </w:rPr>
        <w:t>Cost will be a criterion against which bids which will be assessed.</w:t>
      </w:r>
    </w:p>
    <w:p w14:paraId="5EA87592" w14:textId="77777777" w:rsidR="00220792" w:rsidRPr="00E4650D" w:rsidRDefault="00220792" w:rsidP="00E4650D">
      <w:pPr>
        <w:pStyle w:val="ListParagraph"/>
        <w:spacing w:line="240" w:lineRule="auto"/>
        <w:ind w:left="0"/>
        <w:jc w:val="both"/>
        <w:rPr>
          <w:rFonts w:ascii="Arial" w:hAnsi="Arial" w:cs="Arial"/>
          <w:sz w:val="24"/>
          <w:szCs w:val="24"/>
        </w:rPr>
      </w:pPr>
    </w:p>
    <w:p w14:paraId="5EA87593" w14:textId="4D3B8DF5" w:rsidR="00272E19" w:rsidRDefault="00272E19" w:rsidP="00E72DB1">
      <w:pPr>
        <w:pStyle w:val="ListParagraph"/>
        <w:spacing w:after="0" w:line="240" w:lineRule="auto"/>
        <w:ind w:left="360"/>
        <w:jc w:val="both"/>
        <w:rPr>
          <w:rFonts w:ascii="Arial" w:hAnsi="Arial" w:cs="Arial"/>
          <w:sz w:val="24"/>
          <w:szCs w:val="24"/>
        </w:rPr>
      </w:pPr>
      <w:r w:rsidRPr="00E4650D">
        <w:rPr>
          <w:rFonts w:ascii="Arial" w:hAnsi="Arial" w:cs="Arial"/>
          <w:sz w:val="24"/>
          <w:szCs w:val="24"/>
        </w:rPr>
        <w:t xml:space="preserve">Payments will be linked to delivery of key milestones. The indicative milestones and phasing of payments </w:t>
      </w:r>
      <w:r w:rsidR="00DC39C6">
        <w:rPr>
          <w:rFonts w:ascii="Arial" w:hAnsi="Arial" w:cs="Arial"/>
          <w:sz w:val="24"/>
          <w:szCs w:val="24"/>
        </w:rPr>
        <w:t>can be adjusted and agreed with the contractor</w:t>
      </w:r>
      <w:r w:rsidR="007A11CB">
        <w:rPr>
          <w:rFonts w:ascii="Arial" w:hAnsi="Arial" w:cs="Arial"/>
          <w:sz w:val="24"/>
          <w:szCs w:val="24"/>
        </w:rPr>
        <w:t xml:space="preserve"> and Project Manager. </w:t>
      </w:r>
      <w:r w:rsidR="00E41E71">
        <w:rPr>
          <w:rFonts w:ascii="Arial" w:hAnsi="Arial" w:cs="Arial"/>
          <w:sz w:val="24"/>
          <w:szCs w:val="24"/>
        </w:rPr>
        <w:t>P</w:t>
      </w:r>
      <w:r w:rsidR="00DC39C6">
        <w:rPr>
          <w:rFonts w:ascii="Arial" w:hAnsi="Arial" w:cs="Arial"/>
          <w:sz w:val="24"/>
          <w:szCs w:val="24"/>
        </w:rPr>
        <w:t>lease advise in your tender response how this breakdown reflects your usual payment processes</w:t>
      </w:r>
      <w:r w:rsidRPr="00E4650D">
        <w:rPr>
          <w:rFonts w:ascii="Arial" w:hAnsi="Arial" w:cs="Arial"/>
          <w:sz w:val="24"/>
          <w:szCs w:val="24"/>
        </w:rPr>
        <w:t>:</w:t>
      </w:r>
    </w:p>
    <w:p w14:paraId="5EA87594" w14:textId="77777777" w:rsidR="00DC39C6" w:rsidRPr="00E4650D" w:rsidRDefault="00DC39C6" w:rsidP="00DC39C6">
      <w:pPr>
        <w:pStyle w:val="ListParagraph"/>
        <w:spacing w:after="0" w:line="240" w:lineRule="auto"/>
        <w:ind w:left="0"/>
        <w:jc w:val="both"/>
        <w:rPr>
          <w:rFonts w:ascii="Arial" w:hAnsi="Arial" w:cs="Arial"/>
          <w:sz w:val="24"/>
          <w:szCs w:val="24"/>
        </w:rPr>
      </w:pPr>
    </w:p>
    <w:p w14:paraId="5EA87595" w14:textId="77777777" w:rsidR="008261E0" w:rsidRDefault="003C06AA" w:rsidP="00E72DB1">
      <w:pPr>
        <w:pStyle w:val="Norma"/>
        <w:ind w:left="360"/>
        <w:jc w:val="both"/>
        <w:rPr>
          <w:rFonts w:eastAsia="MS Mincho" w:cs="Arial"/>
          <w:sz w:val="24"/>
          <w:szCs w:val="24"/>
          <w:lang w:eastAsia="en-US"/>
        </w:rPr>
      </w:pPr>
      <w:r w:rsidRPr="00E4650D">
        <w:rPr>
          <w:rFonts w:eastAsia="MS Mincho" w:cs="Arial"/>
          <w:sz w:val="24"/>
          <w:szCs w:val="24"/>
          <w:lang w:eastAsia="en-US"/>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5EA87596" w14:textId="77777777" w:rsidR="00532695" w:rsidRPr="00E4650D" w:rsidRDefault="00532695" w:rsidP="00E4650D">
      <w:pPr>
        <w:pStyle w:val="Norma"/>
        <w:jc w:val="both"/>
        <w:rPr>
          <w:rFonts w:eastAsia="MS Mincho" w:cs="Arial"/>
          <w:sz w:val="24"/>
          <w:szCs w:val="24"/>
          <w:lang w:eastAsia="en-US"/>
        </w:rPr>
      </w:pPr>
    </w:p>
    <w:p w14:paraId="5EA87597" w14:textId="2549305F" w:rsidR="00443DE6" w:rsidRPr="00E4650D" w:rsidRDefault="008261E0" w:rsidP="00E72DB1">
      <w:pPr>
        <w:pStyle w:val="Norma"/>
        <w:ind w:left="360"/>
        <w:jc w:val="both"/>
        <w:rPr>
          <w:rFonts w:eastAsia="MS Mincho" w:cs="Arial"/>
          <w:sz w:val="24"/>
          <w:szCs w:val="24"/>
          <w:lang w:eastAsia="en-US"/>
        </w:rPr>
      </w:pPr>
      <w:r w:rsidRPr="00E4650D">
        <w:rPr>
          <w:rFonts w:eastAsia="MS Mincho" w:cs="Arial"/>
          <w:sz w:val="24"/>
          <w:szCs w:val="24"/>
          <w:lang w:eastAsia="en-US"/>
        </w:rPr>
        <w:t xml:space="preserve">The </w:t>
      </w:r>
      <w:r w:rsidR="007D222D">
        <w:rPr>
          <w:rFonts w:eastAsia="MS Mincho" w:cs="Arial"/>
          <w:sz w:val="24"/>
          <w:szCs w:val="24"/>
          <w:lang w:eastAsia="en-US"/>
        </w:rPr>
        <w:t>CCC</w:t>
      </w:r>
      <w:r w:rsidRPr="00E4650D">
        <w:rPr>
          <w:rFonts w:eastAsia="MS Mincho" w:cs="Arial"/>
          <w:sz w:val="24"/>
          <w:szCs w:val="24"/>
          <w:lang w:eastAsia="en-US"/>
        </w:rPr>
        <w:t xml:space="preserve"> aims to pay all correctly submitted invoices as soon as possible with a target of 10 days from the date of receipt and within 30 days at the latest in line with standard terms and conditions of contract</w:t>
      </w:r>
      <w:r w:rsidR="00443DE6" w:rsidRPr="00E4650D">
        <w:rPr>
          <w:rFonts w:eastAsia="MS Mincho" w:cs="Arial"/>
          <w:sz w:val="24"/>
          <w:szCs w:val="24"/>
          <w:lang w:eastAsia="en-US"/>
        </w:rPr>
        <w:t>.</w:t>
      </w:r>
    </w:p>
    <w:p w14:paraId="5EA87598" w14:textId="77777777" w:rsidR="003C06AA" w:rsidRPr="002D4038" w:rsidRDefault="003C06AA" w:rsidP="003C1CE8">
      <w:pPr>
        <w:pStyle w:val="Norma"/>
        <w:jc w:val="both"/>
        <w:rPr>
          <w:rFonts w:ascii="Calibri" w:hAnsi="Calibri" w:cs="Calibri"/>
          <w:highlight w:val="yellow"/>
        </w:rPr>
      </w:pPr>
    </w:p>
    <w:p w14:paraId="5EA87599" w14:textId="77777777" w:rsidR="003C1CE8" w:rsidRPr="002D32D5" w:rsidRDefault="005C6FBA" w:rsidP="004676C3">
      <w:pPr>
        <w:pStyle w:val="Heading1"/>
        <w:numPr>
          <w:ilvl w:val="0"/>
          <w:numId w:val="1"/>
        </w:numPr>
        <w:rPr>
          <w:rFonts w:ascii="Arial" w:hAnsi="Arial" w:cs="Arial"/>
          <w:sz w:val="24"/>
          <w:szCs w:val="24"/>
        </w:rPr>
      </w:pPr>
      <w:bookmarkStart w:id="48" w:name="_Ref357541836"/>
      <w:bookmarkStart w:id="49" w:name="_Toc381969520"/>
      <w:bookmarkStart w:id="50" w:name="_Toc405888469"/>
      <w:bookmarkStart w:id="51" w:name="_Toc417546770"/>
      <w:r w:rsidRPr="002D32D5">
        <w:rPr>
          <w:rFonts w:ascii="Arial" w:hAnsi="Arial" w:cs="Arial"/>
          <w:sz w:val="24"/>
          <w:szCs w:val="24"/>
        </w:rPr>
        <w:t>Evaluation of Tenders</w:t>
      </w:r>
      <w:bookmarkEnd w:id="48"/>
      <w:bookmarkEnd w:id="49"/>
      <w:bookmarkEnd w:id="50"/>
      <w:bookmarkEnd w:id="51"/>
    </w:p>
    <w:p w14:paraId="5EA8759A" w14:textId="77777777" w:rsidR="003C1CE8" w:rsidRPr="00E4650D" w:rsidRDefault="003C1CE8" w:rsidP="00E4650D">
      <w:pPr>
        <w:pStyle w:val="Norma"/>
        <w:jc w:val="both"/>
        <w:rPr>
          <w:rFonts w:cs="Arial"/>
          <w:sz w:val="24"/>
          <w:szCs w:val="24"/>
        </w:rPr>
      </w:pPr>
    </w:p>
    <w:p w14:paraId="5EA8759B" w14:textId="02BB65C9" w:rsidR="005C788B" w:rsidRDefault="003C1CE8" w:rsidP="00E72DB1">
      <w:pPr>
        <w:pStyle w:val="Norma"/>
        <w:ind w:left="360"/>
        <w:jc w:val="both"/>
        <w:rPr>
          <w:rFonts w:cs="Arial"/>
          <w:sz w:val="24"/>
          <w:szCs w:val="24"/>
        </w:rPr>
      </w:pPr>
      <w:r w:rsidRPr="00E4650D">
        <w:rPr>
          <w:rFonts w:cs="Arial"/>
          <w:sz w:val="24"/>
          <w:szCs w:val="24"/>
        </w:rPr>
        <w:t>Contractors are invited to submit full tenders of no more than</w:t>
      </w:r>
      <w:r w:rsidRPr="00E4650D">
        <w:rPr>
          <w:rFonts w:cs="Arial"/>
          <w:color w:val="0000FF"/>
          <w:sz w:val="24"/>
          <w:szCs w:val="24"/>
        </w:rPr>
        <w:t xml:space="preserve"> </w:t>
      </w:r>
      <w:r w:rsidR="008C6A43" w:rsidRPr="008C6A43">
        <w:rPr>
          <w:rFonts w:cs="Arial"/>
          <w:sz w:val="24"/>
          <w:szCs w:val="24"/>
        </w:rPr>
        <w:t>40</w:t>
      </w:r>
      <w:r w:rsidR="00832B02" w:rsidRPr="00E41E71">
        <w:rPr>
          <w:rFonts w:cs="Arial"/>
          <w:color w:val="FF0000"/>
          <w:sz w:val="24"/>
          <w:szCs w:val="24"/>
        </w:rPr>
        <w:t xml:space="preserve"> </w:t>
      </w:r>
      <w:r w:rsidRPr="00E4650D">
        <w:rPr>
          <w:rFonts w:cs="Arial"/>
          <w:sz w:val="24"/>
          <w:szCs w:val="24"/>
        </w:rPr>
        <w:t>pages</w:t>
      </w:r>
      <w:r w:rsidR="008036AA">
        <w:rPr>
          <w:rFonts w:cs="Arial"/>
          <w:sz w:val="24"/>
          <w:szCs w:val="24"/>
        </w:rPr>
        <w:t>, excluding declarations</w:t>
      </w:r>
      <w:r w:rsidRPr="00E4650D">
        <w:rPr>
          <w:rFonts w:cs="Arial"/>
          <w:sz w:val="24"/>
          <w:szCs w:val="24"/>
        </w:rPr>
        <w:t>.</w:t>
      </w:r>
      <w:r w:rsidR="00E4650D">
        <w:rPr>
          <w:rFonts w:cs="Arial"/>
          <w:sz w:val="24"/>
          <w:szCs w:val="24"/>
        </w:rPr>
        <w:t xml:space="preserve"> </w:t>
      </w:r>
      <w:r w:rsidR="003C54D5" w:rsidRPr="00E4650D">
        <w:rPr>
          <w:rFonts w:cs="Arial"/>
          <w:sz w:val="24"/>
          <w:szCs w:val="24"/>
        </w:rPr>
        <w:t xml:space="preserve">Tenders will be evaluated by at least three </w:t>
      </w:r>
      <w:r w:rsidR="0097210C">
        <w:rPr>
          <w:rFonts w:cs="Arial"/>
          <w:sz w:val="24"/>
          <w:szCs w:val="24"/>
        </w:rPr>
        <w:t>C</w:t>
      </w:r>
      <w:r w:rsidR="003C54D5" w:rsidRPr="00E41E71">
        <w:rPr>
          <w:rFonts w:cs="Arial"/>
          <w:sz w:val="24"/>
          <w:szCs w:val="24"/>
        </w:rPr>
        <w:t>CC</w:t>
      </w:r>
      <w:r w:rsidR="003C54D5" w:rsidRPr="00E4650D">
        <w:rPr>
          <w:rFonts w:cs="Arial"/>
          <w:sz w:val="24"/>
          <w:szCs w:val="24"/>
        </w:rPr>
        <w:t xml:space="preserve"> staff</w:t>
      </w:r>
      <w:r w:rsidR="005C788B" w:rsidRPr="00E4650D">
        <w:rPr>
          <w:rFonts w:cs="Arial"/>
          <w:sz w:val="24"/>
          <w:szCs w:val="24"/>
        </w:rPr>
        <w:t>.</w:t>
      </w:r>
    </w:p>
    <w:p w14:paraId="5EA8759C" w14:textId="77777777" w:rsidR="00E4650D" w:rsidRPr="00E4650D" w:rsidRDefault="00E4650D" w:rsidP="00E4650D">
      <w:pPr>
        <w:pStyle w:val="Norma"/>
        <w:jc w:val="both"/>
        <w:rPr>
          <w:rFonts w:cs="Arial"/>
          <w:sz w:val="24"/>
          <w:szCs w:val="24"/>
        </w:rPr>
      </w:pPr>
    </w:p>
    <w:p w14:paraId="5EA8759F" w14:textId="66D1713C" w:rsidR="00002825" w:rsidRPr="00804221" w:rsidRDefault="0097210C" w:rsidP="00804221">
      <w:pPr>
        <w:pStyle w:val="NoSpacing"/>
        <w:ind w:left="360"/>
        <w:rPr>
          <w:rFonts w:ascii="Arial" w:hAnsi="Arial" w:cs="Arial"/>
          <w:sz w:val="24"/>
          <w:szCs w:val="24"/>
        </w:rPr>
      </w:pPr>
      <w:r>
        <w:rPr>
          <w:rFonts w:ascii="Arial" w:hAnsi="Arial" w:cs="Arial"/>
          <w:sz w:val="24"/>
          <w:szCs w:val="24"/>
        </w:rPr>
        <w:lastRenderedPageBreak/>
        <w:t>C</w:t>
      </w:r>
      <w:r w:rsidR="003C54D5" w:rsidRPr="00E4650D">
        <w:rPr>
          <w:rFonts w:ascii="Arial" w:hAnsi="Arial" w:cs="Arial"/>
          <w:sz w:val="24"/>
          <w:szCs w:val="24"/>
        </w:rPr>
        <w:t xml:space="preserve">CC will select the bidder that </w:t>
      </w:r>
      <w:r w:rsidR="007C2B17" w:rsidRPr="00E4650D">
        <w:rPr>
          <w:rFonts w:ascii="Arial" w:hAnsi="Arial" w:cs="Arial"/>
          <w:sz w:val="24"/>
          <w:szCs w:val="24"/>
        </w:rPr>
        <w:t>scores highest against the</w:t>
      </w:r>
      <w:r w:rsidR="003C54D5" w:rsidRPr="00E4650D">
        <w:rPr>
          <w:rFonts w:ascii="Arial" w:hAnsi="Arial" w:cs="Arial"/>
          <w:sz w:val="24"/>
          <w:szCs w:val="24"/>
        </w:rPr>
        <w:t xml:space="preserve"> crit</w:t>
      </w:r>
      <w:r w:rsidR="00804221">
        <w:rPr>
          <w:rFonts w:ascii="Arial" w:hAnsi="Arial" w:cs="Arial"/>
          <w:sz w:val="24"/>
          <w:szCs w:val="24"/>
        </w:rPr>
        <w:t>eria and weighting listed below</w:t>
      </w:r>
      <w:r w:rsidR="00804221" w:rsidRPr="00804221">
        <w:rPr>
          <w:rFonts w:ascii="Arial" w:hAnsi="Arial" w:cs="Arial"/>
          <w:sz w:val="24"/>
          <w:szCs w:val="24"/>
        </w:rPr>
        <w:t xml:space="preserve">, </w:t>
      </w:r>
      <w:r w:rsidR="00804221">
        <w:rPr>
          <w:rFonts w:ascii="Arial" w:hAnsi="Arial" w:cs="Arial"/>
          <w:sz w:val="24"/>
          <w:szCs w:val="24"/>
        </w:rPr>
        <w:t>s</w:t>
      </w:r>
      <w:r w:rsidR="00002825" w:rsidRPr="00804221">
        <w:rPr>
          <w:rFonts w:ascii="Arial" w:hAnsi="Arial" w:cs="Arial"/>
          <w:sz w:val="24"/>
          <w:szCs w:val="24"/>
        </w:rPr>
        <w:t xml:space="preserve">ee </w:t>
      </w:r>
      <w:r w:rsidR="00EE50B0" w:rsidRPr="00804221">
        <w:rPr>
          <w:rFonts w:ascii="Arial" w:hAnsi="Arial" w:cs="Arial"/>
          <w:sz w:val="24"/>
          <w:szCs w:val="24"/>
        </w:rPr>
        <w:t>the ITT</w:t>
      </w:r>
      <w:r w:rsidR="00002825" w:rsidRPr="00804221">
        <w:rPr>
          <w:rFonts w:ascii="Arial" w:hAnsi="Arial" w:cs="Arial"/>
          <w:sz w:val="24"/>
          <w:szCs w:val="24"/>
        </w:rPr>
        <w:t xml:space="preserve"> for further information</w:t>
      </w:r>
      <w:r w:rsidR="00804221">
        <w:rPr>
          <w:rFonts w:ascii="Arial" w:hAnsi="Arial" w:cs="Arial"/>
          <w:sz w:val="24"/>
          <w:szCs w:val="24"/>
        </w:rPr>
        <w:t>.</w:t>
      </w:r>
    </w:p>
    <w:p w14:paraId="5EA875A0" w14:textId="77777777" w:rsidR="001623B7" w:rsidRDefault="001623B7" w:rsidP="001623B7">
      <w:pPr>
        <w:pStyle w:val="Norma"/>
        <w:widowControl/>
        <w:overflowPunct/>
        <w:autoSpaceDE/>
        <w:autoSpaceDN/>
        <w:adjustRightInd/>
        <w:jc w:val="both"/>
        <w:textAlignment w:val="auto"/>
        <w:rPr>
          <w:rFonts w:cs="Arial"/>
          <w:sz w:val="24"/>
          <w:szCs w:val="24"/>
        </w:rPr>
      </w:pPr>
    </w:p>
    <w:p w14:paraId="5EA875A1" w14:textId="77777777" w:rsidR="001623B7" w:rsidRDefault="001623B7" w:rsidP="001623B7">
      <w:pPr>
        <w:pStyle w:val="Norma"/>
        <w:spacing w:line="276" w:lineRule="auto"/>
        <w:rPr>
          <w:rFonts w:cs="Arial"/>
          <w:b/>
        </w:rPr>
      </w:pPr>
    </w:p>
    <w:p w14:paraId="5EA875A2" w14:textId="77777777" w:rsidR="001623B7" w:rsidRDefault="001623B7" w:rsidP="00941465">
      <w:pPr>
        <w:pStyle w:val="Norma"/>
        <w:spacing w:line="276" w:lineRule="auto"/>
        <w:ind w:left="360"/>
        <w:rPr>
          <w:rFonts w:cs="Arial"/>
          <w:b/>
        </w:rPr>
      </w:pPr>
      <w:r>
        <w:rPr>
          <w:rFonts w:cs="Arial"/>
          <w:b/>
        </w:rPr>
        <w:t>EVALUATION CRITERIA AND SCORING METHODOLOGY</w:t>
      </w:r>
    </w:p>
    <w:p w14:paraId="5EA875A3" w14:textId="77777777" w:rsidR="001623B7" w:rsidRDefault="001623B7" w:rsidP="001623B7">
      <w:pPr>
        <w:pStyle w:val="Norma"/>
        <w:spacing w:line="276" w:lineRule="auto"/>
        <w:rPr>
          <w:rFonts w:cs="Arial"/>
          <w:b/>
        </w:rPr>
      </w:pPr>
    </w:p>
    <w:p w14:paraId="5EA875A9" w14:textId="77777777" w:rsidR="001623B7" w:rsidRPr="00C6546D" w:rsidRDefault="001623B7" w:rsidP="001623B7">
      <w:pPr>
        <w:pStyle w:val="Norma"/>
        <w:ind w:left="1197"/>
        <w:rPr>
          <w:rFonts w:cs="Arial"/>
          <w:color w:val="FF0000"/>
        </w:rPr>
      </w:pPr>
    </w:p>
    <w:tbl>
      <w:tblPr>
        <w:tblStyle w:val="NormalTable0"/>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5927"/>
        <w:gridCol w:w="2262"/>
      </w:tblGrid>
      <w:tr w:rsidR="001623B7" w:rsidRPr="00C6546D" w14:paraId="5EA875AD" w14:textId="77777777" w:rsidTr="007D222D">
        <w:tc>
          <w:tcPr>
            <w:tcW w:w="1133" w:type="dxa"/>
          </w:tcPr>
          <w:p w14:paraId="5EA875AA" w14:textId="77777777" w:rsidR="001623B7" w:rsidRPr="00F7796D" w:rsidRDefault="001623B7" w:rsidP="00E00797">
            <w:pPr>
              <w:pStyle w:val="Heading4"/>
              <w:rPr>
                <w:rFonts w:ascii="Arial" w:hAnsi="Arial" w:cs="Arial"/>
              </w:rPr>
            </w:pPr>
            <w:bookmarkStart w:id="52" w:name="p2"/>
            <w:bookmarkStart w:id="53" w:name="_Toc417546771"/>
            <w:r w:rsidRPr="00F7796D">
              <w:rPr>
                <w:rFonts w:ascii="Arial" w:hAnsi="Arial" w:cs="Arial"/>
              </w:rPr>
              <w:t>Criterion</w:t>
            </w:r>
            <w:bookmarkEnd w:id="52"/>
            <w:bookmarkEnd w:id="53"/>
          </w:p>
        </w:tc>
        <w:tc>
          <w:tcPr>
            <w:tcW w:w="5927" w:type="dxa"/>
            <w:shd w:val="clear" w:color="auto" w:fill="auto"/>
          </w:tcPr>
          <w:p w14:paraId="5EA875AB" w14:textId="77777777" w:rsidR="001623B7" w:rsidRPr="00F7796D" w:rsidRDefault="001623B7" w:rsidP="00E00797">
            <w:pPr>
              <w:pStyle w:val="Heading4"/>
              <w:rPr>
                <w:rFonts w:ascii="Arial" w:hAnsi="Arial" w:cs="Arial"/>
              </w:rPr>
            </w:pPr>
            <w:bookmarkStart w:id="54" w:name="_Toc417546772"/>
            <w:r w:rsidRPr="00F7796D">
              <w:rPr>
                <w:rFonts w:ascii="Arial" w:hAnsi="Arial" w:cs="Arial"/>
              </w:rPr>
              <w:t>Description</w:t>
            </w:r>
            <w:bookmarkEnd w:id="54"/>
          </w:p>
        </w:tc>
        <w:tc>
          <w:tcPr>
            <w:tcW w:w="2262" w:type="dxa"/>
            <w:shd w:val="clear" w:color="auto" w:fill="auto"/>
          </w:tcPr>
          <w:p w14:paraId="5EA875AC" w14:textId="77777777" w:rsidR="001623B7" w:rsidRPr="00F7796D" w:rsidRDefault="001623B7" w:rsidP="00E00797">
            <w:pPr>
              <w:pStyle w:val="Heading4"/>
              <w:rPr>
                <w:rFonts w:ascii="Arial" w:hAnsi="Arial" w:cs="Arial"/>
              </w:rPr>
            </w:pPr>
            <w:bookmarkStart w:id="55" w:name="_Toc417546773"/>
            <w:r w:rsidRPr="00F7796D">
              <w:rPr>
                <w:rFonts w:ascii="Arial" w:hAnsi="Arial" w:cs="Arial"/>
              </w:rPr>
              <w:t>Weighting</w:t>
            </w:r>
            <w:bookmarkEnd w:id="55"/>
          </w:p>
        </w:tc>
      </w:tr>
      <w:tr w:rsidR="007D222D" w:rsidRPr="00C6546D" w14:paraId="5EA875B1" w14:textId="77777777" w:rsidTr="007D222D">
        <w:tc>
          <w:tcPr>
            <w:tcW w:w="1133" w:type="dxa"/>
          </w:tcPr>
          <w:p w14:paraId="5EA875AE" w14:textId="699A64BB" w:rsidR="007D222D" w:rsidRPr="00F7796D" w:rsidRDefault="007D222D" w:rsidP="00E00797">
            <w:pPr>
              <w:pStyle w:val="Norma"/>
              <w:rPr>
                <w:rFonts w:cs="Arial"/>
              </w:rPr>
            </w:pPr>
            <w:r>
              <w:rPr>
                <w:rFonts w:cs="Arial"/>
              </w:rPr>
              <w:t>1</w:t>
            </w:r>
          </w:p>
        </w:tc>
        <w:tc>
          <w:tcPr>
            <w:tcW w:w="5927" w:type="dxa"/>
            <w:shd w:val="clear" w:color="auto" w:fill="auto"/>
          </w:tcPr>
          <w:p w14:paraId="5EA875AF" w14:textId="644AFD13" w:rsidR="007D222D" w:rsidRPr="00F7796D" w:rsidRDefault="007D222D" w:rsidP="00E00797">
            <w:pPr>
              <w:pStyle w:val="Norma"/>
              <w:rPr>
                <w:rFonts w:cs="Arial"/>
              </w:rPr>
            </w:pPr>
            <w:r w:rsidRPr="00334AEE">
              <w:rPr>
                <w:rFonts w:ascii="Calibri" w:hAnsi="Calibri"/>
                <w:b/>
              </w:rPr>
              <w:t>RELEVANT EXPERIENCE</w:t>
            </w:r>
            <w:r>
              <w:rPr>
                <w:rFonts w:ascii="Calibri" w:hAnsi="Calibri"/>
                <w:b/>
              </w:rPr>
              <w:t xml:space="preserve"> / DEMONSTRATION OF CABABILITY</w:t>
            </w:r>
          </w:p>
        </w:tc>
        <w:tc>
          <w:tcPr>
            <w:tcW w:w="2262" w:type="dxa"/>
            <w:shd w:val="clear" w:color="auto" w:fill="auto"/>
            <w:vAlign w:val="center"/>
          </w:tcPr>
          <w:p w14:paraId="5EA875B0" w14:textId="573E9ED1" w:rsidR="007D222D" w:rsidRPr="00F7796D" w:rsidRDefault="007D222D" w:rsidP="00E00797">
            <w:pPr>
              <w:pStyle w:val="Norma"/>
              <w:rPr>
                <w:rFonts w:cs="Arial"/>
              </w:rPr>
            </w:pPr>
            <w:r>
              <w:rPr>
                <w:rFonts w:cs="Arial"/>
                <w:color w:val="000000"/>
              </w:rPr>
              <w:t>10%</w:t>
            </w:r>
          </w:p>
        </w:tc>
      </w:tr>
      <w:tr w:rsidR="007D222D" w:rsidRPr="00C6546D" w14:paraId="5EA875B5" w14:textId="77777777" w:rsidTr="007D222D">
        <w:tc>
          <w:tcPr>
            <w:tcW w:w="1133" w:type="dxa"/>
          </w:tcPr>
          <w:p w14:paraId="5EA875B2" w14:textId="587E5247" w:rsidR="007D222D" w:rsidRPr="00F7796D" w:rsidRDefault="007D222D" w:rsidP="00E00797">
            <w:pPr>
              <w:pStyle w:val="Norma"/>
              <w:rPr>
                <w:rFonts w:cs="Arial"/>
              </w:rPr>
            </w:pPr>
            <w:r>
              <w:rPr>
                <w:rFonts w:cs="Arial"/>
              </w:rPr>
              <w:t>2</w:t>
            </w:r>
          </w:p>
        </w:tc>
        <w:tc>
          <w:tcPr>
            <w:tcW w:w="5927" w:type="dxa"/>
            <w:shd w:val="clear" w:color="auto" w:fill="auto"/>
          </w:tcPr>
          <w:p w14:paraId="5EA875B3" w14:textId="382A88F7" w:rsidR="007D222D" w:rsidRPr="00F7796D" w:rsidRDefault="007D222D" w:rsidP="00E00797">
            <w:pPr>
              <w:pStyle w:val="Norma"/>
              <w:rPr>
                <w:rFonts w:cs="Arial"/>
              </w:rPr>
            </w:pPr>
            <w:r w:rsidRPr="00334AEE">
              <w:rPr>
                <w:rFonts w:ascii="Calibri" w:hAnsi="Calibri"/>
                <w:b/>
              </w:rPr>
              <w:t xml:space="preserve">MANAGING YOUR </w:t>
            </w:r>
            <w:r>
              <w:rPr>
                <w:rFonts w:ascii="Calibri" w:hAnsi="Calibri"/>
                <w:b/>
              </w:rPr>
              <w:t>RELATIONSHIP WITH THE CCC</w:t>
            </w:r>
          </w:p>
        </w:tc>
        <w:tc>
          <w:tcPr>
            <w:tcW w:w="2262" w:type="dxa"/>
            <w:shd w:val="clear" w:color="auto" w:fill="auto"/>
            <w:vAlign w:val="center"/>
          </w:tcPr>
          <w:p w14:paraId="5EA875B4" w14:textId="261A15DC" w:rsidR="007D222D" w:rsidRPr="00F7796D" w:rsidRDefault="007D222D" w:rsidP="00E00797">
            <w:pPr>
              <w:pStyle w:val="Norma"/>
              <w:rPr>
                <w:rFonts w:cs="Arial"/>
              </w:rPr>
            </w:pPr>
            <w:r>
              <w:rPr>
                <w:rFonts w:cs="Arial"/>
                <w:color w:val="000000"/>
              </w:rPr>
              <w:t>10%</w:t>
            </w:r>
          </w:p>
        </w:tc>
      </w:tr>
      <w:tr w:rsidR="007D222D" w:rsidRPr="00C6546D" w14:paraId="5EA875B9" w14:textId="77777777" w:rsidTr="007D222D">
        <w:tc>
          <w:tcPr>
            <w:tcW w:w="1133" w:type="dxa"/>
          </w:tcPr>
          <w:p w14:paraId="5EA875B6" w14:textId="5CBFCED4" w:rsidR="007D222D" w:rsidRPr="00F7796D" w:rsidRDefault="007D222D" w:rsidP="00E00797">
            <w:pPr>
              <w:pStyle w:val="Norma"/>
              <w:rPr>
                <w:rFonts w:cs="Arial"/>
              </w:rPr>
            </w:pPr>
            <w:r>
              <w:rPr>
                <w:rFonts w:cs="Arial"/>
              </w:rPr>
              <w:t>3</w:t>
            </w:r>
          </w:p>
        </w:tc>
        <w:tc>
          <w:tcPr>
            <w:tcW w:w="5927" w:type="dxa"/>
            <w:shd w:val="clear" w:color="auto" w:fill="auto"/>
          </w:tcPr>
          <w:p w14:paraId="5EA875B7" w14:textId="2D79AC43" w:rsidR="007D222D" w:rsidRPr="00F7796D" w:rsidRDefault="007D222D" w:rsidP="00E00797">
            <w:pPr>
              <w:pStyle w:val="Norma"/>
              <w:rPr>
                <w:rFonts w:cs="Arial"/>
              </w:rPr>
            </w:pPr>
            <w:r w:rsidRPr="00334AEE">
              <w:rPr>
                <w:rFonts w:ascii="Calibri" w:hAnsi="Calibri"/>
                <w:b/>
              </w:rPr>
              <w:t>QUALITY ASSURING THE SERVICES YOU PROVIDE</w:t>
            </w:r>
          </w:p>
        </w:tc>
        <w:tc>
          <w:tcPr>
            <w:tcW w:w="2262" w:type="dxa"/>
            <w:shd w:val="clear" w:color="auto" w:fill="auto"/>
            <w:vAlign w:val="center"/>
          </w:tcPr>
          <w:p w14:paraId="5EA875B8" w14:textId="1AF3A101" w:rsidR="007D222D" w:rsidRPr="00F7796D" w:rsidRDefault="007D222D" w:rsidP="00E00797">
            <w:pPr>
              <w:pStyle w:val="Norma"/>
              <w:rPr>
                <w:rFonts w:cs="Arial"/>
              </w:rPr>
            </w:pPr>
            <w:r>
              <w:rPr>
                <w:rFonts w:cs="Arial"/>
                <w:color w:val="000000"/>
              </w:rPr>
              <w:t>10%</w:t>
            </w:r>
          </w:p>
        </w:tc>
      </w:tr>
      <w:tr w:rsidR="007D222D" w:rsidRPr="00C6546D" w14:paraId="5EA875BD" w14:textId="77777777" w:rsidTr="007D222D">
        <w:tc>
          <w:tcPr>
            <w:tcW w:w="1133" w:type="dxa"/>
          </w:tcPr>
          <w:p w14:paraId="5EA875BA" w14:textId="3E205DAC" w:rsidR="007D222D" w:rsidRPr="00F7796D" w:rsidRDefault="007D222D" w:rsidP="00E00797">
            <w:pPr>
              <w:pStyle w:val="Norma"/>
              <w:rPr>
                <w:rFonts w:cs="Arial"/>
              </w:rPr>
            </w:pPr>
            <w:r>
              <w:rPr>
                <w:rFonts w:cs="Arial"/>
              </w:rPr>
              <w:t>4</w:t>
            </w:r>
          </w:p>
        </w:tc>
        <w:tc>
          <w:tcPr>
            <w:tcW w:w="5927" w:type="dxa"/>
            <w:shd w:val="clear" w:color="auto" w:fill="auto"/>
          </w:tcPr>
          <w:p w14:paraId="5EA875BB" w14:textId="676381F9" w:rsidR="007D222D" w:rsidRPr="00F7796D" w:rsidRDefault="007D222D" w:rsidP="00E00797">
            <w:pPr>
              <w:pStyle w:val="Norma"/>
              <w:rPr>
                <w:rFonts w:cs="Arial"/>
              </w:rPr>
            </w:pPr>
            <w:r w:rsidRPr="00334AEE">
              <w:rPr>
                <w:rFonts w:ascii="Calibri" w:hAnsi="Calibri"/>
                <w:b/>
              </w:rPr>
              <w:t>MANAGEMENT STRUCTURE</w:t>
            </w:r>
          </w:p>
        </w:tc>
        <w:tc>
          <w:tcPr>
            <w:tcW w:w="2262" w:type="dxa"/>
            <w:shd w:val="clear" w:color="auto" w:fill="auto"/>
            <w:vAlign w:val="center"/>
          </w:tcPr>
          <w:p w14:paraId="5EA875BC" w14:textId="7CDE0BA7" w:rsidR="007D222D" w:rsidRPr="00F7796D" w:rsidRDefault="007D222D" w:rsidP="00E00797">
            <w:pPr>
              <w:pStyle w:val="Norma"/>
              <w:rPr>
                <w:rFonts w:cs="Arial"/>
              </w:rPr>
            </w:pPr>
            <w:r>
              <w:rPr>
                <w:rFonts w:cs="Arial"/>
                <w:color w:val="000000"/>
              </w:rPr>
              <w:t>10%</w:t>
            </w:r>
          </w:p>
        </w:tc>
      </w:tr>
      <w:tr w:rsidR="007D222D" w:rsidRPr="00C6546D" w14:paraId="5EA875C1" w14:textId="77777777" w:rsidTr="007D222D">
        <w:tc>
          <w:tcPr>
            <w:tcW w:w="1133" w:type="dxa"/>
          </w:tcPr>
          <w:p w14:paraId="5EA875BE" w14:textId="7AB65F34" w:rsidR="007D222D" w:rsidRPr="00F7796D" w:rsidRDefault="007D222D" w:rsidP="00E00797">
            <w:pPr>
              <w:pStyle w:val="Norma"/>
              <w:rPr>
                <w:rFonts w:cs="Arial"/>
              </w:rPr>
            </w:pPr>
            <w:r>
              <w:rPr>
                <w:rFonts w:cs="Arial"/>
              </w:rPr>
              <w:t>5</w:t>
            </w:r>
          </w:p>
        </w:tc>
        <w:tc>
          <w:tcPr>
            <w:tcW w:w="5927" w:type="dxa"/>
            <w:shd w:val="clear" w:color="auto" w:fill="auto"/>
          </w:tcPr>
          <w:p w14:paraId="5EA875BF" w14:textId="14D3D04F" w:rsidR="007D222D" w:rsidRPr="00F7796D" w:rsidRDefault="007D222D" w:rsidP="00E00797">
            <w:pPr>
              <w:pStyle w:val="Norma"/>
              <w:rPr>
                <w:rFonts w:cs="Arial"/>
              </w:rPr>
            </w:pPr>
            <w:r w:rsidRPr="00334AEE">
              <w:rPr>
                <w:rFonts w:ascii="Calibri" w:hAnsi="Calibri"/>
                <w:b/>
              </w:rPr>
              <w:t>PROJECT TEAM</w:t>
            </w:r>
            <w:r>
              <w:rPr>
                <w:rFonts w:ascii="Calibri" w:hAnsi="Calibri"/>
                <w:b/>
              </w:rPr>
              <w:t xml:space="preserve"> – SKILLS AND KNOWLEDGE</w:t>
            </w:r>
          </w:p>
        </w:tc>
        <w:tc>
          <w:tcPr>
            <w:tcW w:w="2262" w:type="dxa"/>
            <w:shd w:val="clear" w:color="auto" w:fill="auto"/>
            <w:vAlign w:val="center"/>
          </w:tcPr>
          <w:p w14:paraId="5EA875C0" w14:textId="4B8E7FCA" w:rsidR="007D222D" w:rsidRPr="00F7796D" w:rsidRDefault="007D222D" w:rsidP="00E00797">
            <w:pPr>
              <w:pStyle w:val="Norma"/>
              <w:rPr>
                <w:rFonts w:cs="Arial"/>
              </w:rPr>
            </w:pPr>
            <w:r>
              <w:rPr>
                <w:rFonts w:cs="Arial"/>
                <w:color w:val="000000"/>
              </w:rPr>
              <w:t>10%</w:t>
            </w:r>
          </w:p>
        </w:tc>
      </w:tr>
      <w:tr w:rsidR="007D222D" w:rsidRPr="00C6546D" w14:paraId="5EA875C5" w14:textId="77777777" w:rsidTr="007D222D">
        <w:tc>
          <w:tcPr>
            <w:tcW w:w="1133" w:type="dxa"/>
          </w:tcPr>
          <w:p w14:paraId="5EA875C2" w14:textId="416F5849" w:rsidR="007D222D" w:rsidRPr="00F7796D" w:rsidRDefault="007D222D" w:rsidP="00E00797">
            <w:pPr>
              <w:pStyle w:val="Norma"/>
              <w:rPr>
                <w:rFonts w:cs="Arial"/>
              </w:rPr>
            </w:pPr>
            <w:r>
              <w:rPr>
                <w:rFonts w:cs="Arial"/>
              </w:rPr>
              <w:t>6</w:t>
            </w:r>
          </w:p>
        </w:tc>
        <w:tc>
          <w:tcPr>
            <w:tcW w:w="5927" w:type="dxa"/>
            <w:shd w:val="clear" w:color="auto" w:fill="auto"/>
          </w:tcPr>
          <w:p w14:paraId="5EA875C3" w14:textId="2DC7B04B" w:rsidR="007D222D" w:rsidRPr="00F7796D" w:rsidRDefault="007D222D" w:rsidP="00E00797">
            <w:pPr>
              <w:pStyle w:val="Norma"/>
              <w:rPr>
                <w:rFonts w:cs="Arial"/>
              </w:rPr>
            </w:pPr>
            <w:r w:rsidRPr="00334AEE">
              <w:rPr>
                <w:rFonts w:ascii="Calibri" w:hAnsi="Calibri"/>
                <w:b/>
              </w:rPr>
              <w:t>METHOD, ABILITY AND TECHNICAL CAPACITY</w:t>
            </w:r>
          </w:p>
        </w:tc>
        <w:tc>
          <w:tcPr>
            <w:tcW w:w="2262" w:type="dxa"/>
            <w:shd w:val="clear" w:color="auto" w:fill="auto"/>
            <w:vAlign w:val="center"/>
          </w:tcPr>
          <w:p w14:paraId="5EA875C4" w14:textId="2B45B09E" w:rsidR="007D222D" w:rsidRPr="00F7796D" w:rsidRDefault="007D222D" w:rsidP="00E00797">
            <w:pPr>
              <w:pStyle w:val="Norma"/>
              <w:rPr>
                <w:rFonts w:cs="Arial"/>
              </w:rPr>
            </w:pPr>
            <w:r>
              <w:rPr>
                <w:rFonts w:cs="Arial"/>
                <w:color w:val="000000"/>
              </w:rPr>
              <w:t>20%</w:t>
            </w:r>
          </w:p>
        </w:tc>
      </w:tr>
      <w:tr w:rsidR="007D222D" w:rsidRPr="00C6546D" w14:paraId="5EA875C9" w14:textId="77777777" w:rsidTr="007D222D">
        <w:tc>
          <w:tcPr>
            <w:tcW w:w="1133" w:type="dxa"/>
          </w:tcPr>
          <w:p w14:paraId="5EA875C6" w14:textId="679AAEE0" w:rsidR="007D222D" w:rsidRPr="00F7796D" w:rsidRDefault="007D222D" w:rsidP="00E00797">
            <w:pPr>
              <w:pStyle w:val="Norma"/>
              <w:rPr>
                <w:rFonts w:cs="Arial"/>
              </w:rPr>
            </w:pPr>
            <w:r>
              <w:rPr>
                <w:rFonts w:cs="Arial"/>
              </w:rPr>
              <w:t>7</w:t>
            </w:r>
          </w:p>
        </w:tc>
        <w:tc>
          <w:tcPr>
            <w:tcW w:w="5927" w:type="dxa"/>
            <w:shd w:val="clear" w:color="auto" w:fill="auto"/>
          </w:tcPr>
          <w:p w14:paraId="5EA875C7" w14:textId="7433D552" w:rsidR="007D222D" w:rsidRPr="00F7796D" w:rsidRDefault="007D222D" w:rsidP="00E00797">
            <w:pPr>
              <w:pStyle w:val="Norma"/>
              <w:rPr>
                <w:rFonts w:cs="Arial"/>
              </w:rPr>
            </w:pPr>
            <w:r w:rsidRPr="00334AEE">
              <w:rPr>
                <w:rFonts w:ascii="Calibri" w:hAnsi="Calibri"/>
                <w:b/>
              </w:rPr>
              <w:t>UNDERSTANDING OF REQUIREMENTS</w:t>
            </w:r>
          </w:p>
        </w:tc>
        <w:tc>
          <w:tcPr>
            <w:tcW w:w="2262" w:type="dxa"/>
            <w:shd w:val="clear" w:color="auto" w:fill="auto"/>
            <w:vAlign w:val="center"/>
          </w:tcPr>
          <w:p w14:paraId="5EA875C8" w14:textId="1DDE89EC" w:rsidR="007D222D" w:rsidRPr="00F7796D" w:rsidRDefault="007D222D" w:rsidP="00E00797">
            <w:pPr>
              <w:pStyle w:val="Norma"/>
              <w:rPr>
                <w:rFonts w:cs="Arial"/>
              </w:rPr>
            </w:pPr>
            <w:r>
              <w:rPr>
                <w:rFonts w:cs="Arial"/>
                <w:color w:val="000000"/>
              </w:rPr>
              <w:t>20%</w:t>
            </w:r>
          </w:p>
        </w:tc>
      </w:tr>
      <w:tr w:rsidR="007D222D" w:rsidRPr="00C6546D" w14:paraId="2E6C8FB4" w14:textId="77777777" w:rsidTr="007D222D">
        <w:tc>
          <w:tcPr>
            <w:tcW w:w="1133" w:type="dxa"/>
          </w:tcPr>
          <w:p w14:paraId="1E560CCE" w14:textId="3433B6B8" w:rsidR="007D222D" w:rsidRPr="00F7796D" w:rsidRDefault="007D222D" w:rsidP="00E00797">
            <w:pPr>
              <w:pStyle w:val="Norma"/>
              <w:rPr>
                <w:rFonts w:cs="Arial"/>
              </w:rPr>
            </w:pPr>
            <w:r>
              <w:rPr>
                <w:rFonts w:cs="Arial"/>
              </w:rPr>
              <w:t>8</w:t>
            </w:r>
          </w:p>
        </w:tc>
        <w:tc>
          <w:tcPr>
            <w:tcW w:w="5927" w:type="dxa"/>
            <w:shd w:val="clear" w:color="auto" w:fill="auto"/>
          </w:tcPr>
          <w:p w14:paraId="66360B15" w14:textId="1E9C66FF" w:rsidR="007D222D" w:rsidRPr="00F7796D" w:rsidRDefault="007D222D" w:rsidP="00E00797">
            <w:pPr>
              <w:pStyle w:val="Norma"/>
              <w:rPr>
                <w:rFonts w:cs="Arial"/>
              </w:rPr>
            </w:pPr>
            <w:r>
              <w:rPr>
                <w:rFonts w:ascii="Calibri" w:hAnsi="Calibri"/>
                <w:b/>
              </w:rPr>
              <w:t xml:space="preserve">RISK AND </w:t>
            </w:r>
            <w:r w:rsidRPr="00334AEE">
              <w:rPr>
                <w:rFonts w:ascii="Calibri" w:hAnsi="Calibri"/>
                <w:b/>
              </w:rPr>
              <w:t>CHALLENGES</w:t>
            </w:r>
          </w:p>
        </w:tc>
        <w:tc>
          <w:tcPr>
            <w:tcW w:w="2262" w:type="dxa"/>
            <w:shd w:val="clear" w:color="auto" w:fill="auto"/>
            <w:vAlign w:val="center"/>
          </w:tcPr>
          <w:p w14:paraId="42541313" w14:textId="18B27075" w:rsidR="007D222D" w:rsidRPr="00F7796D" w:rsidRDefault="007D222D" w:rsidP="00E00797">
            <w:pPr>
              <w:pStyle w:val="Norma"/>
              <w:rPr>
                <w:rFonts w:cs="Arial"/>
              </w:rPr>
            </w:pPr>
            <w:r>
              <w:rPr>
                <w:rFonts w:cs="Arial"/>
                <w:color w:val="000000"/>
              </w:rPr>
              <w:t>10%</w:t>
            </w:r>
          </w:p>
        </w:tc>
      </w:tr>
      <w:tr w:rsidR="00F81BC1" w:rsidRPr="00C6546D" w14:paraId="1D5C5230" w14:textId="77777777" w:rsidTr="007D222D">
        <w:tc>
          <w:tcPr>
            <w:tcW w:w="1133" w:type="dxa"/>
          </w:tcPr>
          <w:p w14:paraId="2768895F" w14:textId="77777777" w:rsidR="00F81BC1" w:rsidRPr="00F7796D" w:rsidRDefault="00F81BC1" w:rsidP="00E00797">
            <w:pPr>
              <w:pStyle w:val="Norma"/>
              <w:rPr>
                <w:rFonts w:cs="Arial"/>
              </w:rPr>
            </w:pPr>
          </w:p>
        </w:tc>
        <w:tc>
          <w:tcPr>
            <w:tcW w:w="5927" w:type="dxa"/>
            <w:shd w:val="clear" w:color="auto" w:fill="auto"/>
          </w:tcPr>
          <w:p w14:paraId="706ACC83" w14:textId="77777777" w:rsidR="00F81BC1" w:rsidRPr="00F7796D" w:rsidRDefault="00F81BC1" w:rsidP="00E00797">
            <w:pPr>
              <w:pStyle w:val="Norma"/>
              <w:rPr>
                <w:rFonts w:cs="Arial"/>
              </w:rPr>
            </w:pPr>
          </w:p>
        </w:tc>
        <w:tc>
          <w:tcPr>
            <w:tcW w:w="2262" w:type="dxa"/>
            <w:shd w:val="clear" w:color="auto" w:fill="auto"/>
          </w:tcPr>
          <w:p w14:paraId="4C34B6F9" w14:textId="77777777" w:rsidR="00F81BC1" w:rsidRPr="00F7796D" w:rsidRDefault="00F81BC1" w:rsidP="00E00797">
            <w:pPr>
              <w:pStyle w:val="Norma"/>
              <w:rPr>
                <w:rFonts w:cs="Arial"/>
              </w:rPr>
            </w:pPr>
          </w:p>
        </w:tc>
      </w:tr>
      <w:tr w:rsidR="001623B7" w:rsidRPr="00C6546D" w14:paraId="5EA875CC" w14:textId="77777777" w:rsidTr="007D222D">
        <w:tc>
          <w:tcPr>
            <w:tcW w:w="7060" w:type="dxa"/>
            <w:gridSpan w:val="2"/>
          </w:tcPr>
          <w:p w14:paraId="5EA875CA" w14:textId="77777777" w:rsidR="001623B7" w:rsidRPr="00F7796D" w:rsidRDefault="001623B7" w:rsidP="00E00797">
            <w:pPr>
              <w:pStyle w:val="Norma"/>
              <w:rPr>
                <w:rFonts w:cs="Arial"/>
              </w:rPr>
            </w:pPr>
          </w:p>
        </w:tc>
        <w:tc>
          <w:tcPr>
            <w:tcW w:w="2262" w:type="dxa"/>
            <w:shd w:val="clear" w:color="auto" w:fill="auto"/>
          </w:tcPr>
          <w:p w14:paraId="5EA875CB" w14:textId="77777777" w:rsidR="001623B7" w:rsidRPr="00F7796D" w:rsidRDefault="001623B7" w:rsidP="00E00797">
            <w:pPr>
              <w:pStyle w:val="Norma"/>
              <w:rPr>
                <w:rFonts w:cs="Arial"/>
              </w:rPr>
            </w:pPr>
            <w:r w:rsidRPr="00F7796D">
              <w:rPr>
                <w:rFonts w:cs="Arial"/>
              </w:rPr>
              <w:t>100%</w:t>
            </w:r>
          </w:p>
        </w:tc>
      </w:tr>
    </w:tbl>
    <w:p w14:paraId="5EA875CD" w14:textId="77777777" w:rsidR="001623B7" w:rsidRDefault="001623B7" w:rsidP="001623B7">
      <w:pPr>
        <w:pStyle w:val="Norma"/>
      </w:pPr>
    </w:p>
    <w:p w14:paraId="405ED9CC" w14:textId="77777777" w:rsidR="0089389E" w:rsidRDefault="0089389E" w:rsidP="00F129F3">
      <w:pPr>
        <w:pStyle w:val="Norma"/>
        <w:jc w:val="both"/>
        <w:rPr>
          <w:rFonts w:cs="Arial"/>
          <w:b/>
          <w:bCs/>
          <w:sz w:val="24"/>
          <w:szCs w:val="24"/>
        </w:rPr>
      </w:pPr>
    </w:p>
    <w:p w14:paraId="5EA875CE" w14:textId="77777777" w:rsidR="00F129F3" w:rsidRPr="00E4650D" w:rsidRDefault="00F129F3" w:rsidP="00F129F3">
      <w:pPr>
        <w:pStyle w:val="Norma"/>
        <w:jc w:val="both"/>
        <w:rPr>
          <w:rFonts w:cs="Arial"/>
          <w:b/>
          <w:bCs/>
          <w:sz w:val="24"/>
          <w:szCs w:val="24"/>
        </w:rPr>
      </w:pPr>
      <w:r w:rsidRPr="00E4650D">
        <w:rPr>
          <w:rFonts w:cs="Arial"/>
          <w:b/>
          <w:bCs/>
          <w:sz w:val="24"/>
          <w:szCs w:val="24"/>
        </w:rPr>
        <w:t>Scoring Method</w:t>
      </w:r>
    </w:p>
    <w:p w14:paraId="5EA875CF" w14:textId="77777777" w:rsidR="00F129F3" w:rsidRPr="00E4650D" w:rsidRDefault="00F129F3" w:rsidP="00F129F3">
      <w:pPr>
        <w:pStyle w:val="Norma"/>
        <w:jc w:val="both"/>
        <w:rPr>
          <w:rFonts w:cs="Arial"/>
          <w:b/>
          <w:bCs/>
          <w:sz w:val="24"/>
          <w:szCs w:val="24"/>
        </w:rPr>
      </w:pPr>
    </w:p>
    <w:p w14:paraId="5EA875D0" w14:textId="77777777" w:rsidR="00F129F3" w:rsidRPr="00E4650D" w:rsidRDefault="00F129F3" w:rsidP="00F129F3">
      <w:pPr>
        <w:pStyle w:val="Norma"/>
        <w:jc w:val="both"/>
        <w:rPr>
          <w:rFonts w:cs="Arial"/>
          <w:bCs/>
          <w:sz w:val="24"/>
          <w:szCs w:val="24"/>
        </w:rPr>
      </w:pPr>
      <w:r w:rsidRPr="00E4650D">
        <w:rPr>
          <w:rFonts w:cs="Arial"/>
          <w:bCs/>
          <w:sz w:val="24"/>
          <w:szCs w:val="24"/>
        </w:rPr>
        <w:t xml:space="preserve">Tenders will be scored against each of the criteria above, according to the extent to which they meet the requirements of the tender. The meaning of each score is outlined in the table below. </w:t>
      </w:r>
    </w:p>
    <w:p w14:paraId="5EA875D1" w14:textId="77777777" w:rsidR="00F129F3" w:rsidRPr="00E4650D" w:rsidRDefault="00F129F3" w:rsidP="00F129F3">
      <w:pPr>
        <w:pStyle w:val="Norma"/>
        <w:jc w:val="both"/>
        <w:rPr>
          <w:rFonts w:cs="Arial"/>
          <w:bCs/>
          <w:sz w:val="24"/>
          <w:szCs w:val="24"/>
        </w:rPr>
      </w:pPr>
    </w:p>
    <w:p w14:paraId="5EA875D2" w14:textId="77777777" w:rsidR="00F129F3" w:rsidRDefault="00F129F3" w:rsidP="00F129F3">
      <w:pPr>
        <w:pStyle w:val="Norma"/>
        <w:jc w:val="both"/>
        <w:rPr>
          <w:rFonts w:cs="Arial"/>
          <w:sz w:val="24"/>
          <w:szCs w:val="24"/>
        </w:rPr>
      </w:pPr>
      <w:r w:rsidRPr="00E4650D">
        <w:rPr>
          <w:rFonts w:cs="Arial"/>
          <w:sz w:val="24"/>
          <w:szCs w:val="24"/>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11D63197" w14:textId="77777777" w:rsidR="0089389E" w:rsidRPr="00E4650D" w:rsidRDefault="0089389E" w:rsidP="00F129F3">
      <w:pPr>
        <w:pStyle w:val="Norma"/>
        <w:jc w:val="both"/>
        <w:rPr>
          <w:rFonts w:cs="Arial"/>
          <w:sz w:val="24"/>
          <w:szCs w:val="24"/>
        </w:rPr>
      </w:pPr>
    </w:p>
    <w:p w14:paraId="5EA875D3" w14:textId="77777777" w:rsidR="00F129F3" w:rsidRDefault="00F129F3" w:rsidP="00F129F3">
      <w:pPr>
        <w:pStyle w:val="Norma"/>
        <w:spacing w:line="276" w:lineRule="auto"/>
        <w:rPr>
          <w:rFonts w:ascii="Calibri" w:hAnsi="Calibri" w:cs="Calibri"/>
          <w:color w:val="0000FF"/>
        </w:rPr>
      </w:pPr>
    </w:p>
    <w:tbl>
      <w:tblPr>
        <w:tblStyle w:val="NormalTable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7939"/>
      </w:tblGrid>
      <w:tr w:rsidR="00F129F3" w:rsidRPr="008A0415" w14:paraId="5EA875D6" w14:textId="77777777" w:rsidTr="00E00797">
        <w:tc>
          <w:tcPr>
            <w:tcW w:w="816" w:type="dxa"/>
          </w:tcPr>
          <w:p w14:paraId="5EA875D4" w14:textId="77777777" w:rsidR="00F129F3" w:rsidRPr="008A0415" w:rsidRDefault="00F129F3" w:rsidP="00E00797">
            <w:pPr>
              <w:pStyle w:val="Norma"/>
              <w:spacing w:line="276" w:lineRule="auto"/>
              <w:jc w:val="both"/>
              <w:rPr>
                <w:rFonts w:cs="Arial"/>
                <w:b/>
                <w:sz w:val="24"/>
                <w:szCs w:val="24"/>
              </w:rPr>
            </w:pPr>
            <w:r w:rsidRPr="008A0415">
              <w:rPr>
                <w:rFonts w:cs="Arial"/>
                <w:b/>
                <w:sz w:val="24"/>
                <w:szCs w:val="24"/>
              </w:rPr>
              <w:t>Score</w:t>
            </w:r>
          </w:p>
        </w:tc>
        <w:tc>
          <w:tcPr>
            <w:tcW w:w="7939" w:type="dxa"/>
          </w:tcPr>
          <w:p w14:paraId="5EA875D5" w14:textId="77777777" w:rsidR="00F129F3" w:rsidRPr="008A0415" w:rsidRDefault="00F129F3" w:rsidP="00E00797">
            <w:pPr>
              <w:pStyle w:val="Norma"/>
              <w:spacing w:line="276" w:lineRule="auto"/>
              <w:jc w:val="both"/>
              <w:rPr>
                <w:rFonts w:cs="Arial"/>
                <w:b/>
                <w:sz w:val="24"/>
                <w:szCs w:val="24"/>
              </w:rPr>
            </w:pPr>
            <w:r w:rsidRPr="008A0415">
              <w:rPr>
                <w:rFonts w:cs="Arial"/>
                <w:b/>
                <w:sz w:val="24"/>
                <w:szCs w:val="24"/>
              </w:rPr>
              <w:t>Description</w:t>
            </w:r>
          </w:p>
        </w:tc>
      </w:tr>
      <w:tr w:rsidR="00F129F3" w:rsidRPr="008A0415" w14:paraId="5EA875D9" w14:textId="77777777" w:rsidTr="00E00797">
        <w:trPr>
          <w:trHeight w:val="313"/>
        </w:trPr>
        <w:tc>
          <w:tcPr>
            <w:tcW w:w="816" w:type="dxa"/>
          </w:tcPr>
          <w:p w14:paraId="5EA875D7" w14:textId="77777777" w:rsidR="00F129F3" w:rsidRPr="008A0415" w:rsidRDefault="00F129F3" w:rsidP="00E00797">
            <w:pPr>
              <w:pStyle w:val="Norma"/>
              <w:spacing w:line="276" w:lineRule="auto"/>
              <w:jc w:val="both"/>
              <w:rPr>
                <w:rFonts w:cs="Arial"/>
                <w:sz w:val="24"/>
                <w:szCs w:val="24"/>
              </w:rPr>
            </w:pPr>
            <w:r w:rsidRPr="008A0415">
              <w:rPr>
                <w:rFonts w:cs="Arial"/>
                <w:sz w:val="24"/>
                <w:szCs w:val="24"/>
              </w:rPr>
              <w:t>1</w:t>
            </w:r>
          </w:p>
        </w:tc>
        <w:tc>
          <w:tcPr>
            <w:tcW w:w="7939" w:type="dxa"/>
          </w:tcPr>
          <w:p w14:paraId="5EA875D8" w14:textId="77777777" w:rsidR="00F129F3" w:rsidRPr="008A0415" w:rsidRDefault="00F129F3" w:rsidP="00E00797">
            <w:pPr>
              <w:pStyle w:val="NoSpacing"/>
              <w:rPr>
                <w:rFonts w:ascii="Arial" w:hAnsi="Arial" w:cs="Arial"/>
                <w:sz w:val="24"/>
                <w:szCs w:val="24"/>
              </w:rPr>
            </w:pPr>
            <w:r w:rsidRPr="008A0415">
              <w:rPr>
                <w:rFonts w:ascii="Arial" w:hAnsi="Arial" w:cs="Arial"/>
                <w:sz w:val="24"/>
                <w:szCs w:val="24"/>
              </w:rPr>
              <w:t>Not Satisfactory: Proposal contains significant shortcomings and does not meet the required standard</w:t>
            </w:r>
          </w:p>
        </w:tc>
      </w:tr>
      <w:tr w:rsidR="00F129F3" w:rsidRPr="008A0415" w14:paraId="5EA875DC" w14:textId="77777777" w:rsidTr="00E00797">
        <w:tc>
          <w:tcPr>
            <w:tcW w:w="816" w:type="dxa"/>
          </w:tcPr>
          <w:p w14:paraId="5EA875DA" w14:textId="77777777" w:rsidR="00F129F3" w:rsidRPr="008A0415" w:rsidRDefault="00F129F3" w:rsidP="00E00797">
            <w:pPr>
              <w:pStyle w:val="Norma"/>
              <w:spacing w:line="276" w:lineRule="auto"/>
              <w:jc w:val="both"/>
              <w:rPr>
                <w:rFonts w:cs="Arial"/>
                <w:sz w:val="24"/>
                <w:szCs w:val="24"/>
              </w:rPr>
            </w:pPr>
            <w:r w:rsidRPr="008A0415">
              <w:rPr>
                <w:rFonts w:cs="Arial"/>
                <w:sz w:val="24"/>
                <w:szCs w:val="24"/>
              </w:rPr>
              <w:t>2</w:t>
            </w:r>
          </w:p>
        </w:tc>
        <w:tc>
          <w:tcPr>
            <w:tcW w:w="7939" w:type="dxa"/>
          </w:tcPr>
          <w:p w14:paraId="5EA875DB" w14:textId="77777777" w:rsidR="00F129F3" w:rsidRPr="008A0415" w:rsidRDefault="00F129F3" w:rsidP="00E00797">
            <w:pPr>
              <w:pStyle w:val="NoSpacing"/>
              <w:rPr>
                <w:rFonts w:ascii="Arial" w:hAnsi="Arial" w:cs="Arial"/>
                <w:sz w:val="24"/>
                <w:szCs w:val="24"/>
              </w:rPr>
            </w:pPr>
            <w:r w:rsidRPr="008A0415">
              <w:rPr>
                <w:rFonts w:ascii="Arial" w:hAnsi="Arial" w:cs="Arial"/>
                <w:sz w:val="24"/>
                <w:szCs w:val="24"/>
              </w:rPr>
              <w:t xml:space="preserve">Partially Satisfactory: Proposal partially meets the required standard, with one or more moderate weaknesses or gaps </w:t>
            </w:r>
          </w:p>
        </w:tc>
      </w:tr>
      <w:tr w:rsidR="00F129F3" w:rsidRPr="008A0415" w14:paraId="5EA875DF" w14:textId="77777777" w:rsidTr="00E00797">
        <w:tc>
          <w:tcPr>
            <w:tcW w:w="816" w:type="dxa"/>
          </w:tcPr>
          <w:p w14:paraId="5EA875DD" w14:textId="77777777" w:rsidR="00F129F3" w:rsidRPr="008A0415" w:rsidRDefault="00F129F3" w:rsidP="00E00797">
            <w:pPr>
              <w:pStyle w:val="Norma"/>
              <w:spacing w:line="276" w:lineRule="auto"/>
              <w:jc w:val="both"/>
              <w:rPr>
                <w:rFonts w:cs="Arial"/>
                <w:sz w:val="24"/>
                <w:szCs w:val="24"/>
              </w:rPr>
            </w:pPr>
            <w:r w:rsidRPr="008A0415">
              <w:rPr>
                <w:rFonts w:cs="Arial"/>
                <w:sz w:val="24"/>
                <w:szCs w:val="24"/>
              </w:rPr>
              <w:t>3</w:t>
            </w:r>
          </w:p>
        </w:tc>
        <w:tc>
          <w:tcPr>
            <w:tcW w:w="7939" w:type="dxa"/>
          </w:tcPr>
          <w:p w14:paraId="5EA875DE" w14:textId="77777777" w:rsidR="00F129F3" w:rsidRPr="008A0415" w:rsidRDefault="00F129F3" w:rsidP="00E00797">
            <w:pPr>
              <w:pStyle w:val="NoSpacing"/>
              <w:rPr>
                <w:rFonts w:ascii="Arial" w:hAnsi="Arial" w:cs="Arial"/>
                <w:sz w:val="24"/>
                <w:szCs w:val="24"/>
              </w:rPr>
            </w:pPr>
            <w:r w:rsidRPr="008A0415">
              <w:rPr>
                <w:rFonts w:ascii="Arial" w:hAnsi="Arial" w:cs="Arial"/>
                <w:sz w:val="24"/>
                <w:szCs w:val="24"/>
              </w:rPr>
              <w:t>Satisfactory: Proposal mostly meets the required standard, with one or more minor weaknesses or gaps.</w:t>
            </w:r>
          </w:p>
        </w:tc>
      </w:tr>
      <w:tr w:rsidR="00F129F3" w:rsidRPr="008A0415" w14:paraId="5EA875E2" w14:textId="77777777" w:rsidTr="00E00797">
        <w:tc>
          <w:tcPr>
            <w:tcW w:w="816" w:type="dxa"/>
          </w:tcPr>
          <w:p w14:paraId="5EA875E0" w14:textId="77777777" w:rsidR="00F129F3" w:rsidRPr="008A0415" w:rsidRDefault="00F129F3" w:rsidP="00E00797">
            <w:pPr>
              <w:pStyle w:val="Norma"/>
              <w:spacing w:line="276" w:lineRule="auto"/>
              <w:jc w:val="both"/>
              <w:rPr>
                <w:rFonts w:cs="Arial"/>
                <w:sz w:val="24"/>
                <w:szCs w:val="24"/>
              </w:rPr>
            </w:pPr>
            <w:r w:rsidRPr="008A0415">
              <w:rPr>
                <w:rFonts w:cs="Arial"/>
                <w:sz w:val="24"/>
                <w:szCs w:val="24"/>
              </w:rPr>
              <w:t>4</w:t>
            </w:r>
          </w:p>
        </w:tc>
        <w:tc>
          <w:tcPr>
            <w:tcW w:w="7939" w:type="dxa"/>
          </w:tcPr>
          <w:p w14:paraId="5EA875E1" w14:textId="77777777" w:rsidR="00F129F3" w:rsidRPr="008A0415" w:rsidRDefault="00F129F3" w:rsidP="00E00797">
            <w:pPr>
              <w:pStyle w:val="NoSpacing"/>
              <w:rPr>
                <w:rFonts w:ascii="Arial" w:hAnsi="Arial" w:cs="Arial"/>
                <w:sz w:val="24"/>
                <w:szCs w:val="24"/>
              </w:rPr>
            </w:pPr>
            <w:r w:rsidRPr="008A0415">
              <w:rPr>
                <w:rFonts w:ascii="Arial" w:hAnsi="Arial" w:cs="Arial"/>
                <w:sz w:val="24"/>
                <w:szCs w:val="24"/>
              </w:rPr>
              <w:t>Good: Proposal meets the required standard, with moderate levels of assurance</w:t>
            </w:r>
          </w:p>
        </w:tc>
      </w:tr>
      <w:tr w:rsidR="00F129F3" w:rsidRPr="008A0415" w14:paraId="5EA875E5" w14:textId="77777777" w:rsidTr="00E00797">
        <w:tc>
          <w:tcPr>
            <w:tcW w:w="816" w:type="dxa"/>
          </w:tcPr>
          <w:p w14:paraId="5EA875E3" w14:textId="77777777" w:rsidR="00F129F3" w:rsidRPr="008A0415" w:rsidRDefault="00F129F3" w:rsidP="00E00797">
            <w:pPr>
              <w:pStyle w:val="Norma"/>
              <w:spacing w:line="276" w:lineRule="auto"/>
              <w:jc w:val="both"/>
              <w:rPr>
                <w:rFonts w:cs="Arial"/>
                <w:sz w:val="24"/>
                <w:szCs w:val="24"/>
              </w:rPr>
            </w:pPr>
            <w:r w:rsidRPr="008A0415">
              <w:rPr>
                <w:rFonts w:cs="Arial"/>
                <w:sz w:val="24"/>
                <w:szCs w:val="24"/>
              </w:rPr>
              <w:t>5</w:t>
            </w:r>
          </w:p>
        </w:tc>
        <w:tc>
          <w:tcPr>
            <w:tcW w:w="7939" w:type="dxa"/>
          </w:tcPr>
          <w:p w14:paraId="5EA875E4" w14:textId="77777777" w:rsidR="00F129F3" w:rsidRPr="008A0415" w:rsidRDefault="00F129F3" w:rsidP="00E00797">
            <w:pPr>
              <w:pStyle w:val="NoSpacing"/>
              <w:rPr>
                <w:rFonts w:ascii="Arial" w:hAnsi="Arial" w:cs="Arial"/>
                <w:sz w:val="24"/>
                <w:szCs w:val="24"/>
              </w:rPr>
            </w:pPr>
            <w:r w:rsidRPr="008A0415">
              <w:rPr>
                <w:rFonts w:ascii="Arial" w:hAnsi="Arial" w:cs="Arial"/>
                <w:sz w:val="24"/>
                <w:szCs w:val="24"/>
              </w:rPr>
              <w:t>Excellent: Proposal fully meets the required standard with high levels of assurance</w:t>
            </w:r>
          </w:p>
        </w:tc>
      </w:tr>
    </w:tbl>
    <w:p w14:paraId="5EA87614" w14:textId="77777777" w:rsidR="001623B7" w:rsidRPr="001D5D04" w:rsidRDefault="001623B7" w:rsidP="001623B7">
      <w:pPr>
        <w:pStyle w:val="Norma"/>
        <w:widowControl/>
        <w:overflowPunct/>
        <w:autoSpaceDE/>
        <w:autoSpaceDN/>
        <w:adjustRightInd/>
        <w:jc w:val="both"/>
        <w:textAlignment w:val="auto"/>
        <w:rPr>
          <w:rFonts w:cs="Arial"/>
          <w:sz w:val="24"/>
          <w:szCs w:val="24"/>
        </w:rPr>
      </w:pPr>
      <w:bookmarkStart w:id="56" w:name="nine01"/>
      <w:bookmarkEnd w:id="56"/>
    </w:p>
    <w:p w14:paraId="5EA87615" w14:textId="77777777" w:rsidR="004A2B75" w:rsidRDefault="004A2B75" w:rsidP="00E4650D">
      <w:pPr>
        <w:pStyle w:val="Norma"/>
        <w:jc w:val="both"/>
        <w:rPr>
          <w:rFonts w:cs="Arial"/>
          <w:b/>
          <w:sz w:val="24"/>
          <w:szCs w:val="24"/>
        </w:rPr>
      </w:pPr>
    </w:p>
    <w:p w14:paraId="5EA87616" w14:textId="77777777" w:rsidR="00BD1875" w:rsidRPr="00E4650D" w:rsidRDefault="00BD1875" w:rsidP="00E4650D">
      <w:pPr>
        <w:pStyle w:val="Norma"/>
        <w:jc w:val="both"/>
        <w:rPr>
          <w:rFonts w:cs="Arial"/>
          <w:b/>
          <w:sz w:val="24"/>
          <w:szCs w:val="24"/>
        </w:rPr>
      </w:pPr>
      <w:r w:rsidRPr="00E4650D">
        <w:rPr>
          <w:rFonts w:cs="Arial"/>
          <w:b/>
          <w:sz w:val="24"/>
          <w:szCs w:val="24"/>
        </w:rPr>
        <w:t>Structure of Tenders</w:t>
      </w:r>
    </w:p>
    <w:p w14:paraId="5EA87617" w14:textId="77777777" w:rsidR="00BD1875" w:rsidRPr="00E4650D" w:rsidRDefault="00BD1875" w:rsidP="00E4650D">
      <w:pPr>
        <w:pStyle w:val="Norma"/>
        <w:jc w:val="both"/>
        <w:rPr>
          <w:rFonts w:cs="Arial"/>
          <w:sz w:val="24"/>
          <w:szCs w:val="24"/>
        </w:rPr>
      </w:pPr>
    </w:p>
    <w:p w14:paraId="5EA87618" w14:textId="6E218984" w:rsidR="00D648EC" w:rsidRPr="00E4650D" w:rsidRDefault="007B668D" w:rsidP="00E4650D">
      <w:pPr>
        <w:pStyle w:val="Norma"/>
        <w:jc w:val="both"/>
        <w:rPr>
          <w:rFonts w:eastAsia="Calibri" w:cs="Arial"/>
          <w:sz w:val="24"/>
          <w:szCs w:val="24"/>
          <w:lang w:eastAsia="en-US"/>
        </w:rPr>
      </w:pPr>
      <w:r w:rsidRPr="00E4650D">
        <w:rPr>
          <w:rFonts w:cs="Arial"/>
          <w:sz w:val="24"/>
          <w:szCs w:val="24"/>
        </w:rPr>
        <w:t>Contractors are strongly advised to structure their tender submissions to cover</w:t>
      </w:r>
      <w:r w:rsidR="000B765B" w:rsidRPr="00E4650D">
        <w:rPr>
          <w:rFonts w:cs="Arial"/>
          <w:sz w:val="24"/>
          <w:szCs w:val="24"/>
        </w:rPr>
        <w:t xml:space="preserve"> each of</w:t>
      </w:r>
      <w:r w:rsidRPr="00E4650D">
        <w:rPr>
          <w:rFonts w:cs="Arial"/>
          <w:sz w:val="24"/>
          <w:szCs w:val="24"/>
        </w:rPr>
        <w:t xml:space="preserve"> the criteria above</w:t>
      </w:r>
      <w:r w:rsidR="00F81BC1">
        <w:rPr>
          <w:rFonts w:cs="Arial"/>
          <w:sz w:val="24"/>
          <w:szCs w:val="24"/>
        </w:rPr>
        <w:t xml:space="preserve"> and supply a price </w:t>
      </w:r>
      <w:r w:rsidR="006D62F6" w:rsidRPr="00E4650D">
        <w:rPr>
          <w:rFonts w:eastAsia="Calibri" w:cs="Arial"/>
          <w:sz w:val="24"/>
          <w:szCs w:val="24"/>
          <w:lang w:eastAsia="en-US"/>
        </w:rPr>
        <w:t xml:space="preserve">schedule </w:t>
      </w:r>
      <w:r w:rsidR="00D648EC" w:rsidRPr="00E4650D">
        <w:rPr>
          <w:rFonts w:eastAsia="Calibri" w:cs="Arial"/>
          <w:sz w:val="24"/>
          <w:szCs w:val="24"/>
          <w:lang w:eastAsia="en-US"/>
        </w:rPr>
        <w:t xml:space="preserve">specifying the daily rates (ex-VAT) </w:t>
      </w:r>
      <w:r w:rsidR="00D648EC" w:rsidRPr="00E4650D">
        <w:rPr>
          <w:rFonts w:eastAsia="Calibri" w:cs="Arial"/>
          <w:sz w:val="24"/>
          <w:szCs w:val="24"/>
          <w:lang w:eastAsia="en-US"/>
        </w:rPr>
        <w:lastRenderedPageBreak/>
        <w:t xml:space="preserve">you will charge for each level of your staff. </w:t>
      </w:r>
    </w:p>
    <w:p w14:paraId="5EA87619" w14:textId="77777777" w:rsidR="003C1CE8" w:rsidRPr="002D4038" w:rsidRDefault="003C1CE8" w:rsidP="003C1CE8">
      <w:pPr>
        <w:pStyle w:val="Norma"/>
        <w:rPr>
          <w:rFonts w:ascii="Calibri" w:hAnsi="Calibri" w:cs="Calibri"/>
        </w:rPr>
      </w:pPr>
    </w:p>
    <w:p w14:paraId="5EA8761A" w14:textId="77777777" w:rsidR="003B5CAF" w:rsidRPr="002D4038" w:rsidRDefault="003B5CAF" w:rsidP="003C1CE8">
      <w:pPr>
        <w:pStyle w:val="Norma"/>
        <w:jc w:val="both"/>
        <w:rPr>
          <w:rFonts w:ascii="Calibri" w:hAnsi="Calibri" w:cs="Calibri"/>
          <w:b/>
        </w:rPr>
      </w:pPr>
    </w:p>
    <w:p w14:paraId="5EA8761B" w14:textId="77777777" w:rsidR="000B02C5" w:rsidRPr="008A0415" w:rsidRDefault="000B02C5" w:rsidP="008A0415">
      <w:pPr>
        <w:pStyle w:val="Norma"/>
        <w:jc w:val="both"/>
        <w:rPr>
          <w:rFonts w:cs="Arial"/>
          <w:b/>
          <w:sz w:val="24"/>
          <w:szCs w:val="24"/>
        </w:rPr>
      </w:pPr>
      <w:r w:rsidRPr="008A0415">
        <w:rPr>
          <w:rFonts w:cs="Arial"/>
          <w:b/>
          <w:sz w:val="24"/>
          <w:szCs w:val="24"/>
        </w:rPr>
        <w:t>Evaluation for Interviews</w:t>
      </w:r>
      <w:r w:rsidR="00CF00CA">
        <w:rPr>
          <w:rFonts w:cs="Arial"/>
          <w:b/>
          <w:sz w:val="24"/>
          <w:szCs w:val="24"/>
        </w:rPr>
        <w:t>, if held</w:t>
      </w:r>
      <w:r w:rsidRPr="008A0415">
        <w:rPr>
          <w:rFonts w:cs="Arial"/>
          <w:b/>
          <w:sz w:val="24"/>
          <w:szCs w:val="24"/>
        </w:rPr>
        <w:t xml:space="preserve"> </w:t>
      </w:r>
    </w:p>
    <w:p w14:paraId="5EA8761C" w14:textId="77777777" w:rsidR="000B02C5" w:rsidRPr="008A0415" w:rsidRDefault="000B02C5" w:rsidP="008A0415">
      <w:pPr>
        <w:pStyle w:val="Norma"/>
        <w:jc w:val="both"/>
        <w:rPr>
          <w:rFonts w:cs="Arial"/>
          <w:b/>
          <w:sz w:val="24"/>
          <w:szCs w:val="24"/>
        </w:rPr>
      </w:pPr>
    </w:p>
    <w:p w14:paraId="5EA8761D" w14:textId="4BB87FDC" w:rsidR="002E198B" w:rsidRPr="008A0415" w:rsidRDefault="0097210C" w:rsidP="008A0415">
      <w:pPr>
        <w:pStyle w:val="Norma"/>
        <w:jc w:val="both"/>
        <w:rPr>
          <w:rFonts w:cs="Arial"/>
          <w:sz w:val="24"/>
          <w:szCs w:val="24"/>
        </w:rPr>
      </w:pPr>
      <w:r>
        <w:rPr>
          <w:rFonts w:cs="Arial"/>
          <w:sz w:val="24"/>
          <w:szCs w:val="24"/>
        </w:rPr>
        <w:t>C</w:t>
      </w:r>
      <w:r w:rsidR="00222DF8" w:rsidRPr="008A0415">
        <w:rPr>
          <w:rFonts w:cs="Arial"/>
          <w:sz w:val="24"/>
          <w:szCs w:val="24"/>
        </w:rPr>
        <w:t xml:space="preserve">CC reserves the right to award the contract based on applicants’ written evaluation only if one candidate emerges from the evaluation stage as significantly stronger than the others.  </w:t>
      </w:r>
    </w:p>
    <w:p w14:paraId="5EA8761E" w14:textId="77777777" w:rsidR="002E198B" w:rsidRPr="008A0415" w:rsidRDefault="002E198B" w:rsidP="008A0415">
      <w:pPr>
        <w:pStyle w:val="Norma"/>
        <w:jc w:val="both"/>
        <w:rPr>
          <w:rFonts w:cs="Arial"/>
          <w:sz w:val="24"/>
          <w:szCs w:val="24"/>
        </w:rPr>
      </w:pPr>
    </w:p>
    <w:p w14:paraId="5EA8761F" w14:textId="52152307" w:rsidR="000967DA" w:rsidRDefault="00222DF8" w:rsidP="008A0415">
      <w:pPr>
        <w:pStyle w:val="Norma"/>
        <w:jc w:val="both"/>
        <w:rPr>
          <w:rFonts w:cs="Arial"/>
          <w:sz w:val="24"/>
          <w:szCs w:val="24"/>
        </w:rPr>
      </w:pPr>
      <w:r w:rsidRPr="008A0415">
        <w:rPr>
          <w:rFonts w:cs="Arial"/>
          <w:sz w:val="24"/>
          <w:szCs w:val="24"/>
        </w:rPr>
        <w:t xml:space="preserve">Should interviews go ahead, </w:t>
      </w:r>
      <w:r w:rsidR="0097210C">
        <w:rPr>
          <w:rFonts w:cs="Arial"/>
          <w:sz w:val="24"/>
          <w:szCs w:val="24"/>
        </w:rPr>
        <w:t>C</w:t>
      </w:r>
      <w:r w:rsidR="00F71AE1" w:rsidRPr="008A0415">
        <w:rPr>
          <w:rFonts w:cs="Arial"/>
          <w:sz w:val="24"/>
          <w:szCs w:val="24"/>
        </w:rPr>
        <w:t xml:space="preserve">CC will shortlist the top three suppliers with the highest marks from the written proposals. Interviews </w:t>
      </w:r>
      <w:r w:rsidRPr="008A0415">
        <w:rPr>
          <w:rFonts w:cs="Arial"/>
          <w:sz w:val="24"/>
          <w:szCs w:val="24"/>
        </w:rPr>
        <w:t xml:space="preserve">are provisionally expected to be held </w:t>
      </w:r>
      <w:r w:rsidR="00E55A47">
        <w:rPr>
          <w:rFonts w:cs="Arial"/>
          <w:sz w:val="24"/>
          <w:szCs w:val="24"/>
        </w:rPr>
        <w:t>on</w:t>
      </w:r>
      <w:r w:rsidRPr="008A0415">
        <w:rPr>
          <w:rFonts w:cs="Arial"/>
          <w:sz w:val="24"/>
          <w:szCs w:val="24"/>
        </w:rPr>
        <w:t xml:space="preserve"> </w:t>
      </w:r>
      <w:r w:rsidR="003A49DE" w:rsidRPr="003A49DE">
        <w:rPr>
          <w:rFonts w:cs="Arial"/>
          <w:sz w:val="24"/>
          <w:szCs w:val="24"/>
        </w:rPr>
        <w:t xml:space="preserve">18/19 May 2015 </w:t>
      </w:r>
      <w:r w:rsidR="0097210C">
        <w:rPr>
          <w:rFonts w:cs="Arial"/>
          <w:sz w:val="24"/>
          <w:szCs w:val="24"/>
        </w:rPr>
        <w:t>If this date changes, C</w:t>
      </w:r>
      <w:r w:rsidRPr="008A0415">
        <w:rPr>
          <w:rFonts w:cs="Arial"/>
          <w:sz w:val="24"/>
          <w:szCs w:val="24"/>
        </w:rPr>
        <w:t xml:space="preserve">CC will notify applicants. </w:t>
      </w:r>
    </w:p>
    <w:p w14:paraId="5EA87620" w14:textId="77777777" w:rsidR="000967DA" w:rsidRDefault="000967DA" w:rsidP="008A0415">
      <w:pPr>
        <w:pStyle w:val="Norma"/>
        <w:jc w:val="both"/>
        <w:rPr>
          <w:rFonts w:cs="Arial"/>
          <w:sz w:val="24"/>
          <w:szCs w:val="24"/>
        </w:rPr>
      </w:pPr>
    </w:p>
    <w:p w14:paraId="5EA87621" w14:textId="335D7D1B" w:rsidR="006C44C2" w:rsidRDefault="006C44C2" w:rsidP="008A0415">
      <w:pPr>
        <w:pStyle w:val="Norma"/>
        <w:jc w:val="both"/>
        <w:rPr>
          <w:rFonts w:cs="Arial"/>
          <w:sz w:val="24"/>
          <w:szCs w:val="24"/>
        </w:rPr>
      </w:pPr>
      <w:r>
        <w:rPr>
          <w:rFonts w:cs="Arial"/>
          <w:sz w:val="24"/>
          <w:szCs w:val="24"/>
        </w:rPr>
        <w:t>The areas to be covered in the interview,</w:t>
      </w:r>
      <w:r w:rsidRPr="008A0415">
        <w:rPr>
          <w:rFonts w:cs="Arial"/>
          <w:sz w:val="24"/>
          <w:szCs w:val="24"/>
        </w:rPr>
        <w:t xml:space="preserve"> and mar</w:t>
      </w:r>
      <w:r>
        <w:rPr>
          <w:rFonts w:cs="Arial"/>
          <w:sz w:val="24"/>
          <w:szCs w:val="24"/>
        </w:rPr>
        <w:t>kings allocated to each topic area</w:t>
      </w:r>
      <w:r w:rsidRPr="008A0415">
        <w:rPr>
          <w:rFonts w:cs="Arial"/>
          <w:sz w:val="24"/>
          <w:szCs w:val="24"/>
        </w:rPr>
        <w:t xml:space="preserve"> will be sent to the shortlisted supplier prior to interview.</w:t>
      </w:r>
    </w:p>
    <w:p w14:paraId="5EA87622" w14:textId="77777777" w:rsidR="006C44C2" w:rsidRDefault="006C44C2" w:rsidP="008A0415">
      <w:pPr>
        <w:pStyle w:val="Norma"/>
        <w:jc w:val="both"/>
        <w:rPr>
          <w:rFonts w:cs="Arial"/>
          <w:sz w:val="24"/>
          <w:szCs w:val="24"/>
        </w:rPr>
      </w:pPr>
    </w:p>
    <w:p w14:paraId="5EA87623" w14:textId="77777777" w:rsidR="00A54FFC" w:rsidRPr="008A0415" w:rsidRDefault="00222DF8" w:rsidP="008A0415">
      <w:pPr>
        <w:pStyle w:val="Norma"/>
        <w:jc w:val="both"/>
        <w:rPr>
          <w:rFonts w:cs="Arial"/>
          <w:sz w:val="24"/>
          <w:szCs w:val="24"/>
        </w:rPr>
      </w:pPr>
      <w:r w:rsidRPr="008A0415">
        <w:rPr>
          <w:rFonts w:cs="Arial"/>
          <w:sz w:val="24"/>
          <w:szCs w:val="24"/>
        </w:rPr>
        <w:t>Further details of interview</w:t>
      </w:r>
      <w:r w:rsidR="000967DA">
        <w:rPr>
          <w:rFonts w:cs="Arial"/>
          <w:sz w:val="24"/>
          <w:szCs w:val="24"/>
        </w:rPr>
        <w:t>s</w:t>
      </w:r>
      <w:r w:rsidRPr="008A0415">
        <w:rPr>
          <w:rFonts w:cs="Arial"/>
          <w:sz w:val="24"/>
          <w:szCs w:val="24"/>
        </w:rPr>
        <w:t xml:space="preserve"> will be sent to successful applicants on selection.</w:t>
      </w:r>
      <w:r w:rsidR="001C6E36" w:rsidRPr="008A0415">
        <w:rPr>
          <w:rFonts w:cs="Arial"/>
          <w:sz w:val="24"/>
          <w:szCs w:val="24"/>
        </w:rPr>
        <w:t xml:space="preserve"> </w:t>
      </w:r>
    </w:p>
    <w:p w14:paraId="5EA87624" w14:textId="77777777" w:rsidR="00A54FFC" w:rsidRPr="008A0415" w:rsidRDefault="00A54FFC" w:rsidP="008A0415">
      <w:pPr>
        <w:pStyle w:val="Norma"/>
        <w:jc w:val="both"/>
        <w:rPr>
          <w:rFonts w:cs="Arial"/>
          <w:sz w:val="24"/>
          <w:szCs w:val="24"/>
        </w:rPr>
      </w:pPr>
    </w:p>
    <w:p w14:paraId="5EA87625" w14:textId="77777777" w:rsidR="003C1CE8" w:rsidRDefault="003C1CE8" w:rsidP="003C1CE8">
      <w:pPr>
        <w:pStyle w:val="Norma"/>
        <w:jc w:val="both"/>
        <w:rPr>
          <w:rFonts w:ascii="Calibri" w:hAnsi="Calibri" w:cs="Calibri"/>
        </w:rPr>
      </w:pPr>
    </w:p>
    <w:p w14:paraId="5EA87626" w14:textId="77777777" w:rsidR="00480D1F" w:rsidRPr="008A0415" w:rsidRDefault="00480D1F" w:rsidP="008A0415">
      <w:pPr>
        <w:pStyle w:val="Norma"/>
        <w:widowControl/>
        <w:tabs>
          <w:tab w:val="left" w:pos="-1440"/>
          <w:tab w:val="left" w:pos="-720"/>
          <w:tab w:val="left" w:pos="0"/>
        </w:tabs>
        <w:suppressAutoHyphens/>
        <w:overflowPunct/>
        <w:autoSpaceDE/>
        <w:autoSpaceDN/>
        <w:adjustRightInd/>
        <w:textAlignment w:val="auto"/>
        <w:rPr>
          <w:rFonts w:cs="Arial"/>
          <w:b/>
          <w:sz w:val="24"/>
          <w:szCs w:val="24"/>
        </w:rPr>
      </w:pPr>
      <w:r w:rsidRPr="008A0415">
        <w:rPr>
          <w:rFonts w:cs="Arial"/>
          <w:b/>
          <w:sz w:val="24"/>
          <w:szCs w:val="24"/>
        </w:rPr>
        <w:t>Feedback</w:t>
      </w:r>
    </w:p>
    <w:p w14:paraId="5EA87627" w14:textId="77777777" w:rsidR="00480D1F" w:rsidRPr="008A0415" w:rsidRDefault="00480D1F" w:rsidP="008A0415">
      <w:pPr>
        <w:pStyle w:val="Norma"/>
        <w:widowControl/>
        <w:tabs>
          <w:tab w:val="left" w:pos="-1440"/>
          <w:tab w:val="left" w:pos="-720"/>
          <w:tab w:val="left" w:pos="0"/>
        </w:tabs>
        <w:suppressAutoHyphens/>
        <w:overflowPunct/>
        <w:autoSpaceDE/>
        <w:autoSpaceDN/>
        <w:adjustRightInd/>
        <w:textAlignment w:val="auto"/>
        <w:rPr>
          <w:rFonts w:cs="Arial"/>
          <w:sz w:val="24"/>
          <w:szCs w:val="24"/>
        </w:rPr>
      </w:pPr>
    </w:p>
    <w:p w14:paraId="5EA87628" w14:textId="77777777" w:rsidR="00A10F62" w:rsidRDefault="00AA6AF5" w:rsidP="008A0415">
      <w:pPr>
        <w:pStyle w:val="Norma"/>
        <w:widowControl/>
        <w:tabs>
          <w:tab w:val="left" w:pos="-1440"/>
          <w:tab w:val="left" w:pos="-720"/>
          <w:tab w:val="left" w:pos="0"/>
        </w:tabs>
        <w:suppressAutoHyphens/>
        <w:overflowPunct/>
        <w:autoSpaceDE/>
        <w:autoSpaceDN/>
        <w:adjustRightInd/>
        <w:textAlignment w:val="auto"/>
        <w:rPr>
          <w:rFonts w:cs="Arial"/>
          <w:sz w:val="24"/>
          <w:szCs w:val="24"/>
        </w:rPr>
      </w:pPr>
      <w:r w:rsidRPr="008A0415">
        <w:rPr>
          <w:rFonts w:cs="Arial"/>
          <w:sz w:val="24"/>
          <w:szCs w:val="24"/>
        </w:rPr>
        <w:t>F</w:t>
      </w:r>
      <w:r w:rsidR="00480D1F" w:rsidRPr="008A0415">
        <w:rPr>
          <w:rFonts w:cs="Arial"/>
          <w:sz w:val="24"/>
          <w:szCs w:val="24"/>
        </w:rPr>
        <w:t xml:space="preserve">eedback </w:t>
      </w:r>
      <w:r w:rsidR="000967DA">
        <w:rPr>
          <w:rFonts w:cs="Arial"/>
          <w:sz w:val="24"/>
          <w:szCs w:val="24"/>
        </w:rPr>
        <w:t>will be given in the</w:t>
      </w:r>
      <w:r w:rsidRPr="008A0415">
        <w:rPr>
          <w:rFonts w:cs="Arial"/>
          <w:sz w:val="24"/>
          <w:szCs w:val="24"/>
        </w:rPr>
        <w:t xml:space="preserve"> unsuccessful letters</w:t>
      </w:r>
      <w:r w:rsidRPr="000967DA" w:rsidDel="00AA6AF5">
        <w:rPr>
          <w:rFonts w:cs="Arial"/>
          <w:sz w:val="24"/>
          <w:szCs w:val="24"/>
        </w:rPr>
        <w:t xml:space="preserve"> </w:t>
      </w:r>
      <w:r w:rsidR="000967DA" w:rsidRPr="000967DA">
        <w:rPr>
          <w:rFonts w:cs="Arial"/>
          <w:sz w:val="24"/>
          <w:szCs w:val="24"/>
        </w:rPr>
        <w:t>or emails.</w:t>
      </w:r>
      <w:bookmarkEnd w:id="8"/>
    </w:p>
    <w:p w14:paraId="5EA87629" w14:textId="77777777" w:rsidR="00A10F62" w:rsidRDefault="00A10F62" w:rsidP="008A0415">
      <w:pPr>
        <w:pStyle w:val="Norma"/>
        <w:widowControl/>
        <w:tabs>
          <w:tab w:val="left" w:pos="-1440"/>
          <w:tab w:val="left" w:pos="-720"/>
          <w:tab w:val="left" w:pos="0"/>
        </w:tabs>
        <w:suppressAutoHyphens/>
        <w:overflowPunct/>
        <w:autoSpaceDE/>
        <w:autoSpaceDN/>
        <w:adjustRightInd/>
        <w:textAlignment w:val="auto"/>
        <w:rPr>
          <w:rFonts w:cs="Arial"/>
          <w:sz w:val="24"/>
          <w:szCs w:val="24"/>
        </w:rPr>
      </w:pPr>
    </w:p>
    <w:sectPr w:rsidR="00A10F62" w:rsidSect="005F738A">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A8762E" w14:textId="77777777" w:rsidR="00DD15F0" w:rsidRDefault="00DD15F0" w:rsidP="00EB43D8">
      <w:pPr>
        <w:pStyle w:val="Norma"/>
      </w:pPr>
      <w:r>
        <w:separator/>
      </w:r>
    </w:p>
  </w:endnote>
  <w:endnote w:type="continuationSeparator" w:id="0">
    <w:p w14:paraId="5EA8762F" w14:textId="77777777" w:rsidR="00DD15F0" w:rsidRDefault="00DD15F0" w:rsidP="00EB43D8">
      <w:pPr>
        <w:pStyle w:val="Norm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MT">
    <w:altName w:val="Arial MT"/>
    <w:panose1 w:val="00000000000000000000"/>
    <w:charset w:val="00"/>
    <w:family w:val="swiss"/>
    <w:notTrueType/>
    <w:pitch w:val="default"/>
    <w:sig w:usb0="00000003" w:usb1="00000000" w:usb2="00000000" w:usb3="00000000" w:csb0="00000001" w:csb1="00000000"/>
  </w:font>
  <w:font w:name="Gill Sans MT">
    <w:altName w:val="Segoe UI"/>
    <w:charset w:val="00"/>
    <w:family w:val="swiss"/>
    <w:pitch w:val="variable"/>
    <w:sig w:usb0="00000001"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87630" w14:textId="77777777" w:rsidR="00DD15F0" w:rsidRDefault="00DD15F0" w:rsidP="00602CDD">
    <w:pPr>
      <w:pStyle w:val="Footer"/>
      <w:pBdr>
        <w:top w:val="single" w:sz="4" w:space="1" w:color="D9D9D9"/>
      </w:pBdr>
      <w:jc w:val="right"/>
    </w:pPr>
    <w:r>
      <w:fldChar w:fldCharType="begin"/>
    </w:r>
    <w:r>
      <w:instrText xml:space="preserve"> PAGE   \* MERGEFORMAT </w:instrText>
    </w:r>
    <w:r>
      <w:fldChar w:fldCharType="separate"/>
    </w:r>
    <w:r w:rsidR="00926952">
      <w:rPr>
        <w:noProof/>
      </w:rPr>
      <w:t>16</w:t>
    </w:r>
    <w:r>
      <w:rPr>
        <w:noProof/>
      </w:rPr>
      <w:fldChar w:fldCharType="end"/>
    </w:r>
    <w:r>
      <w:t xml:space="preserve"> | </w:t>
    </w:r>
    <w:r w:rsidRPr="00602CDD">
      <w:rPr>
        <w:color w:val="808080"/>
        <w:spacing w:val="60"/>
      </w:rPr>
      <w:t>Page</w:t>
    </w:r>
  </w:p>
  <w:p w14:paraId="5EA87631" w14:textId="77777777" w:rsidR="00DD15F0" w:rsidRDefault="00DD15F0" w:rsidP="00E85ED1">
    <w:pPr>
      <w:pStyle w:val="Footer"/>
      <w:tabs>
        <w:tab w:val="clear" w:pos="4513"/>
        <w:tab w:val="clear" w:pos="9026"/>
        <w:tab w:val="left" w:pos="199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A8762C" w14:textId="77777777" w:rsidR="00DD15F0" w:rsidRDefault="00DD15F0" w:rsidP="00EB43D8">
      <w:pPr>
        <w:pStyle w:val="Norma"/>
      </w:pPr>
      <w:r>
        <w:separator/>
      </w:r>
    </w:p>
  </w:footnote>
  <w:footnote w:type="continuationSeparator" w:id="0">
    <w:p w14:paraId="5EA8762D" w14:textId="77777777" w:rsidR="00DD15F0" w:rsidRDefault="00DD15F0" w:rsidP="00EB43D8">
      <w:pPr>
        <w:pStyle w:val="Norma"/>
      </w:pPr>
      <w:r>
        <w:continuationSeparator/>
      </w:r>
    </w:p>
  </w:footnote>
  <w:footnote w:id="1">
    <w:p w14:paraId="26B3B26B" w14:textId="77777777" w:rsidR="00652AAC" w:rsidRPr="002B2CD7" w:rsidRDefault="00652AAC" w:rsidP="00652AAC">
      <w:pPr>
        <w:pStyle w:val="FootnoteText"/>
        <w:spacing w:after="120"/>
        <w:rPr>
          <w:rFonts w:asciiTheme="minorHAnsi" w:hAnsiTheme="minorHAnsi"/>
          <w:sz w:val="18"/>
          <w:szCs w:val="18"/>
        </w:rPr>
      </w:pPr>
      <w:r w:rsidRPr="002B2CD7">
        <w:rPr>
          <w:rStyle w:val="FootnoteReference"/>
          <w:rFonts w:asciiTheme="minorHAnsi" w:hAnsiTheme="minorHAnsi"/>
          <w:sz w:val="18"/>
          <w:szCs w:val="18"/>
        </w:rPr>
        <w:footnoteRef/>
      </w:r>
      <w:r w:rsidRPr="002B2CD7">
        <w:rPr>
          <w:rFonts w:asciiTheme="minorHAnsi" w:hAnsiTheme="minorHAnsi"/>
          <w:sz w:val="18"/>
          <w:szCs w:val="18"/>
        </w:rPr>
        <w:t xml:space="preserve"> See CCC (2008), </w:t>
      </w:r>
      <w:r w:rsidRPr="002B2CD7">
        <w:rPr>
          <w:rFonts w:asciiTheme="minorHAnsi" w:hAnsiTheme="minorHAnsi"/>
          <w:i/>
          <w:sz w:val="18"/>
          <w:szCs w:val="18"/>
        </w:rPr>
        <w:t>Building a low-carbon economy</w:t>
      </w:r>
      <w:r w:rsidRPr="002B2CD7">
        <w:rPr>
          <w:rFonts w:asciiTheme="minorHAnsi" w:hAnsiTheme="minorHAnsi"/>
          <w:sz w:val="18"/>
          <w:szCs w:val="18"/>
        </w:rPr>
        <w:t xml:space="preserve"> (</w:t>
      </w:r>
      <w:hyperlink r:id="rId1" w:history="1">
        <w:r w:rsidRPr="002B2CD7">
          <w:rPr>
            <w:rStyle w:val="Hyperlink"/>
            <w:rFonts w:asciiTheme="minorHAnsi" w:hAnsiTheme="minorHAnsi"/>
            <w:sz w:val="18"/>
            <w:szCs w:val="18"/>
          </w:rPr>
          <w:t>http://www.theccc.org.uk/publication/building-a-low-carbon-economy-the-uks-contribution-to-tackling-climate-change-2/</w:t>
        </w:r>
      </w:hyperlink>
      <w:r w:rsidRPr="002B2CD7">
        <w:rPr>
          <w:rFonts w:asciiTheme="minorHAnsi" w:hAnsiTheme="minorHAnsi"/>
          <w:sz w:val="18"/>
          <w:szCs w:val="18"/>
        </w:rPr>
        <w:t xml:space="preserve">), and CCC’s annual progress reports. </w:t>
      </w:r>
    </w:p>
  </w:footnote>
  <w:footnote w:id="2">
    <w:p w14:paraId="56D06F44" w14:textId="77777777" w:rsidR="00652AAC" w:rsidRPr="002B2CD7" w:rsidRDefault="00652AAC" w:rsidP="00652AAC">
      <w:pPr>
        <w:pStyle w:val="FootnoteText"/>
        <w:spacing w:after="120"/>
        <w:rPr>
          <w:rFonts w:asciiTheme="minorHAnsi" w:hAnsiTheme="minorHAnsi"/>
          <w:sz w:val="18"/>
          <w:szCs w:val="18"/>
        </w:rPr>
      </w:pPr>
      <w:r w:rsidRPr="002B2CD7">
        <w:rPr>
          <w:rStyle w:val="FootnoteReference"/>
          <w:rFonts w:asciiTheme="minorHAnsi" w:hAnsiTheme="minorHAnsi"/>
          <w:sz w:val="18"/>
          <w:szCs w:val="18"/>
        </w:rPr>
        <w:footnoteRef/>
      </w:r>
      <w:r w:rsidRPr="002B2CD7">
        <w:rPr>
          <w:rFonts w:asciiTheme="minorHAnsi" w:hAnsiTheme="minorHAnsi"/>
          <w:sz w:val="18"/>
          <w:szCs w:val="18"/>
        </w:rPr>
        <w:t xml:space="preserve"> See CCC (2010), </w:t>
      </w:r>
      <w:r w:rsidRPr="002B2CD7">
        <w:rPr>
          <w:rFonts w:asciiTheme="minorHAnsi" w:hAnsiTheme="minorHAnsi"/>
          <w:i/>
          <w:sz w:val="18"/>
          <w:szCs w:val="18"/>
        </w:rPr>
        <w:t>The Fourth Carbon Budget</w:t>
      </w:r>
      <w:r w:rsidRPr="002B2CD7">
        <w:rPr>
          <w:rFonts w:asciiTheme="minorHAnsi" w:hAnsiTheme="minorHAnsi"/>
          <w:sz w:val="18"/>
          <w:szCs w:val="18"/>
        </w:rPr>
        <w:t xml:space="preserve"> and CCC (2013), </w:t>
      </w:r>
      <w:r w:rsidRPr="002B2CD7">
        <w:rPr>
          <w:rFonts w:asciiTheme="minorHAnsi" w:hAnsiTheme="minorHAnsi"/>
          <w:i/>
          <w:sz w:val="18"/>
          <w:szCs w:val="18"/>
        </w:rPr>
        <w:t>Fourth Carbon Budget Review</w:t>
      </w:r>
      <w:r w:rsidRPr="002B2CD7">
        <w:rPr>
          <w:rFonts w:asciiTheme="minorHAnsi" w:hAnsiTheme="minorHAnsi"/>
          <w:sz w:val="18"/>
          <w:szCs w:val="18"/>
        </w:rPr>
        <w:t xml:space="preserve">. Available from </w:t>
      </w:r>
      <w:hyperlink r:id="rId2" w:history="1">
        <w:r w:rsidRPr="002B2CD7">
          <w:rPr>
            <w:rStyle w:val="Hyperlink"/>
            <w:rFonts w:asciiTheme="minorHAnsi" w:hAnsiTheme="minorHAnsi"/>
            <w:sz w:val="18"/>
            <w:szCs w:val="18"/>
          </w:rPr>
          <w:t>http://www.theccc.org.uk/publication/the-fourth-carbon-budget-reducing-emissions-through-the-2020s-2/</w:t>
        </w:r>
      </w:hyperlink>
      <w:r w:rsidRPr="002B2CD7">
        <w:rPr>
          <w:rFonts w:asciiTheme="minorHAnsi" w:hAnsiTheme="minorHAnsi"/>
          <w:sz w:val="18"/>
          <w:szCs w:val="18"/>
        </w:rPr>
        <w:t xml:space="preserve"> and </w:t>
      </w:r>
      <w:hyperlink r:id="rId3" w:history="1">
        <w:r w:rsidRPr="002B2CD7">
          <w:rPr>
            <w:rStyle w:val="Hyperlink"/>
            <w:rFonts w:asciiTheme="minorHAnsi" w:hAnsiTheme="minorHAnsi"/>
            <w:sz w:val="18"/>
            <w:szCs w:val="18"/>
          </w:rPr>
          <w:t>http://www.theccc.org.uk/publication/fourth-carbon-budget-review/</w:t>
        </w:r>
      </w:hyperlink>
      <w:r w:rsidRPr="002B2CD7">
        <w:rPr>
          <w:rFonts w:asciiTheme="minorHAnsi" w:hAnsiTheme="minorHAnsi"/>
          <w:sz w:val="18"/>
          <w:szCs w:val="18"/>
        </w:rPr>
        <w:t xml:space="preserve"> </w:t>
      </w:r>
    </w:p>
  </w:footnote>
  <w:footnote w:id="3">
    <w:p w14:paraId="15495D9F" w14:textId="77777777" w:rsidR="00652AAC" w:rsidRPr="002B2CD7" w:rsidRDefault="00652AAC" w:rsidP="00652AAC">
      <w:pPr>
        <w:pStyle w:val="FootnoteText"/>
        <w:spacing w:after="120"/>
        <w:rPr>
          <w:rFonts w:asciiTheme="minorHAnsi" w:hAnsiTheme="minorHAnsi"/>
          <w:sz w:val="18"/>
          <w:szCs w:val="18"/>
        </w:rPr>
      </w:pPr>
      <w:r w:rsidRPr="002B2CD7">
        <w:rPr>
          <w:rStyle w:val="FootnoteReference"/>
          <w:rFonts w:asciiTheme="minorHAnsi" w:hAnsiTheme="minorHAnsi"/>
          <w:sz w:val="18"/>
          <w:szCs w:val="18"/>
        </w:rPr>
        <w:footnoteRef/>
      </w:r>
      <w:r w:rsidRPr="002B2CD7">
        <w:rPr>
          <w:rFonts w:asciiTheme="minorHAnsi" w:hAnsiTheme="minorHAnsi"/>
          <w:sz w:val="18"/>
          <w:szCs w:val="18"/>
        </w:rPr>
        <w:t xml:space="preserve"> See CCC (2012), </w:t>
      </w:r>
      <w:proofErr w:type="gramStart"/>
      <w:r w:rsidRPr="002B2CD7">
        <w:rPr>
          <w:rFonts w:asciiTheme="minorHAnsi" w:hAnsiTheme="minorHAnsi"/>
          <w:i/>
          <w:sz w:val="18"/>
          <w:szCs w:val="18"/>
        </w:rPr>
        <w:t>The</w:t>
      </w:r>
      <w:proofErr w:type="gramEnd"/>
      <w:r w:rsidRPr="002B2CD7">
        <w:rPr>
          <w:rFonts w:asciiTheme="minorHAnsi" w:hAnsiTheme="minorHAnsi"/>
          <w:i/>
          <w:sz w:val="18"/>
          <w:szCs w:val="18"/>
        </w:rPr>
        <w:t xml:space="preserve"> 2050 target</w:t>
      </w:r>
      <w:r w:rsidRPr="002B2CD7">
        <w:rPr>
          <w:rFonts w:asciiTheme="minorHAnsi" w:hAnsiTheme="minorHAnsi"/>
          <w:sz w:val="18"/>
          <w:szCs w:val="18"/>
        </w:rPr>
        <w:t xml:space="preserve">. Available from </w:t>
      </w:r>
      <w:hyperlink r:id="rId4" w:history="1">
        <w:r w:rsidRPr="002B2CD7">
          <w:rPr>
            <w:rStyle w:val="Hyperlink"/>
            <w:rFonts w:asciiTheme="minorHAnsi" w:hAnsiTheme="minorHAnsi"/>
            <w:sz w:val="18"/>
            <w:szCs w:val="18"/>
          </w:rPr>
          <w:t>http://www.theccc.org.uk/publication/international-aviation-shipping-review/</w:t>
        </w:r>
      </w:hyperlink>
      <w:r w:rsidRPr="002B2CD7">
        <w:rPr>
          <w:rFonts w:asciiTheme="minorHAnsi" w:hAnsiTheme="minorHAnsi"/>
          <w:sz w:val="18"/>
          <w:szCs w:val="18"/>
        </w:rPr>
        <w:t xml:space="preserve"> </w:t>
      </w:r>
    </w:p>
  </w:footnote>
  <w:footnote w:id="4">
    <w:p w14:paraId="3A994F0A" w14:textId="77777777" w:rsidR="00652AAC" w:rsidRPr="002B2CD7" w:rsidRDefault="00652AAC" w:rsidP="00652AAC">
      <w:pPr>
        <w:pStyle w:val="FootnoteText"/>
        <w:spacing w:after="120"/>
        <w:rPr>
          <w:rFonts w:asciiTheme="minorHAnsi" w:hAnsiTheme="minorHAnsi"/>
          <w:sz w:val="18"/>
          <w:szCs w:val="18"/>
        </w:rPr>
      </w:pPr>
      <w:r w:rsidRPr="002B2CD7">
        <w:rPr>
          <w:rStyle w:val="FootnoteReference"/>
          <w:rFonts w:asciiTheme="minorHAnsi" w:hAnsiTheme="minorHAnsi"/>
          <w:sz w:val="18"/>
          <w:szCs w:val="18"/>
        </w:rPr>
        <w:footnoteRef/>
      </w:r>
      <w:r w:rsidRPr="002B2CD7">
        <w:rPr>
          <w:rFonts w:asciiTheme="minorHAnsi" w:hAnsiTheme="minorHAnsi"/>
          <w:sz w:val="18"/>
          <w:szCs w:val="18"/>
        </w:rPr>
        <w:t xml:space="preserve"> CCC (2012), </w:t>
      </w:r>
      <w:proofErr w:type="gramStart"/>
      <w:r w:rsidRPr="002B2CD7">
        <w:rPr>
          <w:rFonts w:asciiTheme="minorHAnsi" w:hAnsiTheme="minorHAnsi"/>
          <w:i/>
          <w:sz w:val="18"/>
          <w:szCs w:val="18"/>
        </w:rPr>
        <w:t>The</w:t>
      </w:r>
      <w:proofErr w:type="gramEnd"/>
      <w:r w:rsidRPr="002B2CD7">
        <w:rPr>
          <w:rFonts w:asciiTheme="minorHAnsi" w:hAnsiTheme="minorHAnsi"/>
          <w:i/>
          <w:sz w:val="18"/>
          <w:szCs w:val="18"/>
        </w:rPr>
        <w:t xml:space="preserve"> 2050 target</w:t>
      </w:r>
      <w:r w:rsidRPr="002B2CD7">
        <w:rPr>
          <w:rFonts w:asciiTheme="minorHAnsi" w:hAnsiTheme="minorHAnsi"/>
          <w:sz w:val="18"/>
          <w:szCs w:val="18"/>
        </w:rPr>
        <w:t xml:space="preserve">. </w:t>
      </w:r>
    </w:p>
  </w:footnote>
  <w:footnote w:id="5">
    <w:p w14:paraId="267A07E7" w14:textId="77777777" w:rsidR="00652AAC" w:rsidRPr="002B2CD7" w:rsidRDefault="00652AAC" w:rsidP="00652AAC">
      <w:pPr>
        <w:pStyle w:val="FootnoteText"/>
        <w:spacing w:after="120"/>
        <w:rPr>
          <w:rFonts w:asciiTheme="minorHAnsi" w:hAnsiTheme="minorHAnsi"/>
          <w:sz w:val="18"/>
          <w:szCs w:val="18"/>
        </w:rPr>
      </w:pPr>
      <w:r w:rsidRPr="00A06DC7">
        <w:rPr>
          <w:rStyle w:val="FootnoteReference"/>
          <w:rFonts w:asciiTheme="minorHAnsi" w:hAnsiTheme="minorHAnsi"/>
          <w:sz w:val="18"/>
          <w:szCs w:val="18"/>
        </w:rPr>
        <w:footnoteRef/>
      </w:r>
      <w:r w:rsidRPr="00A06DC7">
        <w:rPr>
          <w:rFonts w:asciiTheme="minorHAnsi" w:hAnsiTheme="minorHAnsi"/>
          <w:sz w:val="18"/>
          <w:szCs w:val="18"/>
        </w:rPr>
        <w:t xml:space="preserve"> </w:t>
      </w:r>
      <w:proofErr w:type="gramStart"/>
      <w:r w:rsidRPr="00A06DC7">
        <w:rPr>
          <w:rFonts w:asciiTheme="minorHAnsi" w:hAnsiTheme="minorHAnsi"/>
          <w:sz w:val="18"/>
          <w:szCs w:val="18"/>
        </w:rPr>
        <w:t xml:space="preserve">AEA Technology (2012) </w:t>
      </w:r>
      <w:r w:rsidRPr="00A06DC7">
        <w:rPr>
          <w:rFonts w:asciiTheme="minorHAnsi" w:hAnsiTheme="minorHAnsi"/>
          <w:i/>
          <w:sz w:val="18"/>
          <w:szCs w:val="18"/>
        </w:rPr>
        <w:t>A Review of the Efficiency and Cost Assumptions for Road Transport Vehicles to 2050</w:t>
      </w:r>
      <w:r>
        <w:rPr>
          <w:rFonts w:asciiTheme="minorHAnsi" w:hAnsiTheme="minorHAnsi"/>
          <w:sz w:val="18"/>
          <w:szCs w:val="18"/>
        </w:rPr>
        <w:t>.</w:t>
      </w:r>
      <w:proofErr w:type="gramEnd"/>
      <w:r>
        <w:rPr>
          <w:rFonts w:asciiTheme="minorHAnsi" w:hAnsiTheme="minorHAnsi"/>
          <w:sz w:val="18"/>
          <w:szCs w:val="18"/>
        </w:rPr>
        <w:t xml:space="preserve"> Available from </w:t>
      </w:r>
      <w:hyperlink r:id="rId5" w:history="1">
        <w:r w:rsidRPr="00B741DD">
          <w:rPr>
            <w:rStyle w:val="Hyperlink"/>
            <w:rFonts w:asciiTheme="minorHAnsi" w:hAnsiTheme="minorHAnsi"/>
            <w:sz w:val="18"/>
            <w:szCs w:val="18"/>
          </w:rPr>
          <w:t>http://archive.theccc.org.uk/aws/ED57444%20-%20CCC%20RoadV%20Cost-Eff%20to%202050%20FINAL%2025Apr12.pdf</w:t>
        </w:r>
      </w:hyperlink>
      <w:r>
        <w:rPr>
          <w:rFonts w:asciiTheme="minorHAnsi" w:hAnsiTheme="minorHAnsi"/>
          <w:sz w:val="18"/>
          <w:szCs w:val="18"/>
        </w:rPr>
        <w:t xml:space="preserve"> </w:t>
      </w:r>
    </w:p>
  </w:footnote>
  <w:footnote w:id="6">
    <w:p w14:paraId="328DF785" w14:textId="77777777" w:rsidR="00652AAC" w:rsidRPr="002B2CD7" w:rsidRDefault="00652AAC" w:rsidP="00652AAC">
      <w:pPr>
        <w:pStyle w:val="FootnoteText"/>
        <w:spacing w:after="120"/>
        <w:rPr>
          <w:rFonts w:asciiTheme="minorHAnsi" w:hAnsiTheme="minorHAnsi"/>
          <w:sz w:val="18"/>
          <w:szCs w:val="18"/>
        </w:rPr>
      </w:pPr>
      <w:r w:rsidRPr="00A06DC7">
        <w:rPr>
          <w:rStyle w:val="FootnoteReference"/>
          <w:rFonts w:asciiTheme="minorHAnsi" w:hAnsiTheme="minorHAnsi"/>
          <w:sz w:val="18"/>
          <w:szCs w:val="18"/>
        </w:rPr>
        <w:footnoteRef/>
      </w:r>
      <w:r w:rsidRPr="00A06DC7">
        <w:rPr>
          <w:rFonts w:asciiTheme="minorHAnsi" w:hAnsiTheme="minorHAnsi"/>
          <w:sz w:val="18"/>
          <w:szCs w:val="18"/>
        </w:rPr>
        <w:t xml:space="preserve"> UK H2 Mobility (2013) </w:t>
      </w:r>
      <w:r w:rsidRPr="00A06DC7">
        <w:rPr>
          <w:rFonts w:asciiTheme="minorHAnsi" w:hAnsiTheme="minorHAnsi"/>
          <w:i/>
          <w:sz w:val="18"/>
          <w:szCs w:val="18"/>
        </w:rPr>
        <w:t>Phase I results</w:t>
      </w:r>
      <w:r>
        <w:rPr>
          <w:rFonts w:asciiTheme="minorHAnsi" w:hAnsiTheme="minorHAnsi"/>
          <w:sz w:val="18"/>
          <w:szCs w:val="18"/>
        </w:rPr>
        <w:t xml:space="preserve">. Available from </w:t>
      </w:r>
      <w:hyperlink r:id="rId6" w:history="1">
        <w:r w:rsidRPr="00B741DD">
          <w:rPr>
            <w:rStyle w:val="Hyperlink"/>
            <w:rFonts w:asciiTheme="minorHAnsi" w:hAnsiTheme="minorHAnsi"/>
            <w:sz w:val="18"/>
            <w:szCs w:val="18"/>
          </w:rPr>
          <w:t>http://www.ukh2mobility.co.uk/wp-content/uploads/2013/08/UKH2-Mobility-Phase-1-Results-April-2013.pdf</w:t>
        </w:r>
      </w:hyperlink>
      <w:r>
        <w:rPr>
          <w:rFonts w:asciiTheme="minorHAnsi" w:hAnsiTheme="minorHAnsi"/>
          <w:sz w:val="18"/>
          <w:szCs w:val="18"/>
        </w:rPr>
        <w:t xml:space="preserve"> </w:t>
      </w:r>
    </w:p>
  </w:footnote>
  <w:footnote w:id="7">
    <w:p w14:paraId="0B5D718D" w14:textId="77777777" w:rsidR="00652AAC" w:rsidRPr="002B2CD7" w:rsidRDefault="00652AAC" w:rsidP="00652AAC">
      <w:pPr>
        <w:pStyle w:val="FootnoteText"/>
        <w:spacing w:after="120"/>
        <w:rPr>
          <w:rFonts w:asciiTheme="minorHAnsi" w:hAnsiTheme="minorHAnsi"/>
          <w:sz w:val="18"/>
          <w:szCs w:val="18"/>
        </w:rPr>
      </w:pPr>
      <w:r w:rsidRPr="00A06DC7">
        <w:rPr>
          <w:rStyle w:val="FootnoteReference"/>
          <w:rFonts w:asciiTheme="minorHAnsi" w:hAnsiTheme="minorHAnsi"/>
          <w:sz w:val="18"/>
          <w:szCs w:val="18"/>
        </w:rPr>
        <w:footnoteRef/>
      </w:r>
      <w:r w:rsidRPr="00A06DC7">
        <w:rPr>
          <w:rFonts w:asciiTheme="minorHAnsi" w:hAnsiTheme="minorHAnsi"/>
          <w:sz w:val="18"/>
          <w:szCs w:val="18"/>
        </w:rPr>
        <w:t xml:space="preserve"> </w:t>
      </w:r>
      <w:proofErr w:type="gramStart"/>
      <w:r w:rsidRPr="00A06DC7">
        <w:rPr>
          <w:rFonts w:asciiTheme="minorHAnsi" w:hAnsiTheme="minorHAnsi"/>
          <w:sz w:val="18"/>
          <w:szCs w:val="18"/>
        </w:rPr>
        <w:t xml:space="preserve">Element Energy et al (2013) </w:t>
      </w:r>
      <w:r w:rsidRPr="00A06DC7">
        <w:rPr>
          <w:rFonts w:asciiTheme="minorHAnsi" w:hAnsiTheme="minorHAnsi"/>
          <w:i/>
          <w:sz w:val="18"/>
          <w:szCs w:val="18"/>
        </w:rPr>
        <w:t>Pathways to high penetration of electric vehicles</w:t>
      </w:r>
      <w:r>
        <w:rPr>
          <w:rFonts w:asciiTheme="minorHAnsi" w:hAnsiTheme="minorHAnsi"/>
          <w:sz w:val="18"/>
          <w:szCs w:val="18"/>
        </w:rPr>
        <w:t>.</w:t>
      </w:r>
      <w:proofErr w:type="gramEnd"/>
      <w:r>
        <w:rPr>
          <w:rFonts w:asciiTheme="minorHAnsi" w:hAnsiTheme="minorHAnsi"/>
          <w:sz w:val="18"/>
          <w:szCs w:val="18"/>
        </w:rPr>
        <w:t xml:space="preserve"> Available from </w:t>
      </w:r>
      <w:hyperlink r:id="rId7" w:history="1">
        <w:r w:rsidRPr="00B741DD">
          <w:rPr>
            <w:rStyle w:val="Hyperlink"/>
            <w:rFonts w:asciiTheme="minorHAnsi" w:hAnsiTheme="minorHAnsi"/>
            <w:sz w:val="18"/>
            <w:szCs w:val="18"/>
          </w:rPr>
          <w:t>http://www.theccc.org.uk/wp-content/uploads/2013/12/CCC-EV-pathways_FINAL-REPORT_17-12-13-Final.pdf</w:t>
        </w:r>
      </w:hyperlink>
      <w:r>
        <w:rPr>
          <w:rFonts w:asciiTheme="minorHAnsi" w:hAnsiTheme="minorHAnsi"/>
          <w:sz w:val="18"/>
          <w:szCs w:val="18"/>
        </w:rPr>
        <w:t xml:space="preserve"> </w:t>
      </w:r>
    </w:p>
  </w:footnote>
  <w:footnote w:id="8">
    <w:p w14:paraId="1AD9E599" w14:textId="77777777" w:rsidR="00652AAC" w:rsidRPr="00A06DC7" w:rsidRDefault="00652AAC" w:rsidP="00652AAC">
      <w:pPr>
        <w:pStyle w:val="FootnoteText"/>
        <w:spacing w:after="120"/>
        <w:rPr>
          <w:rFonts w:asciiTheme="minorHAnsi" w:hAnsiTheme="minorHAnsi"/>
          <w:sz w:val="18"/>
          <w:szCs w:val="18"/>
          <w:highlight w:val="yellow"/>
        </w:rPr>
      </w:pPr>
      <w:r w:rsidRPr="002B2CD7">
        <w:rPr>
          <w:rStyle w:val="FootnoteReference"/>
          <w:rFonts w:asciiTheme="minorHAnsi" w:hAnsiTheme="minorHAnsi"/>
          <w:sz w:val="18"/>
          <w:szCs w:val="18"/>
        </w:rPr>
        <w:footnoteRef/>
      </w:r>
      <w:r w:rsidRPr="002B2CD7">
        <w:rPr>
          <w:rFonts w:asciiTheme="minorHAnsi" w:hAnsiTheme="minorHAnsi"/>
          <w:sz w:val="18"/>
          <w:szCs w:val="18"/>
        </w:rPr>
        <w:t xml:space="preserve"> </w:t>
      </w:r>
      <w:proofErr w:type="gramStart"/>
      <w:r w:rsidRPr="002B2CD7">
        <w:rPr>
          <w:rFonts w:asciiTheme="minorHAnsi" w:hAnsiTheme="minorHAnsi"/>
          <w:sz w:val="18"/>
          <w:szCs w:val="18"/>
        </w:rPr>
        <w:t xml:space="preserve">AEA (2012) </w:t>
      </w:r>
      <w:r w:rsidRPr="002B2CD7">
        <w:rPr>
          <w:rFonts w:asciiTheme="minorHAnsi" w:hAnsiTheme="minorHAnsi"/>
          <w:i/>
          <w:sz w:val="18"/>
          <w:szCs w:val="18"/>
        </w:rPr>
        <w:t>Potential for Post-2030 Emissions Reduction from Industry</w:t>
      </w:r>
      <w:r w:rsidRPr="002B2CD7">
        <w:rPr>
          <w:rFonts w:asciiTheme="minorHAnsi" w:hAnsiTheme="minorHAnsi"/>
          <w:sz w:val="18"/>
          <w:szCs w:val="18"/>
        </w:rPr>
        <w:t>.</w:t>
      </w:r>
      <w:proofErr w:type="gramEnd"/>
      <w:r w:rsidRPr="002B2CD7">
        <w:rPr>
          <w:rFonts w:asciiTheme="minorHAnsi" w:hAnsiTheme="minorHAnsi"/>
          <w:sz w:val="18"/>
          <w:szCs w:val="18"/>
        </w:rPr>
        <w:t xml:space="preserve"> Available from</w:t>
      </w:r>
      <w:r>
        <w:rPr>
          <w:rFonts w:asciiTheme="minorHAnsi" w:hAnsiTheme="minorHAnsi"/>
          <w:sz w:val="18"/>
          <w:szCs w:val="18"/>
        </w:rPr>
        <w:t xml:space="preserve"> </w:t>
      </w:r>
      <w:hyperlink r:id="rId8" w:history="1">
        <w:r w:rsidRPr="00B741DD">
          <w:rPr>
            <w:rStyle w:val="Hyperlink"/>
            <w:rFonts w:asciiTheme="minorHAnsi" w:hAnsiTheme="minorHAnsi"/>
            <w:sz w:val="18"/>
            <w:szCs w:val="18"/>
          </w:rPr>
          <w:t>http://archive.theccc.org.uk/aws/IA&amp;S/AEA%20-%20Potential%20for%20post-2030%20emissions%20reduction%20from%20industry%20-%20Report.pdf</w:t>
        </w:r>
      </w:hyperlink>
      <w:r>
        <w:rPr>
          <w:rFonts w:asciiTheme="minorHAnsi" w:hAnsiTheme="minorHAnsi"/>
          <w:sz w:val="18"/>
          <w:szCs w:val="18"/>
        </w:rPr>
        <w:t xml:space="preserve"> </w:t>
      </w:r>
    </w:p>
  </w:footnote>
  <w:footnote w:id="9">
    <w:p w14:paraId="3449DAFA" w14:textId="77777777" w:rsidR="00652AAC" w:rsidRPr="00A06DC7" w:rsidRDefault="00652AAC" w:rsidP="00652AAC">
      <w:pPr>
        <w:pStyle w:val="FootnoteText"/>
        <w:spacing w:after="120"/>
        <w:rPr>
          <w:rFonts w:asciiTheme="minorHAnsi" w:hAnsiTheme="minorHAnsi"/>
          <w:sz w:val="18"/>
          <w:szCs w:val="18"/>
        </w:rPr>
      </w:pPr>
      <w:r w:rsidRPr="00B523B2">
        <w:rPr>
          <w:rStyle w:val="FootnoteReference"/>
          <w:rFonts w:asciiTheme="minorHAnsi" w:hAnsiTheme="minorHAnsi"/>
          <w:sz w:val="18"/>
          <w:szCs w:val="18"/>
        </w:rPr>
        <w:footnoteRef/>
      </w:r>
      <w:r w:rsidRPr="00B523B2">
        <w:rPr>
          <w:rFonts w:asciiTheme="minorHAnsi" w:hAnsiTheme="minorHAnsi"/>
          <w:sz w:val="18"/>
          <w:szCs w:val="18"/>
        </w:rPr>
        <w:t xml:space="preserve"> Ricardo-AEA (2014), </w:t>
      </w:r>
      <w:r w:rsidRPr="00776093">
        <w:rPr>
          <w:rFonts w:asciiTheme="minorHAnsi" w:hAnsiTheme="minorHAnsi"/>
          <w:i/>
          <w:sz w:val="18"/>
          <w:szCs w:val="18"/>
        </w:rPr>
        <w:t>RHI Evidence Report: Direct Application of Renewable Heat</w:t>
      </w:r>
      <w:r w:rsidRPr="00B523B2">
        <w:rPr>
          <w:rFonts w:asciiTheme="minorHAnsi" w:hAnsiTheme="minorHAnsi"/>
          <w:sz w:val="18"/>
          <w:szCs w:val="18"/>
        </w:rPr>
        <w:t>. Available from</w:t>
      </w:r>
      <w:r>
        <w:rPr>
          <w:rFonts w:asciiTheme="minorHAnsi" w:hAnsiTheme="minorHAnsi"/>
          <w:sz w:val="18"/>
          <w:szCs w:val="18"/>
        </w:rPr>
        <w:t xml:space="preserve"> </w:t>
      </w:r>
      <w:hyperlink r:id="rId9" w:history="1">
        <w:r w:rsidRPr="00B741DD">
          <w:rPr>
            <w:rStyle w:val="Hyperlink"/>
            <w:rFonts w:asciiTheme="minorHAnsi" w:hAnsiTheme="minorHAnsi"/>
            <w:sz w:val="18"/>
            <w:szCs w:val="18"/>
          </w:rPr>
          <w:t>https://www.gov.uk/government/uploads/system/uploads/attachment_data/file/372992/RHI_Evidence_Report_-_Direct_Applications_of_Renewable_Heat.pdf</w:t>
        </w:r>
      </w:hyperlink>
      <w:r>
        <w:rPr>
          <w:rFonts w:asciiTheme="minorHAnsi" w:hAnsiTheme="minorHAnsi"/>
          <w:sz w:val="18"/>
          <w:szCs w:val="18"/>
        </w:rPr>
        <w:t xml:space="preserve"> </w:t>
      </w:r>
    </w:p>
  </w:footnote>
  <w:footnote w:id="10">
    <w:p w14:paraId="10626BBC" w14:textId="77777777" w:rsidR="00652AAC" w:rsidRPr="00A06DC7" w:rsidRDefault="00652AAC" w:rsidP="00652AAC">
      <w:pPr>
        <w:pStyle w:val="FootnoteText"/>
        <w:spacing w:after="120"/>
        <w:rPr>
          <w:rFonts w:asciiTheme="minorHAnsi" w:hAnsiTheme="minorHAnsi"/>
          <w:sz w:val="18"/>
          <w:szCs w:val="18"/>
        </w:rPr>
      </w:pPr>
      <w:r w:rsidRPr="00B523B2">
        <w:rPr>
          <w:rStyle w:val="FootnoteReference"/>
          <w:rFonts w:asciiTheme="minorHAnsi" w:hAnsiTheme="minorHAnsi"/>
          <w:sz w:val="18"/>
          <w:szCs w:val="18"/>
        </w:rPr>
        <w:footnoteRef/>
      </w:r>
      <w:r w:rsidRPr="00B523B2">
        <w:rPr>
          <w:rFonts w:asciiTheme="minorHAnsi" w:hAnsiTheme="minorHAnsi"/>
          <w:sz w:val="18"/>
          <w:szCs w:val="18"/>
        </w:rPr>
        <w:t xml:space="preserve"> </w:t>
      </w:r>
      <w:r>
        <w:rPr>
          <w:rFonts w:asciiTheme="minorHAnsi" w:hAnsiTheme="minorHAnsi"/>
          <w:sz w:val="18"/>
          <w:szCs w:val="18"/>
        </w:rPr>
        <w:t xml:space="preserve">DECC and BIS (2015), </w:t>
      </w:r>
      <w:r w:rsidRPr="00334514">
        <w:rPr>
          <w:rFonts w:asciiTheme="minorHAnsi" w:hAnsiTheme="minorHAnsi"/>
          <w:i/>
          <w:sz w:val="18"/>
          <w:szCs w:val="18"/>
        </w:rPr>
        <w:t>Industrial Decarbonisation and Energy Efficiency Roadmaps to 2050</w:t>
      </w:r>
      <w:r>
        <w:rPr>
          <w:rFonts w:asciiTheme="minorHAnsi" w:hAnsiTheme="minorHAnsi"/>
          <w:sz w:val="18"/>
          <w:szCs w:val="18"/>
        </w:rPr>
        <w:t xml:space="preserve">. Available from </w:t>
      </w:r>
      <w:hyperlink r:id="rId10" w:history="1">
        <w:r w:rsidRPr="009332D1">
          <w:rPr>
            <w:rStyle w:val="Hyperlink"/>
            <w:rFonts w:asciiTheme="minorHAnsi" w:hAnsiTheme="minorHAnsi"/>
            <w:sz w:val="18"/>
            <w:szCs w:val="18"/>
          </w:rPr>
          <w:t>https://www.gov.uk/government/publications/industrial-decarbonisation-and-energy-efficiency-roadmaps-to-2050</w:t>
        </w:r>
      </w:hyperlink>
      <w:r>
        <w:rPr>
          <w:rFonts w:asciiTheme="minorHAnsi" w:hAnsiTheme="minorHAnsi"/>
          <w:sz w:val="18"/>
          <w:szCs w:val="18"/>
        </w:rPr>
        <w:t xml:space="preserve"> </w:t>
      </w:r>
    </w:p>
  </w:footnote>
  <w:footnote w:id="11">
    <w:p w14:paraId="34E3E342" w14:textId="77777777" w:rsidR="0086531C" w:rsidRPr="00A40F8E" w:rsidRDefault="0086531C" w:rsidP="0086531C">
      <w:pPr>
        <w:pStyle w:val="FootnoteText"/>
        <w:spacing w:after="120"/>
        <w:rPr>
          <w:rFonts w:asciiTheme="minorHAnsi" w:hAnsiTheme="minorHAnsi"/>
          <w:sz w:val="18"/>
          <w:szCs w:val="18"/>
        </w:rPr>
      </w:pPr>
      <w:r w:rsidRPr="00A40F8E">
        <w:rPr>
          <w:rStyle w:val="FootnoteReference"/>
          <w:rFonts w:asciiTheme="minorHAnsi" w:hAnsiTheme="minorHAnsi"/>
          <w:sz w:val="18"/>
          <w:szCs w:val="18"/>
        </w:rPr>
        <w:footnoteRef/>
      </w:r>
      <w:r w:rsidRPr="00A40F8E">
        <w:rPr>
          <w:rFonts w:asciiTheme="minorHAnsi" w:hAnsiTheme="minorHAnsi"/>
          <w:sz w:val="18"/>
          <w:szCs w:val="18"/>
        </w:rPr>
        <w:t xml:space="preserve"> CCC (2012), </w:t>
      </w:r>
      <w:proofErr w:type="gramStart"/>
      <w:r w:rsidRPr="00A40F8E">
        <w:rPr>
          <w:rFonts w:asciiTheme="minorHAnsi" w:hAnsiTheme="minorHAnsi"/>
          <w:i/>
          <w:sz w:val="18"/>
          <w:szCs w:val="18"/>
        </w:rPr>
        <w:t>The</w:t>
      </w:r>
      <w:proofErr w:type="gramEnd"/>
      <w:r w:rsidRPr="00A40F8E">
        <w:rPr>
          <w:rFonts w:asciiTheme="minorHAnsi" w:hAnsiTheme="minorHAnsi"/>
          <w:i/>
          <w:sz w:val="18"/>
          <w:szCs w:val="18"/>
        </w:rPr>
        <w:t xml:space="preserve"> 2050 target</w:t>
      </w:r>
      <w:r w:rsidRPr="00A40F8E">
        <w:rPr>
          <w:rFonts w:asciiTheme="minorHAnsi" w:hAnsiTheme="minorHAnsi"/>
          <w:sz w:val="18"/>
          <w:szCs w:val="18"/>
        </w:rPr>
        <w:t xml:space="preserve">. </w:t>
      </w:r>
    </w:p>
  </w:footnote>
  <w:footnote w:id="12">
    <w:p w14:paraId="25923844" w14:textId="77777777" w:rsidR="0086531C" w:rsidRPr="00014227" w:rsidRDefault="0086531C" w:rsidP="0086531C">
      <w:pPr>
        <w:pStyle w:val="FootnoteText"/>
        <w:spacing w:after="120"/>
        <w:rPr>
          <w:rFonts w:asciiTheme="minorHAnsi" w:hAnsiTheme="minorHAnsi"/>
          <w:sz w:val="18"/>
          <w:szCs w:val="18"/>
        </w:rPr>
      </w:pPr>
      <w:r w:rsidRPr="00014227">
        <w:rPr>
          <w:rStyle w:val="FootnoteReference"/>
          <w:rFonts w:asciiTheme="minorHAnsi" w:hAnsiTheme="minorHAnsi"/>
          <w:sz w:val="18"/>
          <w:szCs w:val="18"/>
        </w:rPr>
        <w:footnoteRef/>
      </w:r>
      <w:r w:rsidRPr="00014227">
        <w:rPr>
          <w:rFonts w:asciiTheme="minorHAnsi" w:hAnsiTheme="minorHAnsi"/>
          <w:sz w:val="18"/>
          <w:szCs w:val="18"/>
        </w:rPr>
        <w:t xml:space="preserve"> See CCC (2010), </w:t>
      </w:r>
      <w:r w:rsidRPr="00014227">
        <w:rPr>
          <w:rFonts w:asciiTheme="minorHAnsi" w:hAnsiTheme="minorHAnsi"/>
          <w:i/>
          <w:sz w:val="18"/>
          <w:szCs w:val="18"/>
        </w:rPr>
        <w:t>The Fourth Carbon Budget</w:t>
      </w:r>
      <w:r w:rsidRPr="00014227">
        <w:rPr>
          <w:rFonts w:asciiTheme="minorHAnsi" w:hAnsiTheme="minorHAnsi"/>
          <w:sz w:val="18"/>
          <w:szCs w:val="18"/>
        </w:rPr>
        <w:t xml:space="preserve"> and CCC (2013), </w:t>
      </w:r>
      <w:r w:rsidRPr="00014227">
        <w:rPr>
          <w:rFonts w:asciiTheme="minorHAnsi" w:hAnsiTheme="minorHAnsi"/>
          <w:i/>
          <w:sz w:val="18"/>
          <w:szCs w:val="18"/>
        </w:rPr>
        <w:t>Fourth Carbon Budget Review</w:t>
      </w:r>
      <w:r w:rsidRPr="00014227">
        <w:rPr>
          <w:rFonts w:asciiTheme="minorHAnsi" w:hAnsiTheme="minorHAnsi"/>
          <w:sz w:val="18"/>
          <w:szCs w:val="18"/>
        </w:rPr>
        <w:t xml:space="preserve">. Available from </w:t>
      </w:r>
      <w:hyperlink r:id="rId11" w:history="1">
        <w:r w:rsidRPr="00014227">
          <w:rPr>
            <w:rStyle w:val="Hyperlink"/>
            <w:rFonts w:asciiTheme="minorHAnsi" w:hAnsiTheme="minorHAnsi"/>
            <w:sz w:val="18"/>
            <w:szCs w:val="18"/>
          </w:rPr>
          <w:t>http://www.theccc.org.uk/publication/the-fourth-carbon-budget-reducing-emissions-through-the-2020s-2/</w:t>
        </w:r>
      </w:hyperlink>
      <w:r w:rsidRPr="00014227">
        <w:rPr>
          <w:rFonts w:asciiTheme="minorHAnsi" w:hAnsiTheme="minorHAnsi"/>
          <w:sz w:val="18"/>
          <w:szCs w:val="18"/>
        </w:rPr>
        <w:t xml:space="preserve"> and </w:t>
      </w:r>
      <w:hyperlink r:id="rId12" w:history="1">
        <w:r w:rsidRPr="00014227">
          <w:rPr>
            <w:rStyle w:val="Hyperlink"/>
            <w:rFonts w:asciiTheme="minorHAnsi" w:hAnsiTheme="minorHAnsi"/>
            <w:sz w:val="18"/>
            <w:szCs w:val="18"/>
          </w:rPr>
          <w:t>http://www.theccc.org.uk/publication/fourth-carbon-budget-review/</w:t>
        </w:r>
      </w:hyperlink>
      <w:r w:rsidRPr="00014227">
        <w:rPr>
          <w:rFonts w:asciiTheme="minorHAnsi" w:hAnsiTheme="minorHAnsi"/>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87632" w14:textId="0D3A7AEB" w:rsidR="00DD15F0" w:rsidRDefault="00466A6F" w:rsidP="005F738A">
    <w:pPr>
      <w:pStyle w:val="Header"/>
    </w:pPr>
    <w:r w:rsidRPr="0097210C">
      <w:rPr>
        <w:b/>
        <w:noProof/>
        <w:lang w:eastAsia="en-GB"/>
      </w:rPr>
      <w:drawing>
        <wp:inline distT="0" distB="0" distL="0" distR="0" wp14:anchorId="4AA5F1E7" wp14:editId="2519C171">
          <wp:extent cx="2674189" cy="1949569"/>
          <wp:effectExtent l="0" t="0" r="0" b="0"/>
          <wp:docPr id="2" name="Picture 2" descr="Z:\Committee on Climate Change\Corporate Team\Communications\Library\Image Library\CCC logo &amp; web branding\Press notice logo for electronic tem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Committee on Climate Change\Corporate Team\Communications\Library\Image Library\CCC logo &amp; web branding\Press notice logo for electronic templa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4157" cy="1949546"/>
                  </a:xfrm>
                  <a:prstGeom prst="rect">
                    <a:avLst/>
                  </a:prstGeom>
                  <a:noFill/>
                  <a:ln>
                    <a:noFill/>
                  </a:ln>
                </pic:spPr>
              </pic:pic>
            </a:graphicData>
          </a:graphic>
        </wp:inline>
      </w:drawing>
    </w:r>
    <w:r w:rsidR="00DD15F0">
      <w:tab/>
    </w:r>
    <w:r w:rsidR="00DD15F0">
      <w:tab/>
    </w:r>
    <w:r w:rsidR="00DD15F0" w:rsidRPr="00D95762">
      <w:rPr>
        <w:sz w:val="28"/>
        <w:szCs w:val="28"/>
      </w:rPr>
      <w:tab/>
    </w:r>
    <w:r w:rsidR="00DD15F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556D"/>
    <w:multiLevelType w:val="hybridMultilevel"/>
    <w:tmpl w:val="E7E4A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AF96C70"/>
    <w:multiLevelType w:val="hybridMultilevel"/>
    <w:tmpl w:val="7486A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546689"/>
    <w:multiLevelType w:val="hybridMultilevel"/>
    <w:tmpl w:val="CEC62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984D3F"/>
    <w:multiLevelType w:val="hybridMultilevel"/>
    <w:tmpl w:val="64C41A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C00EA1"/>
    <w:multiLevelType w:val="hybridMultilevel"/>
    <w:tmpl w:val="EB88787C"/>
    <w:lvl w:ilvl="0" w:tplc="08090001">
      <w:start w:val="1"/>
      <w:numFmt w:val="bullet"/>
      <w:lvlText w:val=""/>
      <w:lvlJc w:val="left"/>
      <w:pPr>
        <w:ind w:left="720" w:hanging="360"/>
      </w:pPr>
      <w:rPr>
        <w:rFonts w:ascii="Symbol" w:hAnsi="Symbol" w:hint="default"/>
      </w:rPr>
    </w:lvl>
    <w:lvl w:ilvl="1" w:tplc="737CF942">
      <w:start w:val="1"/>
      <w:numFmt w:val="bullet"/>
      <w:lvlText w:val="–"/>
      <w:lvlJc w:val="left"/>
      <w:pPr>
        <w:ind w:left="1440" w:hanging="360"/>
      </w:pPr>
      <w:rPr>
        <w:rFonts w:ascii="Calibri"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
    <w:nsid w:val="41C909C6"/>
    <w:multiLevelType w:val="hybridMultilevel"/>
    <w:tmpl w:val="B7B2C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5162B39"/>
    <w:multiLevelType w:val="hybridMultilevel"/>
    <w:tmpl w:val="8438D18A"/>
    <w:lvl w:ilvl="0" w:tplc="AE9E54B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E6E23F1"/>
    <w:multiLevelType w:val="hybridMultilevel"/>
    <w:tmpl w:val="4F4EB97A"/>
    <w:lvl w:ilvl="0" w:tplc="A0102E38">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C13200F"/>
    <w:multiLevelType w:val="hybridMultilevel"/>
    <w:tmpl w:val="FBB28A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AA7558E"/>
    <w:multiLevelType w:val="hybridMultilevel"/>
    <w:tmpl w:val="EE1A0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E3D6620"/>
    <w:multiLevelType w:val="hybridMultilevel"/>
    <w:tmpl w:val="3E8833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8A827F5"/>
    <w:multiLevelType w:val="hybridMultilevel"/>
    <w:tmpl w:val="531E1ECA"/>
    <w:lvl w:ilvl="0" w:tplc="08090001">
      <w:start w:val="1"/>
      <w:numFmt w:val="bullet"/>
      <w:lvlText w:val=""/>
      <w:lvlJc w:val="left"/>
      <w:pPr>
        <w:ind w:left="720" w:hanging="360"/>
      </w:pPr>
      <w:rPr>
        <w:rFonts w:ascii="Symbol" w:hAnsi="Symbol" w:hint="default"/>
      </w:rPr>
    </w:lvl>
    <w:lvl w:ilvl="1" w:tplc="737CF942">
      <w:start w:val="1"/>
      <w:numFmt w:val="bullet"/>
      <w:lvlText w:val="–"/>
      <w:lvlJc w:val="left"/>
      <w:pPr>
        <w:ind w:left="1440" w:hanging="360"/>
      </w:pPr>
      <w:rPr>
        <w:rFonts w:ascii="Calibri"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E22446A"/>
    <w:multiLevelType w:val="hybridMultilevel"/>
    <w:tmpl w:val="D8A03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8"/>
  </w:num>
  <w:num w:numId="4">
    <w:abstractNumId w:val="10"/>
  </w:num>
  <w:num w:numId="5">
    <w:abstractNumId w:val="6"/>
  </w:num>
  <w:num w:numId="6">
    <w:abstractNumId w:val="11"/>
  </w:num>
  <w:num w:numId="7">
    <w:abstractNumId w:val="3"/>
  </w:num>
  <w:num w:numId="8">
    <w:abstractNumId w:val="4"/>
  </w:num>
  <w:num w:numId="9">
    <w:abstractNumId w:val="1"/>
  </w:num>
  <w:num w:numId="10">
    <w:abstractNumId w:val="12"/>
  </w:num>
  <w:num w:numId="11">
    <w:abstractNumId w:val="0"/>
  </w:num>
  <w:num w:numId="12">
    <w:abstractNumId w:val="9"/>
  </w:num>
  <w:num w:numId="13">
    <w:abstractNumId w:val="13"/>
  </w:num>
  <w:num w:numId="1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hdrShapeDefaults>
    <o:shapedefaults v:ext="edit" spidmax="22529"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9C2"/>
    <w:rsid w:val="000000D8"/>
    <w:rsid w:val="00000D30"/>
    <w:rsid w:val="0000229E"/>
    <w:rsid w:val="00002825"/>
    <w:rsid w:val="00003081"/>
    <w:rsid w:val="000036BE"/>
    <w:rsid w:val="00003C03"/>
    <w:rsid w:val="00004868"/>
    <w:rsid w:val="00004E3D"/>
    <w:rsid w:val="00006AF6"/>
    <w:rsid w:val="0000739E"/>
    <w:rsid w:val="000073D8"/>
    <w:rsid w:val="00011796"/>
    <w:rsid w:val="00011798"/>
    <w:rsid w:val="00013581"/>
    <w:rsid w:val="0001392C"/>
    <w:rsid w:val="00013995"/>
    <w:rsid w:val="00014519"/>
    <w:rsid w:val="00014A0F"/>
    <w:rsid w:val="00014A40"/>
    <w:rsid w:val="00014D13"/>
    <w:rsid w:val="000153FE"/>
    <w:rsid w:val="00015976"/>
    <w:rsid w:val="00015BB3"/>
    <w:rsid w:val="00015CF9"/>
    <w:rsid w:val="00015E25"/>
    <w:rsid w:val="0001616D"/>
    <w:rsid w:val="00016416"/>
    <w:rsid w:val="00016B75"/>
    <w:rsid w:val="00016EE1"/>
    <w:rsid w:val="000174B1"/>
    <w:rsid w:val="00017799"/>
    <w:rsid w:val="00017884"/>
    <w:rsid w:val="000211AD"/>
    <w:rsid w:val="00021797"/>
    <w:rsid w:val="00022105"/>
    <w:rsid w:val="00023086"/>
    <w:rsid w:val="0002313F"/>
    <w:rsid w:val="000235D4"/>
    <w:rsid w:val="000238CE"/>
    <w:rsid w:val="00023E5D"/>
    <w:rsid w:val="000249BF"/>
    <w:rsid w:val="00025795"/>
    <w:rsid w:val="00025B72"/>
    <w:rsid w:val="000260AD"/>
    <w:rsid w:val="00026111"/>
    <w:rsid w:val="00026F2A"/>
    <w:rsid w:val="00030381"/>
    <w:rsid w:val="00030A13"/>
    <w:rsid w:val="00031104"/>
    <w:rsid w:val="00031ABF"/>
    <w:rsid w:val="00034DF2"/>
    <w:rsid w:val="00034DFB"/>
    <w:rsid w:val="000357F1"/>
    <w:rsid w:val="00036F81"/>
    <w:rsid w:val="000402C3"/>
    <w:rsid w:val="0004047B"/>
    <w:rsid w:val="00040BD3"/>
    <w:rsid w:val="0004128F"/>
    <w:rsid w:val="00042622"/>
    <w:rsid w:val="000437BC"/>
    <w:rsid w:val="000442CA"/>
    <w:rsid w:val="00046E46"/>
    <w:rsid w:val="000514E1"/>
    <w:rsid w:val="00051571"/>
    <w:rsid w:val="00052BF9"/>
    <w:rsid w:val="00053592"/>
    <w:rsid w:val="00053F76"/>
    <w:rsid w:val="00054C04"/>
    <w:rsid w:val="00055C46"/>
    <w:rsid w:val="00056362"/>
    <w:rsid w:val="00056DFD"/>
    <w:rsid w:val="00057AFC"/>
    <w:rsid w:val="00061338"/>
    <w:rsid w:val="00062023"/>
    <w:rsid w:val="00062948"/>
    <w:rsid w:val="00062BF1"/>
    <w:rsid w:val="000633AD"/>
    <w:rsid w:val="000636FF"/>
    <w:rsid w:val="00063D19"/>
    <w:rsid w:val="00063D8E"/>
    <w:rsid w:val="0006577F"/>
    <w:rsid w:val="00066573"/>
    <w:rsid w:val="00066C5A"/>
    <w:rsid w:val="00066F76"/>
    <w:rsid w:val="000679BA"/>
    <w:rsid w:val="00067E4E"/>
    <w:rsid w:val="0007017D"/>
    <w:rsid w:val="00070C13"/>
    <w:rsid w:val="000718B4"/>
    <w:rsid w:val="00071C5B"/>
    <w:rsid w:val="00073317"/>
    <w:rsid w:val="0007394B"/>
    <w:rsid w:val="00073F40"/>
    <w:rsid w:val="0007408F"/>
    <w:rsid w:val="0007416C"/>
    <w:rsid w:val="000744BD"/>
    <w:rsid w:val="00074692"/>
    <w:rsid w:val="00075D2C"/>
    <w:rsid w:val="00075F1B"/>
    <w:rsid w:val="000768E3"/>
    <w:rsid w:val="00077D40"/>
    <w:rsid w:val="00077DFE"/>
    <w:rsid w:val="000806CD"/>
    <w:rsid w:val="00080725"/>
    <w:rsid w:val="0008124C"/>
    <w:rsid w:val="00081EB9"/>
    <w:rsid w:val="000822D5"/>
    <w:rsid w:val="0008262D"/>
    <w:rsid w:val="00082E6D"/>
    <w:rsid w:val="00083573"/>
    <w:rsid w:val="00083C0D"/>
    <w:rsid w:val="000850B3"/>
    <w:rsid w:val="0008720B"/>
    <w:rsid w:val="00090664"/>
    <w:rsid w:val="00090804"/>
    <w:rsid w:val="00090F0E"/>
    <w:rsid w:val="000913C5"/>
    <w:rsid w:val="00091732"/>
    <w:rsid w:val="00091EEA"/>
    <w:rsid w:val="00092266"/>
    <w:rsid w:val="0009297F"/>
    <w:rsid w:val="00092A70"/>
    <w:rsid w:val="00093040"/>
    <w:rsid w:val="00094795"/>
    <w:rsid w:val="000967DA"/>
    <w:rsid w:val="00096B2D"/>
    <w:rsid w:val="00097813"/>
    <w:rsid w:val="000A2028"/>
    <w:rsid w:val="000A36AE"/>
    <w:rsid w:val="000A3759"/>
    <w:rsid w:val="000A3E1A"/>
    <w:rsid w:val="000A4BAC"/>
    <w:rsid w:val="000A5AE0"/>
    <w:rsid w:val="000A66E5"/>
    <w:rsid w:val="000A6829"/>
    <w:rsid w:val="000A6937"/>
    <w:rsid w:val="000A6E98"/>
    <w:rsid w:val="000A7A69"/>
    <w:rsid w:val="000A7E91"/>
    <w:rsid w:val="000B00E9"/>
    <w:rsid w:val="000B02C5"/>
    <w:rsid w:val="000B0805"/>
    <w:rsid w:val="000B0EFF"/>
    <w:rsid w:val="000B160B"/>
    <w:rsid w:val="000B1E7E"/>
    <w:rsid w:val="000B2BAC"/>
    <w:rsid w:val="000B3D28"/>
    <w:rsid w:val="000B6FF7"/>
    <w:rsid w:val="000B765B"/>
    <w:rsid w:val="000C0AEF"/>
    <w:rsid w:val="000C0E8E"/>
    <w:rsid w:val="000C157D"/>
    <w:rsid w:val="000C18D0"/>
    <w:rsid w:val="000C2110"/>
    <w:rsid w:val="000C30B1"/>
    <w:rsid w:val="000C54E5"/>
    <w:rsid w:val="000C55C9"/>
    <w:rsid w:val="000C5627"/>
    <w:rsid w:val="000C61CC"/>
    <w:rsid w:val="000C7B32"/>
    <w:rsid w:val="000D0180"/>
    <w:rsid w:val="000D1BC1"/>
    <w:rsid w:val="000D2428"/>
    <w:rsid w:val="000D2726"/>
    <w:rsid w:val="000D56BC"/>
    <w:rsid w:val="000D59A2"/>
    <w:rsid w:val="000D6953"/>
    <w:rsid w:val="000D6992"/>
    <w:rsid w:val="000D6AE5"/>
    <w:rsid w:val="000D7FE1"/>
    <w:rsid w:val="000E01D1"/>
    <w:rsid w:val="000E1064"/>
    <w:rsid w:val="000E1E58"/>
    <w:rsid w:val="000E2347"/>
    <w:rsid w:val="000E2C6A"/>
    <w:rsid w:val="000E33B7"/>
    <w:rsid w:val="000E3DEA"/>
    <w:rsid w:val="000E4D0E"/>
    <w:rsid w:val="000E53DB"/>
    <w:rsid w:val="000E56BA"/>
    <w:rsid w:val="000E605A"/>
    <w:rsid w:val="000E60E6"/>
    <w:rsid w:val="000F0C97"/>
    <w:rsid w:val="000F0F87"/>
    <w:rsid w:val="000F1B84"/>
    <w:rsid w:val="000F1C8B"/>
    <w:rsid w:val="000F1EFA"/>
    <w:rsid w:val="000F3F72"/>
    <w:rsid w:val="000F46F0"/>
    <w:rsid w:val="000F4AE9"/>
    <w:rsid w:val="000F4EBE"/>
    <w:rsid w:val="000F51FC"/>
    <w:rsid w:val="000F5782"/>
    <w:rsid w:val="000F5CEF"/>
    <w:rsid w:val="000F5D88"/>
    <w:rsid w:val="000F5EFB"/>
    <w:rsid w:val="000F62F4"/>
    <w:rsid w:val="000F647F"/>
    <w:rsid w:val="000F6E18"/>
    <w:rsid w:val="00100D31"/>
    <w:rsid w:val="00102371"/>
    <w:rsid w:val="0010274D"/>
    <w:rsid w:val="001038F2"/>
    <w:rsid w:val="00103E3B"/>
    <w:rsid w:val="00104197"/>
    <w:rsid w:val="00105CAD"/>
    <w:rsid w:val="001060C6"/>
    <w:rsid w:val="0011055B"/>
    <w:rsid w:val="00111E58"/>
    <w:rsid w:val="00111EBB"/>
    <w:rsid w:val="00111FE9"/>
    <w:rsid w:val="001120A5"/>
    <w:rsid w:val="00112508"/>
    <w:rsid w:val="00113696"/>
    <w:rsid w:val="00114EC5"/>
    <w:rsid w:val="0011511A"/>
    <w:rsid w:val="001158F6"/>
    <w:rsid w:val="001168D0"/>
    <w:rsid w:val="00116BFD"/>
    <w:rsid w:val="00116D4C"/>
    <w:rsid w:val="001171E5"/>
    <w:rsid w:val="0011747B"/>
    <w:rsid w:val="001176C8"/>
    <w:rsid w:val="001176E9"/>
    <w:rsid w:val="00120534"/>
    <w:rsid w:val="00120943"/>
    <w:rsid w:val="00120FD0"/>
    <w:rsid w:val="00121E96"/>
    <w:rsid w:val="00122D16"/>
    <w:rsid w:val="00123880"/>
    <w:rsid w:val="00123F44"/>
    <w:rsid w:val="00124072"/>
    <w:rsid w:val="001263B0"/>
    <w:rsid w:val="001266BA"/>
    <w:rsid w:val="00126888"/>
    <w:rsid w:val="0012785A"/>
    <w:rsid w:val="00127892"/>
    <w:rsid w:val="00130F60"/>
    <w:rsid w:val="001336CC"/>
    <w:rsid w:val="0013378E"/>
    <w:rsid w:val="00133C30"/>
    <w:rsid w:val="00134531"/>
    <w:rsid w:val="001354A1"/>
    <w:rsid w:val="001359BC"/>
    <w:rsid w:val="00136EDE"/>
    <w:rsid w:val="001371DB"/>
    <w:rsid w:val="0013746E"/>
    <w:rsid w:val="001379EE"/>
    <w:rsid w:val="0014013A"/>
    <w:rsid w:val="00140970"/>
    <w:rsid w:val="00140A8F"/>
    <w:rsid w:val="00140F21"/>
    <w:rsid w:val="001413BC"/>
    <w:rsid w:val="00141B0C"/>
    <w:rsid w:val="0014215A"/>
    <w:rsid w:val="001427FC"/>
    <w:rsid w:val="00142EF4"/>
    <w:rsid w:val="0014308C"/>
    <w:rsid w:val="0014325E"/>
    <w:rsid w:val="001433A3"/>
    <w:rsid w:val="00143977"/>
    <w:rsid w:val="00145591"/>
    <w:rsid w:val="00145F9C"/>
    <w:rsid w:val="00146142"/>
    <w:rsid w:val="0014629B"/>
    <w:rsid w:val="00146B96"/>
    <w:rsid w:val="001476D7"/>
    <w:rsid w:val="001478EC"/>
    <w:rsid w:val="00147986"/>
    <w:rsid w:val="00150308"/>
    <w:rsid w:val="00151AE3"/>
    <w:rsid w:val="00151E59"/>
    <w:rsid w:val="0015335C"/>
    <w:rsid w:val="001546D0"/>
    <w:rsid w:val="00154910"/>
    <w:rsid w:val="00155064"/>
    <w:rsid w:val="00155D7E"/>
    <w:rsid w:val="0015685E"/>
    <w:rsid w:val="00160AE9"/>
    <w:rsid w:val="001610E5"/>
    <w:rsid w:val="00162217"/>
    <w:rsid w:val="001622D1"/>
    <w:rsid w:val="001623B7"/>
    <w:rsid w:val="001648CA"/>
    <w:rsid w:val="001651C5"/>
    <w:rsid w:val="00165B5B"/>
    <w:rsid w:val="00165F5A"/>
    <w:rsid w:val="00166064"/>
    <w:rsid w:val="00167E2F"/>
    <w:rsid w:val="00167EA2"/>
    <w:rsid w:val="00170B81"/>
    <w:rsid w:val="00172803"/>
    <w:rsid w:val="00172956"/>
    <w:rsid w:val="00174855"/>
    <w:rsid w:val="00176556"/>
    <w:rsid w:val="00177003"/>
    <w:rsid w:val="0018093D"/>
    <w:rsid w:val="00180A58"/>
    <w:rsid w:val="00182296"/>
    <w:rsid w:val="001825DA"/>
    <w:rsid w:val="00183D41"/>
    <w:rsid w:val="00183E6B"/>
    <w:rsid w:val="00187A2E"/>
    <w:rsid w:val="0019065C"/>
    <w:rsid w:val="001911B4"/>
    <w:rsid w:val="001914C9"/>
    <w:rsid w:val="00192A40"/>
    <w:rsid w:val="00192C0C"/>
    <w:rsid w:val="00192CDD"/>
    <w:rsid w:val="001946EB"/>
    <w:rsid w:val="001A1F4F"/>
    <w:rsid w:val="001A1FA4"/>
    <w:rsid w:val="001A380A"/>
    <w:rsid w:val="001A4227"/>
    <w:rsid w:val="001A5F6A"/>
    <w:rsid w:val="001A6304"/>
    <w:rsid w:val="001A6487"/>
    <w:rsid w:val="001A6D88"/>
    <w:rsid w:val="001A6F0E"/>
    <w:rsid w:val="001A7BE7"/>
    <w:rsid w:val="001A7D1F"/>
    <w:rsid w:val="001B0C37"/>
    <w:rsid w:val="001B0DFA"/>
    <w:rsid w:val="001B13FE"/>
    <w:rsid w:val="001B1B78"/>
    <w:rsid w:val="001B218E"/>
    <w:rsid w:val="001B2FFE"/>
    <w:rsid w:val="001B34B8"/>
    <w:rsid w:val="001B3E8F"/>
    <w:rsid w:val="001B452B"/>
    <w:rsid w:val="001B4EE0"/>
    <w:rsid w:val="001B50A0"/>
    <w:rsid w:val="001B52BF"/>
    <w:rsid w:val="001B5BBB"/>
    <w:rsid w:val="001B62B4"/>
    <w:rsid w:val="001B645D"/>
    <w:rsid w:val="001B64DC"/>
    <w:rsid w:val="001C06E6"/>
    <w:rsid w:val="001C0789"/>
    <w:rsid w:val="001C169D"/>
    <w:rsid w:val="001C26B2"/>
    <w:rsid w:val="001C29EC"/>
    <w:rsid w:val="001C687B"/>
    <w:rsid w:val="001C6E36"/>
    <w:rsid w:val="001C6F7B"/>
    <w:rsid w:val="001C7A0A"/>
    <w:rsid w:val="001D26F4"/>
    <w:rsid w:val="001D28C6"/>
    <w:rsid w:val="001D2E3F"/>
    <w:rsid w:val="001D4DDF"/>
    <w:rsid w:val="001D5D04"/>
    <w:rsid w:val="001D5D56"/>
    <w:rsid w:val="001D6493"/>
    <w:rsid w:val="001D7041"/>
    <w:rsid w:val="001E014D"/>
    <w:rsid w:val="001E0589"/>
    <w:rsid w:val="001E07A7"/>
    <w:rsid w:val="001E0B6F"/>
    <w:rsid w:val="001E15AD"/>
    <w:rsid w:val="001E3BA2"/>
    <w:rsid w:val="001E3D66"/>
    <w:rsid w:val="001E4BE7"/>
    <w:rsid w:val="001E52C2"/>
    <w:rsid w:val="001E58A8"/>
    <w:rsid w:val="001E66BE"/>
    <w:rsid w:val="001E749C"/>
    <w:rsid w:val="001F085F"/>
    <w:rsid w:val="001F0E06"/>
    <w:rsid w:val="001F1F20"/>
    <w:rsid w:val="001F2F89"/>
    <w:rsid w:val="001F3CF9"/>
    <w:rsid w:val="001F4630"/>
    <w:rsid w:val="001F4DA0"/>
    <w:rsid w:val="001F4F20"/>
    <w:rsid w:val="001F644B"/>
    <w:rsid w:val="001F75AB"/>
    <w:rsid w:val="001F7FAB"/>
    <w:rsid w:val="0020020F"/>
    <w:rsid w:val="00200C5B"/>
    <w:rsid w:val="00201D1D"/>
    <w:rsid w:val="00203272"/>
    <w:rsid w:val="00204E68"/>
    <w:rsid w:val="002061A0"/>
    <w:rsid w:val="00206939"/>
    <w:rsid w:val="0020695E"/>
    <w:rsid w:val="00206992"/>
    <w:rsid w:val="00206FE9"/>
    <w:rsid w:val="002073BA"/>
    <w:rsid w:val="002109B5"/>
    <w:rsid w:val="00210D71"/>
    <w:rsid w:val="00211193"/>
    <w:rsid w:val="00211562"/>
    <w:rsid w:val="00212DA5"/>
    <w:rsid w:val="00213F1A"/>
    <w:rsid w:val="002152CC"/>
    <w:rsid w:val="0021679F"/>
    <w:rsid w:val="0021724C"/>
    <w:rsid w:val="002174A1"/>
    <w:rsid w:val="002203AF"/>
    <w:rsid w:val="00220792"/>
    <w:rsid w:val="002208AE"/>
    <w:rsid w:val="00220F36"/>
    <w:rsid w:val="00221A0D"/>
    <w:rsid w:val="00221B09"/>
    <w:rsid w:val="00222DF8"/>
    <w:rsid w:val="002240C8"/>
    <w:rsid w:val="0022531F"/>
    <w:rsid w:val="00225A9F"/>
    <w:rsid w:val="002275B7"/>
    <w:rsid w:val="00227600"/>
    <w:rsid w:val="002311ED"/>
    <w:rsid w:val="00231C14"/>
    <w:rsid w:val="002352C0"/>
    <w:rsid w:val="002352D3"/>
    <w:rsid w:val="0023606D"/>
    <w:rsid w:val="00240136"/>
    <w:rsid w:val="002403A0"/>
    <w:rsid w:val="002411A0"/>
    <w:rsid w:val="00242001"/>
    <w:rsid w:val="002437E8"/>
    <w:rsid w:val="002445CE"/>
    <w:rsid w:val="00244FDA"/>
    <w:rsid w:val="00245373"/>
    <w:rsid w:val="002459FA"/>
    <w:rsid w:val="0024686C"/>
    <w:rsid w:val="0025019A"/>
    <w:rsid w:val="0025083B"/>
    <w:rsid w:val="0025111D"/>
    <w:rsid w:val="00252244"/>
    <w:rsid w:val="00252C4B"/>
    <w:rsid w:val="00253106"/>
    <w:rsid w:val="002540A3"/>
    <w:rsid w:val="00255013"/>
    <w:rsid w:val="00255185"/>
    <w:rsid w:val="002563B4"/>
    <w:rsid w:val="0025697D"/>
    <w:rsid w:val="00261414"/>
    <w:rsid w:val="00262AF5"/>
    <w:rsid w:val="002636E8"/>
    <w:rsid w:val="00263BCE"/>
    <w:rsid w:val="00265940"/>
    <w:rsid w:val="00266DFF"/>
    <w:rsid w:val="00267145"/>
    <w:rsid w:val="002673E0"/>
    <w:rsid w:val="00270012"/>
    <w:rsid w:val="0027038A"/>
    <w:rsid w:val="00271DED"/>
    <w:rsid w:val="00272626"/>
    <w:rsid w:val="00272E19"/>
    <w:rsid w:val="00273493"/>
    <w:rsid w:val="00273A3E"/>
    <w:rsid w:val="00273F4F"/>
    <w:rsid w:val="00274BE9"/>
    <w:rsid w:val="00275F70"/>
    <w:rsid w:val="00280876"/>
    <w:rsid w:val="00281066"/>
    <w:rsid w:val="00281794"/>
    <w:rsid w:val="00281F3E"/>
    <w:rsid w:val="00282D61"/>
    <w:rsid w:val="00282F6D"/>
    <w:rsid w:val="002847E2"/>
    <w:rsid w:val="00284D34"/>
    <w:rsid w:val="00285474"/>
    <w:rsid w:val="0028563C"/>
    <w:rsid w:val="002856D6"/>
    <w:rsid w:val="002860F4"/>
    <w:rsid w:val="0028676E"/>
    <w:rsid w:val="00286815"/>
    <w:rsid w:val="00286DE6"/>
    <w:rsid w:val="002877C3"/>
    <w:rsid w:val="00290312"/>
    <w:rsid w:val="00290482"/>
    <w:rsid w:val="00291659"/>
    <w:rsid w:val="002916A5"/>
    <w:rsid w:val="002918F3"/>
    <w:rsid w:val="00292190"/>
    <w:rsid w:val="0029274A"/>
    <w:rsid w:val="002927DC"/>
    <w:rsid w:val="00292E14"/>
    <w:rsid w:val="00292FD6"/>
    <w:rsid w:val="002933B4"/>
    <w:rsid w:val="00293663"/>
    <w:rsid w:val="002939D4"/>
    <w:rsid w:val="00293C4B"/>
    <w:rsid w:val="00293D12"/>
    <w:rsid w:val="00293EE8"/>
    <w:rsid w:val="00294010"/>
    <w:rsid w:val="0029422A"/>
    <w:rsid w:val="002948CE"/>
    <w:rsid w:val="0029549D"/>
    <w:rsid w:val="00295C67"/>
    <w:rsid w:val="002A0116"/>
    <w:rsid w:val="002A0203"/>
    <w:rsid w:val="002A1DE6"/>
    <w:rsid w:val="002A29EC"/>
    <w:rsid w:val="002A2D1C"/>
    <w:rsid w:val="002A36BB"/>
    <w:rsid w:val="002A406B"/>
    <w:rsid w:val="002A4E55"/>
    <w:rsid w:val="002A5504"/>
    <w:rsid w:val="002A5C78"/>
    <w:rsid w:val="002A638F"/>
    <w:rsid w:val="002A76E7"/>
    <w:rsid w:val="002A7790"/>
    <w:rsid w:val="002B2189"/>
    <w:rsid w:val="002B22AC"/>
    <w:rsid w:val="002B27E6"/>
    <w:rsid w:val="002B2EEE"/>
    <w:rsid w:val="002B550C"/>
    <w:rsid w:val="002B5F61"/>
    <w:rsid w:val="002B622B"/>
    <w:rsid w:val="002B7281"/>
    <w:rsid w:val="002B769F"/>
    <w:rsid w:val="002C06A2"/>
    <w:rsid w:val="002C168E"/>
    <w:rsid w:val="002C1C15"/>
    <w:rsid w:val="002C2145"/>
    <w:rsid w:val="002C3787"/>
    <w:rsid w:val="002C466D"/>
    <w:rsid w:val="002C47F3"/>
    <w:rsid w:val="002C5064"/>
    <w:rsid w:val="002C533F"/>
    <w:rsid w:val="002C53C0"/>
    <w:rsid w:val="002C54D9"/>
    <w:rsid w:val="002C5AF6"/>
    <w:rsid w:val="002C6CEC"/>
    <w:rsid w:val="002C79DE"/>
    <w:rsid w:val="002D0602"/>
    <w:rsid w:val="002D09B9"/>
    <w:rsid w:val="002D17C1"/>
    <w:rsid w:val="002D2073"/>
    <w:rsid w:val="002D233F"/>
    <w:rsid w:val="002D32D5"/>
    <w:rsid w:val="002D34FA"/>
    <w:rsid w:val="002D3ECE"/>
    <w:rsid w:val="002D4038"/>
    <w:rsid w:val="002D42C1"/>
    <w:rsid w:val="002D6DE8"/>
    <w:rsid w:val="002D743D"/>
    <w:rsid w:val="002D7BBA"/>
    <w:rsid w:val="002E14D0"/>
    <w:rsid w:val="002E16AA"/>
    <w:rsid w:val="002E198B"/>
    <w:rsid w:val="002E44EC"/>
    <w:rsid w:val="002E4799"/>
    <w:rsid w:val="002E7217"/>
    <w:rsid w:val="002E7E8E"/>
    <w:rsid w:val="002F0129"/>
    <w:rsid w:val="002F024C"/>
    <w:rsid w:val="002F06C3"/>
    <w:rsid w:val="002F06D0"/>
    <w:rsid w:val="002F089F"/>
    <w:rsid w:val="002F0FBD"/>
    <w:rsid w:val="002F11FA"/>
    <w:rsid w:val="002F1C6D"/>
    <w:rsid w:val="002F1D0B"/>
    <w:rsid w:val="002F2643"/>
    <w:rsid w:val="002F5237"/>
    <w:rsid w:val="002F59AC"/>
    <w:rsid w:val="00300BCD"/>
    <w:rsid w:val="00300E8D"/>
    <w:rsid w:val="00302045"/>
    <w:rsid w:val="003023AD"/>
    <w:rsid w:val="00302827"/>
    <w:rsid w:val="0030367D"/>
    <w:rsid w:val="003043AD"/>
    <w:rsid w:val="0030463B"/>
    <w:rsid w:val="003075E1"/>
    <w:rsid w:val="003100B6"/>
    <w:rsid w:val="003110E9"/>
    <w:rsid w:val="00312155"/>
    <w:rsid w:val="00314744"/>
    <w:rsid w:val="00320516"/>
    <w:rsid w:val="00320902"/>
    <w:rsid w:val="003221D6"/>
    <w:rsid w:val="003228D6"/>
    <w:rsid w:val="00322BEF"/>
    <w:rsid w:val="00322D80"/>
    <w:rsid w:val="003233EF"/>
    <w:rsid w:val="003236B5"/>
    <w:rsid w:val="0032387F"/>
    <w:rsid w:val="0032477C"/>
    <w:rsid w:val="00324E6D"/>
    <w:rsid w:val="00324F71"/>
    <w:rsid w:val="003252EB"/>
    <w:rsid w:val="00325C18"/>
    <w:rsid w:val="00326CAC"/>
    <w:rsid w:val="00326D3A"/>
    <w:rsid w:val="003276C0"/>
    <w:rsid w:val="0032793E"/>
    <w:rsid w:val="00327C8C"/>
    <w:rsid w:val="00332155"/>
    <w:rsid w:val="00332962"/>
    <w:rsid w:val="0033480B"/>
    <w:rsid w:val="00334A22"/>
    <w:rsid w:val="00336ED3"/>
    <w:rsid w:val="00337760"/>
    <w:rsid w:val="0034028F"/>
    <w:rsid w:val="003405CE"/>
    <w:rsid w:val="00341737"/>
    <w:rsid w:val="00341A18"/>
    <w:rsid w:val="00341D09"/>
    <w:rsid w:val="00343480"/>
    <w:rsid w:val="00343FF5"/>
    <w:rsid w:val="00344F79"/>
    <w:rsid w:val="003452D3"/>
    <w:rsid w:val="0034658D"/>
    <w:rsid w:val="0034690B"/>
    <w:rsid w:val="00347E70"/>
    <w:rsid w:val="003505B8"/>
    <w:rsid w:val="00350882"/>
    <w:rsid w:val="003508FB"/>
    <w:rsid w:val="003510BA"/>
    <w:rsid w:val="00351C94"/>
    <w:rsid w:val="00355955"/>
    <w:rsid w:val="003563F7"/>
    <w:rsid w:val="003604FC"/>
    <w:rsid w:val="0036229E"/>
    <w:rsid w:val="00362414"/>
    <w:rsid w:val="00362775"/>
    <w:rsid w:val="00362BFA"/>
    <w:rsid w:val="003656FB"/>
    <w:rsid w:val="00365D86"/>
    <w:rsid w:val="00366441"/>
    <w:rsid w:val="00366FD5"/>
    <w:rsid w:val="00367392"/>
    <w:rsid w:val="0037092D"/>
    <w:rsid w:val="00371917"/>
    <w:rsid w:val="00371AEC"/>
    <w:rsid w:val="00371B5D"/>
    <w:rsid w:val="00372E97"/>
    <w:rsid w:val="00373710"/>
    <w:rsid w:val="003745E5"/>
    <w:rsid w:val="00377705"/>
    <w:rsid w:val="00377DBD"/>
    <w:rsid w:val="00377E2E"/>
    <w:rsid w:val="0038006D"/>
    <w:rsid w:val="00380DAD"/>
    <w:rsid w:val="00380FE1"/>
    <w:rsid w:val="00381725"/>
    <w:rsid w:val="00382A62"/>
    <w:rsid w:val="00383B11"/>
    <w:rsid w:val="003840DA"/>
    <w:rsid w:val="00384532"/>
    <w:rsid w:val="003846E8"/>
    <w:rsid w:val="00386582"/>
    <w:rsid w:val="003874FF"/>
    <w:rsid w:val="00390503"/>
    <w:rsid w:val="003911FA"/>
    <w:rsid w:val="00391C9C"/>
    <w:rsid w:val="00392A3E"/>
    <w:rsid w:val="00393117"/>
    <w:rsid w:val="00393D1B"/>
    <w:rsid w:val="00396844"/>
    <w:rsid w:val="00396C1F"/>
    <w:rsid w:val="003976BC"/>
    <w:rsid w:val="00397841"/>
    <w:rsid w:val="003A1EC8"/>
    <w:rsid w:val="003A20B1"/>
    <w:rsid w:val="003A2171"/>
    <w:rsid w:val="003A3424"/>
    <w:rsid w:val="003A461D"/>
    <w:rsid w:val="003A49DE"/>
    <w:rsid w:val="003A649D"/>
    <w:rsid w:val="003A66CE"/>
    <w:rsid w:val="003A790B"/>
    <w:rsid w:val="003B04D5"/>
    <w:rsid w:val="003B062C"/>
    <w:rsid w:val="003B253D"/>
    <w:rsid w:val="003B25D7"/>
    <w:rsid w:val="003B26B9"/>
    <w:rsid w:val="003B286E"/>
    <w:rsid w:val="003B2B9B"/>
    <w:rsid w:val="003B2FE3"/>
    <w:rsid w:val="003B39F1"/>
    <w:rsid w:val="003B59CB"/>
    <w:rsid w:val="003B5BDE"/>
    <w:rsid w:val="003B5CAF"/>
    <w:rsid w:val="003B7A5E"/>
    <w:rsid w:val="003B7AD7"/>
    <w:rsid w:val="003B7D7A"/>
    <w:rsid w:val="003C06AA"/>
    <w:rsid w:val="003C090F"/>
    <w:rsid w:val="003C16BA"/>
    <w:rsid w:val="003C1CE8"/>
    <w:rsid w:val="003C1DD1"/>
    <w:rsid w:val="003C22D0"/>
    <w:rsid w:val="003C33BD"/>
    <w:rsid w:val="003C4E33"/>
    <w:rsid w:val="003C54D5"/>
    <w:rsid w:val="003C5AFF"/>
    <w:rsid w:val="003C6935"/>
    <w:rsid w:val="003C6ABE"/>
    <w:rsid w:val="003C76EB"/>
    <w:rsid w:val="003D0678"/>
    <w:rsid w:val="003D0AA3"/>
    <w:rsid w:val="003D19B3"/>
    <w:rsid w:val="003D1BD8"/>
    <w:rsid w:val="003D2787"/>
    <w:rsid w:val="003D2AEA"/>
    <w:rsid w:val="003D2B6C"/>
    <w:rsid w:val="003D33A3"/>
    <w:rsid w:val="003D3A8C"/>
    <w:rsid w:val="003D4452"/>
    <w:rsid w:val="003D4E70"/>
    <w:rsid w:val="003D59D5"/>
    <w:rsid w:val="003D5E72"/>
    <w:rsid w:val="003E10B2"/>
    <w:rsid w:val="003E1157"/>
    <w:rsid w:val="003E1579"/>
    <w:rsid w:val="003E3803"/>
    <w:rsid w:val="003E482D"/>
    <w:rsid w:val="003E546D"/>
    <w:rsid w:val="003E5C19"/>
    <w:rsid w:val="003E6534"/>
    <w:rsid w:val="003E6A7A"/>
    <w:rsid w:val="003F0792"/>
    <w:rsid w:val="003F0A2B"/>
    <w:rsid w:val="003F1149"/>
    <w:rsid w:val="003F2838"/>
    <w:rsid w:val="003F3EAB"/>
    <w:rsid w:val="003F40F7"/>
    <w:rsid w:val="003F4D30"/>
    <w:rsid w:val="003F7DF5"/>
    <w:rsid w:val="00400003"/>
    <w:rsid w:val="00400CBF"/>
    <w:rsid w:val="004013BF"/>
    <w:rsid w:val="0040149D"/>
    <w:rsid w:val="00401BCC"/>
    <w:rsid w:val="00401ED6"/>
    <w:rsid w:val="00404E19"/>
    <w:rsid w:val="00404E82"/>
    <w:rsid w:val="00405192"/>
    <w:rsid w:val="00405547"/>
    <w:rsid w:val="004065DC"/>
    <w:rsid w:val="00406B3A"/>
    <w:rsid w:val="004076AA"/>
    <w:rsid w:val="00410590"/>
    <w:rsid w:val="00411C99"/>
    <w:rsid w:val="00413532"/>
    <w:rsid w:val="00413D11"/>
    <w:rsid w:val="0041425A"/>
    <w:rsid w:val="00414270"/>
    <w:rsid w:val="004157C1"/>
    <w:rsid w:val="00415996"/>
    <w:rsid w:val="00415BEB"/>
    <w:rsid w:val="00415EBF"/>
    <w:rsid w:val="00416B1D"/>
    <w:rsid w:val="0041727D"/>
    <w:rsid w:val="0041777F"/>
    <w:rsid w:val="00421DC0"/>
    <w:rsid w:val="004222B9"/>
    <w:rsid w:val="00422E82"/>
    <w:rsid w:val="0042315E"/>
    <w:rsid w:val="004233DF"/>
    <w:rsid w:val="00424B94"/>
    <w:rsid w:val="0042547D"/>
    <w:rsid w:val="0042647F"/>
    <w:rsid w:val="004269F8"/>
    <w:rsid w:val="00426A18"/>
    <w:rsid w:val="00426AFF"/>
    <w:rsid w:val="00427AE5"/>
    <w:rsid w:val="00427AFA"/>
    <w:rsid w:val="00432353"/>
    <w:rsid w:val="00432CCE"/>
    <w:rsid w:val="00432EDF"/>
    <w:rsid w:val="004335BC"/>
    <w:rsid w:val="004339BE"/>
    <w:rsid w:val="004363E1"/>
    <w:rsid w:val="00437572"/>
    <w:rsid w:val="00440E2A"/>
    <w:rsid w:val="00441D8B"/>
    <w:rsid w:val="00443073"/>
    <w:rsid w:val="00443DE6"/>
    <w:rsid w:val="00443FDA"/>
    <w:rsid w:val="00444762"/>
    <w:rsid w:val="00444878"/>
    <w:rsid w:val="00445CF1"/>
    <w:rsid w:val="00446D95"/>
    <w:rsid w:val="00447420"/>
    <w:rsid w:val="00447792"/>
    <w:rsid w:val="00451282"/>
    <w:rsid w:val="0045217F"/>
    <w:rsid w:val="00454BAD"/>
    <w:rsid w:val="00454F16"/>
    <w:rsid w:val="004555B6"/>
    <w:rsid w:val="0045560E"/>
    <w:rsid w:val="004560FB"/>
    <w:rsid w:val="004562E8"/>
    <w:rsid w:val="00456DE6"/>
    <w:rsid w:val="00456E30"/>
    <w:rsid w:val="00457E00"/>
    <w:rsid w:val="00460096"/>
    <w:rsid w:val="0046101F"/>
    <w:rsid w:val="004630F7"/>
    <w:rsid w:val="00464000"/>
    <w:rsid w:val="0046424C"/>
    <w:rsid w:val="00464A1C"/>
    <w:rsid w:val="004666C3"/>
    <w:rsid w:val="00466A6F"/>
    <w:rsid w:val="004676C3"/>
    <w:rsid w:val="004679FF"/>
    <w:rsid w:val="0047021B"/>
    <w:rsid w:val="00471B38"/>
    <w:rsid w:val="004721F4"/>
    <w:rsid w:val="00473065"/>
    <w:rsid w:val="0047472C"/>
    <w:rsid w:val="00474C51"/>
    <w:rsid w:val="00475747"/>
    <w:rsid w:val="0047579B"/>
    <w:rsid w:val="0047638E"/>
    <w:rsid w:val="00477171"/>
    <w:rsid w:val="00477BE5"/>
    <w:rsid w:val="004804AF"/>
    <w:rsid w:val="0048051F"/>
    <w:rsid w:val="00480D1F"/>
    <w:rsid w:val="00480D80"/>
    <w:rsid w:val="00481B58"/>
    <w:rsid w:val="00481DE5"/>
    <w:rsid w:val="004827B8"/>
    <w:rsid w:val="00482EEE"/>
    <w:rsid w:val="004841E6"/>
    <w:rsid w:val="00484B4E"/>
    <w:rsid w:val="00485BB3"/>
    <w:rsid w:val="004861B6"/>
    <w:rsid w:val="004864F0"/>
    <w:rsid w:val="00487199"/>
    <w:rsid w:val="00490156"/>
    <w:rsid w:val="00490FCF"/>
    <w:rsid w:val="00492A89"/>
    <w:rsid w:val="00492ED8"/>
    <w:rsid w:val="004931CB"/>
    <w:rsid w:val="00494DF0"/>
    <w:rsid w:val="00495061"/>
    <w:rsid w:val="00495AA1"/>
    <w:rsid w:val="00496C13"/>
    <w:rsid w:val="004977B0"/>
    <w:rsid w:val="00497E26"/>
    <w:rsid w:val="00497E9B"/>
    <w:rsid w:val="004A2B75"/>
    <w:rsid w:val="004A4B3D"/>
    <w:rsid w:val="004A4CDB"/>
    <w:rsid w:val="004A5C1C"/>
    <w:rsid w:val="004B0C5B"/>
    <w:rsid w:val="004B11F8"/>
    <w:rsid w:val="004B1235"/>
    <w:rsid w:val="004B2057"/>
    <w:rsid w:val="004B2BB0"/>
    <w:rsid w:val="004B3AD5"/>
    <w:rsid w:val="004B40EE"/>
    <w:rsid w:val="004B5652"/>
    <w:rsid w:val="004B5CDC"/>
    <w:rsid w:val="004B602B"/>
    <w:rsid w:val="004B7B6A"/>
    <w:rsid w:val="004C0ADD"/>
    <w:rsid w:val="004C1130"/>
    <w:rsid w:val="004C2190"/>
    <w:rsid w:val="004C21A4"/>
    <w:rsid w:val="004C2D78"/>
    <w:rsid w:val="004C3DCC"/>
    <w:rsid w:val="004C50A6"/>
    <w:rsid w:val="004C5366"/>
    <w:rsid w:val="004C5B9F"/>
    <w:rsid w:val="004C5BF7"/>
    <w:rsid w:val="004C6670"/>
    <w:rsid w:val="004C6950"/>
    <w:rsid w:val="004C7039"/>
    <w:rsid w:val="004D02A2"/>
    <w:rsid w:val="004D05DA"/>
    <w:rsid w:val="004D09FA"/>
    <w:rsid w:val="004D21CF"/>
    <w:rsid w:val="004D250F"/>
    <w:rsid w:val="004D2A7C"/>
    <w:rsid w:val="004D33F3"/>
    <w:rsid w:val="004D4E8B"/>
    <w:rsid w:val="004D59B7"/>
    <w:rsid w:val="004D795A"/>
    <w:rsid w:val="004D79A9"/>
    <w:rsid w:val="004E09EA"/>
    <w:rsid w:val="004E15BA"/>
    <w:rsid w:val="004E24BD"/>
    <w:rsid w:val="004E2FD5"/>
    <w:rsid w:val="004E3499"/>
    <w:rsid w:val="004E34EA"/>
    <w:rsid w:val="004E5962"/>
    <w:rsid w:val="004E6365"/>
    <w:rsid w:val="004E65D9"/>
    <w:rsid w:val="004E7928"/>
    <w:rsid w:val="004E7982"/>
    <w:rsid w:val="004E7AFD"/>
    <w:rsid w:val="004F061F"/>
    <w:rsid w:val="004F0634"/>
    <w:rsid w:val="004F1892"/>
    <w:rsid w:val="004F1A44"/>
    <w:rsid w:val="004F2655"/>
    <w:rsid w:val="004F2AF6"/>
    <w:rsid w:val="004F444A"/>
    <w:rsid w:val="004F66E4"/>
    <w:rsid w:val="0050136D"/>
    <w:rsid w:val="00501946"/>
    <w:rsid w:val="0050316D"/>
    <w:rsid w:val="00503679"/>
    <w:rsid w:val="00503CF7"/>
    <w:rsid w:val="0050409E"/>
    <w:rsid w:val="00504A30"/>
    <w:rsid w:val="005062F1"/>
    <w:rsid w:val="00506C08"/>
    <w:rsid w:val="005107B1"/>
    <w:rsid w:val="0051253C"/>
    <w:rsid w:val="005134ED"/>
    <w:rsid w:val="005139ED"/>
    <w:rsid w:val="00514E1B"/>
    <w:rsid w:val="00515B9E"/>
    <w:rsid w:val="00516797"/>
    <w:rsid w:val="00516DE8"/>
    <w:rsid w:val="00516EFC"/>
    <w:rsid w:val="00520578"/>
    <w:rsid w:val="00520677"/>
    <w:rsid w:val="00520C92"/>
    <w:rsid w:val="00520D09"/>
    <w:rsid w:val="00521625"/>
    <w:rsid w:val="00521E87"/>
    <w:rsid w:val="00522FD3"/>
    <w:rsid w:val="005243F2"/>
    <w:rsid w:val="0052467F"/>
    <w:rsid w:val="005246A3"/>
    <w:rsid w:val="0052490C"/>
    <w:rsid w:val="00524AA2"/>
    <w:rsid w:val="005258B1"/>
    <w:rsid w:val="0052595A"/>
    <w:rsid w:val="00525B32"/>
    <w:rsid w:val="0052613B"/>
    <w:rsid w:val="00526862"/>
    <w:rsid w:val="00526FC3"/>
    <w:rsid w:val="0052718A"/>
    <w:rsid w:val="00530343"/>
    <w:rsid w:val="00532695"/>
    <w:rsid w:val="00534C58"/>
    <w:rsid w:val="00535038"/>
    <w:rsid w:val="005350F8"/>
    <w:rsid w:val="00535ABD"/>
    <w:rsid w:val="00535F0A"/>
    <w:rsid w:val="0053611B"/>
    <w:rsid w:val="00537405"/>
    <w:rsid w:val="00537E6C"/>
    <w:rsid w:val="005401AA"/>
    <w:rsid w:val="00540685"/>
    <w:rsid w:val="0054142B"/>
    <w:rsid w:val="0054198D"/>
    <w:rsid w:val="00543055"/>
    <w:rsid w:val="00543EE0"/>
    <w:rsid w:val="00544686"/>
    <w:rsid w:val="00544774"/>
    <w:rsid w:val="0054591C"/>
    <w:rsid w:val="00545E0E"/>
    <w:rsid w:val="00547CBF"/>
    <w:rsid w:val="00547EB4"/>
    <w:rsid w:val="00550203"/>
    <w:rsid w:val="00550B6E"/>
    <w:rsid w:val="00554FE6"/>
    <w:rsid w:val="005553CF"/>
    <w:rsid w:val="0055732C"/>
    <w:rsid w:val="00560AAB"/>
    <w:rsid w:val="0056237D"/>
    <w:rsid w:val="00562C95"/>
    <w:rsid w:val="005644AF"/>
    <w:rsid w:val="00567328"/>
    <w:rsid w:val="00570BF6"/>
    <w:rsid w:val="00570C67"/>
    <w:rsid w:val="0057260A"/>
    <w:rsid w:val="00574A2F"/>
    <w:rsid w:val="00574B0F"/>
    <w:rsid w:val="00575D92"/>
    <w:rsid w:val="00575F56"/>
    <w:rsid w:val="005764AA"/>
    <w:rsid w:val="005769DA"/>
    <w:rsid w:val="00576AE6"/>
    <w:rsid w:val="00576D54"/>
    <w:rsid w:val="0058037F"/>
    <w:rsid w:val="00580652"/>
    <w:rsid w:val="00580FC3"/>
    <w:rsid w:val="00581483"/>
    <w:rsid w:val="0058254E"/>
    <w:rsid w:val="00582AF4"/>
    <w:rsid w:val="00582C28"/>
    <w:rsid w:val="00583BDF"/>
    <w:rsid w:val="00583D99"/>
    <w:rsid w:val="00584259"/>
    <w:rsid w:val="00584E6F"/>
    <w:rsid w:val="00585980"/>
    <w:rsid w:val="00585B1C"/>
    <w:rsid w:val="00585DA5"/>
    <w:rsid w:val="00587E32"/>
    <w:rsid w:val="0059040F"/>
    <w:rsid w:val="00590CAF"/>
    <w:rsid w:val="00591F55"/>
    <w:rsid w:val="00592A4F"/>
    <w:rsid w:val="00592F72"/>
    <w:rsid w:val="005941F7"/>
    <w:rsid w:val="00595B7B"/>
    <w:rsid w:val="00597346"/>
    <w:rsid w:val="00597EC3"/>
    <w:rsid w:val="00597FF0"/>
    <w:rsid w:val="005A03F8"/>
    <w:rsid w:val="005A0D09"/>
    <w:rsid w:val="005A1B96"/>
    <w:rsid w:val="005A1D59"/>
    <w:rsid w:val="005A2AE4"/>
    <w:rsid w:val="005A3364"/>
    <w:rsid w:val="005A35E4"/>
    <w:rsid w:val="005A3776"/>
    <w:rsid w:val="005A3C4E"/>
    <w:rsid w:val="005A4E32"/>
    <w:rsid w:val="005A507B"/>
    <w:rsid w:val="005A5A9E"/>
    <w:rsid w:val="005A5AC8"/>
    <w:rsid w:val="005A5EC4"/>
    <w:rsid w:val="005A6137"/>
    <w:rsid w:val="005A701A"/>
    <w:rsid w:val="005A7FBC"/>
    <w:rsid w:val="005B076F"/>
    <w:rsid w:val="005B2155"/>
    <w:rsid w:val="005B2393"/>
    <w:rsid w:val="005B31F2"/>
    <w:rsid w:val="005B34B2"/>
    <w:rsid w:val="005B3608"/>
    <w:rsid w:val="005B386D"/>
    <w:rsid w:val="005B3E3A"/>
    <w:rsid w:val="005B5951"/>
    <w:rsid w:val="005B5BB4"/>
    <w:rsid w:val="005B754A"/>
    <w:rsid w:val="005C0467"/>
    <w:rsid w:val="005C1621"/>
    <w:rsid w:val="005C2116"/>
    <w:rsid w:val="005C298F"/>
    <w:rsid w:val="005C2C3C"/>
    <w:rsid w:val="005C2C6E"/>
    <w:rsid w:val="005C3024"/>
    <w:rsid w:val="005C4C8E"/>
    <w:rsid w:val="005C56DB"/>
    <w:rsid w:val="005C59D2"/>
    <w:rsid w:val="005C6844"/>
    <w:rsid w:val="005C6A61"/>
    <w:rsid w:val="005C6FBA"/>
    <w:rsid w:val="005C788B"/>
    <w:rsid w:val="005D027D"/>
    <w:rsid w:val="005D24DC"/>
    <w:rsid w:val="005D2CAF"/>
    <w:rsid w:val="005D2FBB"/>
    <w:rsid w:val="005D439A"/>
    <w:rsid w:val="005D46B6"/>
    <w:rsid w:val="005D47B0"/>
    <w:rsid w:val="005D5089"/>
    <w:rsid w:val="005D57DB"/>
    <w:rsid w:val="005D6059"/>
    <w:rsid w:val="005E1AA2"/>
    <w:rsid w:val="005E1D7F"/>
    <w:rsid w:val="005E2414"/>
    <w:rsid w:val="005E3549"/>
    <w:rsid w:val="005E4F42"/>
    <w:rsid w:val="005E71DF"/>
    <w:rsid w:val="005E7B8E"/>
    <w:rsid w:val="005E7B9F"/>
    <w:rsid w:val="005F026F"/>
    <w:rsid w:val="005F086B"/>
    <w:rsid w:val="005F097B"/>
    <w:rsid w:val="005F099A"/>
    <w:rsid w:val="005F1110"/>
    <w:rsid w:val="005F264F"/>
    <w:rsid w:val="005F2DA2"/>
    <w:rsid w:val="005F325F"/>
    <w:rsid w:val="005F3FD5"/>
    <w:rsid w:val="005F409A"/>
    <w:rsid w:val="005F5CC7"/>
    <w:rsid w:val="005F6350"/>
    <w:rsid w:val="005F738A"/>
    <w:rsid w:val="006013E3"/>
    <w:rsid w:val="00602659"/>
    <w:rsid w:val="00602CDD"/>
    <w:rsid w:val="00603A52"/>
    <w:rsid w:val="006042F1"/>
    <w:rsid w:val="00604988"/>
    <w:rsid w:val="00604FBA"/>
    <w:rsid w:val="0060534F"/>
    <w:rsid w:val="00605E6E"/>
    <w:rsid w:val="00606326"/>
    <w:rsid w:val="00606B5B"/>
    <w:rsid w:val="00610A39"/>
    <w:rsid w:val="0061213E"/>
    <w:rsid w:val="00612B4B"/>
    <w:rsid w:val="006136EB"/>
    <w:rsid w:val="00613CCD"/>
    <w:rsid w:val="0061491B"/>
    <w:rsid w:val="00615E7C"/>
    <w:rsid w:val="006163E3"/>
    <w:rsid w:val="006166F5"/>
    <w:rsid w:val="00616BF4"/>
    <w:rsid w:val="00617F1C"/>
    <w:rsid w:val="006200CA"/>
    <w:rsid w:val="006217E1"/>
    <w:rsid w:val="00622C1E"/>
    <w:rsid w:val="00622DC2"/>
    <w:rsid w:val="00622E6B"/>
    <w:rsid w:val="00623952"/>
    <w:rsid w:val="00623C43"/>
    <w:rsid w:val="0062440D"/>
    <w:rsid w:val="00624CFC"/>
    <w:rsid w:val="006250B7"/>
    <w:rsid w:val="00625C87"/>
    <w:rsid w:val="00625D29"/>
    <w:rsid w:val="0062655C"/>
    <w:rsid w:val="00627093"/>
    <w:rsid w:val="0062710C"/>
    <w:rsid w:val="0062767A"/>
    <w:rsid w:val="0062767B"/>
    <w:rsid w:val="00627801"/>
    <w:rsid w:val="00627A81"/>
    <w:rsid w:val="00630034"/>
    <w:rsid w:val="00630552"/>
    <w:rsid w:val="006306F8"/>
    <w:rsid w:val="00630A46"/>
    <w:rsid w:val="00630AEA"/>
    <w:rsid w:val="00630DB5"/>
    <w:rsid w:val="00631513"/>
    <w:rsid w:val="00632B7F"/>
    <w:rsid w:val="0063337E"/>
    <w:rsid w:val="00634193"/>
    <w:rsid w:val="00635A0F"/>
    <w:rsid w:val="00635F9E"/>
    <w:rsid w:val="006360E4"/>
    <w:rsid w:val="00636621"/>
    <w:rsid w:val="00636943"/>
    <w:rsid w:val="00636E66"/>
    <w:rsid w:val="006407E9"/>
    <w:rsid w:val="00640F80"/>
    <w:rsid w:val="006428D8"/>
    <w:rsid w:val="00643728"/>
    <w:rsid w:val="00643961"/>
    <w:rsid w:val="00644484"/>
    <w:rsid w:val="0064490F"/>
    <w:rsid w:val="00644959"/>
    <w:rsid w:val="0064554A"/>
    <w:rsid w:val="006459E7"/>
    <w:rsid w:val="00645A90"/>
    <w:rsid w:val="00645F57"/>
    <w:rsid w:val="00645F66"/>
    <w:rsid w:val="00646527"/>
    <w:rsid w:val="00646AF2"/>
    <w:rsid w:val="00646B89"/>
    <w:rsid w:val="00646BDE"/>
    <w:rsid w:val="00650287"/>
    <w:rsid w:val="006512B5"/>
    <w:rsid w:val="00651573"/>
    <w:rsid w:val="006524F0"/>
    <w:rsid w:val="00652A7A"/>
    <w:rsid w:val="00652AAC"/>
    <w:rsid w:val="006533B6"/>
    <w:rsid w:val="00653EAF"/>
    <w:rsid w:val="0065482B"/>
    <w:rsid w:val="006551AA"/>
    <w:rsid w:val="006553BC"/>
    <w:rsid w:val="00656425"/>
    <w:rsid w:val="0065688B"/>
    <w:rsid w:val="00656D4A"/>
    <w:rsid w:val="00657354"/>
    <w:rsid w:val="00657D2F"/>
    <w:rsid w:val="006611F4"/>
    <w:rsid w:val="00661B49"/>
    <w:rsid w:val="00662000"/>
    <w:rsid w:val="00662990"/>
    <w:rsid w:val="00663F77"/>
    <w:rsid w:val="00665049"/>
    <w:rsid w:val="0066506D"/>
    <w:rsid w:val="00665153"/>
    <w:rsid w:val="00665593"/>
    <w:rsid w:val="006660E1"/>
    <w:rsid w:val="00666133"/>
    <w:rsid w:val="00666381"/>
    <w:rsid w:val="00666D75"/>
    <w:rsid w:val="00667CDD"/>
    <w:rsid w:val="006700D3"/>
    <w:rsid w:val="0067230A"/>
    <w:rsid w:val="00672A0F"/>
    <w:rsid w:val="00673C83"/>
    <w:rsid w:val="00674737"/>
    <w:rsid w:val="0067520E"/>
    <w:rsid w:val="00675CDC"/>
    <w:rsid w:val="006766CA"/>
    <w:rsid w:val="006775D4"/>
    <w:rsid w:val="00677816"/>
    <w:rsid w:val="006779F8"/>
    <w:rsid w:val="006803EF"/>
    <w:rsid w:val="00680DC1"/>
    <w:rsid w:val="00680EA6"/>
    <w:rsid w:val="00682893"/>
    <w:rsid w:val="006828EE"/>
    <w:rsid w:val="00682D51"/>
    <w:rsid w:val="006830CE"/>
    <w:rsid w:val="00683865"/>
    <w:rsid w:val="00683894"/>
    <w:rsid w:val="006840AD"/>
    <w:rsid w:val="006843D1"/>
    <w:rsid w:val="00685B87"/>
    <w:rsid w:val="0068684D"/>
    <w:rsid w:val="00686C20"/>
    <w:rsid w:val="00686F06"/>
    <w:rsid w:val="006918B2"/>
    <w:rsid w:val="00692617"/>
    <w:rsid w:val="00692A1C"/>
    <w:rsid w:val="0069459D"/>
    <w:rsid w:val="00695005"/>
    <w:rsid w:val="0069541B"/>
    <w:rsid w:val="00695A92"/>
    <w:rsid w:val="00695F18"/>
    <w:rsid w:val="00696533"/>
    <w:rsid w:val="006A0417"/>
    <w:rsid w:val="006A09D5"/>
    <w:rsid w:val="006A491B"/>
    <w:rsid w:val="006A4A75"/>
    <w:rsid w:val="006A551A"/>
    <w:rsid w:val="006A5B86"/>
    <w:rsid w:val="006A5EB2"/>
    <w:rsid w:val="006A739E"/>
    <w:rsid w:val="006B18F4"/>
    <w:rsid w:val="006B1EE2"/>
    <w:rsid w:val="006B1EFC"/>
    <w:rsid w:val="006B4A3D"/>
    <w:rsid w:val="006B4A86"/>
    <w:rsid w:val="006B50F4"/>
    <w:rsid w:val="006B5381"/>
    <w:rsid w:val="006B6AB5"/>
    <w:rsid w:val="006B7F63"/>
    <w:rsid w:val="006C0E63"/>
    <w:rsid w:val="006C124F"/>
    <w:rsid w:val="006C1B61"/>
    <w:rsid w:val="006C2247"/>
    <w:rsid w:val="006C264E"/>
    <w:rsid w:val="006C2854"/>
    <w:rsid w:val="006C2F62"/>
    <w:rsid w:val="006C34ED"/>
    <w:rsid w:val="006C405F"/>
    <w:rsid w:val="006C44C2"/>
    <w:rsid w:val="006C44DE"/>
    <w:rsid w:val="006C479E"/>
    <w:rsid w:val="006C4DA5"/>
    <w:rsid w:val="006C63EF"/>
    <w:rsid w:val="006C708E"/>
    <w:rsid w:val="006D060A"/>
    <w:rsid w:val="006D09D2"/>
    <w:rsid w:val="006D1EB5"/>
    <w:rsid w:val="006D20B7"/>
    <w:rsid w:val="006D3848"/>
    <w:rsid w:val="006D62F6"/>
    <w:rsid w:val="006D645F"/>
    <w:rsid w:val="006D6807"/>
    <w:rsid w:val="006D758D"/>
    <w:rsid w:val="006D7E05"/>
    <w:rsid w:val="006E1379"/>
    <w:rsid w:val="006E31A8"/>
    <w:rsid w:val="006E44C1"/>
    <w:rsid w:val="006E49A8"/>
    <w:rsid w:val="006E5396"/>
    <w:rsid w:val="006E576B"/>
    <w:rsid w:val="006E5E48"/>
    <w:rsid w:val="006E686B"/>
    <w:rsid w:val="006E6F4C"/>
    <w:rsid w:val="006E77DF"/>
    <w:rsid w:val="006E7D4B"/>
    <w:rsid w:val="006E7E12"/>
    <w:rsid w:val="006F0FBC"/>
    <w:rsid w:val="006F1DD1"/>
    <w:rsid w:val="006F2485"/>
    <w:rsid w:val="006F293F"/>
    <w:rsid w:val="006F2FBA"/>
    <w:rsid w:val="006F3E50"/>
    <w:rsid w:val="006F4420"/>
    <w:rsid w:val="006F4A6B"/>
    <w:rsid w:val="006F53CD"/>
    <w:rsid w:val="006F5702"/>
    <w:rsid w:val="006F70A3"/>
    <w:rsid w:val="006F752B"/>
    <w:rsid w:val="006F7FC2"/>
    <w:rsid w:val="00703801"/>
    <w:rsid w:val="007044BB"/>
    <w:rsid w:val="0070501A"/>
    <w:rsid w:val="00705ADE"/>
    <w:rsid w:val="007068EB"/>
    <w:rsid w:val="00707787"/>
    <w:rsid w:val="00707C6D"/>
    <w:rsid w:val="0071005D"/>
    <w:rsid w:val="007105E2"/>
    <w:rsid w:val="00710903"/>
    <w:rsid w:val="00712A2A"/>
    <w:rsid w:val="00714560"/>
    <w:rsid w:val="00715318"/>
    <w:rsid w:val="0071598B"/>
    <w:rsid w:val="00715DDE"/>
    <w:rsid w:val="00715F60"/>
    <w:rsid w:val="0071629D"/>
    <w:rsid w:val="00716B66"/>
    <w:rsid w:val="007179B4"/>
    <w:rsid w:val="00717C63"/>
    <w:rsid w:val="00720588"/>
    <w:rsid w:val="007206D3"/>
    <w:rsid w:val="00724754"/>
    <w:rsid w:val="00725527"/>
    <w:rsid w:val="007258A3"/>
    <w:rsid w:val="007313AA"/>
    <w:rsid w:val="007319FF"/>
    <w:rsid w:val="0073211D"/>
    <w:rsid w:val="007349D6"/>
    <w:rsid w:val="007360F8"/>
    <w:rsid w:val="00736C52"/>
    <w:rsid w:val="00736C53"/>
    <w:rsid w:val="0073736A"/>
    <w:rsid w:val="007373ED"/>
    <w:rsid w:val="00741615"/>
    <w:rsid w:val="007416C3"/>
    <w:rsid w:val="00741CAF"/>
    <w:rsid w:val="007424A9"/>
    <w:rsid w:val="00742AD0"/>
    <w:rsid w:val="00743649"/>
    <w:rsid w:val="00743A43"/>
    <w:rsid w:val="00743AF8"/>
    <w:rsid w:val="00744A16"/>
    <w:rsid w:val="00745159"/>
    <w:rsid w:val="00745A59"/>
    <w:rsid w:val="00745D6F"/>
    <w:rsid w:val="007462BE"/>
    <w:rsid w:val="007465EC"/>
    <w:rsid w:val="0074737C"/>
    <w:rsid w:val="00751B62"/>
    <w:rsid w:val="00752DCA"/>
    <w:rsid w:val="00753073"/>
    <w:rsid w:val="00754017"/>
    <w:rsid w:val="00754FAF"/>
    <w:rsid w:val="007550AC"/>
    <w:rsid w:val="00757B63"/>
    <w:rsid w:val="0076051C"/>
    <w:rsid w:val="0076184E"/>
    <w:rsid w:val="007618B0"/>
    <w:rsid w:val="00764A61"/>
    <w:rsid w:val="00764F78"/>
    <w:rsid w:val="00765912"/>
    <w:rsid w:val="00766B47"/>
    <w:rsid w:val="00767424"/>
    <w:rsid w:val="007677D3"/>
    <w:rsid w:val="00767953"/>
    <w:rsid w:val="00767E9C"/>
    <w:rsid w:val="0077193C"/>
    <w:rsid w:val="007739A3"/>
    <w:rsid w:val="007744DF"/>
    <w:rsid w:val="007762E4"/>
    <w:rsid w:val="00776BDD"/>
    <w:rsid w:val="00777503"/>
    <w:rsid w:val="00777A99"/>
    <w:rsid w:val="00780375"/>
    <w:rsid w:val="0078042F"/>
    <w:rsid w:val="00781BF5"/>
    <w:rsid w:val="0078390D"/>
    <w:rsid w:val="00784217"/>
    <w:rsid w:val="00784CAA"/>
    <w:rsid w:val="0078754F"/>
    <w:rsid w:val="00787894"/>
    <w:rsid w:val="0079024F"/>
    <w:rsid w:val="00790CE1"/>
    <w:rsid w:val="007918CA"/>
    <w:rsid w:val="0079191B"/>
    <w:rsid w:val="00791D12"/>
    <w:rsid w:val="007925CC"/>
    <w:rsid w:val="00793C96"/>
    <w:rsid w:val="00793DAC"/>
    <w:rsid w:val="00794727"/>
    <w:rsid w:val="00794809"/>
    <w:rsid w:val="00795D6A"/>
    <w:rsid w:val="007963DA"/>
    <w:rsid w:val="007964CA"/>
    <w:rsid w:val="00796FD9"/>
    <w:rsid w:val="0079783F"/>
    <w:rsid w:val="007979D8"/>
    <w:rsid w:val="007A11CB"/>
    <w:rsid w:val="007A1C17"/>
    <w:rsid w:val="007A32A0"/>
    <w:rsid w:val="007A3C95"/>
    <w:rsid w:val="007A4019"/>
    <w:rsid w:val="007A4AF6"/>
    <w:rsid w:val="007A6A09"/>
    <w:rsid w:val="007A7010"/>
    <w:rsid w:val="007A71C6"/>
    <w:rsid w:val="007A7668"/>
    <w:rsid w:val="007B1B4B"/>
    <w:rsid w:val="007B3C23"/>
    <w:rsid w:val="007B3DBA"/>
    <w:rsid w:val="007B6093"/>
    <w:rsid w:val="007B6157"/>
    <w:rsid w:val="007B63BF"/>
    <w:rsid w:val="007B6497"/>
    <w:rsid w:val="007B668D"/>
    <w:rsid w:val="007B75F9"/>
    <w:rsid w:val="007B7C11"/>
    <w:rsid w:val="007C089E"/>
    <w:rsid w:val="007C0B57"/>
    <w:rsid w:val="007C0CB8"/>
    <w:rsid w:val="007C0FB5"/>
    <w:rsid w:val="007C102C"/>
    <w:rsid w:val="007C1070"/>
    <w:rsid w:val="007C12CD"/>
    <w:rsid w:val="007C1851"/>
    <w:rsid w:val="007C1A23"/>
    <w:rsid w:val="007C1ADF"/>
    <w:rsid w:val="007C223B"/>
    <w:rsid w:val="007C29FA"/>
    <w:rsid w:val="007C2B17"/>
    <w:rsid w:val="007C3DE6"/>
    <w:rsid w:val="007C43D5"/>
    <w:rsid w:val="007C59AF"/>
    <w:rsid w:val="007C620D"/>
    <w:rsid w:val="007C661F"/>
    <w:rsid w:val="007C7DF0"/>
    <w:rsid w:val="007D0B26"/>
    <w:rsid w:val="007D0D99"/>
    <w:rsid w:val="007D1049"/>
    <w:rsid w:val="007D1A3E"/>
    <w:rsid w:val="007D222D"/>
    <w:rsid w:val="007D28A7"/>
    <w:rsid w:val="007D3018"/>
    <w:rsid w:val="007D355B"/>
    <w:rsid w:val="007D382F"/>
    <w:rsid w:val="007D4E3C"/>
    <w:rsid w:val="007D5390"/>
    <w:rsid w:val="007D6D9F"/>
    <w:rsid w:val="007E0930"/>
    <w:rsid w:val="007E0FD2"/>
    <w:rsid w:val="007E14E4"/>
    <w:rsid w:val="007E1D13"/>
    <w:rsid w:val="007E1F6F"/>
    <w:rsid w:val="007E24B7"/>
    <w:rsid w:val="007E28C3"/>
    <w:rsid w:val="007E2A58"/>
    <w:rsid w:val="007E5156"/>
    <w:rsid w:val="007E5BFF"/>
    <w:rsid w:val="007E6125"/>
    <w:rsid w:val="007E6F32"/>
    <w:rsid w:val="007E7DED"/>
    <w:rsid w:val="007F2BC0"/>
    <w:rsid w:val="007F324C"/>
    <w:rsid w:val="007F49CB"/>
    <w:rsid w:val="007F5016"/>
    <w:rsid w:val="007F59C0"/>
    <w:rsid w:val="007F6ED8"/>
    <w:rsid w:val="007F77FF"/>
    <w:rsid w:val="00801A11"/>
    <w:rsid w:val="00801CCB"/>
    <w:rsid w:val="008022E1"/>
    <w:rsid w:val="00802D74"/>
    <w:rsid w:val="00802F1B"/>
    <w:rsid w:val="008036AA"/>
    <w:rsid w:val="00804030"/>
    <w:rsid w:val="00804221"/>
    <w:rsid w:val="008049F8"/>
    <w:rsid w:val="00805063"/>
    <w:rsid w:val="008056CC"/>
    <w:rsid w:val="00805774"/>
    <w:rsid w:val="00805D90"/>
    <w:rsid w:val="0080618A"/>
    <w:rsid w:val="00807F17"/>
    <w:rsid w:val="0081175A"/>
    <w:rsid w:val="00812092"/>
    <w:rsid w:val="0081273E"/>
    <w:rsid w:val="00812DEF"/>
    <w:rsid w:val="00813282"/>
    <w:rsid w:val="008136B8"/>
    <w:rsid w:val="008139DB"/>
    <w:rsid w:val="00813DDE"/>
    <w:rsid w:val="008148D9"/>
    <w:rsid w:val="00814D65"/>
    <w:rsid w:val="00815F3C"/>
    <w:rsid w:val="00816199"/>
    <w:rsid w:val="00816371"/>
    <w:rsid w:val="008210E8"/>
    <w:rsid w:val="00821ED1"/>
    <w:rsid w:val="00822007"/>
    <w:rsid w:val="00822428"/>
    <w:rsid w:val="00822D57"/>
    <w:rsid w:val="00823535"/>
    <w:rsid w:val="00823831"/>
    <w:rsid w:val="00823EAB"/>
    <w:rsid w:val="00825890"/>
    <w:rsid w:val="008261E0"/>
    <w:rsid w:val="008263B3"/>
    <w:rsid w:val="008300A3"/>
    <w:rsid w:val="00830D42"/>
    <w:rsid w:val="00831DE0"/>
    <w:rsid w:val="00831FDC"/>
    <w:rsid w:val="00832B02"/>
    <w:rsid w:val="00832EDB"/>
    <w:rsid w:val="00833CDD"/>
    <w:rsid w:val="008345A4"/>
    <w:rsid w:val="008355FB"/>
    <w:rsid w:val="00835685"/>
    <w:rsid w:val="00835D18"/>
    <w:rsid w:val="00837CE6"/>
    <w:rsid w:val="00841AA1"/>
    <w:rsid w:val="00841B2E"/>
    <w:rsid w:val="00841DBC"/>
    <w:rsid w:val="008425F7"/>
    <w:rsid w:val="0084292C"/>
    <w:rsid w:val="00842A67"/>
    <w:rsid w:val="00843767"/>
    <w:rsid w:val="00843A65"/>
    <w:rsid w:val="00843F6D"/>
    <w:rsid w:val="0084400E"/>
    <w:rsid w:val="0084523F"/>
    <w:rsid w:val="00845487"/>
    <w:rsid w:val="00846C09"/>
    <w:rsid w:val="00847937"/>
    <w:rsid w:val="00850490"/>
    <w:rsid w:val="00852FFE"/>
    <w:rsid w:val="008532FF"/>
    <w:rsid w:val="00853767"/>
    <w:rsid w:val="008546A9"/>
    <w:rsid w:val="008548F1"/>
    <w:rsid w:val="00854BF4"/>
    <w:rsid w:val="00856878"/>
    <w:rsid w:val="008569C2"/>
    <w:rsid w:val="00856C27"/>
    <w:rsid w:val="0085716A"/>
    <w:rsid w:val="008571A3"/>
    <w:rsid w:val="00857D51"/>
    <w:rsid w:val="008600DA"/>
    <w:rsid w:val="0086024C"/>
    <w:rsid w:val="00862B23"/>
    <w:rsid w:val="00863724"/>
    <w:rsid w:val="00863A52"/>
    <w:rsid w:val="00863D4F"/>
    <w:rsid w:val="00864B45"/>
    <w:rsid w:val="00864E69"/>
    <w:rsid w:val="0086531C"/>
    <w:rsid w:val="00866EC8"/>
    <w:rsid w:val="0087007A"/>
    <w:rsid w:val="008713F1"/>
    <w:rsid w:val="00871742"/>
    <w:rsid w:val="0087177D"/>
    <w:rsid w:val="008717A6"/>
    <w:rsid w:val="00872AB4"/>
    <w:rsid w:val="00874231"/>
    <w:rsid w:val="00874A97"/>
    <w:rsid w:val="008763C9"/>
    <w:rsid w:val="0087767F"/>
    <w:rsid w:val="00877829"/>
    <w:rsid w:val="0088086D"/>
    <w:rsid w:val="00881417"/>
    <w:rsid w:val="008814A2"/>
    <w:rsid w:val="008827BF"/>
    <w:rsid w:val="00884DF5"/>
    <w:rsid w:val="00885287"/>
    <w:rsid w:val="00885A8D"/>
    <w:rsid w:val="00885F2B"/>
    <w:rsid w:val="008870AD"/>
    <w:rsid w:val="008877C3"/>
    <w:rsid w:val="008900E7"/>
    <w:rsid w:val="00890423"/>
    <w:rsid w:val="0089058C"/>
    <w:rsid w:val="008924F5"/>
    <w:rsid w:val="00892698"/>
    <w:rsid w:val="00893015"/>
    <w:rsid w:val="008937AF"/>
    <w:rsid w:val="0089389E"/>
    <w:rsid w:val="00893A3F"/>
    <w:rsid w:val="008949D9"/>
    <w:rsid w:val="0089693D"/>
    <w:rsid w:val="00896F55"/>
    <w:rsid w:val="008A0415"/>
    <w:rsid w:val="008A1DBD"/>
    <w:rsid w:val="008A1ECF"/>
    <w:rsid w:val="008A2A29"/>
    <w:rsid w:val="008A32F9"/>
    <w:rsid w:val="008A3437"/>
    <w:rsid w:val="008A524B"/>
    <w:rsid w:val="008A6139"/>
    <w:rsid w:val="008A692E"/>
    <w:rsid w:val="008A6940"/>
    <w:rsid w:val="008A6A46"/>
    <w:rsid w:val="008A6A88"/>
    <w:rsid w:val="008A6E27"/>
    <w:rsid w:val="008A7059"/>
    <w:rsid w:val="008B074D"/>
    <w:rsid w:val="008B09B6"/>
    <w:rsid w:val="008B131E"/>
    <w:rsid w:val="008B1AD6"/>
    <w:rsid w:val="008B1B8A"/>
    <w:rsid w:val="008B2B65"/>
    <w:rsid w:val="008B3982"/>
    <w:rsid w:val="008B40B0"/>
    <w:rsid w:val="008B4415"/>
    <w:rsid w:val="008B486D"/>
    <w:rsid w:val="008B5319"/>
    <w:rsid w:val="008B723C"/>
    <w:rsid w:val="008C1587"/>
    <w:rsid w:val="008C1E3C"/>
    <w:rsid w:val="008C3108"/>
    <w:rsid w:val="008C336D"/>
    <w:rsid w:val="008C4457"/>
    <w:rsid w:val="008C617E"/>
    <w:rsid w:val="008C6A43"/>
    <w:rsid w:val="008C6DA5"/>
    <w:rsid w:val="008C7574"/>
    <w:rsid w:val="008D043D"/>
    <w:rsid w:val="008D0DE7"/>
    <w:rsid w:val="008D1802"/>
    <w:rsid w:val="008D2FB5"/>
    <w:rsid w:val="008D35A7"/>
    <w:rsid w:val="008D3885"/>
    <w:rsid w:val="008D3931"/>
    <w:rsid w:val="008D3A7C"/>
    <w:rsid w:val="008D49EE"/>
    <w:rsid w:val="008D4E89"/>
    <w:rsid w:val="008D500B"/>
    <w:rsid w:val="008D57D2"/>
    <w:rsid w:val="008D59FF"/>
    <w:rsid w:val="008D5A49"/>
    <w:rsid w:val="008D67E2"/>
    <w:rsid w:val="008D77E4"/>
    <w:rsid w:val="008D7CCD"/>
    <w:rsid w:val="008D7F58"/>
    <w:rsid w:val="008E01E3"/>
    <w:rsid w:val="008E0585"/>
    <w:rsid w:val="008E151A"/>
    <w:rsid w:val="008E3CC4"/>
    <w:rsid w:val="008E4129"/>
    <w:rsid w:val="008E4C96"/>
    <w:rsid w:val="008E4CC9"/>
    <w:rsid w:val="008E5033"/>
    <w:rsid w:val="008E5C56"/>
    <w:rsid w:val="008E60B7"/>
    <w:rsid w:val="008E66CC"/>
    <w:rsid w:val="008E72F4"/>
    <w:rsid w:val="008E7CB9"/>
    <w:rsid w:val="008F04F7"/>
    <w:rsid w:val="008F0A2D"/>
    <w:rsid w:val="008F1124"/>
    <w:rsid w:val="008F134A"/>
    <w:rsid w:val="008F18B5"/>
    <w:rsid w:val="008F1E42"/>
    <w:rsid w:val="008F1FDF"/>
    <w:rsid w:val="008F2B68"/>
    <w:rsid w:val="008F4BEB"/>
    <w:rsid w:val="008F5A18"/>
    <w:rsid w:val="008F5BCB"/>
    <w:rsid w:val="008F70B2"/>
    <w:rsid w:val="008F7574"/>
    <w:rsid w:val="008F762D"/>
    <w:rsid w:val="008F7D73"/>
    <w:rsid w:val="008F7F61"/>
    <w:rsid w:val="009000B6"/>
    <w:rsid w:val="00900F4A"/>
    <w:rsid w:val="00901589"/>
    <w:rsid w:val="00901762"/>
    <w:rsid w:val="009022A6"/>
    <w:rsid w:val="00902B1C"/>
    <w:rsid w:val="00903631"/>
    <w:rsid w:val="00904A50"/>
    <w:rsid w:val="00906C2C"/>
    <w:rsid w:val="009076F2"/>
    <w:rsid w:val="009079E3"/>
    <w:rsid w:val="00907A18"/>
    <w:rsid w:val="00907B78"/>
    <w:rsid w:val="00910A71"/>
    <w:rsid w:val="00910D86"/>
    <w:rsid w:val="00913C1C"/>
    <w:rsid w:val="00914181"/>
    <w:rsid w:val="00914B78"/>
    <w:rsid w:val="00914EAA"/>
    <w:rsid w:val="00916E0C"/>
    <w:rsid w:val="0092037B"/>
    <w:rsid w:val="009206DA"/>
    <w:rsid w:val="00921FD4"/>
    <w:rsid w:val="0092271F"/>
    <w:rsid w:val="009229A3"/>
    <w:rsid w:val="00922E38"/>
    <w:rsid w:val="0092341D"/>
    <w:rsid w:val="00924CEB"/>
    <w:rsid w:val="009251DE"/>
    <w:rsid w:val="00926952"/>
    <w:rsid w:val="00926D5D"/>
    <w:rsid w:val="0092748C"/>
    <w:rsid w:val="00927CEE"/>
    <w:rsid w:val="0093005D"/>
    <w:rsid w:val="00930121"/>
    <w:rsid w:val="009306C3"/>
    <w:rsid w:val="00931E23"/>
    <w:rsid w:val="009320A6"/>
    <w:rsid w:val="009328F3"/>
    <w:rsid w:val="009334C6"/>
    <w:rsid w:val="00933E53"/>
    <w:rsid w:val="00934824"/>
    <w:rsid w:val="00935B72"/>
    <w:rsid w:val="009367B7"/>
    <w:rsid w:val="00936F29"/>
    <w:rsid w:val="0093772F"/>
    <w:rsid w:val="00937AE2"/>
    <w:rsid w:val="00940953"/>
    <w:rsid w:val="00941465"/>
    <w:rsid w:val="0094162A"/>
    <w:rsid w:val="009423F9"/>
    <w:rsid w:val="00944216"/>
    <w:rsid w:val="00944EA8"/>
    <w:rsid w:val="00945C0C"/>
    <w:rsid w:val="00945CEE"/>
    <w:rsid w:val="00950092"/>
    <w:rsid w:val="00950E15"/>
    <w:rsid w:val="00952191"/>
    <w:rsid w:val="00952A4C"/>
    <w:rsid w:val="009531E2"/>
    <w:rsid w:val="009535BC"/>
    <w:rsid w:val="00954726"/>
    <w:rsid w:val="00954D7D"/>
    <w:rsid w:val="00955230"/>
    <w:rsid w:val="009559D9"/>
    <w:rsid w:val="0095616F"/>
    <w:rsid w:val="00956423"/>
    <w:rsid w:val="00956BBC"/>
    <w:rsid w:val="0096045F"/>
    <w:rsid w:val="0096082B"/>
    <w:rsid w:val="0096099B"/>
    <w:rsid w:val="00960D10"/>
    <w:rsid w:val="00963846"/>
    <w:rsid w:val="00963DF5"/>
    <w:rsid w:val="0096411D"/>
    <w:rsid w:val="009657D1"/>
    <w:rsid w:val="0097029F"/>
    <w:rsid w:val="0097210C"/>
    <w:rsid w:val="00973423"/>
    <w:rsid w:val="00973737"/>
    <w:rsid w:val="00973828"/>
    <w:rsid w:val="00973BFB"/>
    <w:rsid w:val="00974E94"/>
    <w:rsid w:val="00974FE0"/>
    <w:rsid w:val="00975A9D"/>
    <w:rsid w:val="00975BA4"/>
    <w:rsid w:val="00976685"/>
    <w:rsid w:val="00976969"/>
    <w:rsid w:val="00977625"/>
    <w:rsid w:val="00977C7A"/>
    <w:rsid w:val="00980288"/>
    <w:rsid w:val="00980380"/>
    <w:rsid w:val="009803D6"/>
    <w:rsid w:val="00980E5D"/>
    <w:rsid w:val="0098121C"/>
    <w:rsid w:val="00981CC9"/>
    <w:rsid w:val="00981E06"/>
    <w:rsid w:val="00982706"/>
    <w:rsid w:val="00982B26"/>
    <w:rsid w:val="00983193"/>
    <w:rsid w:val="00983359"/>
    <w:rsid w:val="0098428A"/>
    <w:rsid w:val="009847F0"/>
    <w:rsid w:val="009848EC"/>
    <w:rsid w:val="00986070"/>
    <w:rsid w:val="0098666E"/>
    <w:rsid w:val="00986DFF"/>
    <w:rsid w:val="0098712B"/>
    <w:rsid w:val="009904B5"/>
    <w:rsid w:val="009909D9"/>
    <w:rsid w:val="00991184"/>
    <w:rsid w:val="009928F6"/>
    <w:rsid w:val="00992CFA"/>
    <w:rsid w:val="009941E7"/>
    <w:rsid w:val="00994682"/>
    <w:rsid w:val="009947C0"/>
    <w:rsid w:val="00994849"/>
    <w:rsid w:val="00994D1D"/>
    <w:rsid w:val="0099504C"/>
    <w:rsid w:val="009954ED"/>
    <w:rsid w:val="00995F5C"/>
    <w:rsid w:val="009961B5"/>
    <w:rsid w:val="009976D0"/>
    <w:rsid w:val="009A0273"/>
    <w:rsid w:val="009A1EBA"/>
    <w:rsid w:val="009A2C96"/>
    <w:rsid w:val="009A3652"/>
    <w:rsid w:val="009A375F"/>
    <w:rsid w:val="009A458D"/>
    <w:rsid w:val="009A52FA"/>
    <w:rsid w:val="009A61B9"/>
    <w:rsid w:val="009A6507"/>
    <w:rsid w:val="009A7A2D"/>
    <w:rsid w:val="009A7CFE"/>
    <w:rsid w:val="009A7E0D"/>
    <w:rsid w:val="009A7EE2"/>
    <w:rsid w:val="009B01B6"/>
    <w:rsid w:val="009B2375"/>
    <w:rsid w:val="009B2E5D"/>
    <w:rsid w:val="009B30DD"/>
    <w:rsid w:val="009B3B47"/>
    <w:rsid w:val="009B3C19"/>
    <w:rsid w:val="009B4805"/>
    <w:rsid w:val="009B6070"/>
    <w:rsid w:val="009B740F"/>
    <w:rsid w:val="009B7D2F"/>
    <w:rsid w:val="009B7FBC"/>
    <w:rsid w:val="009C0186"/>
    <w:rsid w:val="009C0932"/>
    <w:rsid w:val="009C2990"/>
    <w:rsid w:val="009C3580"/>
    <w:rsid w:val="009C4157"/>
    <w:rsid w:val="009C42E1"/>
    <w:rsid w:val="009C6D1F"/>
    <w:rsid w:val="009C7F8E"/>
    <w:rsid w:val="009D05EE"/>
    <w:rsid w:val="009D163D"/>
    <w:rsid w:val="009D19B8"/>
    <w:rsid w:val="009D1EC8"/>
    <w:rsid w:val="009D359A"/>
    <w:rsid w:val="009D38FA"/>
    <w:rsid w:val="009D3969"/>
    <w:rsid w:val="009D3F1B"/>
    <w:rsid w:val="009D4B21"/>
    <w:rsid w:val="009D4F43"/>
    <w:rsid w:val="009D52EB"/>
    <w:rsid w:val="009D56BA"/>
    <w:rsid w:val="009D6184"/>
    <w:rsid w:val="009D6524"/>
    <w:rsid w:val="009D686F"/>
    <w:rsid w:val="009D70F9"/>
    <w:rsid w:val="009D75E9"/>
    <w:rsid w:val="009E0028"/>
    <w:rsid w:val="009E0A77"/>
    <w:rsid w:val="009E0E33"/>
    <w:rsid w:val="009E17F7"/>
    <w:rsid w:val="009E2107"/>
    <w:rsid w:val="009E28FB"/>
    <w:rsid w:val="009E2AC3"/>
    <w:rsid w:val="009E2B4B"/>
    <w:rsid w:val="009E49EA"/>
    <w:rsid w:val="009E5384"/>
    <w:rsid w:val="009E7DE7"/>
    <w:rsid w:val="009E7EA2"/>
    <w:rsid w:val="009F066E"/>
    <w:rsid w:val="009F1FAA"/>
    <w:rsid w:val="009F3A45"/>
    <w:rsid w:val="009F53C3"/>
    <w:rsid w:val="009F5787"/>
    <w:rsid w:val="009F60BD"/>
    <w:rsid w:val="009F749D"/>
    <w:rsid w:val="009F7CC0"/>
    <w:rsid w:val="00A00BB3"/>
    <w:rsid w:val="00A01286"/>
    <w:rsid w:val="00A0171F"/>
    <w:rsid w:val="00A01FDC"/>
    <w:rsid w:val="00A020B2"/>
    <w:rsid w:val="00A02100"/>
    <w:rsid w:val="00A0258C"/>
    <w:rsid w:val="00A03C8F"/>
    <w:rsid w:val="00A03FA3"/>
    <w:rsid w:val="00A05A58"/>
    <w:rsid w:val="00A05A8C"/>
    <w:rsid w:val="00A05B07"/>
    <w:rsid w:val="00A069CE"/>
    <w:rsid w:val="00A073AF"/>
    <w:rsid w:val="00A10F62"/>
    <w:rsid w:val="00A115D6"/>
    <w:rsid w:val="00A12EB1"/>
    <w:rsid w:val="00A1336D"/>
    <w:rsid w:val="00A13F5C"/>
    <w:rsid w:val="00A13FA3"/>
    <w:rsid w:val="00A14D41"/>
    <w:rsid w:val="00A14F23"/>
    <w:rsid w:val="00A159D9"/>
    <w:rsid w:val="00A17BD2"/>
    <w:rsid w:val="00A17DE7"/>
    <w:rsid w:val="00A17FCD"/>
    <w:rsid w:val="00A2053D"/>
    <w:rsid w:val="00A20559"/>
    <w:rsid w:val="00A20927"/>
    <w:rsid w:val="00A215C2"/>
    <w:rsid w:val="00A22322"/>
    <w:rsid w:val="00A22425"/>
    <w:rsid w:val="00A23C0A"/>
    <w:rsid w:val="00A25952"/>
    <w:rsid w:val="00A26A69"/>
    <w:rsid w:val="00A26E84"/>
    <w:rsid w:val="00A304E0"/>
    <w:rsid w:val="00A30D84"/>
    <w:rsid w:val="00A30D9B"/>
    <w:rsid w:val="00A31117"/>
    <w:rsid w:val="00A31498"/>
    <w:rsid w:val="00A33517"/>
    <w:rsid w:val="00A3372C"/>
    <w:rsid w:val="00A34290"/>
    <w:rsid w:val="00A34E05"/>
    <w:rsid w:val="00A35329"/>
    <w:rsid w:val="00A360F9"/>
    <w:rsid w:val="00A374E1"/>
    <w:rsid w:val="00A404A0"/>
    <w:rsid w:val="00A40528"/>
    <w:rsid w:val="00A40545"/>
    <w:rsid w:val="00A407CB"/>
    <w:rsid w:val="00A409D2"/>
    <w:rsid w:val="00A41676"/>
    <w:rsid w:val="00A41803"/>
    <w:rsid w:val="00A41CEC"/>
    <w:rsid w:val="00A424DB"/>
    <w:rsid w:val="00A43371"/>
    <w:rsid w:val="00A44153"/>
    <w:rsid w:val="00A443C6"/>
    <w:rsid w:val="00A45A6D"/>
    <w:rsid w:val="00A45AEA"/>
    <w:rsid w:val="00A469D8"/>
    <w:rsid w:val="00A46D1C"/>
    <w:rsid w:val="00A501F4"/>
    <w:rsid w:val="00A502F8"/>
    <w:rsid w:val="00A506F8"/>
    <w:rsid w:val="00A50B03"/>
    <w:rsid w:val="00A50B6D"/>
    <w:rsid w:val="00A50FAC"/>
    <w:rsid w:val="00A510E6"/>
    <w:rsid w:val="00A52992"/>
    <w:rsid w:val="00A53399"/>
    <w:rsid w:val="00A533C1"/>
    <w:rsid w:val="00A5360C"/>
    <w:rsid w:val="00A54FFC"/>
    <w:rsid w:val="00A5620C"/>
    <w:rsid w:val="00A56406"/>
    <w:rsid w:val="00A569F5"/>
    <w:rsid w:val="00A57A45"/>
    <w:rsid w:val="00A57E41"/>
    <w:rsid w:val="00A60483"/>
    <w:rsid w:val="00A6140C"/>
    <w:rsid w:val="00A61633"/>
    <w:rsid w:val="00A628A6"/>
    <w:rsid w:val="00A6352A"/>
    <w:rsid w:val="00A63C92"/>
    <w:rsid w:val="00A63F4D"/>
    <w:rsid w:val="00A64B82"/>
    <w:rsid w:val="00A65444"/>
    <w:rsid w:val="00A65CB7"/>
    <w:rsid w:val="00A65E65"/>
    <w:rsid w:val="00A665C5"/>
    <w:rsid w:val="00A67A81"/>
    <w:rsid w:val="00A706C2"/>
    <w:rsid w:val="00A7157F"/>
    <w:rsid w:val="00A734C2"/>
    <w:rsid w:val="00A739A4"/>
    <w:rsid w:val="00A745D6"/>
    <w:rsid w:val="00A75172"/>
    <w:rsid w:val="00A75632"/>
    <w:rsid w:val="00A75A34"/>
    <w:rsid w:val="00A75E5C"/>
    <w:rsid w:val="00A76832"/>
    <w:rsid w:val="00A76B46"/>
    <w:rsid w:val="00A81167"/>
    <w:rsid w:val="00A82C1A"/>
    <w:rsid w:val="00A83B45"/>
    <w:rsid w:val="00A84886"/>
    <w:rsid w:val="00A8498F"/>
    <w:rsid w:val="00A8521A"/>
    <w:rsid w:val="00A8532C"/>
    <w:rsid w:val="00A85BCE"/>
    <w:rsid w:val="00A867F4"/>
    <w:rsid w:val="00A87A20"/>
    <w:rsid w:val="00A903B4"/>
    <w:rsid w:val="00A924AF"/>
    <w:rsid w:val="00A93336"/>
    <w:rsid w:val="00A9428F"/>
    <w:rsid w:val="00A94703"/>
    <w:rsid w:val="00A9582B"/>
    <w:rsid w:val="00A959E2"/>
    <w:rsid w:val="00A9624B"/>
    <w:rsid w:val="00A96D32"/>
    <w:rsid w:val="00A96FF0"/>
    <w:rsid w:val="00A97B03"/>
    <w:rsid w:val="00AA04AA"/>
    <w:rsid w:val="00AA161E"/>
    <w:rsid w:val="00AA18C9"/>
    <w:rsid w:val="00AA2444"/>
    <w:rsid w:val="00AA24BE"/>
    <w:rsid w:val="00AA4521"/>
    <w:rsid w:val="00AA4951"/>
    <w:rsid w:val="00AA52C0"/>
    <w:rsid w:val="00AA5764"/>
    <w:rsid w:val="00AA61E6"/>
    <w:rsid w:val="00AA62E8"/>
    <w:rsid w:val="00AA6989"/>
    <w:rsid w:val="00AA6AF5"/>
    <w:rsid w:val="00AA7B14"/>
    <w:rsid w:val="00AB0BA9"/>
    <w:rsid w:val="00AB110A"/>
    <w:rsid w:val="00AB13CE"/>
    <w:rsid w:val="00AB1CDC"/>
    <w:rsid w:val="00AB20D0"/>
    <w:rsid w:val="00AB3CB9"/>
    <w:rsid w:val="00AB5453"/>
    <w:rsid w:val="00AB7308"/>
    <w:rsid w:val="00AB7905"/>
    <w:rsid w:val="00AB7B99"/>
    <w:rsid w:val="00AC0399"/>
    <w:rsid w:val="00AC087E"/>
    <w:rsid w:val="00AC0DDA"/>
    <w:rsid w:val="00AC0F4E"/>
    <w:rsid w:val="00AC1137"/>
    <w:rsid w:val="00AC1AAA"/>
    <w:rsid w:val="00AC22AC"/>
    <w:rsid w:val="00AC29C6"/>
    <w:rsid w:val="00AC371B"/>
    <w:rsid w:val="00AC39C4"/>
    <w:rsid w:val="00AC4501"/>
    <w:rsid w:val="00AC49B1"/>
    <w:rsid w:val="00AC500E"/>
    <w:rsid w:val="00AC5F70"/>
    <w:rsid w:val="00AC7134"/>
    <w:rsid w:val="00AC7BBF"/>
    <w:rsid w:val="00AD0A20"/>
    <w:rsid w:val="00AD130E"/>
    <w:rsid w:val="00AD172A"/>
    <w:rsid w:val="00AD2444"/>
    <w:rsid w:val="00AD3824"/>
    <w:rsid w:val="00AD4822"/>
    <w:rsid w:val="00AD491A"/>
    <w:rsid w:val="00AD5E7A"/>
    <w:rsid w:val="00AE11EF"/>
    <w:rsid w:val="00AE18A3"/>
    <w:rsid w:val="00AE3618"/>
    <w:rsid w:val="00AE3841"/>
    <w:rsid w:val="00AE3A63"/>
    <w:rsid w:val="00AE3E25"/>
    <w:rsid w:val="00AE3F40"/>
    <w:rsid w:val="00AE4ACA"/>
    <w:rsid w:val="00AE4B88"/>
    <w:rsid w:val="00AE583B"/>
    <w:rsid w:val="00AE65D8"/>
    <w:rsid w:val="00AE76F5"/>
    <w:rsid w:val="00AE795A"/>
    <w:rsid w:val="00AE7E54"/>
    <w:rsid w:val="00AF00F1"/>
    <w:rsid w:val="00AF0CCD"/>
    <w:rsid w:val="00AF0CDF"/>
    <w:rsid w:val="00AF1813"/>
    <w:rsid w:val="00AF29D4"/>
    <w:rsid w:val="00AF2DFB"/>
    <w:rsid w:val="00AF3517"/>
    <w:rsid w:val="00AF4B32"/>
    <w:rsid w:val="00AF4F9D"/>
    <w:rsid w:val="00AF685A"/>
    <w:rsid w:val="00AF69CB"/>
    <w:rsid w:val="00AF7EA0"/>
    <w:rsid w:val="00B00291"/>
    <w:rsid w:val="00B0048F"/>
    <w:rsid w:val="00B00EA2"/>
    <w:rsid w:val="00B02098"/>
    <w:rsid w:val="00B02425"/>
    <w:rsid w:val="00B026FC"/>
    <w:rsid w:val="00B030C2"/>
    <w:rsid w:val="00B0326F"/>
    <w:rsid w:val="00B03346"/>
    <w:rsid w:val="00B0368C"/>
    <w:rsid w:val="00B0528E"/>
    <w:rsid w:val="00B05F90"/>
    <w:rsid w:val="00B05F9A"/>
    <w:rsid w:val="00B0605D"/>
    <w:rsid w:val="00B0645D"/>
    <w:rsid w:val="00B072CD"/>
    <w:rsid w:val="00B07399"/>
    <w:rsid w:val="00B0742C"/>
    <w:rsid w:val="00B0798A"/>
    <w:rsid w:val="00B10000"/>
    <w:rsid w:val="00B10C8E"/>
    <w:rsid w:val="00B1139B"/>
    <w:rsid w:val="00B117EF"/>
    <w:rsid w:val="00B11C87"/>
    <w:rsid w:val="00B12058"/>
    <w:rsid w:val="00B130F4"/>
    <w:rsid w:val="00B14236"/>
    <w:rsid w:val="00B15DC4"/>
    <w:rsid w:val="00B1630E"/>
    <w:rsid w:val="00B1732B"/>
    <w:rsid w:val="00B17FCD"/>
    <w:rsid w:val="00B23510"/>
    <w:rsid w:val="00B2415A"/>
    <w:rsid w:val="00B258B1"/>
    <w:rsid w:val="00B25BED"/>
    <w:rsid w:val="00B2697D"/>
    <w:rsid w:val="00B30312"/>
    <w:rsid w:val="00B30DBC"/>
    <w:rsid w:val="00B31324"/>
    <w:rsid w:val="00B319A1"/>
    <w:rsid w:val="00B31DD2"/>
    <w:rsid w:val="00B327E2"/>
    <w:rsid w:val="00B32DC0"/>
    <w:rsid w:val="00B33E3D"/>
    <w:rsid w:val="00B34C1C"/>
    <w:rsid w:val="00B34D45"/>
    <w:rsid w:val="00B36C1D"/>
    <w:rsid w:val="00B36DF0"/>
    <w:rsid w:val="00B3711C"/>
    <w:rsid w:val="00B3762C"/>
    <w:rsid w:val="00B3778F"/>
    <w:rsid w:val="00B40282"/>
    <w:rsid w:val="00B40957"/>
    <w:rsid w:val="00B41807"/>
    <w:rsid w:val="00B41F78"/>
    <w:rsid w:val="00B420B2"/>
    <w:rsid w:val="00B425C5"/>
    <w:rsid w:val="00B435E4"/>
    <w:rsid w:val="00B43DA7"/>
    <w:rsid w:val="00B4477D"/>
    <w:rsid w:val="00B44974"/>
    <w:rsid w:val="00B44DDF"/>
    <w:rsid w:val="00B45287"/>
    <w:rsid w:val="00B45709"/>
    <w:rsid w:val="00B46691"/>
    <w:rsid w:val="00B4783F"/>
    <w:rsid w:val="00B47F71"/>
    <w:rsid w:val="00B5066A"/>
    <w:rsid w:val="00B5166A"/>
    <w:rsid w:val="00B51EB2"/>
    <w:rsid w:val="00B52732"/>
    <w:rsid w:val="00B5427A"/>
    <w:rsid w:val="00B545C2"/>
    <w:rsid w:val="00B546EF"/>
    <w:rsid w:val="00B54F11"/>
    <w:rsid w:val="00B55340"/>
    <w:rsid w:val="00B553CC"/>
    <w:rsid w:val="00B566FD"/>
    <w:rsid w:val="00B56B34"/>
    <w:rsid w:val="00B56BAF"/>
    <w:rsid w:val="00B5782D"/>
    <w:rsid w:val="00B60482"/>
    <w:rsid w:val="00B607AD"/>
    <w:rsid w:val="00B609E6"/>
    <w:rsid w:val="00B60D37"/>
    <w:rsid w:val="00B60D6C"/>
    <w:rsid w:val="00B636CB"/>
    <w:rsid w:val="00B636CD"/>
    <w:rsid w:val="00B6589F"/>
    <w:rsid w:val="00B67D80"/>
    <w:rsid w:val="00B70223"/>
    <w:rsid w:val="00B712F8"/>
    <w:rsid w:val="00B7246D"/>
    <w:rsid w:val="00B728E4"/>
    <w:rsid w:val="00B737A5"/>
    <w:rsid w:val="00B7440D"/>
    <w:rsid w:val="00B750D9"/>
    <w:rsid w:val="00B76829"/>
    <w:rsid w:val="00B77036"/>
    <w:rsid w:val="00B80BED"/>
    <w:rsid w:val="00B811AF"/>
    <w:rsid w:val="00B83EFA"/>
    <w:rsid w:val="00B845C6"/>
    <w:rsid w:val="00B84DC6"/>
    <w:rsid w:val="00B84F01"/>
    <w:rsid w:val="00B8517D"/>
    <w:rsid w:val="00B869A2"/>
    <w:rsid w:val="00B9050B"/>
    <w:rsid w:val="00B90700"/>
    <w:rsid w:val="00B91A7F"/>
    <w:rsid w:val="00B924A3"/>
    <w:rsid w:val="00B925A6"/>
    <w:rsid w:val="00B934D6"/>
    <w:rsid w:val="00B94078"/>
    <w:rsid w:val="00B960BC"/>
    <w:rsid w:val="00B965C3"/>
    <w:rsid w:val="00B96824"/>
    <w:rsid w:val="00B975B1"/>
    <w:rsid w:val="00B9782A"/>
    <w:rsid w:val="00B9798D"/>
    <w:rsid w:val="00BA01F8"/>
    <w:rsid w:val="00BA070B"/>
    <w:rsid w:val="00BA1610"/>
    <w:rsid w:val="00BA242A"/>
    <w:rsid w:val="00BA4288"/>
    <w:rsid w:val="00BA4851"/>
    <w:rsid w:val="00BA4BFF"/>
    <w:rsid w:val="00BA54B1"/>
    <w:rsid w:val="00BA5A38"/>
    <w:rsid w:val="00BA701E"/>
    <w:rsid w:val="00BA7138"/>
    <w:rsid w:val="00BA72B9"/>
    <w:rsid w:val="00BA7E86"/>
    <w:rsid w:val="00BB1E21"/>
    <w:rsid w:val="00BB2A80"/>
    <w:rsid w:val="00BB353F"/>
    <w:rsid w:val="00BB38FE"/>
    <w:rsid w:val="00BB4DA3"/>
    <w:rsid w:val="00BB5157"/>
    <w:rsid w:val="00BB57AF"/>
    <w:rsid w:val="00BB5825"/>
    <w:rsid w:val="00BB6317"/>
    <w:rsid w:val="00BB71D0"/>
    <w:rsid w:val="00BC05DF"/>
    <w:rsid w:val="00BC082C"/>
    <w:rsid w:val="00BC1785"/>
    <w:rsid w:val="00BC1861"/>
    <w:rsid w:val="00BC1D9A"/>
    <w:rsid w:val="00BC223C"/>
    <w:rsid w:val="00BC2A74"/>
    <w:rsid w:val="00BC3379"/>
    <w:rsid w:val="00BC36BD"/>
    <w:rsid w:val="00BC37AB"/>
    <w:rsid w:val="00BC39E5"/>
    <w:rsid w:val="00BC3AB9"/>
    <w:rsid w:val="00BC448B"/>
    <w:rsid w:val="00BC5EDB"/>
    <w:rsid w:val="00BC69CF"/>
    <w:rsid w:val="00BC70BB"/>
    <w:rsid w:val="00BC7ACE"/>
    <w:rsid w:val="00BD1368"/>
    <w:rsid w:val="00BD1875"/>
    <w:rsid w:val="00BD1DA8"/>
    <w:rsid w:val="00BD36E8"/>
    <w:rsid w:val="00BD65A6"/>
    <w:rsid w:val="00BE0580"/>
    <w:rsid w:val="00BE0960"/>
    <w:rsid w:val="00BE0AC7"/>
    <w:rsid w:val="00BE0E1C"/>
    <w:rsid w:val="00BE1813"/>
    <w:rsid w:val="00BE1B4C"/>
    <w:rsid w:val="00BE1EB2"/>
    <w:rsid w:val="00BE22C0"/>
    <w:rsid w:val="00BE2A33"/>
    <w:rsid w:val="00BE2C9B"/>
    <w:rsid w:val="00BE42B3"/>
    <w:rsid w:val="00BE5BD3"/>
    <w:rsid w:val="00BE61F4"/>
    <w:rsid w:val="00BE64A2"/>
    <w:rsid w:val="00BE690B"/>
    <w:rsid w:val="00BF04F9"/>
    <w:rsid w:val="00BF05AD"/>
    <w:rsid w:val="00BF0CEA"/>
    <w:rsid w:val="00BF0DF2"/>
    <w:rsid w:val="00BF1036"/>
    <w:rsid w:val="00BF2916"/>
    <w:rsid w:val="00BF396E"/>
    <w:rsid w:val="00BF4212"/>
    <w:rsid w:val="00BF4677"/>
    <w:rsid w:val="00BF4AFE"/>
    <w:rsid w:val="00BF4B01"/>
    <w:rsid w:val="00BF6EF7"/>
    <w:rsid w:val="00BF74E5"/>
    <w:rsid w:val="00BF75EC"/>
    <w:rsid w:val="00BF76AE"/>
    <w:rsid w:val="00BF7DF9"/>
    <w:rsid w:val="00C0212B"/>
    <w:rsid w:val="00C0230D"/>
    <w:rsid w:val="00C025A2"/>
    <w:rsid w:val="00C0278E"/>
    <w:rsid w:val="00C02B44"/>
    <w:rsid w:val="00C0321F"/>
    <w:rsid w:val="00C05380"/>
    <w:rsid w:val="00C054A2"/>
    <w:rsid w:val="00C05944"/>
    <w:rsid w:val="00C0638C"/>
    <w:rsid w:val="00C06839"/>
    <w:rsid w:val="00C07D9E"/>
    <w:rsid w:val="00C10CB7"/>
    <w:rsid w:val="00C10EEF"/>
    <w:rsid w:val="00C12264"/>
    <w:rsid w:val="00C14C76"/>
    <w:rsid w:val="00C14D8A"/>
    <w:rsid w:val="00C14E63"/>
    <w:rsid w:val="00C14E6C"/>
    <w:rsid w:val="00C17880"/>
    <w:rsid w:val="00C178B0"/>
    <w:rsid w:val="00C17902"/>
    <w:rsid w:val="00C17AE5"/>
    <w:rsid w:val="00C2070F"/>
    <w:rsid w:val="00C21642"/>
    <w:rsid w:val="00C23067"/>
    <w:rsid w:val="00C23AC5"/>
    <w:rsid w:val="00C23EA8"/>
    <w:rsid w:val="00C243AD"/>
    <w:rsid w:val="00C24DEF"/>
    <w:rsid w:val="00C25FF9"/>
    <w:rsid w:val="00C265AE"/>
    <w:rsid w:val="00C271E3"/>
    <w:rsid w:val="00C27CAD"/>
    <w:rsid w:val="00C31417"/>
    <w:rsid w:val="00C325BC"/>
    <w:rsid w:val="00C33DAA"/>
    <w:rsid w:val="00C348BE"/>
    <w:rsid w:val="00C34C05"/>
    <w:rsid w:val="00C351B1"/>
    <w:rsid w:val="00C3568E"/>
    <w:rsid w:val="00C36870"/>
    <w:rsid w:val="00C3703E"/>
    <w:rsid w:val="00C41317"/>
    <w:rsid w:val="00C4141B"/>
    <w:rsid w:val="00C4360B"/>
    <w:rsid w:val="00C43AB5"/>
    <w:rsid w:val="00C44D67"/>
    <w:rsid w:val="00C45977"/>
    <w:rsid w:val="00C45B14"/>
    <w:rsid w:val="00C466B9"/>
    <w:rsid w:val="00C46AA7"/>
    <w:rsid w:val="00C47B8C"/>
    <w:rsid w:val="00C47E6C"/>
    <w:rsid w:val="00C50210"/>
    <w:rsid w:val="00C505C7"/>
    <w:rsid w:val="00C50A5D"/>
    <w:rsid w:val="00C51457"/>
    <w:rsid w:val="00C5187A"/>
    <w:rsid w:val="00C52742"/>
    <w:rsid w:val="00C53091"/>
    <w:rsid w:val="00C53C6B"/>
    <w:rsid w:val="00C5521E"/>
    <w:rsid w:val="00C557B4"/>
    <w:rsid w:val="00C56E6C"/>
    <w:rsid w:val="00C57864"/>
    <w:rsid w:val="00C57C71"/>
    <w:rsid w:val="00C6064F"/>
    <w:rsid w:val="00C60BF7"/>
    <w:rsid w:val="00C6136E"/>
    <w:rsid w:val="00C618FF"/>
    <w:rsid w:val="00C61FB0"/>
    <w:rsid w:val="00C62037"/>
    <w:rsid w:val="00C628D5"/>
    <w:rsid w:val="00C633C7"/>
    <w:rsid w:val="00C648A2"/>
    <w:rsid w:val="00C648EB"/>
    <w:rsid w:val="00C6551C"/>
    <w:rsid w:val="00C65E41"/>
    <w:rsid w:val="00C67EE4"/>
    <w:rsid w:val="00C70012"/>
    <w:rsid w:val="00C70564"/>
    <w:rsid w:val="00C71B96"/>
    <w:rsid w:val="00C7241A"/>
    <w:rsid w:val="00C727F6"/>
    <w:rsid w:val="00C73CF1"/>
    <w:rsid w:val="00C75751"/>
    <w:rsid w:val="00C768F6"/>
    <w:rsid w:val="00C8035F"/>
    <w:rsid w:val="00C8164F"/>
    <w:rsid w:val="00C81B38"/>
    <w:rsid w:val="00C81E75"/>
    <w:rsid w:val="00C82462"/>
    <w:rsid w:val="00C8253F"/>
    <w:rsid w:val="00C82F6A"/>
    <w:rsid w:val="00C835CA"/>
    <w:rsid w:val="00C840CE"/>
    <w:rsid w:val="00C859F6"/>
    <w:rsid w:val="00C85E40"/>
    <w:rsid w:val="00C86F29"/>
    <w:rsid w:val="00C87869"/>
    <w:rsid w:val="00C916C2"/>
    <w:rsid w:val="00C9269B"/>
    <w:rsid w:val="00C92893"/>
    <w:rsid w:val="00C92C33"/>
    <w:rsid w:val="00C93D5D"/>
    <w:rsid w:val="00C94BA7"/>
    <w:rsid w:val="00C97182"/>
    <w:rsid w:val="00CA02C7"/>
    <w:rsid w:val="00CA0371"/>
    <w:rsid w:val="00CA107F"/>
    <w:rsid w:val="00CA1E75"/>
    <w:rsid w:val="00CA23BC"/>
    <w:rsid w:val="00CA4031"/>
    <w:rsid w:val="00CA4FC1"/>
    <w:rsid w:val="00CA7099"/>
    <w:rsid w:val="00CA7619"/>
    <w:rsid w:val="00CB0762"/>
    <w:rsid w:val="00CB12E7"/>
    <w:rsid w:val="00CB253E"/>
    <w:rsid w:val="00CB2C30"/>
    <w:rsid w:val="00CB3879"/>
    <w:rsid w:val="00CB3ADC"/>
    <w:rsid w:val="00CB5C1A"/>
    <w:rsid w:val="00CB65B2"/>
    <w:rsid w:val="00CB68AF"/>
    <w:rsid w:val="00CB7535"/>
    <w:rsid w:val="00CB7AD6"/>
    <w:rsid w:val="00CC0200"/>
    <w:rsid w:val="00CC0802"/>
    <w:rsid w:val="00CC0999"/>
    <w:rsid w:val="00CC1F62"/>
    <w:rsid w:val="00CC2398"/>
    <w:rsid w:val="00CC4839"/>
    <w:rsid w:val="00CC4C8D"/>
    <w:rsid w:val="00CC51C7"/>
    <w:rsid w:val="00CC70D6"/>
    <w:rsid w:val="00CC7176"/>
    <w:rsid w:val="00CC769F"/>
    <w:rsid w:val="00CD022C"/>
    <w:rsid w:val="00CD09A7"/>
    <w:rsid w:val="00CD227E"/>
    <w:rsid w:val="00CD2523"/>
    <w:rsid w:val="00CD2879"/>
    <w:rsid w:val="00CD2A97"/>
    <w:rsid w:val="00CD2A98"/>
    <w:rsid w:val="00CD331A"/>
    <w:rsid w:val="00CD3471"/>
    <w:rsid w:val="00CD3789"/>
    <w:rsid w:val="00CD379E"/>
    <w:rsid w:val="00CD3B21"/>
    <w:rsid w:val="00CD3DDF"/>
    <w:rsid w:val="00CD4816"/>
    <w:rsid w:val="00CD651A"/>
    <w:rsid w:val="00CD6EFA"/>
    <w:rsid w:val="00CD7B50"/>
    <w:rsid w:val="00CD7D96"/>
    <w:rsid w:val="00CE0261"/>
    <w:rsid w:val="00CE0357"/>
    <w:rsid w:val="00CE0DE7"/>
    <w:rsid w:val="00CE2671"/>
    <w:rsid w:val="00CE2F1E"/>
    <w:rsid w:val="00CE4579"/>
    <w:rsid w:val="00CE5852"/>
    <w:rsid w:val="00CE628C"/>
    <w:rsid w:val="00CE64D4"/>
    <w:rsid w:val="00CE79F8"/>
    <w:rsid w:val="00CE7A02"/>
    <w:rsid w:val="00CE7BBE"/>
    <w:rsid w:val="00CF00CA"/>
    <w:rsid w:val="00CF13EC"/>
    <w:rsid w:val="00CF1FE1"/>
    <w:rsid w:val="00CF39C3"/>
    <w:rsid w:val="00CF4136"/>
    <w:rsid w:val="00CF545C"/>
    <w:rsid w:val="00CF5A5B"/>
    <w:rsid w:val="00CF6A64"/>
    <w:rsid w:val="00CF6C2F"/>
    <w:rsid w:val="00CF7103"/>
    <w:rsid w:val="00CF7A4A"/>
    <w:rsid w:val="00D01DBB"/>
    <w:rsid w:val="00D040DD"/>
    <w:rsid w:val="00D05A56"/>
    <w:rsid w:val="00D071A1"/>
    <w:rsid w:val="00D07593"/>
    <w:rsid w:val="00D1059B"/>
    <w:rsid w:val="00D1181D"/>
    <w:rsid w:val="00D13EC9"/>
    <w:rsid w:val="00D14D94"/>
    <w:rsid w:val="00D15051"/>
    <w:rsid w:val="00D158F6"/>
    <w:rsid w:val="00D1643B"/>
    <w:rsid w:val="00D173F8"/>
    <w:rsid w:val="00D17E3E"/>
    <w:rsid w:val="00D20564"/>
    <w:rsid w:val="00D212EC"/>
    <w:rsid w:val="00D21638"/>
    <w:rsid w:val="00D22153"/>
    <w:rsid w:val="00D2284C"/>
    <w:rsid w:val="00D22ACF"/>
    <w:rsid w:val="00D22E6E"/>
    <w:rsid w:val="00D23008"/>
    <w:rsid w:val="00D234D9"/>
    <w:rsid w:val="00D241F7"/>
    <w:rsid w:val="00D24551"/>
    <w:rsid w:val="00D24764"/>
    <w:rsid w:val="00D24B13"/>
    <w:rsid w:val="00D24E9A"/>
    <w:rsid w:val="00D2532A"/>
    <w:rsid w:val="00D25F8E"/>
    <w:rsid w:val="00D27230"/>
    <w:rsid w:val="00D30AC6"/>
    <w:rsid w:val="00D311FC"/>
    <w:rsid w:val="00D31EBA"/>
    <w:rsid w:val="00D32CD3"/>
    <w:rsid w:val="00D3329C"/>
    <w:rsid w:val="00D332B3"/>
    <w:rsid w:val="00D33A98"/>
    <w:rsid w:val="00D34DC7"/>
    <w:rsid w:val="00D359F1"/>
    <w:rsid w:val="00D3721F"/>
    <w:rsid w:val="00D37249"/>
    <w:rsid w:val="00D400E7"/>
    <w:rsid w:val="00D40823"/>
    <w:rsid w:val="00D41A85"/>
    <w:rsid w:val="00D421AC"/>
    <w:rsid w:val="00D42D91"/>
    <w:rsid w:val="00D447F2"/>
    <w:rsid w:val="00D464DE"/>
    <w:rsid w:val="00D465B3"/>
    <w:rsid w:val="00D4722D"/>
    <w:rsid w:val="00D4799D"/>
    <w:rsid w:val="00D47DAB"/>
    <w:rsid w:val="00D50054"/>
    <w:rsid w:val="00D5455A"/>
    <w:rsid w:val="00D5590C"/>
    <w:rsid w:val="00D568CC"/>
    <w:rsid w:val="00D648EC"/>
    <w:rsid w:val="00D64BB0"/>
    <w:rsid w:val="00D64CE0"/>
    <w:rsid w:val="00D65A1E"/>
    <w:rsid w:val="00D65A99"/>
    <w:rsid w:val="00D66A16"/>
    <w:rsid w:val="00D66BC5"/>
    <w:rsid w:val="00D67F23"/>
    <w:rsid w:val="00D70E67"/>
    <w:rsid w:val="00D71BCB"/>
    <w:rsid w:val="00D71C5C"/>
    <w:rsid w:val="00D73FD0"/>
    <w:rsid w:val="00D75586"/>
    <w:rsid w:val="00D7653B"/>
    <w:rsid w:val="00D76B07"/>
    <w:rsid w:val="00D777EA"/>
    <w:rsid w:val="00D77E24"/>
    <w:rsid w:val="00D80757"/>
    <w:rsid w:val="00D81247"/>
    <w:rsid w:val="00D81A3B"/>
    <w:rsid w:val="00D81B9C"/>
    <w:rsid w:val="00D81D00"/>
    <w:rsid w:val="00D86278"/>
    <w:rsid w:val="00D86B94"/>
    <w:rsid w:val="00D86F25"/>
    <w:rsid w:val="00D876BE"/>
    <w:rsid w:val="00D87A53"/>
    <w:rsid w:val="00D87CF2"/>
    <w:rsid w:val="00D904FA"/>
    <w:rsid w:val="00D914A8"/>
    <w:rsid w:val="00D914C7"/>
    <w:rsid w:val="00D91ED1"/>
    <w:rsid w:val="00D92E61"/>
    <w:rsid w:val="00D937AE"/>
    <w:rsid w:val="00D9412C"/>
    <w:rsid w:val="00D94E1C"/>
    <w:rsid w:val="00D9508C"/>
    <w:rsid w:val="00D95762"/>
    <w:rsid w:val="00D95FCB"/>
    <w:rsid w:val="00D979FA"/>
    <w:rsid w:val="00D97B77"/>
    <w:rsid w:val="00D97FAC"/>
    <w:rsid w:val="00DA0A3B"/>
    <w:rsid w:val="00DA0DA7"/>
    <w:rsid w:val="00DA181B"/>
    <w:rsid w:val="00DA1C13"/>
    <w:rsid w:val="00DA1E84"/>
    <w:rsid w:val="00DA2B8E"/>
    <w:rsid w:val="00DA435C"/>
    <w:rsid w:val="00DA4E3A"/>
    <w:rsid w:val="00DA5926"/>
    <w:rsid w:val="00DA5B53"/>
    <w:rsid w:val="00DA6293"/>
    <w:rsid w:val="00DA62DF"/>
    <w:rsid w:val="00DA6F07"/>
    <w:rsid w:val="00DB00F1"/>
    <w:rsid w:val="00DB0459"/>
    <w:rsid w:val="00DB0B00"/>
    <w:rsid w:val="00DB0C58"/>
    <w:rsid w:val="00DB1594"/>
    <w:rsid w:val="00DB23C2"/>
    <w:rsid w:val="00DB32E7"/>
    <w:rsid w:val="00DB33F9"/>
    <w:rsid w:val="00DB383C"/>
    <w:rsid w:val="00DB4247"/>
    <w:rsid w:val="00DB48D8"/>
    <w:rsid w:val="00DB5688"/>
    <w:rsid w:val="00DB5E77"/>
    <w:rsid w:val="00DB637B"/>
    <w:rsid w:val="00DC06A8"/>
    <w:rsid w:val="00DC0761"/>
    <w:rsid w:val="00DC2211"/>
    <w:rsid w:val="00DC2F56"/>
    <w:rsid w:val="00DC33F1"/>
    <w:rsid w:val="00DC39C6"/>
    <w:rsid w:val="00DC49C2"/>
    <w:rsid w:val="00DC5902"/>
    <w:rsid w:val="00DC6CFB"/>
    <w:rsid w:val="00DC6E13"/>
    <w:rsid w:val="00DC7D19"/>
    <w:rsid w:val="00DD15F0"/>
    <w:rsid w:val="00DD34B0"/>
    <w:rsid w:val="00DD3909"/>
    <w:rsid w:val="00DD5078"/>
    <w:rsid w:val="00DD521A"/>
    <w:rsid w:val="00DD5AF5"/>
    <w:rsid w:val="00DD645B"/>
    <w:rsid w:val="00DD667C"/>
    <w:rsid w:val="00DD6D5F"/>
    <w:rsid w:val="00DD6F29"/>
    <w:rsid w:val="00DD7ADA"/>
    <w:rsid w:val="00DE0E41"/>
    <w:rsid w:val="00DE2FF0"/>
    <w:rsid w:val="00DE43C3"/>
    <w:rsid w:val="00DE4B85"/>
    <w:rsid w:val="00DE4FB5"/>
    <w:rsid w:val="00DE5E70"/>
    <w:rsid w:val="00DE62AF"/>
    <w:rsid w:val="00DE6D37"/>
    <w:rsid w:val="00DE76AF"/>
    <w:rsid w:val="00DE7E18"/>
    <w:rsid w:val="00DF235E"/>
    <w:rsid w:val="00DF2365"/>
    <w:rsid w:val="00DF2877"/>
    <w:rsid w:val="00DF4220"/>
    <w:rsid w:val="00DF43B7"/>
    <w:rsid w:val="00DF56F7"/>
    <w:rsid w:val="00DF5FD5"/>
    <w:rsid w:val="00DF7F35"/>
    <w:rsid w:val="00E00036"/>
    <w:rsid w:val="00E006AB"/>
    <w:rsid w:val="00E00AB1"/>
    <w:rsid w:val="00E01FF5"/>
    <w:rsid w:val="00E02715"/>
    <w:rsid w:val="00E02D4B"/>
    <w:rsid w:val="00E02F49"/>
    <w:rsid w:val="00E03C39"/>
    <w:rsid w:val="00E03E53"/>
    <w:rsid w:val="00E047FD"/>
    <w:rsid w:val="00E04BA8"/>
    <w:rsid w:val="00E05336"/>
    <w:rsid w:val="00E05469"/>
    <w:rsid w:val="00E06E13"/>
    <w:rsid w:val="00E06EBD"/>
    <w:rsid w:val="00E06F69"/>
    <w:rsid w:val="00E070AD"/>
    <w:rsid w:val="00E077F3"/>
    <w:rsid w:val="00E106A8"/>
    <w:rsid w:val="00E1096C"/>
    <w:rsid w:val="00E11679"/>
    <w:rsid w:val="00E12228"/>
    <w:rsid w:val="00E12389"/>
    <w:rsid w:val="00E12519"/>
    <w:rsid w:val="00E1279C"/>
    <w:rsid w:val="00E12BF2"/>
    <w:rsid w:val="00E141E1"/>
    <w:rsid w:val="00E143B8"/>
    <w:rsid w:val="00E145E9"/>
    <w:rsid w:val="00E15478"/>
    <w:rsid w:val="00E15931"/>
    <w:rsid w:val="00E16EC2"/>
    <w:rsid w:val="00E16FFD"/>
    <w:rsid w:val="00E1730E"/>
    <w:rsid w:val="00E1757E"/>
    <w:rsid w:val="00E1791B"/>
    <w:rsid w:val="00E17AE3"/>
    <w:rsid w:val="00E17B48"/>
    <w:rsid w:val="00E17CDF"/>
    <w:rsid w:val="00E2024F"/>
    <w:rsid w:val="00E214CC"/>
    <w:rsid w:val="00E21D0E"/>
    <w:rsid w:val="00E2336E"/>
    <w:rsid w:val="00E237E9"/>
    <w:rsid w:val="00E242F7"/>
    <w:rsid w:val="00E2462B"/>
    <w:rsid w:val="00E250E1"/>
    <w:rsid w:val="00E266FD"/>
    <w:rsid w:val="00E30A04"/>
    <w:rsid w:val="00E31148"/>
    <w:rsid w:val="00E311FF"/>
    <w:rsid w:val="00E3150C"/>
    <w:rsid w:val="00E31EE0"/>
    <w:rsid w:val="00E32464"/>
    <w:rsid w:val="00E330B5"/>
    <w:rsid w:val="00E33F7D"/>
    <w:rsid w:val="00E3429D"/>
    <w:rsid w:val="00E34622"/>
    <w:rsid w:val="00E34922"/>
    <w:rsid w:val="00E35DA2"/>
    <w:rsid w:val="00E364D2"/>
    <w:rsid w:val="00E37351"/>
    <w:rsid w:val="00E374DB"/>
    <w:rsid w:val="00E407D5"/>
    <w:rsid w:val="00E41DC2"/>
    <w:rsid w:val="00E41E71"/>
    <w:rsid w:val="00E428C2"/>
    <w:rsid w:val="00E42D4F"/>
    <w:rsid w:val="00E45B6D"/>
    <w:rsid w:val="00E4650D"/>
    <w:rsid w:val="00E46E5A"/>
    <w:rsid w:val="00E504DE"/>
    <w:rsid w:val="00E50B2E"/>
    <w:rsid w:val="00E5130E"/>
    <w:rsid w:val="00E52210"/>
    <w:rsid w:val="00E5222E"/>
    <w:rsid w:val="00E52A04"/>
    <w:rsid w:val="00E53204"/>
    <w:rsid w:val="00E5496C"/>
    <w:rsid w:val="00E55A47"/>
    <w:rsid w:val="00E56B8C"/>
    <w:rsid w:val="00E60A9A"/>
    <w:rsid w:val="00E61AB5"/>
    <w:rsid w:val="00E633D7"/>
    <w:rsid w:val="00E635FA"/>
    <w:rsid w:val="00E64350"/>
    <w:rsid w:val="00E65009"/>
    <w:rsid w:val="00E66740"/>
    <w:rsid w:val="00E66BF7"/>
    <w:rsid w:val="00E67A37"/>
    <w:rsid w:val="00E71947"/>
    <w:rsid w:val="00E72065"/>
    <w:rsid w:val="00E72DB1"/>
    <w:rsid w:val="00E72F95"/>
    <w:rsid w:val="00E7340D"/>
    <w:rsid w:val="00E73B6C"/>
    <w:rsid w:val="00E73BE3"/>
    <w:rsid w:val="00E75377"/>
    <w:rsid w:val="00E76DF5"/>
    <w:rsid w:val="00E81277"/>
    <w:rsid w:val="00E8150F"/>
    <w:rsid w:val="00E819AB"/>
    <w:rsid w:val="00E82DFC"/>
    <w:rsid w:val="00E8386C"/>
    <w:rsid w:val="00E84003"/>
    <w:rsid w:val="00E84FAE"/>
    <w:rsid w:val="00E85ED1"/>
    <w:rsid w:val="00E86447"/>
    <w:rsid w:val="00E865E6"/>
    <w:rsid w:val="00E86C52"/>
    <w:rsid w:val="00E87C86"/>
    <w:rsid w:val="00E90E34"/>
    <w:rsid w:val="00E91262"/>
    <w:rsid w:val="00E91346"/>
    <w:rsid w:val="00E91FB7"/>
    <w:rsid w:val="00E9212F"/>
    <w:rsid w:val="00E93CED"/>
    <w:rsid w:val="00E95DAA"/>
    <w:rsid w:val="00E95E37"/>
    <w:rsid w:val="00E96739"/>
    <w:rsid w:val="00E967D0"/>
    <w:rsid w:val="00E96881"/>
    <w:rsid w:val="00E96AC4"/>
    <w:rsid w:val="00E96B80"/>
    <w:rsid w:val="00E972E3"/>
    <w:rsid w:val="00E97872"/>
    <w:rsid w:val="00EA14A6"/>
    <w:rsid w:val="00EA2603"/>
    <w:rsid w:val="00EA2AE9"/>
    <w:rsid w:val="00EA380D"/>
    <w:rsid w:val="00EA4F04"/>
    <w:rsid w:val="00EA5068"/>
    <w:rsid w:val="00EA5A09"/>
    <w:rsid w:val="00EA675C"/>
    <w:rsid w:val="00EA6A6B"/>
    <w:rsid w:val="00EA6C3D"/>
    <w:rsid w:val="00EA7211"/>
    <w:rsid w:val="00EB1386"/>
    <w:rsid w:val="00EB1958"/>
    <w:rsid w:val="00EB230F"/>
    <w:rsid w:val="00EB2B0B"/>
    <w:rsid w:val="00EB43D8"/>
    <w:rsid w:val="00EB4875"/>
    <w:rsid w:val="00EB4BC1"/>
    <w:rsid w:val="00EB4EDF"/>
    <w:rsid w:val="00EB584C"/>
    <w:rsid w:val="00EB6286"/>
    <w:rsid w:val="00EB63F0"/>
    <w:rsid w:val="00EB6ED1"/>
    <w:rsid w:val="00EB7361"/>
    <w:rsid w:val="00EC257A"/>
    <w:rsid w:val="00EC2A78"/>
    <w:rsid w:val="00EC33D1"/>
    <w:rsid w:val="00EC4647"/>
    <w:rsid w:val="00EC4E4A"/>
    <w:rsid w:val="00EC4E98"/>
    <w:rsid w:val="00EC5632"/>
    <w:rsid w:val="00EC58A5"/>
    <w:rsid w:val="00EC5BA6"/>
    <w:rsid w:val="00EC5C8B"/>
    <w:rsid w:val="00EC6075"/>
    <w:rsid w:val="00EC60AC"/>
    <w:rsid w:val="00EC6127"/>
    <w:rsid w:val="00EC67F2"/>
    <w:rsid w:val="00EC71A6"/>
    <w:rsid w:val="00ED02D2"/>
    <w:rsid w:val="00ED2412"/>
    <w:rsid w:val="00ED25AF"/>
    <w:rsid w:val="00ED296A"/>
    <w:rsid w:val="00ED301E"/>
    <w:rsid w:val="00ED314A"/>
    <w:rsid w:val="00ED3221"/>
    <w:rsid w:val="00ED502D"/>
    <w:rsid w:val="00ED56BC"/>
    <w:rsid w:val="00ED66AB"/>
    <w:rsid w:val="00ED69EC"/>
    <w:rsid w:val="00ED6A63"/>
    <w:rsid w:val="00ED7375"/>
    <w:rsid w:val="00EE0500"/>
    <w:rsid w:val="00EE088D"/>
    <w:rsid w:val="00EE1BFC"/>
    <w:rsid w:val="00EE2734"/>
    <w:rsid w:val="00EE3653"/>
    <w:rsid w:val="00EE3F23"/>
    <w:rsid w:val="00EE4463"/>
    <w:rsid w:val="00EE50B0"/>
    <w:rsid w:val="00EE5E2D"/>
    <w:rsid w:val="00EE6927"/>
    <w:rsid w:val="00EF0CD5"/>
    <w:rsid w:val="00EF197F"/>
    <w:rsid w:val="00EF21A0"/>
    <w:rsid w:val="00EF39A2"/>
    <w:rsid w:val="00EF432A"/>
    <w:rsid w:val="00EF4948"/>
    <w:rsid w:val="00EF6D9C"/>
    <w:rsid w:val="00EF70E8"/>
    <w:rsid w:val="00EF7161"/>
    <w:rsid w:val="00EF7248"/>
    <w:rsid w:val="00EF7A19"/>
    <w:rsid w:val="00F000A0"/>
    <w:rsid w:val="00F001C6"/>
    <w:rsid w:val="00F01223"/>
    <w:rsid w:val="00F022BC"/>
    <w:rsid w:val="00F028B8"/>
    <w:rsid w:val="00F0291F"/>
    <w:rsid w:val="00F042F9"/>
    <w:rsid w:val="00F05EA4"/>
    <w:rsid w:val="00F06264"/>
    <w:rsid w:val="00F06850"/>
    <w:rsid w:val="00F069EC"/>
    <w:rsid w:val="00F07962"/>
    <w:rsid w:val="00F1012C"/>
    <w:rsid w:val="00F11AB5"/>
    <w:rsid w:val="00F121B3"/>
    <w:rsid w:val="00F129F3"/>
    <w:rsid w:val="00F137E8"/>
    <w:rsid w:val="00F13A0F"/>
    <w:rsid w:val="00F13B5D"/>
    <w:rsid w:val="00F13E99"/>
    <w:rsid w:val="00F1404E"/>
    <w:rsid w:val="00F146C6"/>
    <w:rsid w:val="00F152A2"/>
    <w:rsid w:val="00F15F04"/>
    <w:rsid w:val="00F162C0"/>
    <w:rsid w:val="00F16BA1"/>
    <w:rsid w:val="00F176A1"/>
    <w:rsid w:val="00F1791E"/>
    <w:rsid w:val="00F17A8B"/>
    <w:rsid w:val="00F17F1A"/>
    <w:rsid w:val="00F17FBA"/>
    <w:rsid w:val="00F20835"/>
    <w:rsid w:val="00F2102A"/>
    <w:rsid w:val="00F2107C"/>
    <w:rsid w:val="00F21679"/>
    <w:rsid w:val="00F21AE8"/>
    <w:rsid w:val="00F21D78"/>
    <w:rsid w:val="00F220BA"/>
    <w:rsid w:val="00F22F4B"/>
    <w:rsid w:val="00F240A3"/>
    <w:rsid w:val="00F243F9"/>
    <w:rsid w:val="00F24A72"/>
    <w:rsid w:val="00F26C79"/>
    <w:rsid w:val="00F310D0"/>
    <w:rsid w:val="00F31DB0"/>
    <w:rsid w:val="00F32F3C"/>
    <w:rsid w:val="00F334F9"/>
    <w:rsid w:val="00F33EFD"/>
    <w:rsid w:val="00F3423F"/>
    <w:rsid w:val="00F346A4"/>
    <w:rsid w:val="00F34858"/>
    <w:rsid w:val="00F35163"/>
    <w:rsid w:val="00F353D7"/>
    <w:rsid w:val="00F35C36"/>
    <w:rsid w:val="00F36EDF"/>
    <w:rsid w:val="00F3791D"/>
    <w:rsid w:val="00F37E3E"/>
    <w:rsid w:val="00F403BC"/>
    <w:rsid w:val="00F42089"/>
    <w:rsid w:val="00F420F5"/>
    <w:rsid w:val="00F437AC"/>
    <w:rsid w:val="00F45B75"/>
    <w:rsid w:val="00F46080"/>
    <w:rsid w:val="00F46C82"/>
    <w:rsid w:val="00F46EEE"/>
    <w:rsid w:val="00F47DBA"/>
    <w:rsid w:val="00F507E2"/>
    <w:rsid w:val="00F51100"/>
    <w:rsid w:val="00F51779"/>
    <w:rsid w:val="00F52CF7"/>
    <w:rsid w:val="00F53D63"/>
    <w:rsid w:val="00F54E3C"/>
    <w:rsid w:val="00F5568F"/>
    <w:rsid w:val="00F55863"/>
    <w:rsid w:val="00F5651A"/>
    <w:rsid w:val="00F56D4D"/>
    <w:rsid w:val="00F5782B"/>
    <w:rsid w:val="00F60C49"/>
    <w:rsid w:val="00F61608"/>
    <w:rsid w:val="00F616E1"/>
    <w:rsid w:val="00F628B4"/>
    <w:rsid w:val="00F6349F"/>
    <w:rsid w:val="00F63D95"/>
    <w:rsid w:val="00F64861"/>
    <w:rsid w:val="00F65962"/>
    <w:rsid w:val="00F65D1E"/>
    <w:rsid w:val="00F66A19"/>
    <w:rsid w:val="00F6706D"/>
    <w:rsid w:val="00F6724D"/>
    <w:rsid w:val="00F70522"/>
    <w:rsid w:val="00F70739"/>
    <w:rsid w:val="00F707FD"/>
    <w:rsid w:val="00F7182F"/>
    <w:rsid w:val="00F71AE1"/>
    <w:rsid w:val="00F71F05"/>
    <w:rsid w:val="00F720B1"/>
    <w:rsid w:val="00F736F4"/>
    <w:rsid w:val="00F74FAB"/>
    <w:rsid w:val="00F7555B"/>
    <w:rsid w:val="00F75D1A"/>
    <w:rsid w:val="00F76F8B"/>
    <w:rsid w:val="00F8064F"/>
    <w:rsid w:val="00F80A85"/>
    <w:rsid w:val="00F81BC1"/>
    <w:rsid w:val="00F82931"/>
    <w:rsid w:val="00F82AA1"/>
    <w:rsid w:val="00F847F5"/>
    <w:rsid w:val="00F84E65"/>
    <w:rsid w:val="00F85874"/>
    <w:rsid w:val="00F858B7"/>
    <w:rsid w:val="00F925E3"/>
    <w:rsid w:val="00F93FBC"/>
    <w:rsid w:val="00F94E62"/>
    <w:rsid w:val="00F96338"/>
    <w:rsid w:val="00F968E7"/>
    <w:rsid w:val="00F96D98"/>
    <w:rsid w:val="00F9743A"/>
    <w:rsid w:val="00FA021B"/>
    <w:rsid w:val="00FA073F"/>
    <w:rsid w:val="00FA0AF2"/>
    <w:rsid w:val="00FA0EC1"/>
    <w:rsid w:val="00FA0FFB"/>
    <w:rsid w:val="00FA1646"/>
    <w:rsid w:val="00FA3702"/>
    <w:rsid w:val="00FA3851"/>
    <w:rsid w:val="00FA42D0"/>
    <w:rsid w:val="00FA5212"/>
    <w:rsid w:val="00FA586F"/>
    <w:rsid w:val="00FA64CC"/>
    <w:rsid w:val="00FA6A45"/>
    <w:rsid w:val="00FA702B"/>
    <w:rsid w:val="00FA75BA"/>
    <w:rsid w:val="00FA7728"/>
    <w:rsid w:val="00FB0B46"/>
    <w:rsid w:val="00FB21B1"/>
    <w:rsid w:val="00FB267F"/>
    <w:rsid w:val="00FB55B7"/>
    <w:rsid w:val="00FB5B69"/>
    <w:rsid w:val="00FB641F"/>
    <w:rsid w:val="00FB68DD"/>
    <w:rsid w:val="00FB6E93"/>
    <w:rsid w:val="00FC467D"/>
    <w:rsid w:val="00FC5BB2"/>
    <w:rsid w:val="00FC7582"/>
    <w:rsid w:val="00FD1471"/>
    <w:rsid w:val="00FD170D"/>
    <w:rsid w:val="00FD280F"/>
    <w:rsid w:val="00FD2A89"/>
    <w:rsid w:val="00FD2F38"/>
    <w:rsid w:val="00FD3050"/>
    <w:rsid w:val="00FD4833"/>
    <w:rsid w:val="00FD56C2"/>
    <w:rsid w:val="00FD6E10"/>
    <w:rsid w:val="00FE0B21"/>
    <w:rsid w:val="00FE1227"/>
    <w:rsid w:val="00FE1477"/>
    <w:rsid w:val="00FE1B9F"/>
    <w:rsid w:val="00FE277C"/>
    <w:rsid w:val="00FE30F1"/>
    <w:rsid w:val="00FE4685"/>
    <w:rsid w:val="00FE46F9"/>
    <w:rsid w:val="00FE4EB9"/>
    <w:rsid w:val="00FE5415"/>
    <w:rsid w:val="00FE56A5"/>
    <w:rsid w:val="00FE5BDA"/>
    <w:rsid w:val="00FE7100"/>
    <w:rsid w:val="00FE7201"/>
    <w:rsid w:val="00FF09CA"/>
    <w:rsid w:val="00FF13A1"/>
    <w:rsid w:val="00FF18E0"/>
    <w:rsid w:val="00FF2A8A"/>
    <w:rsid w:val="00FF5974"/>
    <w:rsid w:val="00FF61C2"/>
    <w:rsid w:val="00FF7471"/>
    <w:rsid w:val="00FF7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style="mso-height-percent:200;mso-width-relative:margin;mso-height-relative:margin" fillcolor="white">
      <v:fill color="white"/>
      <v:textbox style="mso-fit-shape-to-text:t"/>
    </o:shapedefaults>
    <o:shapelayout v:ext="edit">
      <o:idmap v:ext="edit" data="1"/>
    </o:shapelayout>
  </w:shapeDefaults>
  <w:decimalSymbol w:val="."/>
  <w:listSeparator w:val="|"/>
  <w14:docId w14:val="5EA8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
    <w:next w:val="Norma"/>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
    <w:next w:val="Norma"/>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
    <w:next w:val="Norma"/>
    <w:link w:val="Heading3Char"/>
    <w:uiPriority w:val="9"/>
    <w:semiHidden/>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
    <w:next w:val="Norma"/>
    <w:link w:val="Heading4Char"/>
    <w:uiPriority w:val="9"/>
    <w:semiHidden/>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0">
    <w:name w:val="Norma"/>
    <w:qFormat/>
  </w:style>
  <w:style w:type="table" w:customStyle="1" w:styleId="NormalTable">
    <w:name w:val="NormalTable"/>
    <w:uiPriority w:val="99"/>
    <w:semiHidden/>
    <w:unhideWhenUsed/>
    <w:tblPr>
      <w:tblInd w:w="0" w:type="dxa"/>
      <w:tblCellMar>
        <w:top w:w="0" w:type="dxa"/>
        <w:left w:w="108" w:type="dxa"/>
        <w:bottom w:w="0" w:type="dxa"/>
        <w:right w:w="108" w:type="dxa"/>
      </w:tblCellMar>
    </w:tblPr>
  </w:style>
  <w:style w:type="paragraph" w:customStyle="1" w:styleId="Norma">
    <w:name w:val="Norma"/>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table" w:customStyle="1" w:styleId="NormalTable0">
    <w:name w:val="NormalTable"/>
    <w:uiPriority w:val="99"/>
    <w:semiHidden/>
    <w:unhideWhenUsed/>
    <w:tblPr>
      <w:tblInd w:w="0" w:type="dxa"/>
      <w:tblCellMar>
        <w:top w:w="0" w:type="dxa"/>
        <w:left w:w="108" w:type="dxa"/>
        <w:bottom w:w="0" w:type="dxa"/>
        <w:right w:w="108" w:type="dxa"/>
      </w:tblCellMar>
    </w:tblPr>
  </w:style>
  <w:style w:type="paragraph" w:customStyle="1" w:styleId="Numbered">
    <w:name w:val="Numbered"/>
    <w:basedOn w:val="Norma"/>
    <w:rsid w:val="00DC49C2"/>
    <w:pPr>
      <w:spacing w:after="240"/>
    </w:pPr>
  </w:style>
  <w:style w:type="character" w:styleId="Hyperlink">
    <w:name w:val="Hyperlink"/>
    <w:uiPriority w:val="99"/>
    <w:rsid w:val="00DC49C2"/>
    <w:rPr>
      <w:color w:val="0000FF"/>
      <w:u w:val="single"/>
    </w:rPr>
  </w:style>
  <w:style w:type="paragraph" w:customStyle="1" w:styleId="BaloonText">
    <w:name w:val="Baloon Text"/>
    <w:basedOn w:val="Norma"/>
    <w:link w:val="BaloonTextChar"/>
    <w:uiPriority w:val="99"/>
    <w:semiHidden/>
    <w:unhideWhenUsed/>
    <w:rsid w:val="00DC49C2"/>
    <w:rPr>
      <w:rFonts w:ascii="Tahoma" w:hAnsi="Tahoma" w:cs="Times New Roman"/>
      <w:sz w:val="16"/>
      <w:szCs w:val="14"/>
    </w:rPr>
  </w:style>
  <w:style w:type="character" w:customStyle="1" w:styleId="BaloonTextChar">
    <w:name w:val="Baloon Text Char"/>
    <w:link w:val="Ba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uiPriority w:val="9"/>
    <w:semiHidden/>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customStyle="1" w:styleId="FolowedHyperlink">
    <w:name w:val="FolowedHyperlink"/>
    <w:uiPriority w:val="99"/>
    <w:semiHidden/>
    <w:unhideWhenUsed/>
    <w:rsid w:val="0000229E"/>
    <w:rPr>
      <w:color w:val="800080"/>
      <w:u w:val="single"/>
    </w:rPr>
  </w:style>
  <w:style w:type="paragraph" w:styleId="Header">
    <w:name w:val="header"/>
    <w:basedOn w:val="Norma"/>
    <w:link w:val="HeaderChar"/>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
    <w:autoRedefine/>
    <w:uiPriority w:val="99"/>
    <w:rsid w:val="00A34290"/>
    <w:pPr>
      <w:widowControl/>
      <w:overflowPunct/>
      <w:autoSpaceDE/>
      <w:autoSpaceDN/>
      <w:adjustRightInd/>
      <w:ind w:left="357"/>
      <w:jc w:val="both"/>
      <w:textAlignment w:val="auto"/>
    </w:pPr>
    <w:rPr>
      <w:rFonts w:eastAsia="MS Mincho" w:cs="Arial"/>
      <w:sz w:val="24"/>
      <w:szCs w:val="24"/>
      <w:lang w:eastAsia="en-US"/>
    </w:rPr>
  </w:style>
  <w:style w:type="character" w:styleId="FootnoteReference">
    <w:name w:val="footnote reference"/>
    <w:uiPriority w:val="99"/>
    <w:semiHidden/>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NormalTable0"/>
    <w:uiPriority w:val="59"/>
    <w:rsid w:val="000822D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622E6B"/>
    <w:rPr>
      <w:rFonts w:ascii="Cambria" w:eastAsia="Times New Roman" w:hAnsi="Cambria" w:cs="Times New Roman"/>
      <w:b/>
      <w:bCs/>
      <w:kern w:val="32"/>
      <w:sz w:val="32"/>
      <w:szCs w:val="32"/>
    </w:rPr>
  </w:style>
  <w:style w:type="paragraph" w:styleId="TOCHeading">
    <w:name w:val="TOC Heading"/>
    <w:basedOn w:val="Heading1"/>
    <w:next w:val="Norma"/>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
    <w:next w:val="Norma"/>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semiHidden/>
    <w:rsid w:val="001623B7"/>
    <w:rPr>
      <w:rFonts w:asciiTheme="majorHAnsi" w:eastAsiaTheme="majorEastAsia" w:hAnsiTheme="majorHAnsi" w:cstheme="majorBidi"/>
      <w:b/>
      <w:bCs/>
      <w:i/>
      <w:iCs/>
      <w:color w:val="4F81BD" w:themeColor="accent1"/>
      <w:sz w:val="22"/>
      <w:szCs w:val="22"/>
    </w:rPr>
  </w:style>
  <w:style w:type="paragraph" w:customStyle="1" w:styleId="BaloonText0">
    <w:name w:val="Baloon Text"/>
    <w:basedOn w:val="Norma0"/>
    <w:link w:val="BaloonTextChar0"/>
    <w:uiPriority w:val="99"/>
    <w:semiHidden/>
    <w:unhideWhenUsed/>
    <w:rsid w:val="0011747B"/>
    <w:rPr>
      <w:rFonts w:ascii="Tahoma" w:hAnsi="Tahoma" w:cs="Tahoma"/>
      <w:sz w:val="16"/>
      <w:szCs w:val="16"/>
    </w:rPr>
  </w:style>
  <w:style w:type="character" w:customStyle="1" w:styleId="BaloonTextChar0">
    <w:name w:val="Baloon Text Char"/>
    <w:basedOn w:val="DefaultParagraphFont"/>
    <w:link w:val="BaloonText0"/>
    <w:uiPriority w:val="99"/>
    <w:semiHidden/>
    <w:rsid w:val="0011747B"/>
    <w:rPr>
      <w:rFonts w:ascii="Tahoma" w:hAnsi="Tahoma" w:cs="Tahoma"/>
      <w:sz w:val="16"/>
      <w:szCs w:val="16"/>
    </w:rPr>
  </w:style>
  <w:style w:type="paragraph" w:styleId="BalloonText">
    <w:name w:val="Balloon Text"/>
    <w:basedOn w:val="Normal"/>
    <w:link w:val="BalloonTextChar"/>
    <w:uiPriority w:val="99"/>
    <w:semiHidden/>
    <w:unhideWhenUsed/>
    <w:rsid w:val="00DD521A"/>
    <w:rPr>
      <w:rFonts w:ascii="Tahoma" w:hAnsi="Tahoma" w:cs="Tahoma"/>
      <w:sz w:val="16"/>
      <w:szCs w:val="16"/>
    </w:rPr>
  </w:style>
  <w:style w:type="character" w:customStyle="1" w:styleId="BalloonTextChar">
    <w:name w:val="Balloon Text Char"/>
    <w:basedOn w:val="DefaultParagraphFont"/>
    <w:link w:val="BalloonText"/>
    <w:uiPriority w:val="99"/>
    <w:semiHidden/>
    <w:rsid w:val="00DD521A"/>
    <w:rPr>
      <w:rFonts w:ascii="Tahoma" w:hAnsi="Tahoma" w:cs="Tahoma"/>
      <w:sz w:val="16"/>
      <w:szCs w:val="16"/>
    </w:rPr>
  </w:style>
  <w:style w:type="paragraph" w:styleId="BodyText">
    <w:name w:val="Body Text"/>
    <w:basedOn w:val="Normal"/>
    <w:link w:val="BodyTextChar"/>
    <w:rsid w:val="00BC3379"/>
    <w:pPr>
      <w:jc w:val="both"/>
    </w:pPr>
    <w:rPr>
      <w:rFonts w:ascii="Verdana" w:eastAsia="Times New Roman" w:hAnsi="Verdana"/>
      <w:lang w:eastAsia="en-US"/>
    </w:rPr>
  </w:style>
  <w:style w:type="character" w:customStyle="1" w:styleId="BodyTextChar">
    <w:name w:val="Body Text Char"/>
    <w:basedOn w:val="DefaultParagraphFont"/>
    <w:link w:val="BodyText"/>
    <w:rsid w:val="00BC3379"/>
    <w:rPr>
      <w:rFonts w:ascii="Verdana" w:eastAsia="Times New Roman" w:hAnsi="Verdana"/>
      <w:lang w:eastAsia="en-US"/>
    </w:rPr>
  </w:style>
  <w:style w:type="paragraph" w:customStyle="1" w:styleId="Style12ptJustifiedAfter12ptLinespacingMultiple115">
    <w:name w:val="Style 12 pt Justified After:  12 pt Line spacing:  Multiple 1.15..."/>
    <w:basedOn w:val="Normal"/>
    <w:uiPriority w:val="99"/>
    <w:rsid w:val="00AC0399"/>
    <w:pPr>
      <w:jc w:val="both"/>
    </w:pPr>
    <w:rPr>
      <w:rFonts w:ascii="Verdana" w:eastAsia="Times New Roman" w:hAnsi="Verdana"/>
      <w:sz w:val="24"/>
      <w:lang w:eastAsia="en-US"/>
    </w:rPr>
  </w:style>
  <w:style w:type="paragraph" w:styleId="TOC4">
    <w:name w:val="toc 4"/>
    <w:basedOn w:val="Normal"/>
    <w:next w:val="Normal"/>
    <w:autoRedefine/>
    <w:uiPriority w:val="39"/>
    <w:unhideWhenUsed/>
    <w:rsid w:val="0086531C"/>
    <w:pPr>
      <w:spacing w:after="100"/>
      <w:ind w:left="6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
    <w:next w:val="Norma"/>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
    <w:next w:val="Norma"/>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
    <w:next w:val="Norma"/>
    <w:link w:val="Heading3Char"/>
    <w:uiPriority w:val="9"/>
    <w:semiHidden/>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
    <w:next w:val="Norma"/>
    <w:link w:val="Heading4Char"/>
    <w:uiPriority w:val="9"/>
    <w:semiHidden/>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0">
    <w:name w:val="Norma"/>
    <w:qFormat/>
  </w:style>
  <w:style w:type="table" w:customStyle="1" w:styleId="NormalTable">
    <w:name w:val="NormalTable"/>
    <w:uiPriority w:val="99"/>
    <w:semiHidden/>
    <w:unhideWhenUsed/>
    <w:tblPr>
      <w:tblInd w:w="0" w:type="dxa"/>
      <w:tblCellMar>
        <w:top w:w="0" w:type="dxa"/>
        <w:left w:w="108" w:type="dxa"/>
        <w:bottom w:w="0" w:type="dxa"/>
        <w:right w:w="108" w:type="dxa"/>
      </w:tblCellMar>
    </w:tblPr>
  </w:style>
  <w:style w:type="paragraph" w:customStyle="1" w:styleId="Norma">
    <w:name w:val="Norma"/>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table" w:customStyle="1" w:styleId="NormalTable0">
    <w:name w:val="NormalTable"/>
    <w:uiPriority w:val="99"/>
    <w:semiHidden/>
    <w:unhideWhenUsed/>
    <w:tblPr>
      <w:tblInd w:w="0" w:type="dxa"/>
      <w:tblCellMar>
        <w:top w:w="0" w:type="dxa"/>
        <w:left w:w="108" w:type="dxa"/>
        <w:bottom w:w="0" w:type="dxa"/>
        <w:right w:w="108" w:type="dxa"/>
      </w:tblCellMar>
    </w:tblPr>
  </w:style>
  <w:style w:type="paragraph" w:customStyle="1" w:styleId="Numbered">
    <w:name w:val="Numbered"/>
    <w:basedOn w:val="Norma"/>
    <w:rsid w:val="00DC49C2"/>
    <w:pPr>
      <w:spacing w:after="240"/>
    </w:pPr>
  </w:style>
  <w:style w:type="character" w:styleId="Hyperlink">
    <w:name w:val="Hyperlink"/>
    <w:uiPriority w:val="99"/>
    <w:rsid w:val="00DC49C2"/>
    <w:rPr>
      <w:color w:val="0000FF"/>
      <w:u w:val="single"/>
    </w:rPr>
  </w:style>
  <w:style w:type="paragraph" w:customStyle="1" w:styleId="BaloonText">
    <w:name w:val="Baloon Text"/>
    <w:basedOn w:val="Norma"/>
    <w:link w:val="BaloonTextChar"/>
    <w:uiPriority w:val="99"/>
    <w:semiHidden/>
    <w:unhideWhenUsed/>
    <w:rsid w:val="00DC49C2"/>
    <w:rPr>
      <w:rFonts w:ascii="Tahoma" w:hAnsi="Tahoma" w:cs="Times New Roman"/>
      <w:sz w:val="16"/>
      <w:szCs w:val="14"/>
    </w:rPr>
  </w:style>
  <w:style w:type="character" w:customStyle="1" w:styleId="BaloonTextChar">
    <w:name w:val="Baloon Text Char"/>
    <w:link w:val="Ba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uiPriority w:val="9"/>
    <w:semiHidden/>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customStyle="1" w:styleId="FolowedHyperlink">
    <w:name w:val="FolowedHyperlink"/>
    <w:uiPriority w:val="99"/>
    <w:semiHidden/>
    <w:unhideWhenUsed/>
    <w:rsid w:val="0000229E"/>
    <w:rPr>
      <w:color w:val="800080"/>
      <w:u w:val="single"/>
    </w:rPr>
  </w:style>
  <w:style w:type="paragraph" w:styleId="Header">
    <w:name w:val="header"/>
    <w:basedOn w:val="Norma"/>
    <w:link w:val="HeaderChar"/>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
    <w:autoRedefine/>
    <w:uiPriority w:val="99"/>
    <w:rsid w:val="00A34290"/>
    <w:pPr>
      <w:widowControl/>
      <w:overflowPunct/>
      <w:autoSpaceDE/>
      <w:autoSpaceDN/>
      <w:adjustRightInd/>
      <w:ind w:left="357"/>
      <w:jc w:val="both"/>
      <w:textAlignment w:val="auto"/>
    </w:pPr>
    <w:rPr>
      <w:rFonts w:eastAsia="MS Mincho" w:cs="Arial"/>
      <w:sz w:val="24"/>
      <w:szCs w:val="24"/>
      <w:lang w:eastAsia="en-US"/>
    </w:rPr>
  </w:style>
  <w:style w:type="character" w:styleId="FootnoteReference">
    <w:name w:val="footnote reference"/>
    <w:uiPriority w:val="99"/>
    <w:semiHidden/>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NormalTable0"/>
    <w:uiPriority w:val="59"/>
    <w:rsid w:val="000822D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622E6B"/>
    <w:rPr>
      <w:rFonts w:ascii="Cambria" w:eastAsia="Times New Roman" w:hAnsi="Cambria" w:cs="Times New Roman"/>
      <w:b/>
      <w:bCs/>
      <w:kern w:val="32"/>
      <w:sz w:val="32"/>
      <w:szCs w:val="32"/>
    </w:rPr>
  </w:style>
  <w:style w:type="paragraph" w:styleId="TOCHeading">
    <w:name w:val="TOC Heading"/>
    <w:basedOn w:val="Heading1"/>
    <w:next w:val="Norma"/>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
    <w:next w:val="Norma"/>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semiHidden/>
    <w:rsid w:val="001623B7"/>
    <w:rPr>
      <w:rFonts w:asciiTheme="majorHAnsi" w:eastAsiaTheme="majorEastAsia" w:hAnsiTheme="majorHAnsi" w:cstheme="majorBidi"/>
      <w:b/>
      <w:bCs/>
      <w:i/>
      <w:iCs/>
      <w:color w:val="4F81BD" w:themeColor="accent1"/>
      <w:sz w:val="22"/>
      <w:szCs w:val="22"/>
    </w:rPr>
  </w:style>
  <w:style w:type="paragraph" w:customStyle="1" w:styleId="BaloonText0">
    <w:name w:val="Baloon Text"/>
    <w:basedOn w:val="Norma0"/>
    <w:link w:val="BaloonTextChar0"/>
    <w:uiPriority w:val="99"/>
    <w:semiHidden/>
    <w:unhideWhenUsed/>
    <w:rsid w:val="0011747B"/>
    <w:rPr>
      <w:rFonts w:ascii="Tahoma" w:hAnsi="Tahoma" w:cs="Tahoma"/>
      <w:sz w:val="16"/>
      <w:szCs w:val="16"/>
    </w:rPr>
  </w:style>
  <w:style w:type="character" w:customStyle="1" w:styleId="BaloonTextChar0">
    <w:name w:val="Baloon Text Char"/>
    <w:basedOn w:val="DefaultParagraphFont"/>
    <w:link w:val="BaloonText0"/>
    <w:uiPriority w:val="99"/>
    <w:semiHidden/>
    <w:rsid w:val="0011747B"/>
    <w:rPr>
      <w:rFonts w:ascii="Tahoma" w:hAnsi="Tahoma" w:cs="Tahoma"/>
      <w:sz w:val="16"/>
      <w:szCs w:val="16"/>
    </w:rPr>
  </w:style>
  <w:style w:type="paragraph" w:styleId="BalloonText">
    <w:name w:val="Balloon Text"/>
    <w:basedOn w:val="Normal"/>
    <w:link w:val="BalloonTextChar"/>
    <w:uiPriority w:val="99"/>
    <w:semiHidden/>
    <w:unhideWhenUsed/>
    <w:rsid w:val="00DD521A"/>
    <w:rPr>
      <w:rFonts w:ascii="Tahoma" w:hAnsi="Tahoma" w:cs="Tahoma"/>
      <w:sz w:val="16"/>
      <w:szCs w:val="16"/>
    </w:rPr>
  </w:style>
  <w:style w:type="character" w:customStyle="1" w:styleId="BalloonTextChar">
    <w:name w:val="Balloon Text Char"/>
    <w:basedOn w:val="DefaultParagraphFont"/>
    <w:link w:val="BalloonText"/>
    <w:uiPriority w:val="99"/>
    <w:semiHidden/>
    <w:rsid w:val="00DD521A"/>
    <w:rPr>
      <w:rFonts w:ascii="Tahoma" w:hAnsi="Tahoma" w:cs="Tahoma"/>
      <w:sz w:val="16"/>
      <w:szCs w:val="16"/>
    </w:rPr>
  </w:style>
  <w:style w:type="paragraph" w:styleId="BodyText">
    <w:name w:val="Body Text"/>
    <w:basedOn w:val="Normal"/>
    <w:link w:val="BodyTextChar"/>
    <w:rsid w:val="00BC3379"/>
    <w:pPr>
      <w:jc w:val="both"/>
    </w:pPr>
    <w:rPr>
      <w:rFonts w:ascii="Verdana" w:eastAsia="Times New Roman" w:hAnsi="Verdana"/>
      <w:lang w:eastAsia="en-US"/>
    </w:rPr>
  </w:style>
  <w:style w:type="character" w:customStyle="1" w:styleId="BodyTextChar">
    <w:name w:val="Body Text Char"/>
    <w:basedOn w:val="DefaultParagraphFont"/>
    <w:link w:val="BodyText"/>
    <w:rsid w:val="00BC3379"/>
    <w:rPr>
      <w:rFonts w:ascii="Verdana" w:eastAsia="Times New Roman" w:hAnsi="Verdana"/>
      <w:lang w:eastAsia="en-US"/>
    </w:rPr>
  </w:style>
  <w:style w:type="paragraph" w:customStyle="1" w:styleId="Style12ptJustifiedAfter12ptLinespacingMultiple115">
    <w:name w:val="Style 12 pt Justified After:  12 pt Line spacing:  Multiple 1.15..."/>
    <w:basedOn w:val="Normal"/>
    <w:uiPriority w:val="99"/>
    <w:rsid w:val="00AC0399"/>
    <w:pPr>
      <w:jc w:val="both"/>
    </w:pPr>
    <w:rPr>
      <w:rFonts w:ascii="Verdana" w:eastAsia="Times New Roman" w:hAnsi="Verdana"/>
      <w:sz w:val="24"/>
      <w:lang w:eastAsia="en-US"/>
    </w:rPr>
  </w:style>
  <w:style w:type="paragraph" w:styleId="TOC4">
    <w:name w:val="toc 4"/>
    <w:basedOn w:val="Normal"/>
    <w:next w:val="Normal"/>
    <w:autoRedefine/>
    <w:uiPriority w:val="39"/>
    <w:unhideWhenUsed/>
    <w:rsid w:val="0086531C"/>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2351">
      <w:bodyDiv w:val="1"/>
      <w:marLeft w:val="0"/>
      <w:marRight w:val="0"/>
      <w:marTop w:val="0"/>
      <w:marBottom w:val="0"/>
      <w:divBdr>
        <w:top w:val="none" w:sz="0" w:space="0" w:color="auto"/>
        <w:left w:val="none" w:sz="0" w:space="0" w:color="auto"/>
        <w:bottom w:val="none" w:sz="0" w:space="0" w:color="auto"/>
        <w:right w:val="none" w:sz="0" w:space="0" w:color="auto"/>
      </w:divBdr>
    </w:div>
    <w:div w:id="259144029">
      <w:bodyDiv w:val="1"/>
      <w:marLeft w:val="0"/>
      <w:marRight w:val="0"/>
      <w:marTop w:val="0"/>
      <w:marBottom w:val="0"/>
      <w:divBdr>
        <w:top w:val="none" w:sz="0" w:space="0" w:color="auto"/>
        <w:left w:val="none" w:sz="0" w:space="0" w:color="auto"/>
        <w:bottom w:val="none" w:sz="0" w:space="0" w:color="auto"/>
        <w:right w:val="none" w:sz="0" w:space="0" w:color="auto"/>
      </w:divBdr>
    </w:div>
    <w:div w:id="264849742">
      <w:bodyDiv w:val="1"/>
      <w:marLeft w:val="0"/>
      <w:marRight w:val="0"/>
      <w:marTop w:val="0"/>
      <w:marBottom w:val="0"/>
      <w:divBdr>
        <w:top w:val="none" w:sz="0" w:space="0" w:color="auto"/>
        <w:left w:val="none" w:sz="0" w:space="0" w:color="auto"/>
        <w:bottom w:val="none" w:sz="0" w:space="0" w:color="auto"/>
        <w:right w:val="none" w:sz="0" w:space="0" w:color="auto"/>
      </w:divBdr>
    </w:div>
    <w:div w:id="356543967">
      <w:bodyDiv w:val="1"/>
      <w:marLeft w:val="0"/>
      <w:marRight w:val="0"/>
      <w:marTop w:val="0"/>
      <w:marBottom w:val="0"/>
      <w:divBdr>
        <w:top w:val="none" w:sz="0" w:space="0" w:color="auto"/>
        <w:left w:val="none" w:sz="0" w:space="0" w:color="auto"/>
        <w:bottom w:val="none" w:sz="0" w:space="0" w:color="auto"/>
        <w:right w:val="none" w:sz="0" w:space="0" w:color="auto"/>
      </w:divBdr>
    </w:div>
    <w:div w:id="381252947">
      <w:bodyDiv w:val="1"/>
      <w:marLeft w:val="0"/>
      <w:marRight w:val="0"/>
      <w:marTop w:val="0"/>
      <w:marBottom w:val="0"/>
      <w:divBdr>
        <w:top w:val="none" w:sz="0" w:space="0" w:color="auto"/>
        <w:left w:val="none" w:sz="0" w:space="0" w:color="auto"/>
        <w:bottom w:val="none" w:sz="0" w:space="0" w:color="auto"/>
        <w:right w:val="none" w:sz="0" w:space="0" w:color="auto"/>
      </w:divBdr>
    </w:div>
    <w:div w:id="466822323">
      <w:bodyDiv w:val="1"/>
      <w:marLeft w:val="0"/>
      <w:marRight w:val="0"/>
      <w:marTop w:val="0"/>
      <w:marBottom w:val="0"/>
      <w:divBdr>
        <w:top w:val="none" w:sz="0" w:space="0" w:color="auto"/>
        <w:left w:val="none" w:sz="0" w:space="0" w:color="auto"/>
        <w:bottom w:val="none" w:sz="0" w:space="0" w:color="auto"/>
        <w:right w:val="none" w:sz="0" w:space="0" w:color="auto"/>
      </w:divBdr>
    </w:div>
    <w:div w:id="482697871">
      <w:bodyDiv w:val="1"/>
      <w:marLeft w:val="0"/>
      <w:marRight w:val="0"/>
      <w:marTop w:val="0"/>
      <w:marBottom w:val="0"/>
      <w:divBdr>
        <w:top w:val="none" w:sz="0" w:space="0" w:color="auto"/>
        <w:left w:val="none" w:sz="0" w:space="0" w:color="auto"/>
        <w:bottom w:val="none" w:sz="0" w:space="0" w:color="auto"/>
        <w:right w:val="none" w:sz="0" w:space="0" w:color="auto"/>
      </w:divBdr>
    </w:div>
    <w:div w:id="483276190">
      <w:bodyDiv w:val="1"/>
      <w:marLeft w:val="0"/>
      <w:marRight w:val="0"/>
      <w:marTop w:val="0"/>
      <w:marBottom w:val="0"/>
      <w:divBdr>
        <w:top w:val="none" w:sz="0" w:space="0" w:color="auto"/>
        <w:left w:val="none" w:sz="0" w:space="0" w:color="auto"/>
        <w:bottom w:val="none" w:sz="0" w:space="0" w:color="auto"/>
        <w:right w:val="none" w:sz="0" w:space="0" w:color="auto"/>
      </w:divBdr>
    </w:div>
    <w:div w:id="710039725">
      <w:bodyDiv w:val="1"/>
      <w:marLeft w:val="0"/>
      <w:marRight w:val="0"/>
      <w:marTop w:val="0"/>
      <w:marBottom w:val="0"/>
      <w:divBdr>
        <w:top w:val="none" w:sz="0" w:space="0" w:color="auto"/>
        <w:left w:val="none" w:sz="0" w:space="0" w:color="auto"/>
        <w:bottom w:val="none" w:sz="0" w:space="0" w:color="auto"/>
        <w:right w:val="none" w:sz="0" w:space="0" w:color="auto"/>
      </w:divBdr>
    </w:div>
    <w:div w:id="836581855">
      <w:bodyDiv w:val="1"/>
      <w:marLeft w:val="0"/>
      <w:marRight w:val="0"/>
      <w:marTop w:val="0"/>
      <w:marBottom w:val="0"/>
      <w:divBdr>
        <w:top w:val="none" w:sz="0" w:space="0" w:color="auto"/>
        <w:left w:val="none" w:sz="0" w:space="0" w:color="auto"/>
        <w:bottom w:val="none" w:sz="0" w:space="0" w:color="auto"/>
        <w:right w:val="none" w:sz="0" w:space="0" w:color="auto"/>
      </w:divBdr>
    </w:div>
    <w:div w:id="907689776">
      <w:bodyDiv w:val="1"/>
      <w:marLeft w:val="0"/>
      <w:marRight w:val="0"/>
      <w:marTop w:val="0"/>
      <w:marBottom w:val="0"/>
      <w:divBdr>
        <w:top w:val="none" w:sz="0" w:space="0" w:color="auto"/>
        <w:left w:val="none" w:sz="0" w:space="0" w:color="auto"/>
        <w:bottom w:val="none" w:sz="0" w:space="0" w:color="auto"/>
        <w:right w:val="none" w:sz="0" w:space="0" w:color="auto"/>
      </w:divBdr>
    </w:div>
    <w:div w:id="960301894">
      <w:bodyDiv w:val="1"/>
      <w:marLeft w:val="0"/>
      <w:marRight w:val="0"/>
      <w:marTop w:val="0"/>
      <w:marBottom w:val="0"/>
      <w:divBdr>
        <w:top w:val="none" w:sz="0" w:space="0" w:color="auto"/>
        <w:left w:val="none" w:sz="0" w:space="0" w:color="auto"/>
        <w:bottom w:val="none" w:sz="0" w:space="0" w:color="auto"/>
        <w:right w:val="none" w:sz="0" w:space="0" w:color="auto"/>
      </w:divBdr>
    </w:div>
    <w:div w:id="988897209">
      <w:bodyDiv w:val="1"/>
      <w:marLeft w:val="0"/>
      <w:marRight w:val="0"/>
      <w:marTop w:val="0"/>
      <w:marBottom w:val="0"/>
      <w:divBdr>
        <w:top w:val="none" w:sz="0" w:space="0" w:color="auto"/>
        <w:left w:val="none" w:sz="0" w:space="0" w:color="auto"/>
        <w:bottom w:val="none" w:sz="0" w:space="0" w:color="auto"/>
        <w:right w:val="none" w:sz="0" w:space="0" w:color="auto"/>
      </w:divBdr>
    </w:div>
    <w:div w:id="1347755976">
      <w:bodyDiv w:val="1"/>
      <w:marLeft w:val="0"/>
      <w:marRight w:val="0"/>
      <w:marTop w:val="0"/>
      <w:marBottom w:val="0"/>
      <w:divBdr>
        <w:top w:val="none" w:sz="0" w:space="0" w:color="auto"/>
        <w:left w:val="none" w:sz="0" w:space="0" w:color="auto"/>
        <w:bottom w:val="none" w:sz="0" w:space="0" w:color="auto"/>
        <w:right w:val="none" w:sz="0" w:space="0" w:color="auto"/>
      </w:divBdr>
    </w:div>
    <w:div w:id="1384059051">
      <w:bodyDiv w:val="1"/>
      <w:marLeft w:val="0"/>
      <w:marRight w:val="0"/>
      <w:marTop w:val="0"/>
      <w:marBottom w:val="0"/>
      <w:divBdr>
        <w:top w:val="none" w:sz="0" w:space="0" w:color="auto"/>
        <w:left w:val="none" w:sz="0" w:space="0" w:color="auto"/>
        <w:bottom w:val="none" w:sz="0" w:space="0" w:color="auto"/>
        <w:right w:val="none" w:sz="0" w:space="0" w:color="auto"/>
      </w:divBdr>
    </w:div>
    <w:div w:id="1432896673">
      <w:bodyDiv w:val="1"/>
      <w:marLeft w:val="0"/>
      <w:marRight w:val="0"/>
      <w:marTop w:val="0"/>
      <w:marBottom w:val="0"/>
      <w:divBdr>
        <w:top w:val="none" w:sz="0" w:space="0" w:color="auto"/>
        <w:left w:val="none" w:sz="0" w:space="0" w:color="auto"/>
        <w:bottom w:val="none" w:sz="0" w:space="0" w:color="auto"/>
        <w:right w:val="none" w:sz="0" w:space="0" w:color="auto"/>
      </w:divBdr>
    </w:div>
    <w:div w:id="1465856144">
      <w:bodyDiv w:val="1"/>
      <w:marLeft w:val="0"/>
      <w:marRight w:val="0"/>
      <w:marTop w:val="0"/>
      <w:marBottom w:val="0"/>
      <w:divBdr>
        <w:top w:val="none" w:sz="0" w:space="0" w:color="auto"/>
        <w:left w:val="none" w:sz="0" w:space="0" w:color="auto"/>
        <w:bottom w:val="none" w:sz="0" w:space="0" w:color="auto"/>
        <w:right w:val="none" w:sz="0" w:space="0" w:color="auto"/>
      </w:divBdr>
    </w:div>
    <w:div w:id="1624382059">
      <w:bodyDiv w:val="1"/>
      <w:marLeft w:val="0"/>
      <w:marRight w:val="0"/>
      <w:marTop w:val="0"/>
      <w:marBottom w:val="0"/>
      <w:divBdr>
        <w:top w:val="none" w:sz="0" w:space="0" w:color="auto"/>
        <w:left w:val="none" w:sz="0" w:space="0" w:color="auto"/>
        <w:bottom w:val="none" w:sz="0" w:space="0" w:color="auto"/>
        <w:right w:val="none" w:sz="0" w:space="0" w:color="auto"/>
      </w:divBdr>
    </w:div>
    <w:div w:id="1672683067">
      <w:bodyDiv w:val="1"/>
      <w:marLeft w:val="0"/>
      <w:marRight w:val="0"/>
      <w:marTop w:val="0"/>
      <w:marBottom w:val="0"/>
      <w:divBdr>
        <w:top w:val="none" w:sz="0" w:space="0" w:color="auto"/>
        <w:left w:val="none" w:sz="0" w:space="0" w:color="auto"/>
        <w:bottom w:val="none" w:sz="0" w:space="0" w:color="auto"/>
        <w:right w:val="none" w:sz="0" w:space="0" w:color="auto"/>
      </w:divBdr>
    </w:div>
    <w:div w:id="1797867618">
      <w:bodyDiv w:val="1"/>
      <w:marLeft w:val="0"/>
      <w:marRight w:val="0"/>
      <w:marTop w:val="0"/>
      <w:marBottom w:val="0"/>
      <w:divBdr>
        <w:top w:val="none" w:sz="0" w:space="0" w:color="auto"/>
        <w:left w:val="none" w:sz="0" w:space="0" w:color="auto"/>
        <w:bottom w:val="none" w:sz="0" w:space="0" w:color="auto"/>
        <w:right w:val="none" w:sz="0" w:space="0" w:color="auto"/>
      </w:divBdr>
    </w:div>
    <w:div w:id="1828813827">
      <w:bodyDiv w:val="1"/>
      <w:marLeft w:val="0"/>
      <w:marRight w:val="0"/>
      <w:marTop w:val="0"/>
      <w:marBottom w:val="0"/>
      <w:divBdr>
        <w:top w:val="none" w:sz="0" w:space="0" w:color="auto"/>
        <w:left w:val="none" w:sz="0" w:space="0" w:color="auto"/>
        <w:bottom w:val="none" w:sz="0" w:space="0" w:color="auto"/>
        <w:right w:val="none" w:sz="0" w:space="0" w:color="auto"/>
      </w:divBdr>
    </w:div>
    <w:div w:id="1842768437">
      <w:bodyDiv w:val="1"/>
      <w:marLeft w:val="0"/>
      <w:marRight w:val="0"/>
      <w:marTop w:val="0"/>
      <w:marBottom w:val="0"/>
      <w:divBdr>
        <w:top w:val="none" w:sz="0" w:space="0" w:color="auto"/>
        <w:left w:val="none" w:sz="0" w:space="0" w:color="auto"/>
        <w:bottom w:val="none" w:sz="0" w:space="0" w:color="auto"/>
        <w:right w:val="none" w:sz="0" w:space="0" w:color="auto"/>
      </w:divBdr>
    </w:div>
    <w:div w:id="1876579356">
      <w:bodyDiv w:val="1"/>
      <w:marLeft w:val="0"/>
      <w:marRight w:val="0"/>
      <w:marTop w:val="0"/>
      <w:marBottom w:val="0"/>
      <w:divBdr>
        <w:top w:val="none" w:sz="0" w:space="0" w:color="auto"/>
        <w:left w:val="none" w:sz="0" w:space="0" w:color="auto"/>
        <w:bottom w:val="none" w:sz="0" w:space="0" w:color="auto"/>
        <w:right w:val="none" w:sz="0" w:space="0" w:color="auto"/>
      </w:divBdr>
    </w:div>
    <w:div w:id="1882470519">
      <w:bodyDiv w:val="1"/>
      <w:marLeft w:val="0"/>
      <w:marRight w:val="0"/>
      <w:marTop w:val="0"/>
      <w:marBottom w:val="0"/>
      <w:divBdr>
        <w:top w:val="none" w:sz="0" w:space="0" w:color="auto"/>
        <w:left w:val="none" w:sz="0" w:space="0" w:color="auto"/>
        <w:bottom w:val="none" w:sz="0" w:space="0" w:color="auto"/>
        <w:right w:val="none" w:sz="0" w:space="0" w:color="auto"/>
      </w:divBdr>
    </w:div>
    <w:div w:id="1896962732">
      <w:bodyDiv w:val="1"/>
      <w:marLeft w:val="0"/>
      <w:marRight w:val="0"/>
      <w:marTop w:val="0"/>
      <w:marBottom w:val="0"/>
      <w:divBdr>
        <w:top w:val="none" w:sz="0" w:space="0" w:color="auto"/>
        <w:left w:val="none" w:sz="0" w:space="0" w:color="auto"/>
        <w:bottom w:val="none" w:sz="0" w:space="0" w:color="auto"/>
        <w:right w:val="none" w:sz="0" w:space="0" w:color="auto"/>
      </w:divBdr>
    </w:div>
    <w:div w:id="1930582236">
      <w:bodyDiv w:val="1"/>
      <w:marLeft w:val="0"/>
      <w:marRight w:val="0"/>
      <w:marTop w:val="0"/>
      <w:marBottom w:val="0"/>
      <w:divBdr>
        <w:top w:val="none" w:sz="0" w:space="0" w:color="auto"/>
        <w:left w:val="none" w:sz="0" w:space="0" w:color="auto"/>
        <w:bottom w:val="none" w:sz="0" w:space="0" w:color="auto"/>
        <w:right w:val="none" w:sz="0" w:space="0" w:color="auto"/>
      </w:divBdr>
    </w:div>
    <w:div w:id="2107192701">
      <w:bodyDiv w:val="1"/>
      <w:marLeft w:val="0"/>
      <w:marRight w:val="0"/>
      <w:marTop w:val="0"/>
      <w:marBottom w:val="0"/>
      <w:divBdr>
        <w:top w:val="none" w:sz="0" w:space="0" w:color="auto"/>
        <w:left w:val="none" w:sz="0" w:space="0" w:color="auto"/>
        <w:bottom w:val="none" w:sz="0" w:space="0" w:color="auto"/>
        <w:right w:val="none" w:sz="0" w:space="0" w:color="auto"/>
      </w:divBdr>
    </w:div>
    <w:div w:id="2128741795">
      <w:bodyDiv w:val="1"/>
      <w:marLeft w:val="0"/>
      <w:marRight w:val="0"/>
      <w:marTop w:val="0"/>
      <w:marBottom w:val="0"/>
      <w:divBdr>
        <w:top w:val="none" w:sz="0" w:space="0" w:color="auto"/>
        <w:left w:val="none" w:sz="0" w:space="0" w:color="auto"/>
        <w:bottom w:val="none" w:sz="0" w:space="0" w:color="auto"/>
        <w:right w:val="none" w:sz="0" w:space="0" w:color="auto"/>
      </w:divBdr>
    </w:div>
    <w:div w:id="2141071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archive.theccc.org.uk/aws/IA&amp;S/AEA%20-%20Potential%20for%20post-2030%20emissions%20reduction%20from%20industry%20-%20Report.pdf" TargetMode="External"/><Relationship Id="rId3" Type="http://schemas.openxmlformats.org/officeDocument/2006/relationships/hyperlink" Target="http://www.theccc.org.uk/publication/fourth-carbon-budget-review/" TargetMode="External"/><Relationship Id="rId7" Type="http://schemas.openxmlformats.org/officeDocument/2006/relationships/hyperlink" Target="http://www.theccc.org.uk/wp-content/uploads/2013/12/CCC-EV-pathways_FINAL-REPORT_17-12-13-Final.pdf" TargetMode="External"/><Relationship Id="rId12" Type="http://schemas.openxmlformats.org/officeDocument/2006/relationships/hyperlink" Target="http://www.theccc.org.uk/publication/fourth-carbon-budget-review/" TargetMode="External"/><Relationship Id="rId2" Type="http://schemas.openxmlformats.org/officeDocument/2006/relationships/hyperlink" Target="http://www.theccc.org.uk/publication/the-fourth-carbon-budget-reducing-emissions-through-the-2020s-2/" TargetMode="External"/><Relationship Id="rId1" Type="http://schemas.openxmlformats.org/officeDocument/2006/relationships/hyperlink" Target="http://www.theccc.org.uk/publication/building-a-low-carbon-economy-the-uks-contribution-to-tackling-climate-change-2/" TargetMode="External"/><Relationship Id="rId6" Type="http://schemas.openxmlformats.org/officeDocument/2006/relationships/hyperlink" Target="http://www.ukh2mobility.co.uk/wp-content/uploads/2013/08/UKH2-Mobility-Phase-1-Results-April-2013.pdf" TargetMode="External"/><Relationship Id="rId11" Type="http://schemas.openxmlformats.org/officeDocument/2006/relationships/hyperlink" Target="http://www.theccc.org.uk/publication/the-fourth-carbon-budget-reducing-emissions-through-the-2020s-2/" TargetMode="External"/><Relationship Id="rId5" Type="http://schemas.openxmlformats.org/officeDocument/2006/relationships/hyperlink" Target="http://archive.theccc.org.uk/aws/ED57444%20-%20CCC%20RoadV%20Cost-Eff%20to%202050%20FINAL%2025Apr12.pdf" TargetMode="External"/><Relationship Id="rId10" Type="http://schemas.openxmlformats.org/officeDocument/2006/relationships/hyperlink" Target="https://www.gov.uk/government/publications/industrial-decarbonisation-and-energy-efficiency-roadmaps-to-2050" TargetMode="External"/><Relationship Id="rId4" Type="http://schemas.openxmlformats.org/officeDocument/2006/relationships/hyperlink" Target="http://www.theccc.org.uk/publication/international-aviation-shipping-review/" TargetMode="External"/><Relationship Id="rId9" Type="http://schemas.openxmlformats.org/officeDocument/2006/relationships/hyperlink" Target="https://www.gov.uk/government/uploads/system/uploads/attachment_data/file/372992/RHI_Evidence_Report_-_Direct_Applications_of_Renewable_Hea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3D2347CC0BFF44A21402B6344C38F5" ma:contentTypeVersion="1" ma:contentTypeDescription="Create a new document." ma:contentTypeScope="" ma:versionID="3d4a4aaaa6c6c2b1ec2e9e6ccdea36b4">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CFBA93-E7EF-45CB-8532-38A5829CAD91}">
  <ds:schemaRefs>
    <ds:schemaRef ds:uri="http://schemas.microsoft.com/office/2006/documentManagement/types"/>
    <ds:schemaRef ds:uri="http://purl.org/dc/elements/1.1/"/>
    <ds:schemaRef ds:uri="http://schemas.openxmlformats.org/package/2006/metadata/core-properties"/>
    <ds:schemaRef ds:uri="http://purl.org/dc/terms/"/>
    <ds:schemaRef ds:uri="http://www.w3.org/XML/1998/namespace"/>
    <ds:schemaRef ds:uri="http://schemas.microsoft.com/sharepoint/v3"/>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210EA24-1E5B-40B7-93B1-8A09E00F3292}">
  <ds:schemaRefs>
    <ds:schemaRef ds:uri="http://schemas.microsoft.com/sharepoint/v3/contenttype/forms"/>
  </ds:schemaRefs>
</ds:datastoreItem>
</file>

<file path=customXml/itemProps3.xml><?xml version="1.0" encoding="utf-8"?>
<ds:datastoreItem xmlns:ds="http://schemas.openxmlformats.org/officeDocument/2006/customXml" ds:itemID="{E53FDE4C-889D-4E89-9545-D0312D11D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F00707-F55A-4ABE-886F-C1FD4BFEB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4649</Words>
  <Characters>26502</Characters>
  <Application>Microsoft Office Word</Application>
  <DocSecurity>4</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DECC</Company>
  <LinksUpToDate>false</LinksUpToDate>
  <CharactersWithSpaces>31089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dhillo</dc:creator>
  <cp:lastModifiedBy>Taylor, Sean (CCC)</cp:lastModifiedBy>
  <cp:revision>2</cp:revision>
  <cp:lastPrinted>2015-04-22T14:06:00Z</cp:lastPrinted>
  <dcterms:created xsi:type="dcterms:W3CDTF">2015-04-23T09:11:00Z</dcterms:created>
  <dcterms:modified xsi:type="dcterms:W3CDTF">2015-04-23T09:11:00Z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0x010100973D2347CC0BFF44A21402B6344C38F5</vt:lpwstr>
  </property>
  <property fmtid="{D5CDD505-2E9C-101B-9397-08002B2CF9AE}" pid="3" name="_AdHocReviewCycleID">
    <vt:i4>398898270</vt:i4>
  </property>
  <property fmtid="{D5CDD505-2E9C-101B-9397-08002B2CF9AE}" pid="4" name="_NewReviewCycle">
    <vt:lpwstr/>
  </property>
  <property fmtid="{D5CDD505-2E9C-101B-9397-08002B2CF9AE}" pid="5" name="_EmailSubject">
    <vt:lpwstr>Contract finder template</vt:lpwstr>
  </property>
  <property fmtid="{D5CDD505-2E9C-101B-9397-08002B2CF9AE}" pid="6" name="_AuthorEmail">
    <vt:lpwstr>David.Joffe@theccc.gsi.gov.uk</vt:lpwstr>
  </property>
  <property fmtid="{D5CDD505-2E9C-101B-9397-08002B2CF9AE}" pid="7" name="_AuthorEmailDisplayName">
    <vt:lpwstr>Joffe, David (CCC)</vt:lpwstr>
  </property>
  <property fmtid="{D5CDD505-2E9C-101B-9397-08002B2CF9AE}" pid="8" name="_ReviewingToolsShownOnce">
    <vt:lpwstr/>
  </property>
</Properties>
</file>