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D06" w:rsidRPr="00EE5F33" w:rsidRDefault="00FA3BB7" w:rsidP="00FE390D">
      <w:pPr>
        <w:spacing w:line="240" w:lineRule="auto"/>
        <w:rPr>
          <w:b/>
          <w:szCs w:val="24"/>
          <w:u w:val="single"/>
        </w:rPr>
      </w:pPr>
      <w:bookmarkStart w:id="0" w:name="_GoBack"/>
      <w:bookmarkEnd w:id="0"/>
      <w:r w:rsidRPr="00EE5F33">
        <w:rPr>
          <w:b/>
          <w:szCs w:val="24"/>
          <w:u w:val="single"/>
        </w:rPr>
        <w:t>SEND 2018-19 procurement – clarification questions</w:t>
      </w:r>
    </w:p>
    <w:p w:rsidR="00FA3BB7" w:rsidRDefault="00FA3BB7" w:rsidP="00FE390D">
      <w:pPr>
        <w:spacing w:line="240" w:lineRule="auto"/>
        <w:rPr>
          <w:szCs w:val="24"/>
        </w:rPr>
      </w:pPr>
    </w:p>
    <w:p w:rsidR="00EE5F33" w:rsidRDefault="00EE5F33" w:rsidP="00FE390D">
      <w:pPr>
        <w:spacing w:line="240" w:lineRule="auto"/>
        <w:rPr>
          <w:szCs w:val="24"/>
        </w:rPr>
      </w:pPr>
      <w:r w:rsidRPr="00EE5F33">
        <w:rPr>
          <w:szCs w:val="24"/>
        </w:rPr>
        <w:t xml:space="preserve">Answers to all questions we receive will be available on Contracts Finder by 16 January 2017.  </w:t>
      </w:r>
    </w:p>
    <w:p w:rsidR="00EE5F33" w:rsidRPr="00EE5F33" w:rsidRDefault="00EE5F33" w:rsidP="00FE390D">
      <w:pPr>
        <w:spacing w:line="240" w:lineRule="auto"/>
        <w:rPr>
          <w:szCs w:val="24"/>
        </w:rPr>
      </w:pPr>
    </w:p>
    <w:p w:rsidR="00FA3BB7" w:rsidRDefault="00FA3BB7" w:rsidP="00FE390D">
      <w:pPr>
        <w:spacing w:line="240" w:lineRule="auto"/>
        <w:rPr>
          <w:b/>
          <w:szCs w:val="24"/>
        </w:rPr>
      </w:pPr>
      <w:r w:rsidRPr="00EE5F33">
        <w:rPr>
          <w:b/>
          <w:szCs w:val="24"/>
        </w:rPr>
        <w:t>General</w:t>
      </w:r>
    </w:p>
    <w:p w:rsidR="00464BD1" w:rsidRDefault="00464BD1" w:rsidP="00FE390D">
      <w:pPr>
        <w:spacing w:line="240" w:lineRule="auto"/>
        <w:rPr>
          <w:b/>
          <w:szCs w:val="24"/>
        </w:rPr>
      </w:pPr>
    </w:p>
    <w:p w:rsidR="00FA3BB7" w:rsidRPr="00EE5F33" w:rsidRDefault="00FA3BB7" w:rsidP="00FE390D">
      <w:pPr>
        <w:spacing w:line="240" w:lineRule="auto"/>
        <w:rPr>
          <w:rFonts w:ascii="Calibri" w:hAnsi="Calibri"/>
          <w:i/>
          <w:szCs w:val="24"/>
        </w:rPr>
      </w:pPr>
      <w:r w:rsidRPr="00EE5F33">
        <w:rPr>
          <w:i/>
          <w:szCs w:val="24"/>
        </w:rPr>
        <w:t>Can you please advise whether it is permissible for an organisation to appear as a partner on more than one bid application for the same contract?</w:t>
      </w:r>
    </w:p>
    <w:p w:rsidR="00FA3BB7" w:rsidRPr="00893613" w:rsidRDefault="004D2587" w:rsidP="00FE390D">
      <w:pPr>
        <w:spacing w:line="240" w:lineRule="auto"/>
        <w:rPr>
          <w:color w:val="1F4E79" w:themeColor="accent1" w:themeShade="80"/>
          <w:szCs w:val="24"/>
        </w:rPr>
      </w:pPr>
      <w:r w:rsidRPr="00893613">
        <w:rPr>
          <w:color w:val="1F4E79" w:themeColor="accent1" w:themeShade="80"/>
          <w:szCs w:val="24"/>
        </w:rPr>
        <w:t xml:space="preserve">There is nothing preventing an organisation being a partner in more than one bid.  However, we would not expect an organisation to appear as the lead contact for a group of economic operators in more than one bid.  </w:t>
      </w:r>
    </w:p>
    <w:p w:rsidR="00FA3BB7" w:rsidRPr="00EE5F33" w:rsidRDefault="00FA3BB7" w:rsidP="00FE390D">
      <w:pPr>
        <w:spacing w:line="240" w:lineRule="auto"/>
        <w:rPr>
          <w:szCs w:val="24"/>
        </w:rPr>
      </w:pPr>
    </w:p>
    <w:p w:rsidR="004D2587" w:rsidRPr="00EE5F33" w:rsidRDefault="004D2587" w:rsidP="00FE390D">
      <w:pPr>
        <w:spacing w:line="240" w:lineRule="auto"/>
        <w:rPr>
          <w:i/>
          <w:szCs w:val="24"/>
        </w:rPr>
      </w:pPr>
      <w:r w:rsidRPr="00EE5F33">
        <w:rPr>
          <w:i/>
          <w:szCs w:val="24"/>
        </w:rPr>
        <w:t>Is it permissible for an organisation to bid as a lead agency as well as be a partner in a bid?</w:t>
      </w:r>
    </w:p>
    <w:p w:rsidR="00B97522" w:rsidRPr="00893613" w:rsidRDefault="00B97522" w:rsidP="00FE390D">
      <w:pPr>
        <w:spacing w:line="240" w:lineRule="auto"/>
        <w:rPr>
          <w:color w:val="1F4E79" w:themeColor="accent1" w:themeShade="80"/>
          <w:szCs w:val="24"/>
        </w:rPr>
      </w:pPr>
      <w:r w:rsidRPr="00893613">
        <w:rPr>
          <w:color w:val="1F4E79" w:themeColor="accent1" w:themeShade="80"/>
          <w:szCs w:val="24"/>
        </w:rPr>
        <w:t xml:space="preserve">There is nothing preventing an organisation being a partner in more than one bid.  However, we would not expect an organisation to appear as the lead contact for a group of economic operators in more than one bid.  </w:t>
      </w:r>
    </w:p>
    <w:p w:rsidR="00BE6E48" w:rsidRDefault="00BE6E48" w:rsidP="00FE390D">
      <w:pPr>
        <w:spacing w:line="240" w:lineRule="auto"/>
        <w:rPr>
          <w:szCs w:val="24"/>
        </w:rPr>
      </w:pPr>
    </w:p>
    <w:p w:rsidR="00BE6E48" w:rsidRPr="00BE6E48" w:rsidRDefault="00BE6E48" w:rsidP="00FE390D">
      <w:pPr>
        <w:spacing w:line="240" w:lineRule="auto"/>
        <w:rPr>
          <w:i/>
          <w:szCs w:val="24"/>
        </w:rPr>
      </w:pPr>
      <w:r w:rsidRPr="00BE6E48">
        <w:rPr>
          <w:i/>
          <w:szCs w:val="24"/>
        </w:rPr>
        <w:t>Should we, as a prospective subcontractor, be concerned about TUPE? In other words, could that responsibility pass to us as a subcontractor?</w:t>
      </w:r>
    </w:p>
    <w:p w:rsidR="00BE6E48" w:rsidRDefault="00BE6E48" w:rsidP="00FE390D">
      <w:pPr>
        <w:spacing w:line="240" w:lineRule="auto"/>
        <w:rPr>
          <w:rFonts w:cs="Arial"/>
          <w:color w:val="1F497D"/>
        </w:rPr>
      </w:pPr>
      <w:r>
        <w:rPr>
          <w:rFonts w:cs="Arial"/>
          <w:color w:val="1F497D"/>
        </w:rPr>
        <w:t xml:space="preserve">It is the responsibility of the tenderer to consider </w:t>
      </w:r>
      <w:proofErr w:type="gramStart"/>
      <w:r>
        <w:rPr>
          <w:rFonts w:cs="Arial"/>
          <w:color w:val="1F497D"/>
        </w:rPr>
        <w:t>whether or not</w:t>
      </w:r>
      <w:proofErr w:type="gramEnd"/>
      <w:r>
        <w:rPr>
          <w:rFonts w:cs="Arial"/>
          <w:color w:val="1F497D"/>
        </w:rPr>
        <w:t xml:space="preserve"> TUPE applies in the circumstances of this contract and tender accordingly.  If a consortium is preparing a bid, then the consortium as a whole will need to consider TUPE.  </w:t>
      </w:r>
      <w:r w:rsidR="00F0108A" w:rsidRPr="00F0108A">
        <w:rPr>
          <w:rFonts w:cs="Arial"/>
          <w:color w:val="1F497D"/>
        </w:rPr>
        <w:t>Where there is a group of economic operators, the lead cont</w:t>
      </w:r>
      <w:r w:rsidR="00F0108A">
        <w:rPr>
          <w:rFonts w:cs="Arial"/>
          <w:color w:val="1F497D"/>
        </w:rPr>
        <w:t>r</w:t>
      </w:r>
      <w:r w:rsidR="00F0108A" w:rsidRPr="00F0108A">
        <w:rPr>
          <w:rFonts w:cs="Arial"/>
          <w:color w:val="1F497D"/>
        </w:rPr>
        <w:t xml:space="preserve">actor will be accountable for ensuring contractual obligations </w:t>
      </w:r>
      <w:proofErr w:type="gramStart"/>
      <w:r w:rsidR="00F0108A" w:rsidRPr="00F0108A">
        <w:rPr>
          <w:rFonts w:cs="Arial"/>
          <w:color w:val="1F497D"/>
        </w:rPr>
        <w:t>are met</w:t>
      </w:r>
      <w:proofErr w:type="gramEnd"/>
      <w:r w:rsidR="00F0108A" w:rsidRPr="00F0108A">
        <w:rPr>
          <w:rFonts w:cs="Arial"/>
          <w:color w:val="1F497D"/>
        </w:rPr>
        <w:t>.</w:t>
      </w:r>
      <w:r w:rsidR="00F0108A">
        <w:rPr>
          <w:rFonts w:cs="Arial"/>
          <w:color w:val="1F497D"/>
        </w:rPr>
        <w:t xml:space="preserve">  </w:t>
      </w:r>
      <w:r w:rsidR="00AB1E60">
        <w:rPr>
          <w:rFonts w:cs="Arial"/>
          <w:color w:val="1F497D"/>
        </w:rPr>
        <w:t xml:space="preserve">In most </w:t>
      </w:r>
      <w:proofErr w:type="gramStart"/>
      <w:r w:rsidR="00AB1E60">
        <w:rPr>
          <w:rFonts w:cs="Arial"/>
          <w:color w:val="1F497D"/>
        </w:rPr>
        <w:t>cases</w:t>
      </w:r>
      <w:proofErr w:type="gramEnd"/>
      <w:r w:rsidR="00AB1E60">
        <w:rPr>
          <w:rFonts w:cs="Arial"/>
          <w:color w:val="1F497D"/>
        </w:rPr>
        <w:t xml:space="preserve"> this will mean the lead contact taking responsibility for considering TUPE, though they may need to involve sub-contractors where necessary.  </w:t>
      </w:r>
    </w:p>
    <w:p w:rsidR="00F0108A" w:rsidRDefault="00F0108A" w:rsidP="00FE390D">
      <w:pPr>
        <w:spacing w:line="240" w:lineRule="auto"/>
        <w:rPr>
          <w:rFonts w:cs="Arial"/>
          <w:color w:val="1F497D"/>
        </w:rPr>
      </w:pPr>
    </w:p>
    <w:p w:rsidR="00F0108A" w:rsidRPr="00F0108A" w:rsidRDefault="00760F64" w:rsidP="00FE390D">
      <w:pPr>
        <w:spacing w:line="240" w:lineRule="auto"/>
        <w:rPr>
          <w:rFonts w:cs="Arial"/>
          <w:color w:val="1F497D"/>
        </w:rPr>
      </w:pPr>
      <w:r>
        <w:rPr>
          <w:color w:val="1F497D"/>
        </w:rPr>
        <w:t xml:space="preserve">The comments concerning TUPE are provided to be of help to you and in the spirit of </w:t>
      </w:r>
      <w:proofErr w:type="gramStart"/>
      <w:r>
        <w:rPr>
          <w:color w:val="1F497D"/>
        </w:rPr>
        <w:t>partnering</w:t>
      </w:r>
      <w:proofErr w:type="gramEnd"/>
      <w:r>
        <w:rPr>
          <w:color w:val="1F497D"/>
        </w:rPr>
        <w:t xml:space="preserve">, but they are provided for general information only, and must not be relied upon or construed as legal advice; </w:t>
      </w:r>
      <w:r w:rsidR="00F0108A" w:rsidRPr="00F0108A">
        <w:rPr>
          <w:rFonts w:cs="Arial"/>
          <w:color w:val="1F497D"/>
        </w:rPr>
        <w:t>if you require such advice, you must contact a lawyer.</w:t>
      </w:r>
    </w:p>
    <w:p w:rsidR="00F0108A" w:rsidRDefault="00F0108A" w:rsidP="00FE390D">
      <w:pPr>
        <w:spacing w:line="240" w:lineRule="auto"/>
        <w:rPr>
          <w:szCs w:val="24"/>
        </w:rPr>
      </w:pPr>
    </w:p>
    <w:p w:rsidR="008C7E48" w:rsidRPr="00BE6E48" w:rsidRDefault="008C7E48" w:rsidP="00FE390D">
      <w:pPr>
        <w:spacing w:line="240" w:lineRule="auto"/>
        <w:rPr>
          <w:i/>
          <w:szCs w:val="24"/>
        </w:rPr>
      </w:pPr>
      <w:r w:rsidRPr="00BE6E48">
        <w:rPr>
          <w:i/>
          <w:szCs w:val="24"/>
        </w:rPr>
        <w:t>Would it be appropriate for us, as a prospective sub-contractor/partner, to complete and return the confidentiality form and to be able to access the TUPE information?</w:t>
      </w:r>
    </w:p>
    <w:p w:rsidR="008C7E48" w:rsidRDefault="008C7E48" w:rsidP="00FE390D">
      <w:pPr>
        <w:spacing w:line="240" w:lineRule="auto"/>
        <w:rPr>
          <w:szCs w:val="24"/>
        </w:rPr>
      </w:pPr>
      <w:r>
        <w:rPr>
          <w:rFonts w:cs="Arial"/>
          <w:color w:val="1F497D"/>
        </w:rPr>
        <w:t xml:space="preserve">It is the responsibility of the tenderer to consider </w:t>
      </w:r>
      <w:proofErr w:type="gramStart"/>
      <w:r>
        <w:rPr>
          <w:rFonts w:cs="Arial"/>
          <w:color w:val="1F497D"/>
        </w:rPr>
        <w:t>whether or not</w:t>
      </w:r>
      <w:proofErr w:type="gramEnd"/>
      <w:r>
        <w:rPr>
          <w:rFonts w:cs="Arial"/>
          <w:color w:val="1F497D"/>
        </w:rPr>
        <w:t xml:space="preserve"> TUPE applies in the circumstances of this contract and tender accordingly.  Since we expect TUPE to apply, we are providing anonymised information about those currently providing the services.  </w:t>
      </w:r>
      <w:r w:rsidR="00F0108A" w:rsidRPr="00F0108A">
        <w:rPr>
          <w:rFonts w:cs="Arial"/>
          <w:color w:val="1F497D"/>
        </w:rPr>
        <w:t>Where there is a group of economic operators, the lead cont</w:t>
      </w:r>
      <w:r w:rsidR="00F0108A">
        <w:rPr>
          <w:rFonts w:cs="Arial"/>
          <w:color w:val="1F497D"/>
        </w:rPr>
        <w:t>r</w:t>
      </w:r>
      <w:r w:rsidR="00F0108A" w:rsidRPr="00F0108A">
        <w:rPr>
          <w:rFonts w:cs="Arial"/>
          <w:color w:val="1F497D"/>
        </w:rPr>
        <w:t xml:space="preserve">actor will be accountable for ensuring contractual obligations </w:t>
      </w:r>
      <w:proofErr w:type="gramStart"/>
      <w:r w:rsidR="00F0108A" w:rsidRPr="00F0108A">
        <w:rPr>
          <w:rFonts w:cs="Arial"/>
          <w:color w:val="1F497D"/>
        </w:rPr>
        <w:t>are met</w:t>
      </w:r>
      <w:proofErr w:type="gramEnd"/>
      <w:r w:rsidR="00F0108A" w:rsidRPr="00F0108A">
        <w:rPr>
          <w:rFonts w:cs="Arial"/>
          <w:color w:val="1F497D"/>
        </w:rPr>
        <w:t>.</w:t>
      </w:r>
      <w:r w:rsidR="00F0108A">
        <w:rPr>
          <w:rFonts w:cs="Arial"/>
          <w:color w:val="1F497D"/>
        </w:rPr>
        <w:t xml:space="preserve">  </w:t>
      </w:r>
      <w:r w:rsidR="000C4123">
        <w:rPr>
          <w:rFonts w:cs="Arial"/>
          <w:color w:val="1F497D"/>
        </w:rPr>
        <w:t xml:space="preserve">However, there is nothing preventing an </w:t>
      </w:r>
      <w:proofErr w:type="gramStart"/>
      <w:r w:rsidR="000C4123">
        <w:rPr>
          <w:rFonts w:cs="Arial"/>
          <w:color w:val="1F497D"/>
        </w:rPr>
        <w:t>organisation which</w:t>
      </w:r>
      <w:proofErr w:type="gramEnd"/>
      <w:r w:rsidR="000C4123">
        <w:rPr>
          <w:rFonts w:cs="Arial"/>
          <w:color w:val="1F497D"/>
        </w:rPr>
        <w:t xml:space="preserve"> expects to be a sub-contractor or a partner from submitting the confidentiality form and receiving the TUPE information.  </w:t>
      </w:r>
    </w:p>
    <w:p w:rsidR="008C7E48" w:rsidRDefault="008C7E48" w:rsidP="00FE390D">
      <w:pPr>
        <w:spacing w:line="240" w:lineRule="auto"/>
        <w:rPr>
          <w:szCs w:val="24"/>
        </w:rPr>
      </w:pPr>
    </w:p>
    <w:p w:rsidR="00F0108A" w:rsidRPr="00F0108A" w:rsidRDefault="00760F64" w:rsidP="00FE390D">
      <w:pPr>
        <w:spacing w:line="240" w:lineRule="auto"/>
        <w:rPr>
          <w:rFonts w:cs="Arial"/>
          <w:color w:val="1F497D"/>
        </w:rPr>
      </w:pPr>
      <w:r>
        <w:rPr>
          <w:color w:val="1F497D"/>
        </w:rPr>
        <w:t xml:space="preserve">The comments concerning TUPE are provided to be of help to you and in the spirit of </w:t>
      </w:r>
      <w:proofErr w:type="gramStart"/>
      <w:r>
        <w:rPr>
          <w:color w:val="1F497D"/>
        </w:rPr>
        <w:t>partnering</w:t>
      </w:r>
      <w:proofErr w:type="gramEnd"/>
      <w:r>
        <w:rPr>
          <w:color w:val="1F497D"/>
        </w:rPr>
        <w:t>, but they are provided for general information only, and must not be relied upon or construed as legal advice</w:t>
      </w:r>
      <w:r w:rsidR="00F0108A" w:rsidRPr="00F0108A">
        <w:rPr>
          <w:rFonts w:cs="Arial"/>
          <w:color w:val="1F497D"/>
        </w:rPr>
        <w:t>; if you require such advice, you must contact a lawyer.</w:t>
      </w:r>
    </w:p>
    <w:p w:rsidR="00F0108A" w:rsidRDefault="00F0108A" w:rsidP="00FE390D">
      <w:pPr>
        <w:spacing w:line="240" w:lineRule="auto"/>
        <w:rPr>
          <w:szCs w:val="24"/>
        </w:rPr>
      </w:pPr>
    </w:p>
    <w:p w:rsidR="00FE390D" w:rsidRDefault="00FE390D" w:rsidP="00FE390D">
      <w:pPr>
        <w:spacing w:line="240" w:lineRule="auto"/>
        <w:rPr>
          <w:szCs w:val="24"/>
          <w:u w:val="single"/>
        </w:rPr>
      </w:pPr>
    </w:p>
    <w:p w:rsidR="00FE390D" w:rsidRDefault="00FE390D">
      <w:pPr>
        <w:spacing w:after="160"/>
        <w:rPr>
          <w:szCs w:val="24"/>
          <w:u w:val="single"/>
        </w:rPr>
      </w:pPr>
      <w:r>
        <w:rPr>
          <w:szCs w:val="24"/>
          <w:u w:val="single"/>
        </w:rPr>
        <w:br w:type="page"/>
      </w:r>
    </w:p>
    <w:p w:rsidR="00893613" w:rsidRPr="0075198E" w:rsidRDefault="00893613" w:rsidP="00FE390D">
      <w:pPr>
        <w:spacing w:line="240" w:lineRule="auto"/>
        <w:rPr>
          <w:i/>
          <w:szCs w:val="24"/>
          <w:u w:val="single"/>
        </w:rPr>
      </w:pPr>
      <w:r w:rsidRPr="0075198E">
        <w:rPr>
          <w:i/>
          <w:szCs w:val="24"/>
          <w:u w:val="single"/>
        </w:rPr>
        <w:lastRenderedPageBreak/>
        <w:t>Document 2 - Departmental Standard Requirements</w:t>
      </w:r>
    </w:p>
    <w:p w:rsidR="00893613" w:rsidRPr="0075198E" w:rsidRDefault="00893613" w:rsidP="00FE390D">
      <w:pPr>
        <w:spacing w:line="240" w:lineRule="auto"/>
        <w:rPr>
          <w:i/>
          <w:szCs w:val="24"/>
          <w:u w:val="single"/>
        </w:rPr>
      </w:pPr>
    </w:p>
    <w:p w:rsidR="00893613" w:rsidRPr="0075198E" w:rsidRDefault="00893613" w:rsidP="00FE390D">
      <w:pPr>
        <w:spacing w:line="240" w:lineRule="auto"/>
        <w:rPr>
          <w:i/>
          <w:szCs w:val="24"/>
        </w:rPr>
      </w:pPr>
      <w:r w:rsidRPr="0075198E">
        <w:rPr>
          <w:i/>
          <w:szCs w:val="24"/>
        </w:rPr>
        <w:t>Cyber Essentials scheme.  As we read this requirement, it is not necessary for bidders to have Cyber Essentials certification for our tender response, but we would need to demonstrate that we would be able to secure certification prior to contract award.  Can the Department give any further indication of what it would expect in the way of evidence to demonstrate this?</w:t>
      </w:r>
    </w:p>
    <w:p w:rsidR="00893613" w:rsidRPr="0075198E" w:rsidRDefault="00893613" w:rsidP="00FE390D">
      <w:pPr>
        <w:spacing w:line="240" w:lineRule="auto"/>
        <w:rPr>
          <w:color w:val="1F4E79" w:themeColor="accent1" w:themeShade="80"/>
          <w:szCs w:val="24"/>
        </w:rPr>
      </w:pPr>
      <w:r w:rsidRPr="0075198E">
        <w:rPr>
          <w:color w:val="1F4E79" w:themeColor="accent1" w:themeShade="80"/>
          <w:szCs w:val="24"/>
        </w:rPr>
        <w:t xml:space="preserve">Relevant information </w:t>
      </w:r>
      <w:proofErr w:type="gramStart"/>
      <w:r w:rsidRPr="0075198E">
        <w:rPr>
          <w:color w:val="1F4E79" w:themeColor="accent1" w:themeShade="80"/>
          <w:szCs w:val="24"/>
        </w:rPr>
        <w:t>can be found</w:t>
      </w:r>
      <w:proofErr w:type="gramEnd"/>
      <w:r w:rsidRPr="0075198E">
        <w:rPr>
          <w:color w:val="1F4E79" w:themeColor="accent1" w:themeShade="80"/>
          <w:szCs w:val="24"/>
        </w:rPr>
        <w:t xml:space="preserve"> here, including within the </w:t>
      </w:r>
      <w:r w:rsidRPr="0075198E">
        <w:rPr>
          <w:iCs/>
          <w:color w:val="1F4E79" w:themeColor="accent1" w:themeShade="80"/>
          <w:szCs w:val="24"/>
        </w:rPr>
        <w:t>Getting Certified</w:t>
      </w:r>
      <w:r w:rsidRPr="0075198E">
        <w:rPr>
          <w:color w:val="1F4E79" w:themeColor="accent1" w:themeShade="80"/>
          <w:szCs w:val="24"/>
        </w:rPr>
        <w:t xml:space="preserve"> tab: </w:t>
      </w:r>
      <w:hyperlink r:id="rId10" w:history="1">
        <w:r w:rsidRPr="0075198E">
          <w:rPr>
            <w:rStyle w:val="Hyperlink"/>
            <w:color w:val="1F4E79" w:themeColor="accent1" w:themeShade="80"/>
            <w:szCs w:val="24"/>
          </w:rPr>
          <w:t>https://www.cyberessentials.ncsc.gov.uk/</w:t>
        </w:r>
      </w:hyperlink>
      <w:r w:rsidRPr="0075198E">
        <w:rPr>
          <w:color w:val="1F4E79" w:themeColor="accent1" w:themeShade="80"/>
          <w:szCs w:val="24"/>
        </w:rPr>
        <w:t>. </w:t>
      </w:r>
      <w:r w:rsidR="00FE390D">
        <w:rPr>
          <w:color w:val="1F4E79" w:themeColor="accent1" w:themeShade="80"/>
          <w:szCs w:val="24"/>
        </w:rPr>
        <w:t xml:space="preserve"> </w:t>
      </w:r>
      <w:r w:rsidRPr="0075198E">
        <w:rPr>
          <w:color w:val="1F4E79" w:themeColor="accent1" w:themeShade="80"/>
          <w:szCs w:val="24"/>
        </w:rPr>
        <w:t>We suggest you review this information and demonstrate in your tender the extent to which your organisation already meets the requirements of the Cyber Essentials scheme, together with any shortfalls, and the steps you would take to remedy them and obtain certification within the expected timescales for contract signature.</w:t>
      </w:r>
    </w:p>
    <w:p w:rsidR="00893613" w:rsidRPr="00061984" w:rsidRDefault="00893613" w:rsidP="00FE390D">
      <w:pPr>
        <w:spacing w:line="240" w:lineRule="auto"/>
        <w:rPr>
          <w:szCs w:val="24"/>
          <w:u w:val="single"/>
        </w:rPr>
      </w:pPr>
    </w:p>
    <w:p w:rsidR="00893613" w:rsidRPr="0075198E" w:rsidRDefault="00893613" w:rsidP="00FE390D">
      <w:pPr>
        <w:spacing w:line="240" w:lineRule="auto"/>
        <w:rPr>
          <w:i/>
          <w:szCs w:val="24"/>
          <w:u w:val="single"/>
        </w:rPr>
      </w:pPr>
      <w:r w:rsidRPr="0075198E">
        <w:rPr>
          <w:i/>
          <w:szCs w:val="24"/>
          <w:u w:val="single"/>
        </w:rPr>
        <w:t xml:space="preserve">Document </w:t>
      </w:r>
      <w:proofErr w:type="gramStart"/>
      <w:r w:rsidRPr="0075198E">
        <w:rPr>
          <w:i/>
          <w:szCs w:val="24"/>
          <w:u w:val="single"/>
        </w:rPr>
        <w:t>3</w:t>
      </w:r>
      <w:proofErr w:type="gramEnd"/>
      <w:r w:rsidRPr="0075198E">
        <w:rPr>
          <w:i/>
          <w:szCs w:val="24"/>
          <w:u w:val="single"/>
        </w:rPr>
        <w:t xml:space="preserve"> - Pre-qualification questions</w:t>
      </w:r>
    </w:p>
    <w:p w:rsidR="00893613" w:rsidRPr="0075198E" w:rsidRDefault="00893613" w:rsidP="00FE390D">
      <w:pPr>
        <w:spacing w:line="240" w:lineRule="auto"/>
        <w:rPr>
          <w:i/>
          <w:szCs w:val="24"/>
        </w:rPr>
      </w:pPr>
    </w:p>
    <w:p w:rsidR="00893613" w:rsidRPr="0075198E" w:rsidRDefault="00893613" w:rsidP="00FE390D">
      <w:pPr>
        <w:pStyle w:val="Normal1"/>
        <w:jc w:val="both"/>
        <w:rPr>
          <w:rFonts w:ascii="Arial" w:hAnsi="Arial" w:cs="Arial"/>
          <w:i/>
        </w:rPr>
      </w:pPr>
      <w:r w:rsidRPr="0075198E">
        <w:rPr>
          <w:rFonts w:ascii="Arial" w:hAnsi="Arial" w:cs="Arial"/>
          <w:i/>
        </w:rPr>
        <w:t xml:space="preserve">Introduction - Paragraph 4 on "submission of exclusion grounds" appears to be in draft, what is the final text of the requirement? </w:t>
      </w:r>
    </w:p>
    <w:p w:rsidR="00FE390D" w:rsidRDefault="00893613" w:rsidP="00FE390D">
      <w:pPr>
        <w:pStyle w:val="Normal1"/>
        <w:jc w:val="both"/>
        <w:rPr>
          <w:rFonts w:ascii="Arial" w:hAnsi="Arial" w:cs="Arial"/>
          <w:color w:val="1F4E79" w:themeColor="accent1" w:themeShade="80"/>
        </w:rPr>
      </w:pPr>
      <w:r w:rsidRPr="0075198E">
        <w:rPr>
          <w:rFonts w:ascii="Arial" w:hAnsi="Arial" w:cs="Arial"/>
          <w:color w:val="1F4E79" w:themeColor="accent1" w:themeShade="80"/>
        </w:rPr>
        <w:t xml:space="preserve">Paragraph 4 </w:t>
      </w:r>
      <w:proofErr w:type="gramStart"/>
      <w:r w:rsidRPr="0075198E">
        <w:rPr>
          <w:rFonts w:ascii="Arial" w:hAnsi="Arial" w:cs="Arial"/>
          <w:color w:val="1F4E79" w:themeColor="accent1" w:themeShade="80"/>
        </w:rPr>
        <w:t>should be deleted</w:t>
      </w:r>
      <w:proofErr w:type="gramEnd"/>
      <w:r w:rsidRPr="0075198E">
        <w:rPr>
          <w:rFonts w:ascii="Arial" w:hAnsi="Arial" w:cs="Arial"/>
          <w:color w:val="1F4E79" w:themeColor="accent1" w:themeShade="80"/>
        </w:rPr>
        <w:t>. Th</w:t>
      </w:r>
      <w:r w:rsidR="00FE390D">
        <w:rPr>
          <w:rFonts w:ascii="Arial" w:hAnsi="Arial" w:cs="Arial"/>
          <w:color w:val="1F4E79" w:themeColor="accent1" w:themeShade="80"/>
        </w:rPr>
        <w:t xml:space="preserve">e previous paragraph applies: </w:t>
      </w:r>
    </w:p>
    <w:p w:rsidR="00FE390D" w:rsidRDefault="00FE390D" w:rsidP="00FE390D">
      <w:pPr>
        <w:pStyle w:val="Normal1"/>
        <w:jc w:val="both"/>
        <w:rPr>
          <w:rFonts w:ascii="Arial" w:hAnsi="Arial" w:cs="Arial"/>
          <w:color w:val="1F4E79" w:themeColor="accent1" w:themeShade="80"/>
        </w:rPr>
      </w:pPr>
    </w:p>
    <w:p w:rsidR="00893613" w:rsidRPr="0075198E" w:rsidRDefault="00FE390D" w:rsidP="00FE390D">
      <w:pPr>
        <w:pStyle w:val="Normal1"/>
        <w:ind w:left="720"/>
        <w:jc w:val="both"/>
        <w:rPr>
          <w:rFonts w:ascii="Arial" w:hAnsi="Arial" w:cs="Arial"/>
          <w:color w:val="1F4E79" w:themeColor="accent1" w:themeShade="80"/>
        </w:rPr>
      </w:pPr>
      <w:r>
        <w:rPr>
          <w:rFonts w:ascii="Arial" w:hAnsi="Arial" w:cs="Arial"/>
          <w:color w:val="1F4E79" w:themeColor="accent1" w:themeShade="80"/>
        </w:rPr>
        <w:t>“</w:t>
      </w:r>
      <w:r w:rsidR="00893613" w:rsidRPr="0075198E">
        <w:rPr>
          <w:rFonts w:ascii="Arial" w:eastAsia="Arial" w:hAnsi="Arial" w:cs="Arial"/>
          <w:color w:val="1F4E79" w:themeColor="accent1" w:themeShade="80"/>
        </w:rPr>
        <w:t>When completed, this form is to be sent back to the contact point given in the procurement documents along with the selection information requested in</w:t>
      </w:r>
      <w:r>
        <w:rPr>
          <w:rFonts w:ascii="Arial" w:eastAsia="Arial" w:hAnsi="Arial" w:cs="Arial"/>
          <w:color w:val="1F4E79" w:themeColor="accent1" w:themeShade="80"/>
        </w:rPr>
        <w:t xml:space="preserve"> the procurement documentation.”</w:t>
      </w:r>
      <w:r w:rsidR="00893613" w:rsidRPr="0075198E">
        <w:rPr>
          <w:rFonts w:ascii="Arial" w:eastAsia="Arial" w:hAnsi="Arial" w:cs="Arial"/>
          <w:color w:val="1F4E79" w:themeColor="accent1" w:themeShade="80"/>
        </w:rPr>
        <w:t xml:space="preserve"> </w:t>
      </w:r>
    </w:p>
    <w:p w:rsidR="00893613" w:rsidRPr="0075198E" w:rsidRDefault="00893613" w:rsidP="00FE390D">
      <w:pPr>
        <w:spacing w:line="240" w:lineRule="auto"/>
        <w:rPr>
          <w:i/>
          <w:szCs w:val="24"/>
        </w:rPr>
      </w:pPr>
      <w:r w:rsidRPr="0075198E">
        <w:rPr>
          <w:i/>
          <w:szCs w:val="24"/>
        </w:rPr>
        <w:br/>
        <w:t>Introduction: Notes for completion - Point 6 on "sub-contractors completion of Part 1 and</w:t>
      </w:r>
      <w:r w:rsidR="00FE390D">
        <w:rPr>
          <w:i/>
          <w:szCs w:val="24"/>
        </w:rPr>
        <w:t xml:space="preserve"> Part 2" appears to be in draft. </w:t>
      </w:r>
      <w:r w:rsidRPr="0075198E">
        <w:rPr>
          <w:i/>
          <w:szCs w:val="24"/>
        </w:rPr>
        <w:t xml:space="preserve"> </w:t>
      </w:r>
      <w:r w:rsidR="00FE390D">
        <w:rPr>
          <w:i/>
          <w:szCs w:val="24"/>
        </w:rPr>
        <w:t>W</w:t>
      </w:r>
      <w:r w:rsidRPr="0075198E">
        <w:rPr>
          <w:i/>
          <w:szCs w:val="24"/>
        </w:rPr>
        <w:t xml:space="preserve">hat is the final text of the requirement? </w:t>
      </w:r>
    </w:p>
    <w:p w:rsidR="00893613" w:rsidRDefault="00893613" w:rsidP="00FE390D">
      <w:pPr>
        <w:spacing w:line="240" w:lineRule="auto"/>
        <w:rPr>
          <w:szCs w:val="24"/>
        </w:rPr>
      </w:pPr>
      <w:r w:rsidRPr="0075198E">
        <w:rPr>
          <w:color w:val="1F4E79" w:themeColor="accent1" w:themeShade="80"/>
          <w:szCs w:val="24"/>
        </w:rPr>
        <w:t xml:space="preserve">Point 6 </w:t>
      </w:r>
      <w:proofErr w:type="gramStart"/>
      <w:r w:rsidRPr="0075198E">
        <w:rPr>
          <w:color w:val="1F4E79" w:themeColor="accent1" w:themeShade="80"/>
          <w:szCs w:val="24"/>
        </w:rPr>
        <w:t>should be deleted</w:t>
      </w:r>
      <w:proofErr w:type="gramEnd"/>
      <w:r w:rsidRPr="0075198E">
        <w:rPr>
          <w:i/>
          <w:szCs w:val="24"/>
        </w:rPr>
        <w:t>.</w:t>
      </w:r>
      <w:r w:rsidRPr="0075198E">
        <w:rPr>
          <w:i/>
          <w:szCs w:val="24"/>
        </w:rPr>
        <w:br/>
      </w:r>
      <w:r w:rsidRPr="00061984">
        <w:rPr>
          <w:szCs w:val="24"/>
        </w:rPr>
        <w:br/>
      </w:r>
      <w:r w:rsidRPr="0075198E">
        <w:rPr>
          <w:i/>
          <w:szCs w:val="24"/>
        </w:rPr>
        <w:t xml:space="preserve">Selection Questions - Q8.3 "Steel" can we assume this does not apply to this </w:t>
      </w:r>
      <w:proofErr w:type="gramStart"/>
      <w:r w:rsidRPr="0075198E">
        <w:rPr>
          <w:i/>
          <w:szCs w:val="24"/>
        </w:rPr>
        <w:t>procurement?</w:t>
      </w:r>
      <w:proofErr w:type="gramEnd"/>
      <w:r>
        <w:rPr>
          <w:szCs w:val="24"/>
        </w:rPr>
        <w:t xml:space="preserve"> </w:t>
      </w:r>
    </w:p>
    <w:p w:rsidR="00893613" w:rsidRDefault="00893613" w:rsidP="00FE390D">
      <w:pPr>
        <w:spacing w:line="240" w:lineRule="auto"/>
        <w:rPr>
          <w:szCs w:val="24"/>
        </w:rPr>
      </w:pPr>
      <w:r w:rsidRPr="0075198E">
        <w:rPr>
          <w:color w:val="1F4E79" w:themeColor="accent1" w:themeShade="80"/>
          <w:szCs w:val="24"/>
        </w:rPr>
        <w:t>Yes</w:t>
      </w:r>
      <w:r w:rsidR="00FE390D">
        <w:rPr>
          <w:color w:val="1F4E79" w:themeColor="accent1" w:themeShade="80"/>
          <w:szCs w:val="24"/>
        </w:rPr>
        <w:t xml:space="preserve">.  </w:t>
      </w:r>
      <w:r w:rsidRPr="00061984">
        <w:rPr>
          <w:szCs w:val="24"/>
        </w:rPr>
        <w:br/>
      </w:r>
      <w:r w:rsidRPr="00061984">
        <w:rPr>
          <w:szCs w:val="24"/>
        </w:rPr>
        <w:br/>
      </w:r>
      <w:r w:rsidRPr="0075198E">
        <w:rPr>
          <w:i/>
          <w:szCs w:val="24"/>
        </w:rPr>
        <w:t xml:space="preserve">Selection Questions - Q8.4a "Suppliers’ Past Performance", do we need to make a list of relevant principal contracts available with the tender </w:t>
      </w:r>
      <w:proofErr w:type="gramStart"/>
      <w:r w:rsidRPr="0075198E">
        <w:rPr>
          <w:i/>
          <w:szCs w:val="24"/>
        </w:rPr>
        <w:t>proposal,</w:t>
      </w:r>
      <w:proofErr w:type="gramEnd"/>
      <w:r w:rsidRPr="0075198E">
        <w:rPr>
          <w:i/>
          <w:szCs w:val="24"/>
        </w:rPr>
        <w:t xml:space="preserve"> or only if requested?</w:t>
      </w:r>
      <w:r w:rsidRPr="0075198E">
        <w:rPr>
          <w:szCs w:val="24"/>
        </w:rPr>
        <w:t xml:space="preserve"> </w:t>
      </w:r>
    </w:p>
    <w:p w:rsidR="00893613" w:rsidRDefault="00893613" w:rsidP="00FE390D">
      <w:pPr>
        <w:spacing w:line="240" w:lineRule="auto"/>
        <w:rPr>
          <w:color w:val="1F4E79" w:themeColor="accent1" w:themeShade="80"/>
          <w:szCs w:val="24"/>
        </w:rPr>
      </w:pPr>
      <w:r w:rsidRPr="0075198E">
        <w:rPr>
          <w:color w:val="1F4E79" w:themeColor="accent1" w:themeShade="80"/>
          <w:szCs w:val="24"/>
        </w:rPr>
        <w:t xml:space="preserve">In this </w:t>
      </w:r>
      <w:proofErr w:type="gramStart"/>
      <w:r w:rsidRPr="0075198E">
        <w:rPr>
          <w:color w:val="1F4E79" w:themeColor="accent1" w:themeShade="80"/>
          <w:szCs w:val="24"/>
        </w:rPr>
        <w:t>question</w:t>
      </w:r>
      <w:proofErr w:type="gramEnd"/>
      <w:r w:rsidRPr="0075198E">
        <w:rPr>
          <w:color w:val="1F4E79" w:themeColor="accent1" w:themeShade="80"/>
          <w:szCs w:val="24"/>
        </w:rPr>
        <w:t xml:space="preserve"> you just need to tick whether you are able to provide the information – not provide it. Section 6.1 asks bidders to give details of three previous contracts.  </w:t>
      </w:r>
    </w:p>
    <w:p w:rsidR="006514A9" w:rsidRDefault="006514A9" w:rsidP="00FE390D">
      <w:pPr>
        <w:spacing w:line="240" w:lineRule="auto"/>
        <w:rPr>
          <w:color w:val="1F4E79" w:themeColor="accent1" w:themeShade="80"/>
          <w:szCs w:val="24"/>
        </w:rPr>
      </w:pPr>
    </w:p>
    <w:p w:rsidR="006514A9" w:rsidRPr="00FE390D" w:rsidRDefault="006514A9" w:rsidP="006514A9">
      <w:pPr>
        <w:spacing w:line="240" w:lineRule="auto"/>
        <w:rPr>
          <w:szCs w:val="24"/>
          <w:u w:val="single"/>
        </w:rPr>
      </w:pPr>
      <w:r w:rsidRPr="0075198E">
        <w:rPr>
          <w:i/>
          <w:szCs w:val="24"/>
          <w:u w:val="single"/>
        </w:rPr>
        <w:t xml:space="preserve">Document 4 </w:t>
      </w:r>
      <w:r>
        <w:rPr>
          <w:i/>
          <w:szCs w:val="24"/>
          <w:u w:val="single"/>
        </w:rPr>
        <w:t>–</w:t>
      </w:r>
      <w:r w:rsidRPr="0075198E">
        <w:rPr>
          <w:i/>
          <w:szCs w:val="24"/>
          <w:u w:val="single"/>
        </w:rPr>
        <w:t xml:space="preserve"> </w:t>
      </w:r>
      <w:r>
        <w:rPr>
          <w:i/>
          <w:szCs w:val="24"/>
          <w:u w:val="single"/>
        </w:rPr>
        <w:t>Specification of Requirement</w:t>
      </w:r>
    </w:p>
    <w:p w:rsidR="006514A9" w:rsidRDefault="006514A9" w:rsidP="006514A9">
      <w:pPr>
        <w:spacing w:line="240" w:lineRule="auto"/>
        <w:rPr>
          <w:szCs w:val="24"/>
        </w:rPr>
      </w:pPr>
    </w:p>
    <w:p w:rsidR="006514A9" w:rsidRDefault="006514A9" w:rsidP="006514A9">
      <w:pPr>
        <w:spacing w:line="240" w:lineRule="auto"/>
        <w:rPr>
          <w:rFonts w:cs="Arial"/>
          <w:color w:val="1F497D"/>
          <w:szCs w:val="24"/>
        </w:rPr>
      </w:pPr>
      <w:r w:rsidRPr="006514A9">
        <w:rPr>
          <w:i/>
        </w:rPr>
        <w:t xml:space="preserve">Can the commissioners please confirm whether they intend to release </w:t>
      </w:r>
      <w:proofErr w:type="gramStart"/>
      <w:r w:rsidRPr="006514A9">
        <w:rPr>
          <w:i/>
        </w:rPr>
        <w:t>a marking criteria</w:t>
      </w:r>
      <w:proofErr w:type="gramEnd"/>
      <w:r w:rsidRPr="006514A9">
        <w:rPr>
          <w:i/>
        </w:rPr>
        <w:t xml:space="preserve">? </w:t>
      </w:r>
      <w:proofErr w:type="gramStart"/>
      <w:r w:rsidRPr="006514A9">
        <w:rPr>
          <w:i/>
        </w:rPr>
        <w:t>Also</w:t>
      </w:r>
      <w:proofErr w:type="gramEnd"/>
      <w:r w:rsidRPr="006514A9">
        <w:rPr>
          <w:i/>
        </w:rPr>
        <w:t>, given that the DfE have stated that the tenders will be “evaluated fairly to ascertain the economically most advantageous tender”, will you be publishing the Price vs Quality marking?</w:t>
      </w:r>
      <w:r w:rsidRPr="006514A9">
        <w:rPr>
          <w:rFonts w:cs="Arial"/>
          <w:color w:val="1F497D"/>
          <w:szCs w:val="24"/>
        </w:rPr>
        <w:t xml:space="preserve"> </w:t>
      </w:r>
      <w:r>
        <w:rPr>
          <w:rFonts w:cs="Arial"/>
          <w:color w:val="1F497D"/>
          <w:szCs w:val="24"/>
        </w:rPr>
        <w:t xml:space="preserve">The evaluation criteria is set out in attachment 2 of the ITT pack.  </w:t>
      </w:r>
      <w:r w:rsidR="004E1E85">
        <w:rPr>
          <w:rFonts w:cs="Arial"/>
          <w:color w:val="1F497D"/>
          <w:szCs w:val="24"/>
        </w:rPr>
        <w:t xml:space="preserve">This includes weightings for price and quality.  </w:t>
      </w:r>
    </w:p>
    <w:p w:rsidR="006514A9" w:rsidRPr="006514A9" w:rsidRDefault="006514A9" w:rsidP="006514A9"/>
    <w:p w:rsidR="006514A9" w:rsidRPr="00FE390D" w:rsidRDefault="006514A9" w:rsidP="006514A9">
      <w:pPr>
        <w:spacing w:line="240" w:lineRule="auto"/>
        <w:rPr>
          <w:i/>
          <w:szCs w:val="24"/>
        </w:rPr>
      </w:pPr>
      <w:r w:rsidRPr="00DD7D98">
        <w:rPr>
          <w:i/>
          <w:szCs w:val="24"/>
        </w:rPr>
        <w:t>Are the requirements that sit within</w:t>
      </w:r>
      <w:r>
        <w:rPr>
          <w:i/>
          <w:szCs w:val="24"/>
        </w:rPr>
        <w:t xml:space="preserve"> the ITT under heading </w:t>
      </w:r>
      <w:proofErr w:type="gramStart"/>
      <w:r>
        <w:rPr>
          <w:i/>
          <w:szCs w:val="24"/>
        </w:rPr>
        <w:t>6</w:t>
      </w:r>
      <w:proofErr w:type="gramEnd"/>
      <w:r w:rsidRPr="00DD7D98">
        <w:rPr>
          <w:i/>
          <w:szCs w:val="24"/>
        </w:rPr>
        <w:t xml:space="preserve"> </w:t>
      </w:r>
      <w:r>
        <w:rPr>
          <w:i/>
          <w:szCs w:val="24"/>
        </w:rPr>
        <w:t>(Key Requirements for the</w:t>
      </w:r>
      <w:r w:rsidRPr="00DD7D98">
        <w:rPr>
          <w:i/>
          <w:szCs w:val="24"/>
        </w:rPr>
        <w:t xml:space="preserve"> Contract</w:t>
      </w:r>
      <w:r>
        <w:rPr>
          <w:i/>
          <w:szCs w:val="24"/>
        </w:rPr>
        <w:t xml:space="preserve">) </w:t>
      </w:r>
      <w:r w:rsidRPr="00DD7D98">
        <w:rPr>
          <w:i/>
          <w:szCs w:val="24"/>
        </w:rPr>
        <w:t>the method statements that need to be completed for the purposes of the tender evaluation</w:t>
      </w:r>
      <w:r>
        <w:rPr>
          <w:i/>
          <w:szCs w:val="24"/>
        </w:rPr>
        <w:t>?  If</w:t>
      </w:r>
      <w:r w:rsidRPr="00DD7D98">
        <w:rPr>
          <w:i/>
          <w:szCs w:val="24"/>
        </w:rPr>
        <w:t xml:space="preserve"> so</w:t>
      </w:r>
      <w:r>
        <w:rPr>
          <w:i/>
          <w:szCs w:val="24"/>
        </w:rPr>
        <w:t>,</w:t>
      </w:r>
      <w:r w:rsidRPr="00DD7D98">
        <w:rPr>
          <w:i/>
          <w:szCs w:val="24"/>
        </w:rPr>
        <w:t xml:space="preserve"> what are the word counts for each requirement please?</w:t>
      </w:r>
    </w:p>
    <w:p w:rsidR="006514A9" w:rsidRDefault="006514A9" w:rsidP="006514A9">
      <w:pPr>
        <w:spacing w:line="240" w:lineRule="auto"/>
        <w:rPr>
          <w:rFonts w:cs="Arial"/>
          <w:color w:val="1F497D"/>
          <w:szCs w:val="24"/>
        </w:rPr>
      </w:pPr>
      <w:r>
        <w:rPr>
          <w:rFonts w:cs="Arial"/>
          <w:color w:val="1F497D"/>
          <w:szCs w:val="24"/>
        </w:rPr>
        <w:lastRenderedPageBreak/>
        <w:t xml:space="preserve">Yes.  The Contract Requirements set out in the specification (from page 29 of the ITT pack) set out what we expect the successful contractor to deliver.  These </w:t>
      </w:r>
      <w:proofErr w:type="gramStart"/>
      <w:r>
        <w:rPr>
          <w:rFonts w:cs="Arial"/>
          <w:color w:val="1F497D"/>
          <w:szCs w:val="24"/>
        </w:rPr>
        <w:t>will be assessed</w:t>
      </w:r>
      <w:proofErr w:type="gramEnd"/>
      <w:r>
        <w:rPr>
          <w:rFonts w:cs="Arial"/>
          <w:color w:val="1F497D"/>
          <w:szCs w:val="24"/>
        </w:rPr>
        <w:t xml:space="preserve"> using the evaluation criteria set out in attachment 2 of the ITT pack.  </w:t>
      </w:r>
    </w:p>
    <w:p w:rsidR="006514A9" w:rsidRDefault="006514A9" w:rsidP="006514A9">
      <w:pPr>
        <w:spacing w:line="240" w:lineRule="auto"/>
        <w:rPr>
          <w:rFonts w:cs="Arial"/>
          <w:color w:val="1F497D"/>
          <w:szCs w:val="24"/>
        </w:rPr>
      </w:pPr>
    </w:p>
    <w:p w:rsidR="006514A9" w:rsidRDefault="006514A9" w:rsidP="006514A9">
      <w:pPr>
        <w:spacing w:line="240" w:lineRule="auto"/>
        <w:rPr>
          <w:rFonts w:cs="Arial"/>
          <w:color w:val="1F497D"/>
          <w:szCs w:val="24"/>
        </w:rPr>
      </w:pPr>
      <w:r>
        <w:rPr>
          <w:rFonts w:cs="Arial"/>
          <w:color w:val="1F497D"/>
          <w:szCs w:val="24"/>
        </w:rPr>
        <w:t xml:space="preserve">There is no word count for these requirements.  However, as set out in point 10 on page 29, the relevant materials for Part 2 of the bid should not exceed 15 pages of printable A4 in a font not less than 12.  CVs and financial breakdowns </w:t>
      </w:r>
      <w:proofErr w:type="gramStart"/>
      <w:r>
        <w:rPr>
          <w:rFonts w:cs="Arial"/>
          <w:color w:val="1F497D"/>
          <w:szCs w:val="24"/>
        </w:rPr>
        <w:t>can be submitted</w:t>
      </w:r>
      <w:proofErr w:type="gramEnd"/>
      <w:r>
        <w:rPr>
          <w:rFonts w:cs="Arial"/>
          <w:color w:val="1F497D"/>
          <w:szCs w:val="24"/>
        </w:rPr>
        <w:t xml:space="preserve"> as an annex to the bid materials and will not count towards the 15-page limit.</w:t>
      </w:r>
    </w:p>
    <w:p w:rsidR="006514A9" w:rsidRDefault="006514A9" w:rsidP="006514A9">
      <w:pPr>
        <w:spacing w:line="240" w:lineRule="auto"/>
        <w:rPr>
          <w:rFonts w:cs="Arial"/>
          <w:color w:val="1F497D"/>
          <w:szCs w:val="24"/>
        </w:rPr>
      </w:pPr>
    </w:p>
    <w:p w:rsidR="006514A9" w:rsidRDefault="006514A9" w:rsidP="006514A9">
      <w:pPr>
        <w:spacing w:line="240" w:lineRule="auto"/>
        <w:rPr>
          <w:rFonts w:cs="Arial"/>
          <w:color w:val="1F497D"/>
          <w:szCs w:val="24"/>
        </w:rPr>
      </w:pPr>
      <w:r w:rsidRPr="006514A9">
        <w:rPr>
          <w:i/>
        </w:rPr>
        <w:t xml:space="preserve">Can the commissioners please confirm that the reference below is relating to the actual questions i.e. those marked as 1.1 through to 1.9 – or is it referring to Part 2 Exclusions Groups? If it is the latter, can you please </w:t>
      </w:r>
      <w:proofErr w:type="gramStart"/>
      <w:r w:rsidRPr="006514A9">
        <w:rPr>
          <w:i/>
        </w:rPr>
        <w:t>advise</w:t>
      </w:r>
      <w:proofErr w:type="gramEnd"/>
      <w:r w:rsidRPr="006514A9">
        <w:rPr>
          <w:i/>
        </w:rPr>
        <w:t xml:space="preserve"> as to page limits for the actual tender questions?</w:t>
      </w:r>
    </w:p>
    <w:p w:rsidR="006514A9" w:rsidRDefault="006514A9" w:rsidP="006514A9">
      <w:pPr>
        <w:spacing w:line="240" w:lineRule="auto"/>
        <w:rPr>
          <w:rFonts w:cs="Arial"/>
          <w:color w:val="1F497D"/>
          <w:szCs w:val="24"/>
        </w:rPr>
      </w:pPr>
      <w:r>
        <w:rPr>
          <w:rFonts w:cs="Arial"/>
          <w:color w:val="1F497D"/>
          <w:szCs w:val="24"/>
        </w:rPr>
        <w:t xml:space="preserve">The Contract Requirements set out in the specification (from page 29 of the ITT pack) set out what we expect the successful contractor to deliver.  These </w:t>
      </w:r>
      <w:proofErr w:type="gramStart"/>
      <w:r>
        <w:rPr>
          <w:rFonts w:cs="Arial"/>
          <w:color w:val="1F497D"/>
          <w:szCs w:val="24"/>
        </w:rPr>
        <w:t>will be assessed</w:t>
      </w:r>
      <w:proofErr w:type="gramEnd"/>
      <w:r>
        <w:rPr>
          <w:rFonts w:cs="Arial"/>
          <w:color w:val="1F497D"/>
          <w:szCs w:val="24"/>
        </w:rPr>
        <w:t xml:space="preserve"> using the evaluation criteria set out in attachment 2 of the ITT pack.  </w:t>
      </w:r>
    </w:p>
    <w:p w:rsidR="006514A9" w:rsidRDefault="006514A9" w:rsidP="006514A9">
      <w:pPr>
        <w:spacing w:line="240" w:lineRule="auto"/>
        <w:rPr>
          <w:rFonts w:cs="Arial"/>
          <w:color w:val="1F497D"/>
          <w:szCs w:val="24"/>
        </w:rPr>
      </w:pPr>
    </w:p>
    <w:p w:rsidR="006514A9" w:rsidRDefault="006514A9" w:rsidP="006514A9">
      <w:pPr>
        <w:spacing w:line="240" w:lineRule="auto"/>
        <w:rPr>
          <w:rFonts w:cs="Arial"/>
          <w:color w:val="1F497D"/>
          <w:szCs w:val="24"/>
        </w:rPr>
      </w:pPr>
      <w:r>
        <w:rPr>
          <w:rFonts w:cs="Arial"/>
          <w:color w:val="1F497D"/>
          <w:szCs w:val="24"/>
        </w:rPr>
        <w:t xml:space="preserve">There is no word count for these requirements.  However, as set out in point 10 on page 29, the relevant materials for Part 2 of the bid should not exceed 15 pages of printable A4 in a font not less than 12.  CVs and financial breakdowns </w:t>
      </w:r>
      <w:proofErr w:type="gramStart"/>
      <w:r>
        <w:rPr>
          <w:rFonts w:cs="Arial"/>
          <w:color w:val="1F497D"/>
          <w:szCs w:val="24"/>
        </w:rPr>
        <w:t>can be submitted</w:t>
      </w:r>
      <w:proofErr w:type="gramEnd"/>
      <w:r>
        <w:rPr>
          <w:rFonts w:cs="Arial"/>
          <w:color w:val="1F497D"/>
          <w:szCs w:val="24"/>
        </w:rPr>
        <w:t xml:space="preserve"> as an annex to the bid materials and will not count towards the 15-page limit.</w:t>
      </w:r>
    </w:p>
    <w:p w:rsidR="006514A9" w:rsidRDefault="006514A9" w:rsidP="006514A9">
      <w:pPr>
        <w:spacing w:line="240" w:lineRule="auto"/>
        <w:rPr>
          <w:rFonts w:cs="Arial"/>
          <w:color w:val="1F497D"/>
          <w:szCs w:val="24"/>
        </w:rPr>
      </w:pPr>
    </w:p>
    <w:p w:rsidR="006514A9" w:rsidRPr="00DD7D98" w:rsidRDefault="006514A9" w:rsidP="006514A9">
      <w:pPr>
        <w:spacing w:line="240" w:lineRule="auto"/>
        <w:rPr>
          <w:rFonts w:ascii="Calibri" w:hAnsi="Calibri" w:cs="Calibri"/>
          <w:i/>
          <w:szCs w:val="24"/>
        </w:rPr>
      </w:pPr>
      <w:r>
        <w:rPr>
          <w:i/>
          <w:szCs w:val="24"/>
        </w:rPr>
        <w:t>Is</w:t>
      </w:r>
      <w:r w:rsidRPr="00DD7D98">
        <w:rPr>
          <w:i/>
          <w:szCs w:val="24"/>
        </w:rPr>
        <w:t xml:space="preserve"> there a required format for the pricing schedule</w:t>
      </w:r>
      <w:r>
        <w:rPr>
          <w:i/>
          <w:szCs w:val="24"/>
        </w:rPr>
        <w:t xml:space="preserve">?  </w:t>
      </w:r>
    </w:p>
    <w:p w:rsidR="006514A9" w:rsidRDefault="006514A9" w:rsidP="006514A9">
      <w:pPr>
        <w:spacing w:line="240" w:lineRule="auto"/>
        <w:rPr>
          <w:rFonts w:cs="Arial"/>
          <w:color w:val="1F497D"/>
          <w:szCs w:val="24"/>
        </w:rPr>
      </w:pPr>
      <w:r>
        <w:rPr>
          <w:rFonts w:cs="Arial"/>
          <w:color w:val="1F497D"/>
          <w:szCs w:val="24"/>
        </w:rPr>
        <w:t xml:space="preserve">There is no required format for the pricing schedule.  However, bidders may find the template attached at the end of this document helpful.  </w:t>
      </w:r>
    </w:p>
    <w:p w:rsidR="006514A9" w:rsidRDefault="006514A9" w:rsidP="006514A9">
      <w:pPr>
        <w:spacing w:line="240" w:lineRule="auto"/>
        <w:rPr>
          <w:rFonts w:cs="Arial"/>
          <w:color w:val="1F497D"/>
          <w:szCs w:val="24"/>
        </w:rPr>
      </w:pPr>
    </w:p>
    <w:p w:rsidR="006514A9" w:rsidRPr="00DD7D98" w:rsidRDefault="006514A9" w:rsidP="006514A9">
      <w:pPr>
        <w:spacing w:line="240" w:lineRule="auto"/>
        <w:rPr>
          <w:rFonts w:ascii="Calibri" w:hAnsi="Calibri" w:cs="Calibri"/>
          <w:i/>
          <w:szCs w:val="24"/>
        </w:rPr>
      </w:pPr>
      <w:r w:rsidRPr="00DD7D98">
        <w:rPr>
          <w:i/>
          <w:szCs w:val="24"/>
        </w:rPr>
        <w:t xml:space="preserve">Can you please confirm </w:t>
      </w:r>
      <w:r>
        <w:rPr>
          <w:i/>
          <w:szCs w:val="24"/>
        </w:rPr>
        <w:t xml:space="preserve">what </w:t>
      </w:r>
      <w:r w:rsidRPr="00DD7D98">
        <w:rPr>
          <w:i/>
          <w:szCs w:val="24"/>
        </w:rPr>
        <w:t>the award criteria price/quality weighting are.</w:t>
      </w:r>
    </w:p>
    <w:p w:rsidR="006514A9" w:rsidRDefault="006514A9" w:rsidP="006514A9">
      <w:pPr>
        <w:spacing w:line="240" w:lineRule="auto"/>
        <w:rPr>
          <w:szCs w:val="24"/>
        </w:rPr>
      </w:pPr>
      <w:r>
        <w:rPr>
          <w:rFonts w:cs="Arial"/>
          <w:color w:val="1F497D"/>
          <w:szCs w:val="24"/>
        </w:rPr>
        <w:t xml:space="preserve">The evaluation criteria for the contract, including the weightings within each contract requirement, </w:t>
      </w:r>
      <w:proofErr w:type="gramStart"/>
      <w:r>
        <w:rPr>
          <w:rFonts w:cs="Arial"/>
          <w:color w:val="1F497D"/>
          <w:szCs w:val="24"/>
        </w:rPr>
        <w:t>are provided</w:t>
      </w:r>
      <w:proofErr w:type="gramEnd"/>
      <w:r>
        <w:rPr>
          <w:rFonts w:cs="Arial"/>
          <w:color w:val="1F497D"/>
          <w:szCs w:val="24"/>
        </w:rPr>
        <w:t xml:space="preserve"> as attachment 2 of the ITT pack.  </w:t>
      </w:r>
    </w:p>
    <w:p w:rsidR="006514A9" w:rsidRDefault="006514A9" w:rsidP="006514A9">
      <w:pPr>
        <w:spacing w:line="240" w:lineRule="auto"/>
        <w:rPr>
          <w:szCs w:val="24"/>
        </w:rPr>
      </w:pPr>
    </w:p>
    <w:p w:rsidR="006514A9" w:rsidRPr="00893613" w:rsidRDefault="006514A9" w:rsidP="006514A9">
      <w:pPr>
        <w:spacing w:line="240" w:lineRule="auto"/>
        <w:contextualSpacing/>
        <w:rPr>
          <w:rFonts w:ascii="Verdana" w:hAnsi="Verdana" w:cs="Times New Roman"/>
          <w:i/>
          <w:szCs w:val="24"/>
        </w:rPr>
      </w:pPr>
      <w:r w:rsidRPr="00893613">
        <w:rPr>
          <w:i/>
        </w:rPr>
        <w:t xml:space="preserve">The Implementation plan, Sustainability and exit plan are to </w:t>
      </w:r>
      <w:proofErr w:type="gramStart"/>
      <w:r w:rsidRPr="00893613">
        <w:rPr>
          <w:i/>
        </w:rPr>
        <w:t>be submitted</w:t>
      </w:r>
      <w:proofErr w:type="gramEnd"/>
      <w:r w:rsidRPr="00893613">
        <w:rPr>
          <w:i/>
        </w:rPr>
        <w:t xml:space="preserve"> before the 29th January. Are these included in the </w:t>
      </w:r>
      <w:proofErr w:type="gramStart"/>
      <w:r w:rsidRPr="00893613">
        <w:rPr>
          <w:i/>
        </w:rPr>
        <w:t>15 page</w:t>
      </w:r>
      <w:proofErr w:type="gramEnd"/>
      <w:r w:rsidRPr="00893613">
        <w:rPr>
          <w:i/>
        </w:rPr>
        <w:t xml:space="preserve"> limit? </w:t>
      </w:r>
    </w:p>
    <w:p w:rsidR="006514A9" w:rsidRDefault="006514A9" w:rsidP="006514A9">
      <w:pPr>
        <w:spacing w:line="240" w:lineRule="auto"/>
        <w:rPr>
          <w:rFonts w:cs="Arial"/>
          <w:iCs/>
          <w:color w:val="1F4E79" w:themeColor="accent1" w:themeShade="80"/>
          <w:szCs w:val="24"/>
        </w:rPr>
      </w:pPr>
      <w:r w:rsidRPr="00893613">
        <w:rPr>
          <w:rFonts w:cs="Arial"/>
          <w:iCs/>
          <w:color w:val="1F4E79" w:themeColor="accent1" w:themeShade="80"/>
          <w:szCs w:val="24"/>
        </w:rPr>
        <w:t xml:space="preserve">As set out in the ITT pack, the materials submitted for Part 2 of the bid should not exceed 15 pages of printable A4 in a font not less than 12.  CVs and financial breakdowns </w:t>
      </w:r>
      <w:proofErr w:type="gramStart"/>
      <w:r w:rsidRPr="00893613">
        <w:rPr>
          <w:rFonts w:cs="Arial"/>
          <w:iCs/>
          <w:color w:val="1F4E79" w:themeColor="accent1" w:themeShade="80"/>
          <w:szCs w:val="24"/>
        </w:rPr>
        <w:t>can be submitted</w:t>
      </w:r>
      <w:proofErr w:type="gramEnd"/>
      <w:r w:rsidRPr="00893613">
        <w:rPr>
          <w:rFonts w:cs="Arial"/>
          <w:iCs/>
          <w:color w:val="1F4E79" w:themeColor="accent1" w:themeShade="80"/>
          <w:szCs w:val="24"/>
        </w:rPr>
        <w:t xml:space="preserve"> as an annex to the bid materials and will not count towards the 15-page limit.  The implementation, sustainability and exit plans do not have to be included in the </w:t>
      </w:r>
      <w:proofErr w:type="gramStart"/>
      <w:r w:rsidRPr="00893613">
        <w:rPr>
          <w:rFonts w:cs="Arial"/>
          <w:iCs/>
          <w:color w:val="1F4E79" w:themeColor="accent1" w:themeShade="80"/>
          <w:szCs w:val="24"/>
        </w:rPr>
        <w:t>15 page</w:t>
      </w:r>
      <w:proofErr w:type="gramEnd"/>
      <w:r w:rsidRPr="00893613">
        <w:rPr>
          <w:rFonts w:cs="Arial"/>
          <w:iCs/>
          <w:color w:val="1F4E79" w:themeColor="accent1" w:themeShade="80"/>
          <w:szCs w:val="24"/>
        </w:rPr>
        <w:t xml:space="preserve"> limit. </w:t>
      </w:r>
    </w:p>
    <w:p w:rsidR="006514A9" w:rsidRDefault="006514A9" w:rsidP="006514A9">
      <w:pPr>
        <w:spacing w:line="240" w:lineRule="auto"/>
        <w:rPr>
          <w:rFonts w:cs="Arial"/>
          <w:iCs/>
          <w:color w:val="1F4E79" w:themeColor="accent1" w:themeShade="80"/>
          <w:szCs w:val="24"/>
        </w:rPr>
      </w:pPr>
    </w:p>
    <w:p w:rsidR="006514A9" w:rsidRDefault="006514A9" w:rsidP="006514A9">
      <w:pPr>
        <w:rPr>
          <w:i/>
        </w:rPr>
      </w:pPr>
      <w:r w:rsidRPr="002A05E4">
        <w:rPr>
          <w:i/>
        </w:rPr>
        <w:t xml:space="preserve">Could you please confirm whether the staffing structure and associated details is to be included within the 15 pages, or whether it </w:t>
      </w:r>
      <w:proofErr w:type="gramStart"/>
      <w:r w:rsidRPr="002A05E4">
        <w:rPr>
          <w:i/>
        </w:rPr>
        <w:t>can be supplied</w:t>
      </w:r>
      <w:proofErr w:type="gramEnd"/>
      <w:r w:rsidRPr="002A05E4">
        <w:rPr>
          <w:i/>
        </w:rPr>
        <w:t xml:space="preserve"> as an additional attachment?</w:t>
      </w:r>
    </w:p>
    <w:p w:rsidR="006514A9" w:rsidRPr="002A05E4" w:rsidRDefault="006514A9" w:rsidP="006514A9">
      <w:pPr>
        <w:rPr>
          <w:color w:val="1F4E79" w:themeColor="accent1" w:themeShade="80"/>
        </w:rPr>
      </w:pPr>
      <w:r>
        <w:rPr>
          <w:color w:val="1F4E79" w:themeColor="accent1" w:themeShade="80"/>
        </w:rPr>
        <w:t>The s</w:t>
      </w:r>
      <w:r w:rsidRPr="002A05E4">
        <w:rPr>
          <w:color w:val="1F4E79" w:themeColor="accent1" w:themeShade="80"/>
        </w:rPr>
        <w:t>taffing structure shou</w:t>
      </w:r>
      <w:r>
        <w:rPr>
          <w:color w:val="1F4E79" w:themeColor="accent1" w:themeShade="80"/>
        </w:rPr>
        <w:t xml:space="preserve">ld be within the </w:t>
      </w:r>
      <w:proofErr w:type="gramStart"/>
      <w:r>
        <w:rPr>
          <w:color w:val="1F4E79" w:themeColor="accent1" w:themeShade="80"/>
        </w:rPr>
        <w:t>15 page</w:t>
      </w:r>
      <w:proofErr w:type="gramEnd"/>
      <w:r>
        <w:rPr>
          <w:color w:val="1F4E79" w:themeColor="accent1" w:themeShade="80"/>
        </w:rPr>
        <w:t xml:space="preserve"> limit.  H</w:t>
      </w:r>
      <w:r w:rsidRPr="002A05E4">
        <w:rPr>
          <w:color w:val="1F4E79" w:themeColor="accent1" w:themeShade="80"/>
        </w:rPr>
        <w:t>owever</w:t>
      </w:r>
      <w:r>
        <w:rPr>
          <w:color w:val="1F4E79" w:themeColor="accent1" w:themeShade="80"/>
        </w:rPr>
        <w:t>,</w:t>
      </w:r>
      <w:r w:rsidRPr="002A05E4">
        <w:rPr>
          <w:color w:val="1F4E79" w:themeColor="accent1" w:themeShade="80"/>
        </w:rPr>
        <w:t xml:space="preserve"> CVs can be submitted as an annex to the bid materials and will not count towards the </w:t>
      </w:r>
      <w:proofErr w:type="gramStart"/>
      <w:r w:rsidRPr="002A05E4">
        <w:rPr>
          <w:color w:val="1F4E79" w:themeColor="accent1" w:themeShade="80"/>
        </w:rPr>
        <w:t>15 page</w:t>
      </w:r>
      <w:proofErr w:type="gramEnd"/>
      <w:r w:rsidRPr="002A05E4">
        <w:rPr>
          <w:color w:val="1F4E79" w:themeColor="accent1" w:themeShade="80"/>
        </w:rPr>
        <w:t xml:space="preserve"> limit. </w:t>
      </w:r>
    </w:p>
    <w:p w:rsidR="006514A9" w:rsidRDefault="006514A9" w:rsidP="006514A9">
      <w:pPr>
        <w:spacing w:line="240" w:lineRule="auto"/>
        <w:contextualSpacing/>
        <w:rPr>
          <w:color w:val="365F91"/>
        </w:rPr>
      </w:pPr>
    </w:p>
    <w:p w:rsidR="006514A9" w:rsidRPr="00893613" w:rsidRDefault="006514A9" w:rsidP="006514A9">
      <w:pPr>
        <w:spacing w:line="240" w:lineRule="auto"/>
        <w:contextualSpacing/>
        <w:rPr>
          <w:rFonts w:ascii="Verdana" w:hAnsi="Verdana" w:cs="Times New Roman"/>
          <w:i/>
          <w:szCs w:val="24"/>
        </w:rPr>
      </w:pPr>
      <w:r w:rsidRPr="00893613">
        <w:rPr>
          <w:i/>
        </w:rPr>
        <w:t xml:space="preserve">Can you please clarify what you mean by the “fine tuning” stage – is this negotiation before contract award? </w:t>
      </w:r>
    </w:p>
    <w:p w:rsidR="006514A9" w:rsidRPr="0075198E" w:rsidRDefault="006514A9" w:rsidP="006514A9">
      <w:pPr>
        <w:spacing w:line="240" w:lineRule="auto"/>
        <w:rPr>
          <w:rFonts w:cs="Arial"/>
          <w:iCs/>
          <w:color w:val="1F4E79" w:themeColor="accent1" w:themeShade="80"/>
          <w:szCs w:val="24"/>
        </w:rPr>
      </w:pPr>
      <w:r w:rsidRPr="0075198E">
        <w:rPr>
          <w:rFonts w:cs="Arial"/>
          <w:iCs/>
          <w:color w:val="1F4E79" w:themeColor="accent1" w:themeShade="80"/>
          <w:szCs w:val="24"/>
        </w:rPr>
        <w:t xml:space="preserve">During the “fine tuning” stage we expect to discuss the </w:t>
      </w:r>
      <w:proofErr w:type="spellStart"/>
      <w:r w:rsidRPr="0075198E">
        <w:rPr>
          <w:rFonts w:cs="Arial"/>
          <w:iCs/>
          <w:color w:val="1F4E79" w:themeColor="accent1" w:themeShade="80"/>
          <w:szCs w:val="24"/>
        </w:rPr>
        <w:t>workplan</w:t>
      </w:r>
      <w:proofErr w:type="spellEnd"/>
      <w:r w:rsidRPr="0075198E">
        <w:rPr>
          <w:rFonts w:cs="Arial"/>
          <w:iCs/>
          <w:color w:val="1F4E79" w:themeColor="accent1" w:themeShade="80"/>
          <w:szCs w:val="24"/>
        </w:rPr>
        <w:t xml:space="preserve"> and deliverables put forward by the preferred bidder, to ensure they are SMART as possible and best support the Department’s policy agenda.  </w:t>
      </w:r>
    </w:p>
    <w:p w:rsidR="00FE390D" w:rsidRDefault="00FE390D">
      <w:pPr>
        <w:spacing w:after="160"/>
        <w:rPr>
          <w:b/>
          <w:szCs w:val="24"/>
        </w:rPr>
      </w:pPr>
      <w:r>
        <w:rPr>
          <w:b/>
          <w:szCs w:val="24"/>
        </w:rPr>
        <w:br w:type="page"/>
      </w:r>
    </w:p>
    <w:p w:rsidR="00FA3BB7" w:rsidRDefault="00FA3BB7" w:rsidP="00FE390D">
      <w:pPr>
        <w:spacing w:line="240" w:lineRule="auto"/>
        <w:rPr>
          <w:b/>
          <w:szCs w:val="24"/>
        </w:rPr>
      </w:pPr>
      <w:r w:rsidRPr="00EE5F33">
        <w:rPr>
          <w:b/>
          <w:szCs w:val="24"/>
        </w:rPr>
        <w:lastRenderedPageBreak/>
        <w:t>LDSG (SEND) 18-19 – 02 strategic participation</w:t>
      </w:r>
    </w:p>
    <w:p w:rsidR="00FE390D" w:rsidRDefault="00FE390D" w:rsidP="00FE390D">
      <w:pPr>
        <w:spacing w:line="240" w:lineRule="auto"/>
        <w:rPr>
          <w:i/>
          <w:szCs w:val="24"/>
          <w:u w:val="single"/>
        </w:rPr>
      </w:pPr>
    </w:p>
    <w:p w:rsidR="00893613" w:rsidRPr="0075198E" w:rsidRDefault="00893613" w:rsidP="00FE390D">
      <w:pPr>
        <w:spacing w:line="240" w:lineRule="auto"/>
        <w:rPr>
          <w:i/>
          <w:szCs w:val="24"/>
        </w:rPr>
      </w:pPr>
      <w:r w:rsidRPr="0075198E">
        <w:rPr>
          <w:i/>
          <w:szCs w:val="24"/>
          <w:u w:val="single"/>
        </w:rPr>
        <w:t xml:space="preserve">Document </w:t>
      </w:r>
      <w:proofErr w:type="gramStart"/>
      <w:r w:rsidRPr="0075198E">
        <w:rPr>
          <w:i/>
          <w:szCs w:val="24"/>
          <w:u w:val="single"/>
        </w:rPr>
        <w:t>4</w:t>
      </w:r>
      <w:proofErr w:type="gramEnd"/>
      <w:r w:rsidRPr="0075198E">
        <w:rPr>
          <w:i/>
          <w:szCs w:val="24"/>
          <w:u w:val="single"/>
        </w:rPr>
        <w:t xml:space="preserve"> - Specification of the requirement</w:t>
      </w:r>
    </w:p>
    <w:p w:rsidR="00893613" w:rsidRDefault="00893613" w:rsidP="00FE390D">
      <w:pPr>
        <w:spacing w:line="240" w:lineRule="auto"/>
        <w:rPr>
          <w:i/>
          <w:szCs w:val="24"/>
        </w:rPr>
      </w:pPr>
    </w:p>
    <w:p w:rsidR="000D0490" w:rsidRPr="0075198E" w:rsidRDefault="000D0490" w:rsidP="000D0490">
      <w:pPr>
        <w:spacing w:line="240" w:lineRule="auto"/>
        <w:rPr>
          <w:i/>
          <w:szCs w:val="24"/>
        </w:rPr>
      </w:pPr>
      <w:r w:rsidRPr="0075198E">
        <w:rPr>
          <w:i/>
          <w:szCs w:val="24"/>
        </w:rPr>
        <w:t xml:space="preserve">Under </w:t>
      </w:r>
      <w:proofErr w:type="gramStart"/>
      <w:r w:rsidRPr="0075198E">
        <w:rPr>
          <w:i/>
          <w:szCs w:val="24"/>
        </w:rPr>
        <w:t>1.3</w:t>
      </w:r>
      <w:proofErr w:type="gramEnd"/>
      <w:r w:rsidRPr="0075198E">
        <w:rPr>
          <w:i/>
          <w:szCs w:val="24"/>
        </w:rPr>
        <w:t xml:space="preserve"> are you asking FLARE to provide advice and support to other young people</w:t>
      </w:r>
      <w:r>
        <w:rPr>
          <w:i/>
          <w:szCs w:val="24"/>
        </w:rPr>
        <w:t>?</w:t>
      </w:r>
      <w:r w:rsidRPr="0075198E">
        <w:rPr>
          <w:i/>
          <w:szCs w:val="24"/>
        </w:rPr>
        <w:t xml:space="preserve"> </w:t>
      </w:r>
      <w:r>
        <w:rPr>
          <w:i/>
          <w:szCs w:val="24"/>
        </w:rPr>
        <w:t xml:space="preserve"> </w:t>
      </w:r>
      <w:proofErr w:type="gramStart"/>
      <w:r>
        <w:rPr>
          <w:i/>
          <w:szCs w:val="24"/>
        </w:rPr>
        <w:t>Or</w:t>
      </w:r>
      <w:proofErr w:type="gramEnd"/>
      <w:r>
        <w:rPr>
          <w:i/>
          <w:szCs w:val="24"/>
        </w:rPr>
        <w:t xml:space="preserve"> </w:t>
      </w:r>
      <w:r w:rsidRPr="0075198E">
        <w:rPr>
          <w:i/>
          <w:szCs w:val="24"/>
        </w:rPr>
        <w:t>are you asking the contract holder to provide advice and support to young people with SEND</w:t>
      </w:r>
      <w:r>
        <w:rPr>
          <w:i/>
          <w:szCs w:val="24"/>
        </w:rPr>
        <w:t>?  If so,</w:t>
      </w:r>
      <w:r w:rsidRPr="0075198E">
        <w:rPr>
          <w:i/>
          <w:szCs w:val="24"/>
        </w:rPr>
        <w:t xml:space="preserve"> is that just the FLARE group or young people with SEND more </w:t>
      </w:r>
      <w:proofErr w:type="gramStart"/>
      <w:r w:rsidRPr="0075198E">
        <w:rPr>
          <w:i/>
          <w:szCs w:val="24"/>
        </w:rPr>
        <w:t>widely.</w:t>
      </w:r>
      <w:proofErr w:type="gramEnd"/>
      <w:r w:rsidRPr="0075198E">
        <w:rPr>
          <w:i/>
          <w:szCs w:val="24"/>
        </w:rPr>
        <w:t xml:space="preserve">  </w:t>
      </w:r>
    </w:p>
    <w:p w:rsidR="000D0490" w:rsidRDefault="000D0490" w:rsidP="000D0490">
      <w:pPr>
        <w:spacing w:line="240" w:lineRule="auto"/>
        <w:rPr>
          <w:rFonts w:cs="Arial"/>
          <w:color w:val="1F497D"/>
          <w:szCs w:val="24"/>
        </w:rPr>
      </w:pPr>
      <w:r>
        <w:rPr>
          <w:rFonts w:cs="Arial"/>
          <w:color w:val="1F497D"/>
          <w:szCs w:val="24"/>
        </w:rPr>
        <w:t xml:space="preserve">The contractor will be required to </w:t>
      </w:r>
      <w:r w:rsidR="00ED32DE">
        <w:rPr>
          <w:rFonts w:cs="Arial"/>
          <w:color w:val="1F497D"/>
          <w:szCs w:val="24"/>
        </w:rPr>
        <w:t xml:space="preserve">ensure </w:t>
      </w:r>
      <w:r>
        <w:rPr>
          <w:rFonts w:cs="Arial"/>
          <w:color w:val="1F497D"/>
          <w:szCs w:val="24"/>
        </w:rPr>
        <w:t xml:space="preserve">young people with SEND </w:t>
      </w:r>
      <w:r w:rsidR="00ED32DE">
        <w:rPr>
          <w:rFonts w:cs="Arial"/>
          <w:color w:val="1F497D"/>
          <w:szCs w:val="24"/>
        </w:rPr>
        <w:t xml:space="preserve">are able to influence national policy </w:t>
      </w:r>
      <w:r>
        <w:rPr>
          <w:rFonts w:cs="Arial"/>
          <w:color w:val="1F497D"/>
          <w:szCs w:val="24"/>
        </w:rPr>
        <w:t xml:space="preserve">through the work of the FLARE group.  </w:t>
      </w:r>
      <w:r w:rsidR="00ED32DE">
        <w:rPr>
          <w:rFonts w:cs="Arial"/>
          <w:color w:val="1F497D"/>
          <w:szCs w:val="24"/>
        </w:rPr>
        <w:t>Contract requirement 1.3 states:</w:t>
      </w:r>
    </w:p>
    <w:p w:rsidR="00ED32DE" w:rsidRDefault="00ED32DE" w:rsidP="000D0490">
      <w:pPr>
        <w:spacing w:line="240" w:lineRule="auto"/>
        <w:rPr>
          <w:rFonts w:cs="Arial"/>
          <w:color w:val="1F497D"/>
          <w:szCs w:val="24"/>
        </w:rPr>
      </w:pPr>
    </w:p>
    <w:p w:rsidR="00ED32DE" w:rsidRPr="00ED32DE" w:rsidRDefault="00ED32DE" w:rsidP="00ED32DE">
      <w:pPr>
        <w:ind w:left="720"/>
        <w:rPr>
          <w:rFonts w:cs="Arial"/>
          <w:szCs w:val="24"/>
        </w:rPr>
      </w:pPr>
      <w:r>
        <w:rPr>
          <w:rFonts w:cs="Arial"/>
          <w:color w:val="1F497D"/>
          <w:szCs w:val="24"/>
        </w:rPr>
        <w:t>“</w:t>
      </w:r>
      <w:r w:rsidRPr="00ED32DE">
        <w:rPr>
          <w:rFonts w:cs="Arial"/>
          <w:color w:val="1F497D"/>
          <w:szCs w:val="24"/>
        </w:rPr>
        <w:t>The Government currently funds a national group of young people with SEND to offer advice and comment on national SEND policy - the FLARE Group, established in 2016.  We need the successful bidder to maintain this group and consider ways in which it can continue to influence national SEND policy, and to offer advice and support to young people with SEND to enable them to effectively participate in their local areas</w:t>
      </w:r>
      <w:r>
        <w:rPr>
          <w:rFonts w:cs="Arial"/>
          <w:szCs w:val="24"/>
        </w:rPr>
        <w:t>.</w:t>
      </w:r>
      <w:r>
        <w:rPr>
          <w:rFonts w:cs="Arial"/>
          <w:color w:val="1F497D"/>
          <w:szCs w:val="24"/>
        </w:rPr>
        <w:t>”</w:t>
      </w:r>
    </w:p>
    <w:p w:rsidR="000D0490" w:rsidRPr="00ED32DE" w:rsidRDefault="000D0490" w:rsidP="000D0490">
      <w:pPr>
        <w:spacing w:line="240" w:lineRule="auto"/>
        <w:rPr>
          <w:rFonts w:cs="Arial"/>
          <w:color w:val="1F497D"/>
          <w:szCs w:val="24"/>
        </w:rPr>
      </w:pPr>
    </w:p>
    <w:p w:rsidR="00ED32DE" w:rsidRPr="00ED32DE" w:rsidRDefault="00ED32DE" w:rsidP="000D0490">
      <w:pPr>
        <w:spacing w:line="240" w:lineRule="auto"/>
        <w:rPr>
          <w:rFonts w:cs="Arial"/>
          <w:color w:val="1F497D"/>
          <w:szCs w:val="24"/>
        </w:rPr>
      </w:pPr>
      <w:r w:rsidRPr="00ED32DE">
        <w:rPr>
          <w:rFonts w:cs="Arial"/>
          <w:color w:val="1F497D"/>
          <w:szCs w:val="24"/>
        </w:rPr>
        <w:t xml:space="preserve">In addition, contract requirement 1.4 requires the successful bidder to provide support to local areas: </w:t>
      </w:r>
    </w:p>
    <w:p w:rsidR="00ED32DE" w:rsidRPr="00ED32DE" w:rsidRDefault="00ED32DE" w:rsidP="000D0490">
      <w:pPr>
        <w:spacing w:line="240" w:lineRule="auto"/>
        <w:rPr>
          <w:rFonts w:cs="Arial"/>
          <w:color w:val="1F497D"/>
          <w:szCs w:val="24"/>
        </w:rPr>
      </w:pPr>
    </w:p>
    <w:p w:rsidR="00ED32DE" w:rsidRPr="00ED32DE" w:rsidRDefault="00ED32DE" w:rsidP="00ED32DE">
      <w:pPr>
        <w:spacing w:line="240" w:lineRule="auto"/>
        <w:ind w:left="720"/>
        <w:rPr>
          <w:rFonts w:cs="Arial"/>
          <w:color w:val="1F497D"/>
          <w:szCs w:val="24"/>
        </w:rPr>
      </w:pPr>
      <w:r w:rsidRPr="00ED32DE">
        <w:rPr>
          <w:rFonts w:cs="Arial"/>
          <w:color w:val="1F497D"/>
          <w:szCs w:val="24"/>
        </w:rPr>
        <w:t>“To enable them to put in place effective arrangements for co</w:t>
      </w:r>
      <w:r>
        <w:rPr>
          <w:rFonts w:cs="Arial"/>
          <w:color w:val="1F497D"/>
          <w:szCs w:val="24"/>
        </w:rPr>
        <w:t>-</w:t>
      </w:r>
      <w:r w:rsidRPr="00ED32DE">
        <w:rPr>
          <w:rFonts w:cs="Arial"/>
          <w:color w:val="1F497D"/>
          <w:szCs w:val="24"/>
        </w:rPr>
        <w:t>production with, and gathering views from, children and young people</w:t>
      </w:r>
      <w:r>
        <w:rPr>
          <w:rFonts w:cs="Arial"/>
          <w:color w:val="1F497D"/>
          <w:szCs w:val="24"/>
        </w:rPr>
        <w:t>.</w:t>
      </w:r>
      <w:r w:rsidRPr="00ED32DE">
        <w:rPr>
          <w:rFonts w:cs="Arial"/>
          <w:color w:val="1F497D"/>
          <w:szCs w:val="24"/>
        </w:rPr>
        <w:t>”</w:t>
      </w:r>
    </w:p>
    <w:p w:rsidR="00ED32DE" w:rsidRPr="00ED32DE" w:rsidRDefault="00ED32DE" w:rsidP="000D0490">
      <w:pPr>
        <w:spacing w:line="240" w:lineRule="auto"/>
        <w:rPr>
          <w:rFonts w:cs="Arial"/>
          <w:color w:val="1F497D"/>
          <w:szCs w:val="24"/>
        </w:rPr>
      </w:pPr>
    </w:p>
    <w:p w:rsidR="000D0490" w:rsidRPr="004E1E85" w:rsidRDefault="000D0490" w:rsidP="000D0490">
      <w:pPr>
        <w:rPr>
          <w:i/>
          <w:szCs w:val="24"/>
        </w:rPr>
      </w:pPr>
      <w:r w:rsidRPr="004E1E85">
        <w:rPr>
          <w:i/>
          <w:szCs w:val="24"/>
        </w:rPr>
        <w:t xml:space="preserve">Requirement 1.4 references a </w:t>
      </w:r>
      <w:proofErr w:type="gramStart"/>
      <w:r w:rsidRPr="004E1E85">
        <w:rPr>
          <w:i/>
          <w:szCs w:val="24"/>
        </w:rPr>
        <w:t xml:space="preserve">report </w:t>
      </w:r>
      <w:r w:rsidRPr="002A05E4">
        <w:rPr>
          <w:i/>
          <w:szCs w:val="24"/>
        </w:rPr>
        <w:t>which</w:t>
      </w:r>
      <w:proofErr w:type="gramEnd"/>
      <w:r w:rsidRPr="002A05E4">
        <w:rPr>
          <w:i/>
          <w:szCs w:val="24"/>
        </w:rPr>
        <w:t xml:space="preserve"> contains the “evidence about the state of children and young people’s participation” which the Government has gathered</w:t>
      </w:r>
      <w:r>
        <w:rPr>
          <w:i/>
          <w:szCs w:val="24"/>
        </w:rPr>
        <w:t xml:space="preserve">.  </w:t>
      </w:r>
      <w:r w:rsidR="004E1E85">
        <w:rPr>
          <w:i/>
          <w:szCs w:val="24"/>
        </w:rPr>
        <w:t>Where can we find</w:t>
      </w:r>
      <w:r w:rsidRPr="004E1E85">
        <w:rPr>
          <w:i/>
          <w:szCs w:val="24"/>
        </w:rPr>
        <w:t xml:space="preserve"> this report?  </w:t>
      </w:r>
    </w:p>
    <w:p w:rsidR="004E1E85" w:rsidRDefault="004E1E85" w:rsidP="000D0490">
      <w:pPr>
        <w:rPr>
          <w:color w:val="1F4E79" w:themeColor="accent1" w:themeShade="80"/>
        </w:rPr>
      </w:pPr>
      <w:r>
        <w:rPr>
          <w:color w:val="1F4E79" w:themeColor="accent1" w:themeShade="80"/>
        </w:rPr>
        <w:t xml:space="preserve">In March </w:t>
      </w:r>
      <w:proofErr w:type="gramStart"/>
      <w:r>
        <w:rPr>
          <w:color w:val="1F4E79" w:themeColor="accent1" w:themeShade="80"/>
        </w:rPr>
        <w:t>2017</w:t>
      </w:r>
      <w:proofErr w:type="gramEnd"/>
      <w:r>
        <w:rPr>
          <w:color w:val="1F4E79" w:themeColor="accent1" w:themeShade="80"/>
        </w:rPr>
        <w:t xml:space="preserve"> the Department published </w:t>
      </w:r>
      <w:r w:rsidRPr="004E1E85">
        <w:rPr>
          <w:color w:val="1F4E79" w:themeColor="accent1" w:themeShade="80"/>
        </w:rPr>
        <w:t>a report providing statistics on parents’ and young people’s views of the EHC assessment and planning process and the EHC plan they received as a result</w:t>
      </w:r>
      <w:r>
        <w:rPr>
          <w:color w:val="1F4E79" w:themeColor="accent1" w:themeShade="80"/>
        </w:rPr>
        <w:t xml:space="preserve">.  This is available </w:t>
      </w:r>
      <w:proofErr w:type="gramStart"/>
      <w:r>
        <w:rPr>
          <w:color w:val="1F4E79" w:themeColor="accent1" w:themeShade="80"/>
        </w:rPr>
        <w:t>at:</w:t>
      </w:r>
      <w:proofErr w:type="gramEnd"/>
      <w:r>
        <w:rPr>
          <w:color w:val="1F4E79" w:themeColor="accent1" w:themeShade="80"/>
        </w:rPr>
        <w:t xml:space="preserve"> </w:t>
      </w:r>
      <w:hyperlink r:id="rId11" w:history="1">
        <w:r w:rsidRPr="000A3405">
          <w:rPr>
            <w:rStyle w:val="Hyperlink"/>
          </w:rPr>
          <w:t>https://www.gov.uk/government/publications/education-health-and-care-plans-parents-and-young-people-survey</w:t>
        </w:r>
      </w:hyperlink>
      <w:r>
        <w:rPr>
          <w:color w:val="1F4E79" w:themeColor="accent1" w:themeShade="80"/>
        </w:rPr>
        <w:t xml:space="preserve"> </w:t>
      </w:r>
    </w:p>
    <w:p w:rsidR="004E1E85" w:rsidRDefault="004E1E85" w:rsidP="000D0490">
      <w:pPr>
        <w:rPr>
          <w:color w:val="1F4E79" w:themeColor="accent1" w:themeShade="80"/>
        </w:rPr>
      </w:pPr>
    </w:p>
    <w:p w:rsidR="000D0490" w:rsidRPr="004E1E85" w:rsidRDefault="004E1E85" w:rsidP="004E1E85">
      <w:r w:rsidRPr="004E1E85">
        <w:rPr>
          <w:color w:val="1F4E79" w:themeColor="accent1" w:themeShade="80"/>
        </w:rPr>
        <w:t xml:space="preserve">In May 2017, local authorities and parent carer forums </w:t>
      </w:r>
      <w:proofErr w:type="gramStart"/>
      <w:r w:rsidRPr="004E1E85">
        <w:rPr>
          <w:color w:val="1F4E79" w:themeColor="accent1" w:themeShade="80"/>
        </w:rPr>
        <w:t>were invited</w:t>
      </w:r>
      <w:proofErr w:type="gramEnd"/>
      <w:r w:rsidRPr="004E1E85">
        <w:rPr>
          <w:color w:val="1F4E79" w:themeColor="accent1" w:themeShade="80"/>
        </w:rPr>
        <w:t xml:space="preserve"> to complete a survey on the implementation of the SEND reforms.  Contact (formerly known as Contact a Family) has published a full report of the parent carer forum responses, which is available online at</w:t>
      </w:r>
      <w:r>
        <w:rPr>
          <w:rFonts w:cs="Arial"/>
          <w:iCs/>
          <w:szCs w:val="24"/>
        </w:rPr>
        <w:t xml:space="preserve">: </w:t>
      </w:r>
      <w:hyperlink r:id="rId12" w:history="1">
        <w:r w:rsidRPr="000A3405">
          <w:rPr>
            <w:rStyle w:val="Hyperlink"/>
            <w:rFonts w:cs="Arial"/>
            <w:szCs w:val="24"/>
          </w:rPr>
          <w:t>https://www.cafamily.org.uk/advice-and-support/resource-library/parent-carer-participation-9th-send-reforms-implementation-survey-report/</w:t>
        </w:r>
      </w:hyperlink>
      <w:r>
        <w:t xml:space="preserve"> </w:t>
      </w:r>
    </w:p>
    <w:p w:rsidR="000D0490" w:rsidRPr="0075198E" w:rsidRDefault="000D0490" w:rsidP="00FE390D">
      <w:pPr>
        <w:spacing w:line="240" w:lineRule="auto"/>
        <w:rPr>
          <w:i/>
          <w:szCs w:val="24"/>
        </w:rPr>
      </w:pPr>
    </w:p>
    <w:p w:rsidR="00893613" w:rsidRPr="0075198E" w:rsidRDefault="00893613" w:rsidP="00FE390D">
      <w:pPr>
        <w:spacing w:line="240" w:lineRule="auto"/>
        <w:rPr>
          <w:i/>
          <w:szCs w:val="24"/>
        </w:rPr>
      </w:pPr>
      <w:r w:rsidRPr="0075198E">
        <w:rPr>
          <w:i/>
          <w:szCs w:val="24"/>
        </w:rPr>
        <w:t xml:space="preserve">Requirement 1 - “Bidder should demonstrate”; fifth bullet point.  This refers to “organisations which offer families who have children and young people with SEND information, advice and support”.  Should this in fact refer to organisations who enable strategic participation of parent carers? </w:t>
      </w:r>
    </w:p>
    <w:p w:rsidR="00FE390D" w:rsidRDefault="00893613" w:rsidP="00FE390D">
      <w:pPr>
        <w:spacing w:line="240" w:lineRule="auto"/>
        <w:rPr>
          <w:color w:val="1F4E79" w:themeColor="accent1" w:themeShade="80"/>
          <w:szCs w:val="24"/>
        </w:rPr>
      </w:pPr>
      <w:r w:rsidRPr="0075198E">
        <w:rPr>
          <w:color w:val="1F4E79" w:themeColor="accent1" w:themeShade="80"/>
          <w:szCs w:val="24"/>
        </w:rPr>
        <w:t>This bullet point shoul</w:t>
      </w:r>
      <w:r w:rsidR="00FE390D">
        <w:rPr>
          <w:color w:val="1F4E79" w:themeColor="accent1" w:themeShade="80"/>
          <w:szCs w:val="24"/>
        </w:rPr>
        <w:t xml:space="preserve">d read: </w:t>
      </w:r>
    </w:p>
    <w:p w:rsidR="00FE390D" w:rsidRDefault="00FE390D" w:rsidP="00FE390D">
      <w:pPr>
        <w:spacing w:line="240" w:lineRule="auto"/>
        <w:rPr>
          <w:color w:val="1F4E79" w:themeColor="accent1" w:themeShade="80"/>
          <w:szCs w:val="24"/>
        </w:rPr>
      </w:pPr>
    </w:p>
    <w:p w:rsidR="00FE390D" w:rsidRDefault="00FE390D" w:rsidP="00FE390D">
      <w:pPr>
        <w:spacing w:line="240" w:lineRule="auto"/>
        <w:ind w:left="720"/>
        <w:rPr>
          <w:color w:val="1F4E79" w:themeColor="accent1" w:themeShade="80"/>
          <w:szCs w:val="24"/>
        </w:rPr>
      </w:pPr>
      <w:r>
        <w:rPr>
          <w:color w:val="1F4E79" w:themeColor="accent1" w:themeShade="80"/>
          <w:szCs w:val="24"/>
        </w:rPr>
        <w:t>“</w:t>
      </w:r>
      <w:r w:rsidR="00893613" w:rsidRPr="0075198E">
        <w:rPr>
          <w:color w:val="1F4E79" w:themeColor="accent1" w:themeShade="80"/>
          <w:szCs w:val="24"/>
        </w:rPr>
        <w:t xml:space="preserve">that they are able to manage </w:t>
      </w:r>
      <w:r>
        <w:rPr>
          <w:color w:val="1F4E79" w:themeColor="accent1" w:themeShade="80"/>
          <w:szCs w:val="24"/>
        </w:rPr>
        <w:t>a grant programme on this scale,</w:t>
      </w:r>
      <w:r w:rsidR="00893613" w:rsidRPr="0075198E">
        <w:rPr>
          <w:color w:val="1F4E79" w:themeColor="accent1" w:themeShade="80"/>
          <w:szCs w:val="24"/>
        </w:rPr>
        <w:t xml:space="preserve"> </w:t>
      </w:r>
      <w:r>
        <w:rPr>
          <w:color w:val="1F4E79" w:themeColor="accent1" w:themeShade="80"/>
          <w:szCs w:val="24"/>
        </w:rPr>
        <w:t>–</w:t>
      </w:r>
      <w:r w:rsidR="00893613" w:rsidRPr="0075198E">
        <w:rPr>
          <w:color w:val="1F4E79" w:themeColor="accent1" w:themeShade="80"/>
          <w:szCs w:val="24"/>
        </w:rPr>
        <w:t xml:space="preserve"> providing administration, arrangement, facilitation, organisation and support services for the Department for Education</w:t>
      </w:r>
      <w:r>
        <w:rPr>
          <w:color w:val="1F4E79" w:themeColor="accent1" w:themeShade="80"/>
          <w:szCs w:val="24"/>
        </w:rPr>
        <w:t xml:space="preserve"> </w:t>
      </w:r>
      <w:r w:rsidR="00893613" w:rsidRPr="0075198E">
        <w:rPr>
          <w:color w:val="1F4E79" w:themeColor="accent1" w:themeShade="80"/>
          <w:szCs w:val="24"/>
        </w:rPr>
        <w:t>– including sound financial management, understanding risks, tackling and preventing fraud of organisations.</w:t>
      </w:r>
      <w:r>
        <w:rPr>
          <w:color w:val="1F4E79" w:themeColor="accent1" w:themeShade="80"/>
          <w:szCs w:val="24"/>
        </w:rPr>
        <w:t>”</w:t>
      </w:r>
    </w:p>
    <w:p w:rsidR="00893613" w:rsidRPr="0075198E" w:rsidRDefault="00893613" w:rsidP="00FE390D">
      <w:pPr>
        <w:spacing w:line="240" w:lineRule="auto"/>
        <w:rPr>
          <w:color w:val="1F4E79" w:themeColor="accent1" w:themeShade="80"/>
          <w:szCs w:val="24"/>
        </w:rPr>
      </w:pPr>
      <w:r w:rsidRPr="0075198E">
        <w:rPr>
          <w:color w:val="1F4E79" w:themeColor="accent1" w:themeShade="80"/>
          <w:szCs w:val="24"/>
        </w:rPr>
        <w:lastRenderedPageBreak/>
        <w:t xml:space="preserve"> </w:t>
      </w:r>
    </w:p>
    <w:p w:rsidR="00EE5EC9" w:rsidRDefault="00893613" w:rsidP="00FE390D">
      <w:pPr>
        <w:spacing w:line="240" w:lineRule="auto"/>
        <w:rPr>
          <w:color w:val="1F4E79" w:themeColor="accent1" w:themeShade="80"/>
          <w:szCs w:val="24"/>
        </w:rPr>
      </w:pPr>
      <w:r w:rsidRPr="0075198E">
        <w:rPr>
          <w:color w:val="1F4E79" w:themeColor="accent1" w:themeShade="80"/>
          <w:szCs w:val="24"/>
        </w:rPr>
        <w:t xml:space="preserve">The corresponding wording </w:t>
      </w:r>
      <w:r w:rsidR="00EE5EC9" w:rsidRPr="0075198E">
        <w:rPr>
          <w:color w:val="1F4E79" w:themeColor="accent1" w:themeShade="80"/>
          <w:szCs w:val="24"/>
        </w:rPr>
        <w:t>in the eval</w:t>
      </w:r>
      <w:r w:rsidR="00EE5EC9">
        <w:rPr>
          <w:color w:val="1F4E79" w:themeColor="accent1" w:themeShade="80"/>
          <w:szCs w:val="24"/>
        </w:rPr>
        <w:t xml:space="preserve">uation grid on page 94 </w:t>
      </w:r>
      <w:proofErr w:type="gramStart"/>
      <w:r w:rsidRPr="0075198E">
        <w:rPr>
          <w:color w:val="1F4E79" w:themeColor="accent1" w:themeShade="80"/>
          <w:szCs w:val="24"/>
        </w:rPr>
        <w:t>should also be revised</w:t>
      </w:r>
      <w:proofErr w:type="gramEnd"/>
      <w:r w:rsidRPr="0075198E">
        <w:rPr>
          <w:color w:val="1F4E79" w:themeColor="accent1" w:themeShade="80"/>
          <w:szCs w:val="24"/>
        </w:rPr>
        <w:t xml:space="preserve"> </w:t>
      </w:r>
      <w:r w:rsidR="00EE5EC9">
        <w:rPr>
          <w:color w:val="1F4E79" w:themeColor="accent1" w:themeShade="80"/>
          <w:szCs w:val="24"/>
        </w:rPr>
        <w:t xml:space="preserve">to read: </w:t>
      </w:r>
    </w:p>
    <w:p w:rsidR="00EE5EC9" w:rsidRDefault="00EE5EC9" w:rsidP="00FE390D">
      <w:pPr>
        <w:spacing w:line="240" w:lineRule="auto"/>
        <w:rPr>
          <w:color w:val="1F4E79" w:themeColor="accent1" w:themeShade="80"/>
          <w:szCs w:val="24"/>
        </w:rPr>
      </w:pPr>
    </w:p>
    <w:p w:rsidR="00893613" w:rsidRPr="0075198E" w:rsidRDefault="00EE5EC9" w:rsidP="00EE5EC9">
      <w:pPr>
        <w:spacing w:line="240" w:lineRule="auto"/>
        <w:ind w:left="720"/>
        <w:rPr>
          <w:color w:val="1F4E79" w:themeColor="accent1" w:themeShade="80"/>
          <w:szCs w:val="24"/>
        </w:rPr>
      </w:pPr>
      <w:r>
        <w:rPr>
          <w:color w:val="1F4E79" w:themeColor="accent1" w:themeShade="80"/>
          <w:szCs w:val="24"/>
        </w:rPr>
        <w:t>“</w:t>
      </w:r>
      <w:r w:rsidR="00893613" w:rsidRPr="0075198E">
        <w:rPr>
          <w:color w:val="1F4E79" w:themeColor="accent1" w:themeShade="80"/>
          <w:szCs w:val="24"/>
        </w:rPr>
        <w:t>that they are able to manage a grant programme on this scale</w:t>
      </w:r>
      <w:r>
        <w:rPr>
          <w:color w:val="1F4E79" w:themeColor="accent1" w:themeShade="80"/>
          <w:szCs w:val="24"/>
        </w:rPr>
        <w:t>,</w:t>
      </w:r>
      <w:r w:rsidR="00893613" w:rsidRPr="0075198E">
        <w:rPr>
          <w:color w:val="1F4E79" w:themeColor="accent1" w:themeShade="80"/>
          <w:szCs w:val="24"/>
        </w:rPr>
        <w:t xml:space="preserve"> </w:t>
      </w:r>
      <w:r>
        <w:rPr>
          <w:color w:val="1F4E79" w:themeColor="accent1" w:themeShade="80"/>
          <w:szCs w:val="24"/>
        </w:rPr>
        <w:t>–</w:t>
      </w:r>
      <w:r w:rsidR="00893613" w:rsidRPr="0075198E">
        <w:rPr>
          <w:color w:val="1F4E79" w:themeColor="accent1" w:themeShade="80"/>
          <w:szCs w:val="24"/>
        </w:rPr>
        <w:t xml:space="preserve"> providing administration, arrangement, facilitation, organisation and support services for the Department for Education</w:t>
      </w:r>
      <w:r>
        <w:rPr>
          <w:color w:val="1F4E79" w:themeColor="accent1" w:themeShade="80"/>
          <w:szCs w:val="24"/>
        </w:rPr>
        <w:t xml:space="preserve"> </w:t>
      </w:r>
      <w:r w:rsidR="00893613" w:rsidRPr="0075198E">
        <w:rPr>
          <w:color w:val="1F4E79" w:themeColor="accent1" w:themeShade="80"/>
          <w:szCs w:val="24"/>
        </w:rPr>
        <w:t>– including sound financial management, understanding risks, tackling and pr</w:t>
      </w:r>
      <w:r>
        <w:rPr>
          <w:color w:val="1F4E79" w:themeColor="accent1" w:themeShade="80"/>
          <w:szCs w:val="24"/>
        </w:rPr>
        <w:t>eventing fraud of organisations.”</w:t>
      </w:r>
    </w:p>
    <w:p w:rsidR="00893613" w:rsidRPr="00061984" w:rsidRDefault="00893613" w:rsidP="00FE390D">
      <w:pPr>
        <w:spacing w:line="240" w:lineRule="auto"/>
        <w:rPr>
          <w:szCs w:val="24"/>
        </w:rPr>
      </w:pPr>
    </w:p>
    <w:p w:rsidR="00893613" w:rsidRPr="0075198E" w:rsidRDefault="00893613" w:rsidP="00FE390D">
      <w:pPr>
        <w:spacing w:line="240" w:lineRule="auto"/>
        <w:rPr>
          <w:i/>
          <w:szCs w:val="24"/>
        </w:rPr>
      </w:pPr>
      <w:r w:rsidRPr="0075198E">
        <w:rPr>
          <w:i/>
          <w:szCs w:val="24"/>
        </w:rPr>
        <w:t xml:space="preserve">Requirement 7 - Costs and value for money.  Is the Department able to give any further detail about its expectations for monthly reporting in terms of content and level of details? </w:t>
      </w:r>
    </w:p>
    <w:p w:rsidR="00893613" w:rsidRPr="0075198E" w:rsidRDefault="00893613" w:rsidP="00FE390D">
      <w:pPr>
        <w:spacing w:line="240" w:lineRule="auto"/>
        <w:rPr>
          <w:color w:val="1F4E79" w:themeColor="accent1" w:themeShade="80"/>
        </w:rPr>
      </w:pPr>
      <w:r w:rsidRPr="0075198E">
        <w:rPr>
          <w:color w:val="1F4E79" w:themeColor="accent1" w:themeShade="80"/>
          <w:szCs w:val="24"/>
        </w:rPr>
        <w:t xml:space="preserve">Please see the tables that </w:t>
      </w:r>
      <w:proofErr w:type="gramStart"/>
      <w:r w:rsidRPr="0075198E">
        <w:rPr>
          <w:color w:val="1F4E79" w:themeColor="accent1" w:themeShade="80"/>
          <w:szCs w:val="24"/>
        </w:rPr>
        <w:t>are attached</w:t>
      </w:r>
      <w:proofErr w:type="gramEnd"/>
      <w:r w:rsidRPr="0075198E">
        <w:rPr>
          <w:color w:val="1F4E79" w:themeColor="accent1" w:themeShade="80"/>
          <w:szCs w:val="24"/>
        </w:rPr>
        <w:t xml:space="preserve"> at the end of this document. The successful bidder will need to demonstrate that they have delivered the activity planned for any given month prior to payment </w:t>
      </w:r>
      <w:proofErr w:type="gramStart"/>
      <w:r w:rsidRPr="0075198E">
        <w:rPr>
          <w:color w:val="1F4E79" w:themeColor="accent1" w:themeShade="80"/>
          <w:szCs w:val="24"/>
        </w:rPr>
        <w:t>being released</w:t>
      </w:r>
      <w:proofErr w:type="gramEnd"/>
      <w:r w:rsidRPr="0075198E">
        <w:rPr>
          <w:color w:val="1F4E79" w:themeColor="accent1" w:themeShade="80"/>
          <w:szCs w:val="24"/>
        </w:rPr>
        <w:t xml:space="preserve">. </w:t>
      </w:r>
      <w:r w:rsidR="00EF4E36">
        <w:rPr>
          <w:color w:val="1F4E79" w:themeColor="accent1" w:themeShade="80"/>
          <w:szCs w:val="24"/>
        </w:rPr>
        <w:t xml:space="preserve"> </w:t>
      </w:r>
      <w:r w:rsidRPr="0075198E">
        <w:rPr>
          <w:color w:val="1F4E79" w:themeColor="accent1" w:themeShade="80"/>
          <w:szCs w:val="24"/>
        </w:rPr>
        <w:t xml:space="preserve">As part of contract requirement 9 the bidder is required to put forward an appropriate set of key performance indicators for the contract and how the contractor’s success </w:t>
      </w:r>
      <w:proofErr w:type="gramStart"/>
      <w:r w:rsidRPr="0075198E">
        <w:rPr>
          <w:color w:val="1F4E79" w:themeColor="accent1" w:themeShade="80"/>
          <w:szCs w:val="24"/>
        </w:rPr>
        <w:t>will be measured</w:t>
      </w:r>
      <w:proofErr w:type="gramEnd"/>
      <w:r w:rsidRPr="0075198E">
        <w:rPr>
          <w:color w:val="1F4E79" w:themeColor="accent1" w:themeShade="80"/>
          <w:szCs w:val="24"/>
        </w:rPr>
        <w:t>.</w:t>
      </w:r>
    </w:p>
    <w:p w:rsidR="00893613" w:rsidRPr="00061984" w:rsidRDefault="00893613" w:rsidP="00FE390D">
      <w:pPr>
        <w:spacing w:line="240" w:lineRule="auto"/>
        <w:rPr>
          <w:szCs w:val="24"/>
        </w:rPr>
      </w:pPr>
    </w:p>
    <w:p w:rsidR="00893613" w:rsidRPr="0075198E" w:rsidRDefault="00893613" w:rsidP="00FE390D">
      <w:pPr>
        <w:spacing w:line="240" w:lineRule="auto"/>
        <w:rPr>
          <w:i/>
          <w:color w:val="1F497D"/>
        </w:rPr>
      </w:pPr>
      <w:r w:rsidRPr="0075198E">
        <w:rPr>
          <w:i/>
          <w:szCs w:val="24"/>
        </w:rPr>
        <w:t>Requirement 8 - Security of data.  Does the Department have particular expectations in this requirement beyond those required to gain Cyber Essentials certification?</w:t>
      </w:r>
      <w:r w:rsidRPr="0075198E">
        <w:rPr>
          <w:i/>
          <w:color w:val="1F497D"/>
        </w:rPr>
        <w:t xml:space="preserve"> </w:t>
      </w:r>
    </w:p>
    <w:p w:rsidR="00893613" w:rsidRPr="004E1E85" w:rsidRDefault="00893613" w:rsidP="00FE390D">
      <w:pPr>
        <w:spacing w:line="240" w:lineRule="auto"/>
        <w:rPr>
          <w:color w:val="1F4E79" w:themeColor="accent1" w:themeShade="80"/>
          <w:szCs w:val="24"/>
        </w:rPr>
      </w:pPr>
      <w:r w:rsidRPr="0075198E">
        <w:rPr>
          <w:color w:val="1F4E79" w:themeColor="accent1" w:themeShade="80"/>
          <w:szCs w:val="24"/>
        </w:rPr>
        <w:t xml:space="preserve">The successful bidder must also comply with all data security requirements stated within the </w:t>
      </w:r>
      <w:proofErr w:type="spellStart"/>
      <w:r w:rsidRPr="0075198E">
        <w:rPr>
          <w:color w:val="1F4E79" w:themeColor="accent1" w:themeShade="80"/>
          <w:szCs w:val="24"/>
        </w:rPr>
        <w:t>DfE’s</w:t>
      </w:r>
      <w:proofErr w:type="spellEnd"/>
      <w:r w:rsidRPr="0075198E">
        <w:rPr>
          <w:color w:val="1F4E79" w:themeColor="accent1" w:themeShade="80"/>
          <w:szCs w:val="24"/>
        </w:rPr>
        <w:t xml:space="preserve"> draft contract for major projects, which </w:t>
      </w:r>
      <w:proofErr w:type="gramStart"/>
      <w:r w:rsidRPr="0075198E">
        <w:rPr>
          <w:color w:val="1F4E79" w:themeColor="accent1" w:themeShade="80"/>
          <w:szCs w:val="24"/>
        </w:rPr>
        <w:t>was attached</w:t>
      </w:r>
      <w:proofErr w:type="gramEnd"/>
      <w:r w:rsidRPr="0075198E">
        <w:rPr>
          <w:color w:val="1F4E79" w:themeColor="accent1" w:themeShade="80"/>
          <w:szCs w:val="24"/>
        </w:rPr>
        <w:t xml:space="preserve"> to the ITT.  Bidders must identify these for themselves; however, most </w:t>
      </w:r>
      <w:proofErr w:type="gramStart"/>
      <w:r w:rsidRPr="0075198E">
        <w:rPr>
          <w:color w:val="1F4E79" w:themeColor="accent1" w:themeShade="80"/>
          <w:szCs w:val="24"/>
        </w:rPr>
        <w:t>are stated</w:t>
      </w:r>
      <w:proofErr w:type="gramEnd"/>
      <w:r w:rsidRPr="0075198E">
        <w:rPr>
          <w:color w:val="1F4E79" w:themeColor="accent1" w:themeShade="80"/>
          <w:szCs w:val="24"/>
        </w:rPr>
        <w:t xml:space="preserve"> in </w:t>
      </w:r>
      <w:r w:rsidR="00EF4E36">
        <w:rPr>
          <w:iCs/>
          <w:color w:val="1F4E79" w:themeColor="accent1" w:themeShade="80"/>
          <w:szCs w:val="24"/>
        </w:rPr>
        <w:t>Schedule 8:</w:t>
      </w:r>
      <w:r w:rsidRPr="0075198E">
        <w:rPr>
          <w:iCs/>
          <w:color w:val="1F4E79" w:themeColor="accent1" w:themeShade="80"/>
          <w:szCs w:val="24"/>
        </w:rPr>
        <w:t> Data, systems handling and security</w:t>
      </w:r>
      <w:r w:rsidRPr="0075198E">
        <w:rPr>
          <w:color w:val="1F4E79" w:themeColor="accent1" w:themeShade="80"/>
          <w:szCs w:val="24"/>
        </w:rPr>
        <w:t xml:space="preserve"> and its Annexe.</w:t>
      </w:r>
    </w:p>
    <w:p w:rsidR="00EF4E36" w:rsidRPr="00EF4E36" w:rsidRDefault="00EF4E36" w:rsidP="00FE390D">
      <w:pPr>
        <w:rPr>
          <w:color w:val="1F4E79" w:themeColor="accent1" w:themeShade="80"/>
        </w:rPr>
      </w:pPr>
    </w:p>
    <w:p w:rsidR="002A05E4" w:rsidRDefault="002A05E4" w:rsidP="00FE390D">
      <w:pPr>
        <w:rPr>
          <w:i/>
        </w:rPr>
      </w:pPr>
      <w:proofErr w:type="gramStart"/>
      <w:r w:rsidRPr="002A05E4">
        <w:rPr>
          <w:i/>
        </w:rPr>
        <w:t>With regards to</w:t>
      </w:r>
      <w:proofErr w:type="gramEnd"/>
      <w:r w:rsidRPr="002A05E4">
        <w:rPr>
          <w:i/>
        </w:rPr>
        <w:t xml:space="preserve"> the Terms and Conditions - Attachment 1 – Schedule 2 – clause 23 – The authority has a number of rights to terminate the agreement.  However, the provider has no such rights.  Could we request please that clause 23.11, which allows the authority to terminate at any time by providing 3 months’ notice, </w:t>
      </w:r>
      <w:proofErr w:type="gramStart"/>
      <w:r w:rsidRPr="002A05E4">
        <w:rPr>
          <w:i/>
        </w:rPr>
        <w:t>be changed</w:t>
      </w:r>
      <w:proofErr w:type="gramEnd"/>
      <w:r w:rsidRPr="002A05E4">
        <w:rPr>
          <w:i/>
        </w:rPr>
        <w:t xml:space="preserve"> to a mutual clause?</w:t>
      </w:r>
    </w:p>
    <w:p w:rsidR="00FA3BB7" w:rsidRDefault="002A05E4" w:rsidP="00FE390D">
      <w:pPr>
        <w:rPr>
          <w:rFonts w:ascii="Calibri" w:hAnsi="Calibri"/>
          <w:color w:val="1F4E79" w:themeColor="accent1" w:themeShade="80"/>
          <w:sz w:val="22"/>
        </w:rPr>
      </w:pPr>
      <w:r w:rsidRPr="002A05E4">
        <w:rPr>
          <w:color w:val="1F4E79" w:themeColor="accent1" w:themeShade="80"/>
        </w:rPr>
        <w:t xml:space="preserve">Please put this request in your tender response and we will consider it at the </w:t>
      </w:r>
      <w:r w:rsidR="000D0490">
        <w:rPr>
          <w:color w:val="1F4E79" w:themeColor="accent1" w:themeShade="80"/>
        </w:rPr>
        <w:t xml:space="preserve">fine-tuning </w:t>
      </w:r>
      <w:r w:rsidRPr="002A05E4">
        <w:rPr>
          <w:color w:val="1F4E79" w:themeColor="accent1" w:themeShade="80"/>
        </w:rPr>
        <w:t xml:space="preserve">stage of the process. </w:t>
      </w:r>
    </w:p>
    <w:p w:rsidR="000B6BBD" w:rsidRDefault="000B6BBD" w:rsidP="00FE390D">
      <w:pPr>
        <w:rPr>
          <w:rFonts w:ascii="Calibri" w:hAnsi="Calibri"/>
          <w:color w:val="1F4E79" w:themeColor="accent1" w:themeShade="80"/>
          <w:sz w:val="22"/>
        </w:rPr>
      </w:pPr>
    </w:p>
    <w:p w:rsidR="000B6BBD" w:rsidRPr="000B6BBD" w:rsidRDefault="000B6BBD" w:rsidP="00FE390D">
      <w:pPr>
        <w:rPr>
          <w:rFonts w:ascii="Calibri" w:hAnsi="Calibri"/>
          <w:color w:val="1F4E79" w:themeColor="accent1" w:themeShade="80"/>
          <w:sz w:val="22"/>
        </w:rPr>
      </w:pPr>
    </w:p>
    <w:p w:rsidR="00CB6C1B" w:rsidRDefault="00CB6C1B">
      <w:pPr>
        <w:spacing w:after="160"/>
        <w:rPr>
          <w:b/>
          <w:szCs w:val="24"/>
        </w:rPr>
      </w:pPr>
      <w:r>
        <w:rPr>
          <w:b/>
          <w:szCs w:val="24"/>
        </w:rPr>
        <w:br w:type="page"/>
      </w:r>
    </w:p>
    <w:p w:rsidR="00FA3BB7" w:rsidRPr="00EE5F33" w:rsidRDefault="00FA3BB7" w:rsidP="00FE390D">
      <w:pPr>
        <w:spacing w:line="240" w:lineRule="auto"/>
        <w:rPr>
          <w:b/>
          <w:szCs w:val="24"/>
        </w:rPr>
      </w:pPr>
      <w:r w:rsidRPr="00EE5F33">
        <w:rPr>
          <w:b/>
          <w:szCs w:val="24"/>
        </w:rPr>
        <w:lastRenderedPageBreak/>
        <w:t>LDSG (SEND) 18-19 – 03 workforce</w:t>
      </w:r>
    </w:p>
    <w:p w:rsidR="00FA3BB7" w:rsidRPr="00EE5F33" w:rsidRDefault="00FA3BB7" w:rsidP="00FE390D">
      <w:pPr>
        <w:spacing w:line="240" w:lineRule="auto"/>
        <w:rPr>
          <w:szCs w:val="24"/>
        </w:rPr>
      </w:pPr>
    </w:p>
    <w:p w:rsidR="00FA3BB7" w:rsidRPr="00EE5F33" w:rsidRDefault="00FA3BB7" w:rsidP="00FE390D">
      <w:pPr>
        <w:spacing w:line="240" w:lineRule="auto"/>
        <w:rPr>
          <w:i/>
          <w:szCs w:val="24"/>
        </w:rPr>
      </w:pPr>
      <w:r w:rsidRPr="00EE5F33">
        <w:rPr>
          <w:i/>
          <w:szCs w:val="24"/>
        </w:rPr>
        <w:t xml:space="preserve">Would the </w:t>
      </w:r>
      <w:r w:rsidR="00EE5F33">
        <w:rPr>
          <w:i/>
          <w:szCs w:val="24"/>
        </w:rPr>
        <w:t xml:space="preserve">Department </w:t>
      </w:r>
      <w:r w:rsidRPr="00EE5F33">
        <w:rPr>
          <w:i/>
          <w:szCs w:val="24"/>
        </w:rPr>
        <w:t>require the bid to be an England-wide single response, or is there scope for bids in different areas responding to specific local needs?</w:t>
      </w:r>
    </w:p>
    <w:p w:rsidR="008440FE" w:rsidRPr="0075198E" w:rsidRDefault="008440FE" w:rsidP="00FE390D">
      <w:pPr>
        <w:spacing w:line="240" w:lineRule="auto"/>
        <w:rPr>
          <w:color w:val="1F4E79" w:themeColor="accent1" w:themeShade="80"/>
          <w:szCs w:val="24"/>
        </w:rPr>
      </w:pPr>
      <w:r w:rsidRPr="0075198E">
        <w:rPr>
          <w:color w:val="1F4E79" w:themeColor="accent1" w:themeShade="80"/>
          <w:szCs w:val="24"/>
        </w:rPr>
        <w:t xml:space="preserve">These contracts will support a national programme.  We are therefore only looking for </w:t>
      </w:r>
      <w:proofErr w:type="gramStart"/>
      <w:r w:rsidRPr="0075198E">
        <w:rPr>
          <w:color w:val="1F4E79" w:themeColor="accent1" w:themeShade="80"/>
          <w:szCs w:val="24"/>
        </w:rPr>
        <w:t>bids which</w:t>
      </w:r>
      <w:proofErr w:type="gramEnd"/>
      <w:r w:rsidRPr="0075198E">
        <w:rPr>
          <w:color w:val="1F4E79" w:themeColor="accent1" w:themeShade="80"/>
          <w:szCs w:val="24"/>
        </w:rPr>
        <w:t xml:space="preserve"> can achieve a national reach.  </w:t>
      </w:r>
    </w:p>
    <w:p w:rsidR="002B5BAD" w:rsidRDefault="002B5BAD" w:rsidP="00FE390D">
      <w:pPr>
        <w:spacing w:line="240" w:lineRule="auto"/>
        <w:rPr>
          <w:rFonts w:ascii="Times New Roman" w:hAnsi="Times New Roman"/>
        </w:rPr>
      </w:pPr>
    </w:p>
    <w:p w:rsidR="002B5BAD" w:rsidRPr="002B5BAD" w:rsidRDefault="002B5BAD" w:rsidP="00FE390D">
      <w:pPr>
        <w:spacing w:line="240" w:lineRule="auto"/>
        <w:rPr>
          <w:i/>
        </w:rPr>
      </w:pPr>
      <w:r w:rsidRPr="002B5BAD">
        <w:rPr>
          <w:i/>
        </w:rPr>
        <w:t xml:space="preserve">Is there any proposed allocation/split of the available budget by local authority area or other region? </w:t>
      </w:r>
      <w:proofErr w:type="gramStart"/>
      <w:r w:rsidR="004E1E85" w:rsidRPr="002B5BAD">
        <w:rPr>
          <w:i/>
        </w:rPr>
        <w:t>E.g.</w:t>
      </w:r>
      <w:proofErr w:type="gramEnd"/>
      <w:r w:rsidRPr="002B5BAD">
        <w:rPr>
          <w:i/>
        </w:rPr>
        <w:t xml:space="preserve"> would the London Borough of Sutton have a particular amount available to bid for?</w:t>
      </w:r>
    </w:p>
    <w:p w:rsidR="002B5BAD" w:rsidRPr="00AB009A" w:rsidRDefault="002B5BAD" w:rsidP="00FE390D">
      <w:pPr>
        <w:spacing w:line="240" w:lineRule="auto"/>
        <w:rPr>
          <w:rFonts w:ascii="Times New Roman" w:hAnsi="Times New Roman" w:cs="Times New Roman"/>
          <w:iCs/>
          <w:color w:val="1F4E79" w:themeColor="accent1" w:themeShade="80"/>
          <w:szCs w:val="24"/>
        </w:rPr>
      </w:pPr>
      <w:r w:rsidRPr="0075198E">
        <w:rPr>
          <w:iCs/>
          <w:color w:val="1F4E79" w:themeColor="accent1" w:themeShade="80"/>
        </w:rPr>
        <w:t xml:space="preserve">These contracts will support a national programme.  We are therefore only looking for </w:t>
      </w:r>
      <w:proofErr w:type="gramStart"/>
      <w:r w:rsidRPr="0075198E">
        <w:rPr>
          <w:iCs/>
          <w:color w:val="1F4E79" w:themeColor="accent1" w:themeShade="80"/>
        </w:rPr>
        <w:t>bids which</w:t>
      </w:r>
      <w:proofErr w:type="gramEnd"/>
      <w:r w:rsidRPr="0075198E">
        <w:rPr>
          <w:iCs/>
          <w:color w:val="1F4E79" w:themeColor="accent1" w:themeShade="80"/>
        </w:rPr>
        <w:t xml:space="preserve"> can achieve a national reach.  </w:t>
      </w:r>
    </w:p>
    <w:p w:rsidR="002B5BAD" w:rsidRDefault="002B5BAD" w:rsidP="00FE390D">
      <w:pPr>
        <w:spacing w:line="240" w:lineRule="auto"/>
      </w:pPr>
    </w:p>
    <w:p w:rsidR="002B5BAD" w:rsidRPr="002B5BAD" w:rsidRDefault="002B5BAD" w:rsidP="00FE390D">
      <w:pPr>
        <w:spacing w:line="240" w:lineRule="auto"/>
        <w:rPr>
          <w:i/>
        </w:rPr>
      </w:pPr>
      <w:r w:rsidRPr="002B5BAD">
        <w:rPr>
          <w:i/>
        </w:rPr>
        <w:t xml:space="preserve">Where there is a lack of expertise in the local area to provide specific training through school staff themselves, can we use other professionals to deliver appropriate training to school teams? </w:t>
      </w:r>
      <w:proofErr w:type="gramStart"/>
      <w:r w:rsidR="00AB009A" w:rsidRPr="002B5BAD">
        <w:rPr>
          <w:i/>
        </w:rPr>
        <w:t>E.g.</w:t>
      </w:r>
      <w:proofErr w:type="gramEnd"/>
      <w:r w:rsidRPr="002B5BAD">
        <w:rPr>
          <w:i/>
        </w:rPr>
        <w:t xml:space="preserve"> through SEND specialist professionals?</w:t>
      </w:r>
    </w:p>
    <w:p w:rsidR="00AB009A" w:rsidRDefault="002B5BAD" w:rsidP="00FE390D">
      <w:pPr>
        <w:spacing w:line="240" w:lineRule="auto"/>
        <w:rPr>
          <w:iCs/>
          <w:color w:val="1F4E79" w:themeColor="accent1" w:themeShade="80"/>
        </w:rPr>
      </w:pPr>
      <w:r w:rsidRPr="0075198E">
        <w:rPr>
          <w:rFonts w:cs="Arial"/>
          <w:iCs/>
          <w:color w:val="1F4E79" w:themeColor="accent1" w:themeShade="80"/>
        </w:rPr>
        <w:t>One of the aims of the contract will be to equip</w:t>
      </w:r>
      <w:r w:rsidRPr="0075198E">
        <w:rPr>
          <w:iCs/>
          <w:color w:val="1F4E79" w:themeColor="accent1" w:themeShade="80"/>
        </w:rPr>
        <w:t xml:space="preserve"> schools to identify and meet their training needs in relation to SEND.  We are interested in strategic proposals with a national reach. The use of external professionals, for example using a </w:t>
      </w:r>
      <w:r w:rsidR="00AB009A">
        <w:rPr>
          <w:iCs/>
          <w:color w:val="1F4E79" w:themeColor="accent1" w:themeShade="80"/>
        </w:rPr>
        <w:t>“</w:t>
      </w:r>
      <w:r w:rsidRPr="0075198E">
        <w:rPr>
          <w:iCs/>
          <w:color w:val="1F4E79" w:themeColor="accent1" w:themeShade="80"/>
        </w:rPr>
        <w:t>train the trainer</w:t>
      </w:r>
      <w:r w:rsidR="00AB009A">
        <w:rPr>
          <w:iCs/>
          <w:color w:val="1F4E79" w:themeColor="accent1" w:themeShade="80"/>
        </w:rPr>
        <w:t>”</w:t>
      </w:r>
      <w:r w:rsidRPr="0075198E">
        <w:rPr>
          <w:iCs/>
          <w:color w:val="1F4E79" w:themeColor="accent1" w:themeShade="80"/>
        </w:rPr>
        <w:t xml:space="preserve"> model, where needed, could be a useful approach to building in-school expertise. </w:t>
      </w:r>
    </w:p>
    <w:p w:rsidR="00AB009A" w:rsidRDefault="00AB009A" w:rsidP="00FE390D">
      <w:pPr>
        <w:spacing w:line="240" w:lineRule="auto"/>
        <w:rPr>
          <w:iCs/>
          <w:color w:val="1F4E79" w:themeColor="accent1" w:themeShade="80"/>
        </w:rPr>
      </w:pPr>
    </w:p>
    <w:p w:rsidR="002B5BAD" w:rsidRPr="0075198E" w:rsidRDefault="002B5BAD" w:rsidP="00FE390D">
      <w:pPr>
        <w:spacing w:line="240" w:lineRule="auto"/>
        <w:rPr>
          <w:rFonts w:ascii="Times New Roman" w:hAnsi="Times New Roman" w:cs="Times New Roman"/>
          <w:iCs/>
          <w:color w:val="1F4E79" w:themeColor="accent1" w:themeShade="80"/>
          <w:szCs w:val="24"/>
        </w:rPr>
      </w:pPr>
      <w:r w:rsidRPr="0075198E">
        <w:rPr>
          <w:iCs/>
          <w:color w:val="1F4E79" w:themeColor="accent1" w:themeShade="80"/>
        </w:rPr>
        <w:t xml:space="preserve">The ITT is clear that we expect proposals to include a school-to-school approach, </w:t>
      </w:r>
      <w:r w:rsidR="00AB009A">
        <w:rPr>
          <w:iCs/>
          <w:color w:val="1F4E79" w:themeColor="accent1" w:themeShade="80"/>
        </w:rPr>
        <w:t>making use of</w:t>
      </w:r>
      <w:r w:rsidRPr="0075198E">
        <w:rPr>
          <w:iCs/>
          <w:color w:val="1F4E79" w:themeColor="accent1" w:themeShade="80"/>
        </w:rPr>
        <w:t xml:space="preserve"> the existing networks of teaching schools, National, Local and Specialist Leaders of Education (especially those with an SEN designation), as well as working with Academy Trusts and other umbrella bodies. We expect the successful bidder to embed the model of school-to-school support in improving provision for pupils with SEND, creating a sustainable </w:t>
      </w:r>
      <w:proofErr w:type="gramStart"/>
      <w:r w:rsidRPr="0075198E">
        <w:rPr>
          <w:iCs/>
          <w:color w:val="1F4E79" w:themeColor="accent1" w:themeShade="80"/>
        </w:rPr>
        <w:t>model which</w:t>
      </w:r>
      <w:proofErr w:type="gramEnd"/>
      <w:r w:rsidRPr="0075198E">
        <w:rPr>
          <w:iCs/>
          <w:color w:val="1F4E79" w:themeColor="accent1" w:themeShade="80"/>
        </w:rPr>
        <w:t xml:space="preserve"> has a legacy beyond the lifetime of the contract. We also expect the successful bidder to work openly with other organisations supporting the school workforce.  </w:t>
      </w:r>
    </w:p>
    <w:p w:rsidR="002B5BAD" w:rsidRPr="008440FE" w:rsidRDefault="002B5BAD" w:rsidP="00FE390D">
      <w:pPr>
        <w:spacing w:line="240" w:lineRule="auto"/>
        <w:rPr>
          <w:szCs w:val="24"/>
        </w:rPr>
      </w:pPr>
    </w:p>
    <w:p w:rsidR="00F27D8B" w:rsidRPr="00F27D8B" w:rsidRDefault="00F27D8B" w:rsidP="00FE390D">
      <w:pPr>
        <w:spacing w:line="240" w:lineRule="auto"/>
        <w:contextualSpacing/>
        <w:rPr>
          <w:rFonts w:ascii="Verdana" w:hAnsi="Verdana"/>
          <w:i/>
          <w:color w:val="365F91"/>
        </w:rPr>
      </w:pPr>
      <w:r w:rsidRPr="0075198E">
        <w:rPr>
          <w:i/>
        </w:rPr>
        <w:t>Will there be any support from DfE in the support and implementation of this programme</w:t>
      </w:r>
      <w:r w:rsidRPr="00F27D8B">
        <w:rPr>
          <w:i/>
          <w:color w:val="365F91"/>
        </w:rPr>
        <w:t xml:space="preserve">? </w:t>
      </w:r>
    </w:p>
    <w:p w:rsidR="00F27D8B" w:rsidRPr="0075198E" w:rsidRDefault="00F27D8B" w:rsidP="00FE390D">
      <w:pPr>
        <w:spacing w:line="240" w:lineRule="auto"/>
        <w:rPr>
          <w:rFonts w:cs="Arial"/>
          <w:iCs/>
          <w:color w:val="1F4E79" w:themeColor="accent1" w:themeShade="80"/>
          <w:szCs w:val="24"/>
        </w:rPr>
      </w:pPr>
      <w:r w:rsidRPr="0075198E">
        <w:rPr>
          <w:rFonts w:cs="Arial"/>
          <w:iCs/>
          <w:color w:val="1F4E79" w:themeColor="accent1" w:themeShade="80"/>
          <w:szCs w:val="24"/>
        </w:rPr>
        <w:t xml:space="preserve">The Department is tendering for this contract to enable the schools workforce to better identify and meet the needs of pupils with a wide range of special educational needs.  The Department’s SEND policy team will manage this contract and will work closely with the successful contractor in the implementation of the programme.  </w:t>
      </w:r>
    </w:p>
    <w:p w:rsidR="00FA3BB7" w:rsidRPr="00EE5F33" w:rsidRDefault="00FA3BB7" w:rsidP="00FE390D">
      <w:pPr>
        <w:spacing w:line="240" w:lineRule="auto"/>
        <w:rPr>
          <w:szCs w:val="24"/>
        </w:rPr>
      </w:pPr>
    </w:p>
    <w:p w:rsidR="00F27D8B" w:rsidRPr="0075198E" w:rsidRDefault="00AB009A" w:rsidP="00FE390D">
      <w:pPr>
        <w:spacing w:line="240" w:lineRule="auto"/>
        <w:contextualSpacing/>
        <w:rPr>
          <w:rFonts w:ascii="Verdana" w:hAnsi="Verdana" w:cs="Times New Roman"/>
          <w:i/>
          <w:szCs w:val="24"/>
        </w:rPr>
      </w:pPr>
      <w:r>
        <w:rPr>
          <w:i/>
        </w:rPr>
        <w:t>T</w:t>
      </w:r>
      <w:r w:rsidR="00F27D8B" w:rsidRPr="0075198E">
        <w:rPr>
          <w:i/>
        </w:rPr>
        <w:t xml:space="preserve">he </w:t>
      </w:r>
      <w:r>
        <w:rPr>
          <w:i/>
        </w:rPr>
        <w:t>section ‘</w:t>
      </w:r>
      <w:r w:rsidR="00F27D8B" w:rsidRPr="0075198E">
        <w:rPr>
          <w:i/>
        </w:rPr>
        <w:t>Specification – Award Stage</w:t>
      </w:r>
      <w:r>
        <w:rPr>
          <w:i/>
        </w:rPr>
        <w:t>’</w:t>
      </w:r>
      <w:r w:rsidR="00F27D8B" w:rsidRPr="0075198E">
        <w:rPr>
          <w:i/>
        </w:rPr>
        <w:t>, section 8, states that there will be a number of contracts awarded to ensure the successful implementation of the SEND reforms</w:t>
      </w:r>
      <w:r>
        <w:rPr>
          <w:i/>
        </w:rPr>
        <w:t>, and that a</w:t>
      </w:r>
      <w:r w:rsidR="00F27D8B" w:rsidRPr="0075198E">
        <w:rPr>
          <w:i/>
        </w:rPr>
        <w:t>ll contractors wil</w:t>
      </w:r>
      <w:r>
        <w:rPr>
          <w:i/>
        </w:rPr>
        <w:t>l be required to work together.</w:t>
      </w:r>
      <w:r w:rsidR="00F27D8B" w:rsidRPr="0075198E">
        <w:rPr>
          <w:i/>
        </w:rPr>
        <w:t xml:space="preserve"> </w:t>
      </w:r>
      <w:r>
        <w:rPr>
          <w:i/>
        </w:rPr>
        <w:t xml:space="preserve"> </w:t>
      </w:r>
      <w:r w:rsidRPr="0075198E">
        <w:rPr>
          <w:i/>
        </w:rPr>
        <w:t>I</w:t>
      </w:r>
      <w:r w:rsidR="00F27D8B" w:rsidRPr="0075198E">
        <w:rPr>
          <w:i/>
        </w:rPr>
        <w:t xml:space="preserve">s this referring to contracts on a different subject matter or within this delivery? </w:t>
      </w:r>
    </w:p>
    <w:p w:rsidR="00F27D8B" w:rsidRPr="0075198E" w:rsidRDefault="00F27D8B" w:rsidP="00FE390D">
      <w:pPr>
        <w:spacing w:line="240" w:lineRule="auto"/>
        <w:rPr>
          <w:rFonts w:cs="Arial"/>
          <w:iCs/>
          <w:color w:val="1F4E79" w:themeColor="accent1" w:themeShade="80"/>
          <w:szCs w:val="24"/>
        </w:rPr>
      </w:pPr>
      <w:r w:rsidRPr="0075198E">
        <w:rPr>
          <w:rFonts w:cs="Arial"/>
          <w:iCs/>
          <w:color w:val="1F4E79" w:themeColor="accent1" w:themeShade="80"/>
          <w:szCs w:val="24"/>
        </w:rPr>
        <w:t xml:space="preserve">The Department has a number of contractors providing delivery support for the SEND reforms.  </w:t>
      </w:r>
      <w:proofErr w:type="gramStart"/>
      <w:r w:rsidRPr="0075198E">
        <w:rPr>
          <w:rFonts w:cs="Arial"/>
          <w:iCs/>
          <w:color w:val="1F4E79" w:themeColor="accent1" w:themeShade="80"/>
          <w:szCs w:val="24"/>
        </w:rPr>
        <w:t>Each contractor is required to deliver the work set out in their</w:t>
      </w:r>
      <w:proofErr w:type="gramEnd"/>
      <w:r w:rsidRPr="0075198E">
        <w:rPr>
          <w:rFonts w:cs="Arial"/>
          <w:iCs/>
          <w:color w:val="1F4E79" w:themeColor="accent1" w:themeShade="80"/>
          <w:szCs w:val="24"/>
        </w:rPr>
        <w:t xml:space="preserve"> </w:t>
      </w:r>
      <w:proofErr w:type="spellStart"/>
      <w:r w:rsidRPr="0075198E">
        <w:rPr>
          <w:rFonts w:cs="Arial"/>
          <w:iCs/>
          <w:color w:val="1F4E79" w:themeColor="accent1" w:themeShade="80"/>
          <w:szCs w:val="24"/>
        </w:rPr>
        <w:t>workplan</w:t>
      </w:r>
      <w:proofErr w:type="spellEnd"/>
      <w:r w:rsidRPr="0075198E">
        <w:rPr>
          <w:rFonts w:cs="Arial"/>
          <w:iCs/>
          <w:color w:val="1F4E79" w:themeColor="accent1" w:themeShade="80"/>
          <w:szCs w:val="24"/>
        </w:rPr>
        <w:t xml:space="preserve">.  However, we expect our contractors to co-operate to ensure messages </w:t>
      </w:r>
      <w:proofErr w:type="gramStart"/>
      <w:r w:rsidRPr="0075198E">
        <w:rPr>
          <w:rFonts w:cs="Arial"/>
          <w:iCs/>
          <w:color w:val="1F4E79" w:themeColor="accent1" w:themeShade="80"/>
          <w:szCs w:val="24"/>
        </w:rPr>
        <w:t>are delivered</w:t>
      </w:r>
      <w:proofErr w:type="gramEnd"/>
      <w:r w:rsidRPr="0075198E">
        <w:rPr>
          <w:rFonts w:cs="Arial"/>
          <w:iCs/>
          <w:color w:val="1F4E79" w:themeColor="accent1" w:themeShade="80"/>
          <w:szCs w:val="24"/>
        </w:rPr>
        <w:t xml:space="preserve"> consistently, and so that schools, colleges, parents, young people and other partners are aware of the range of relevant support available to them.  </w:t>
      </w:r>
    </w:p>
    <w:p w:rsidR="00F27D8B" w:rsidRDefault="00F27D8B" w:rsidP="00FE390D">
      <w:pPr>
        <w:spacing w:line="240" w:lineRule="auto"/>
        <w:rPr>
          <w:rFonts w:cs="Arial"/>
          <w:iCs/>
          <w:szCs w:val="24"/>
        </w:rPr>
      </w:pPr>
    </w:p>
    <w:p w:rsidR="00F27D8B" w:rsidRPr="0075198E" w:rsidRDefault="00ED32DE" w:rsidP="00FE390D">
      <w:pPr>
        <w:spacing w:line="240" w:lineRule="auto"/>
        <w:contextualSpacing/>
        <w:rPr>
          <w:rFonts w:ascii="Verdana" w:hAnsi="Verdana" w:cs="Times New Roman"/>
          <w:i/>
          <w:szCs w:val="24"/>
        </w:rPr>
      </w:pPr>
      <w:r>
        <w:rPr>
          <w:i/>
        </w:rPr>
        <w:t>How</w:t>
      </w:r>
      <w:r w:rsidR="00F27D8B" w:rsidRPr="0075198E">
        <w:rPr>
          <w:i/>
        </w:rPr>
        <w:t xml:space="preserve"> </w:t>
      </w:r>
      <w:r>
        <w:rPr>
          <w:i/>
        </w:rPr>
        <w:t xml:space="preserve">is </w:t>
      </w:r>
      <w:r w:rsidR="00F27D8B" w:rsidRPr="0075198E">
        <w:rPr>
          <w:i/>
        </w:rPr>
        <w:t xml:space="preserve">the </w:t>
      </w:r>
      <w:r w:rsidR="006C6596">
        <w:rPr>
          <w:i/>
        </w:rPr>
        <w:t xml:space="preserve">existing </w:t>
      </w:r>
      <w:r w:rsidR="00F27D8B" w:rsidRPr="0075198E">
        <w:rPr>
          <w:i/>
        </w:rPr>
        <w:t>whole school SEND consortium organised?</w:t>
      </w:r>
    </w:p>
    <w:p w:rsidR="00893613" w:rsidRDefault="00F27D8B" w:rsidP="00FE390D">
      <w:pPr>
        <w:spacing w:line="240" w:lineRule="auto"/>
        <w:rPr>
          <w:rFonts w:cs="Arial"/>
          <w:iCs/>
          <w:color w:val="1F4E79" w:themeColor="accent1" w:themeShade="80"/>
          <w:szCs w:val="24"/>
        </w:rPr>
      </w:pPr>
      <w:r w:rsidRPr="0075198E">
        <w:rPr>
          <w:rFonts w:cs="Arial"/>
          <w:iCs/>
          <w:color w:val="1F4E79" w:themeColor="accent1" w:themeShade="80"/>
          <w:szCs w:val="24"/>
        </w:rPr>
        <w:t xml:space="preserve">The Whole School SEND consortium, led by the London Leadership Strategy, is a consortium of </w:t>
      </w:r>
      <w:proofErr w:type="gramStart"/>
      <w:r w:rsidRPr="0075198E">
        <w:rPr>
          <w:rFonts w:cs="Arial"/>
          <w:iCs/>
          <w:color w:val="1F4E79" w:themeColor="accent1" w:themeShade="80"/>
          <w:szCs w:val="24"/>
        </w:rPr>
        <w:t>organisations which</w:t>
      </w:r>
      <w:proofErr w:type="gramEnd"/>
      <w:r w:rsidRPr="0075198E">
        <w:rPr>
          <w:rFonts w:cs="Arial"/>
          <w:iCs/>
          <w:color w:val="1F4E79" w:themeColor="accent1" w:themeShade="80"/>
          <w:szCs w:val="24"/>
        </w:rPr>
        <w:t xml:space="preserve"> submitted a successful bid when the Department ran a tender for a schools workforce contractor in 2015.  </w:t>
      </w:r>
    </w:p>
    <w:p w:rsidR="008B10D1" w:rsidRDefault="008B10D1" w:rsidP="00FE390D">
      <w:pPr>
        <w:rPr>
          <w:rFonts w:cs="Arial"/>
          <w:szCs w:val="24"/>
        </w:rPr>
      </w:pPr>
    </w:p>
    <w:p w:rsidR="00E0650D" w:rsidRPr="00E0650D" w:rsidRDefault="00E0650D" w:rsidP="00FE390D">
      <w:pPr>
        <w:spacing w:line="252" w:lineRule="auto"/>
        <w:contextualSpacing/>
        <w:rPr>
          <w:rFonts w:cs="Arial"/>
          <w:bCs/>
          <w:i/>
        </w:rPr>
      </w:pPr>
      <w:r w:rsidRPr="00E0650D">
        <w:rPr>
          <w:rFonts w:cs="Arial"/>
          <w:bCs/>
          <w:i/>
        </w:rPr>
        <w:t>This tender document is for a school support programme. Why has the Department decided to omit early years and FE?</w:t>
      </w:r>
    </w:p>
    <w:p w:rsidR="00E0650D" w:rsidRPr="00E0650D" w:rsidRDefault="00E0650D" w:rsidP="00FE390D">
      <w:pPr>
        <w:rPr>
          <w:rFonts w:cs="Arial"/>
          <w:color w:val="1F4E79" w:themeColor="accent1" w:themeShade="80"/>
          <w:szCs w:val="24"/>
        </w:rPr>
      </w:pPr>
      <w:r w:rsidRPr="00E0650D">
        <w:rPr>
          <w:rFonts w:cs="Arial"/>
          <w:color w:val="1F4E79" w:themeColor="accent1" w:themeShade="80"/>
          <w:szCs w:val="24"/>
        </w:rPr>
        <w:t xml:space="preserve">The tender is specifically for a school support programme. </w:t>
      </w:r>
      <w:r w:rsidR="006C6596">
        <w:rPr>
          <w:rFonts w:cs="Arial"/>
          <w:color w:val="1F4E79" w:themeColor="accent1" w:themeShade="80"/>
          <w:szCs w:val="24"/>
        </w:rPr>
        <w:t>However</w:t>
      </w:r>
      <w:r w:rsidRPr="00E0650D">
        <w:rPr>
          <w:rFonts w:cs="Arial"/>
          <w:color w:val="1F4E79" w:themeColor="accent1" w:themeShade="80"/>
          <w:szCs w:val="24"/>
        </w:rPr>
        <w:t>, the contract does cover provision in school nurseries and sixth forms.</w:t>
      </w:r>
    </w:p>
    <w:p w:rsidR="00E0650D" w:rsidRPr="00E0650D" w:rsidRDefault="00E0650D" w:rsidP="00FE390D">
      <w:pPr>
        <w:ind w:left="720"/>
        <w:rPr>
          <w:rFonts w:cs="Arial"/>
          <w:color w:val="1F4E79" w:themeColor="accent1" w:themeShade="80"/>
          <w:szCs w:val="24"/>
        </w:rPr>
      </w:pPr>
    </w:p>
    <w:p w:rsidR="00E0650D" w:rsidRPr="00E0650D" w:rsidRDefault="00E0650D" w:rsidP="00FE390D">
      <w:pPr>
        <w:rPr>
          <w:rFonts w:cs="Arial"/>
          <w:color w:val="1F4E79" w:themeColor="accent1" w:themeShade="80"/>
          <w:szCs w:val="24"/>
        </w:rPr>
      </w:pPr>
      <w:r w:rsidRPr="00E0650D">
        <w:rPr>
          <w:rFonts w:cs="Arial"/>
          <w:color w:val="1F4E79" w:themeColor="accent1" w:themeShade="80"/>
          <w:szCs w:val="24"/>
        </w:rPr>
        <w:t xml:space="preserve">The Department recognises that the needs of the early years and FE sectors differ and that organisations require specific expertise to work with these sectors successfully. The Department is funding the Education Training Foundation to meet the needs of the FE workforce. In relation to early years, there are likely to be future procurement exercises to deliver work to meet the needs of this sector to ensure they are able to identify need and put in place effective support. </w:t>
      </w:r>
    </w:p>
    <w:p w:rsidR="00E0650D" w:rsidRDefault="00E0650D" w:rsidP="00FE390D">
      <w:pPr>
        <w:pStyle w:val="ListParagraph"/>
        <w:rPr>
          <w:rFonts w:ascii="Arial" w:hAnsi="Arial" w:cs="Arial"/>
        </w:rPr>
      </w:pPr>
    </w:p>
    <w:p w:rsidR="00E0650D" w:rsidRPr="00E0650D" w:rsidRDefault="00E0650D" w:rsidP="00FE390D">
      <w:pPr>
        <w:spacing w:line="252" w:lineRule="auto"/>
        <w:contextualSpacing/>
        <w:rPr>
          <w:rFonts w:cs="Arial"/>
          <w:bCs/>
          <w:i/>
        </w:rPr>
      </w:pPr>
      <w:r w:rsidRPr="00E0650D">
        <w:rPr>
          <w:rFonts w:cs="Arial"/>
          <w:bCs/>
          <w:i/>
        </w:rPr>
        <w:t xml:space="preserve">The tender puts great weight on peer-peer support, which although not without merits, is not a panacea. Not all schools are going to engage in peer-peer review and those </w:t>
      </w:r>
      <w:proofErr w:type="gramStart"/>
      <w:r w:rsidRPr="00E0650D">
        <w:rPr>
          <w:rFonts w:cs="Arial"/>
          <w:bCs/>
          <w:i/>
        </w:rPr>
        <w:t>schools which</w:t>
      </w:r>
      <w:proofErr w:type="gramEnd"/>
      <w:r w:rsidRPr="00E0650D">
        <w:rPr>
          <w:rFonts w:cs="Arial"/>
          <w:bCs/>
          <w:i/>
        </w:rPr>
        <w:t xml:space="preserve"> do not, which may lack capacity, need to be supported too. </w:t>
      </w:r>
    </w:p>
    <w:p w:rsidR="00E0650D" w:rsidRPr="00E0650D" w:rsidRDefault="00E0650D" w:rsidP="00FE390D">
      <w:pPr>
        <w:rPr>
          <w:rFonts w:cs="Arial"/>
          <w:color w:val="1F4E79" w:themeColor="accent1" w:themeShade="80"/>
        </w:rPr>
      </w:pPr>
      <w:r w:rsidRPr="00E0650D">
        <w:rPr>
          <w:rFonts w:cs="Arial"/>
          <w:color w:val="1F4E79" w:themeColor="accent1" w:themeShade="80"/>
        </w:rPr>
        <w:t xml:space="preserve">The invitation to tender recognises this balance. To be successful the bidder must demonstrate how they will both boost demand and supply for SEND Reviews (encouraging a </w:t>
      </w:r>
      <w:proofErr w:type="gramStart"/>
      <w:r w:rsidRPr="00E0650D">
        <w:rPr>
          <w:rFonts w:cs="Arial"/>
          <w:color w:val="1F4E79" w:themeColor="accent1" w:themeShade="80"/>
        </w:rPr>
        <w:t>school to school</w:t>
      </w:r>
      <w:proofErr w:type="gramEnd"/>
      <w:r w:rsidRPr="00E0650D">
        <w:rPr>
          <w:rFonts w:cs="Arial"/>
          <w:color w:val="1F4E79" w:themeColor="accent1" w:themeShade="80"/>
        </w:rPr>
        <w:t xml:space="preserve"> approach) and support schools to develop a self-sustaining strategy for upskilling their workforce to support all pupils with SEND.</w:t>
      </w:r>
    </w:p>
    <w:p w:rsidR="00E0650D" w:rsidRPr="00E0650D" w:rsidRDefault="00E0650D" w:rsidP="00FE390D">
      <w:pPr>
        <w:pStyle w:val="ListParagraph"/>
        <w:rPr>
          <w:rFonts w:ascii="Arial" w:hAnsi="Arial" w:cs="Arial"/>
          <w:color w:val="1F4E79" w:themeColor="accent1" w:themeShade="80"/>
        </w:rPr>
      </w:pPr>
    </w:p>
    <w:p w:rsidR="00E0650D" w:rsidRPr="00E0650D" w:rsidRDefault="00E0650D" w:rsidP="00FE390D">
      <w:pPr>
        <w:rPr>
          <w:rFonts w:cs="Arial"/>
          <w:color w:val="1F4E79" w:themeColor="accent1" w:themeShade="80"/>
        </w:rPr>
      </w:pPr>
      <w:r w:rsidRPr="00E0650D">
        <w:rPr>
          <w:rFonts w:cs="Arial"/>
          <w:color w:val="1F4E79" w:themeColor="accent1" w:themeShade="80"/>
        </w:rPr>
        <w:t xml:space="preserve">The focus on </w:t>
      </w:r>
      <w:proofErr w:type="gramStart"/>
      <w:r w:rsidRPr="00E0650D">
        <w:rPr>
          <w:rFonts w:cs="Arial"/>
          <w:color w:val="1F4E79" w:themeColor="accent1" w:themeShade="80"/>
        </w:rPr>
        <w:t>peer to peer</w:t>
      </w:r>
      <w:proofErr w:type="gramEnd"/>
      <w:r w:rsidRPr="00E0650D">
        <w:rPr>
          <w:rFonts w:cs="Arial"/>
          <w:color w:val="1F4E79" w:themeColor="accent1" w:themeShade="80"/>
        </w:rPr>
        <w:t xml:space="preserve"> support is supported by the Standard for teachers’ professional development Implementation guidance published in July 2016. All proposals should be in line with these standards. </w:t>
      </w:r>
    </w:p>
    <w:p w:rsidR="00E0650D" w:rsidRDefault="00E0650D" w:rsidP="00FE390D">
      <w:pPr>
        <w:rPr>
          <w:rFonts w:cs="Arial"/>
          <w:szCs w:val="24"/>
        </w:rPr>
      </w:pPr>
    </w:p>
    <w:p w:rsidR="00E0650D" w:rsidRPr="00E0650D" w:rsidRDefault="00E0650D" w:rsidP="00FE390D">
      <w:pPr>
        <w:contextualSpacing/>
        <w:rPr>
          <w:rFonts w:cs="Arial"/>
          <w:bCs/>
          <w:i/>
        </w:rPr>
      </w:pPr>
      <w:r w:rsidRPr="00E0650D">
        <w:rPr>
          <w:rFonts w:cs="Arial"/>
          <w:bCs/>
          <w:i/>
        </w:rPr>
        <w:t xml:space="preserve">What is set out in this tender is far removed from the in-depth and specialist condition specific </w:t>
      </w:r>
      <w:proofErr w:type="gramStart"/>
      <w:r w:rsidRPr="00E0650D">
        <w:rPr>
          <w:rFonts w:cs="Arial"/>
          <w:bCs/>
          <w:i/>
        </w:rPr>
        <w:t>support which</w:t>
      </w:r>
      <w:proofErr w:type="gramEnd"/>
      <w:r w:rsidRPr="00E0650D">
        <w:rPr>
          <w:rFonts w:cs="Arial"/>
          <w:bCs/>
          <w:i/>
        </w:rPr>
        <w:t xml:space="preserve"> schools and settings need.</w:t>
      </w:r>
    </w:p>
    <w:p w:rsidR="00E0650D" w:rsidRPr="00E0650D" w:rsidRDefault="00E0650D" w:rsidP="00FE390D">
      <w:pPr>
        <w:rPr>
          <w:rFonts w:cs="Arial"/>
          <w:color w:val="1F4E79" w:themeColor="accent1" w:themeShade="80"/>
        </w:rPr>
      </w:pPr>
      <w:r w:rsidRPr="00E0650D">
        <w:rPr>
          <w:rFonts w:cs="Arial"/>
          <w:color w:val="1F4E79" w:themeColor="accent1" w:themeShade="80"/>
        </w:rPr>
        <w:t xml:space="preserve">The ITT is in line with the Department’s school led approach to professional development.   It is the responsibility of schools to determine the needs of their staff to meet the needs of children with SEND. </w:t>
      </w:r>
    </w:p>
    <w:p w:rsidR="00E0650D" w:rsidRPr="00E0650D" w:rsidRDefault="00E0650D" w:rsidP="00FE390D">
      <w:pPr>
        <w:pStyle w:val="ListParagraph"/>
        <w:rPr>
          <w:rFonts w:ascii="Arial" w:hAnsi="Arial" w:cs="Arial"/>
          <w:color w:val="1F4E79" w:themeColor="accent1" w:themeShade="80"/>
        </w:rPr>
      </w:pPr>
    </w:p>
    <w:p w:rsidR="00E0650D" w:rsidRPr="00E0650D" w:rsidRDefault="00E0650D" w:rsidP="00FE390D">
      <w:pPr>
        <w:rPr>
          <w:rFonts w:cs="Arial"/>
          <w:color w:val="1F4E79" w:themeColor="accent1" w:themeShade="80"/>
        </w:rPr>
      </w:pPr>
      <w:r w:rsidRPr="00E0650D">
        <w:rPr>
          <w:rFonts w:cs="Arial"/>
          <w:color w:val="1F4E79" w:themeColor="accent1" w:themeShade="80"/>
        </w:rPr>
        <w:t>The successful bidder should demonstrate how they will facilitate a more direct relationship between SEND condition specialist organisations, ITT providers and schools seeking CPD; and, provide overarching advice to all condition sector organisations on how they can best meet the CPD needs of schools in order to support schools to commission bespoke training and support when required. To meet this requirement, bidders are likely to need to have engaged with the condition specialist organisations.</w:t>
      </w:r>
    </w:p>
    <w:p w:rsidR="00E0650D" w:rsidRDefault="00E0650D" w:rsidP="00FE390D">
      <w:pPr>
        <w:rPr>
          <w:rFonts w:cs="Arial"/>
          <w:szCs w:val="24"/>
        </w:rPr>
      </w:pPr>
    </w:p>
    <w:p w:rsidR="00E0650D" w:rsidRPr="00E0650D" w:rsidRDefault="00E0650D" w:rsidP="00FE390D">
      <w:pPr>
        <w:contextualSpacing/>
        <w:rPr>
          <w:rFonts w:cs="Arial"/>
          <w:bCs/>
          <w:i/>
        </w:rPr>
      </w:pPr>
      <w:r w:rsidRPr="00E0650D">
        <w:rPr>
          <w:rFonts w:cs="Arial"/>
          <w:bCs/>
          <w:i/>
        </w:rPr>
        <w:t xml:space="preserve">The fact that specific conditions </w:t>
      </w:r>
      <w:proofErr w:type="gramStart"/>
      <w:r w:rsidRPr="00E0650D">
        <w:rPr>
          <w:rFonts w:cs="Arial"/>
          <w:bCs/>
          <w:i/>
        </w:rPr>
        <w:t>are not mentioned</w:t>
      </w:r>
      <w:proofErr w:type="gramEnd"/>
      <w:r w:rsidRPr="00E0650D">
        <w:rPr>
          <w:rFonts w:cs="Arial"/>
          <w:bCs/>
          <w:i/>
        </w:rPr>
        <w:t xml:space="preserve"> in the tender is to devolve decisions about work in this area to a lead partner. </w:t>
      </w:r>
    </w:p>
    <w:p w:rsidR="00E0650D" w:rsidRPr="00E0650D" w:rsidRDefault="00E0650D" w:rsidP="00FE390D">
      <w:pPr>
        <w:rPr>
          <w:rFonts w:cs="Arial"/>
          <w:color w:val="1F4E79" w:themeColor="accent1" w:themeShade="80"/>
          <w:szCs w:val="24"/>
        </w:rPr>
      </w:pPr>
      <w:r w:rsidRPr="00E0650D">
        <w:rPr>
          <w:rFonts w:cs="Arial"/>
          <w:color w:val="1F4E79" w:themeColor="accent1" w:themeShade="80"/>
          <w:szCs w:val="24"/>
        </w:rPr>
        <w:t xml:space="preserve">The Department will assess the evidence provided by the contractor and make decisions about how and where to provide direct funding. The Department has made no assumptions about whether this </w:t>
      </w:r>
      <w:proofErr w:type="gramStart"/>
      <w:r w:rsidRPr="00E0650D">
        <w:rPr>
          <w:rFonts w:cs="Arial"/>
          <w:color w:val="1F4E79" w:themeColor="accent1" w:themeShade="80"/>
          <w:szCs w:val="24"/>
        </w:rPr>
        <w:t>should be achieved</w:t>
      </w:r>
      <w:proofErr w:type="gramEnd"/>
      <w:r w:rsidRPr="00E0650D">
        <w:rPr>
          <w:rFonts w:cs="Arial"/>
          <w:color w:val="1F4E79" w:themeColor="accent1" w:themeShade="80"/>
          <w:szCs w:val="24"/>
        </w:rPr>
        <w:t xml:space="preserve"> by subcontracting with condition specific organisations or by other means. However, it </w:t>
      </w:r>
      <w:proofErr w:type="gramStart"/>
      <w:r w:rsidRPr="00E0650D">
        <w:rPr>
          <w:rFonts w:cs="Arial"/>
          <w:color w:val="1F4E79" w:themeColor="accent1" w:themeShade="80"/>
          <w:szCs w:val="24"/>
        </w:rPr>
        <w:t>is expected</w:t>
      </w:r>
      <w:proofErr w:type="gramEnd"/>
      <w:r w:rsidRPr="00E0650D">
        <w:rPr>
          <w:rFonts w:cs="Arial"/>
          <w:color w:val="1F4E79" w:themeColor="accent1" w:themeShade="80"/>
          <w:szCs w:val="24"/>
        </w:rPr>
        <w:t xml:space="preserve"> that bidders would engage with the key sector specific organisations at some level.</w:t>
      </w:r>
    </w:p>
    <w:p w:rsidR="004E1E85" w:rsidRPr="004E1E85" w:rsidRDefault="004E1E85" w:rsidP="00FE390D">
      <w:pPr>
        <w:pStyle w:val="Heading2"/>
        <w:spacing w:before="0" w:after="0"/>
        <w:rPr>
          <w:b/>
          <w:sz w:val="24"/>
          <w:u w:val="single"/>
        </w:rPr>
      </w:pPr>
      <w:r w:rsidRPr="004E1E85">
        <w:rPr>
          <w:b/>
          <w:sz w:val="24"/>
          <w:u w:val="single"/>
        </w:rPr>
        <w:lastRenderedPageBreak/>
        <w:t>Annex – draft work plan and payment schedule</w:t>
      </w:r>
    </w:p>
    <w:p w:rsidR="004E1E85" w:rsidRDefault="004E1E85" w:rsidP="00FE390D">
      <w:pPr>
        <w:pStyle w:val="Heading2"/>
        <w:spacing w:before="0" w:after="0"/>
        <w:rPr>
          <w:sz w:val="24"/>
        </w:rPr>
      </w:pPr>
    </w:p>
    <w:p w:rsidR="00893613" w:rsidRDefault="00893613" w:rsidP="00FE390D">
      <w:pPr>
        <w:pStyle w:val="Heading2"/>
        <w:spacing w:before="0" w:after="0"/>
        <w:rPr>
          <w:sz w:val="24"/>
        </w:rPr>
      </w:pPr>
      <w:r>
        <w:rPr>
          <w:sz w:val="24"/>
        </w:rPr>
        <w:t xml:space="preserve">Below are two tables that you can use to set out </w:t>
      </w:r>
      <w:r>
        <w:rPr>
          <w:sz w:val="24"/>
          <w:szCs w:val="24"/>
        </w:rPr>
        <w:t>activity, deliverabl</w:t>
      </w:r>
      <w:r>
        <w:rPr>
          <w:sz w:val="24"/>
        </w:rPr>
        <w:t>es, milestones, KPIs and costs</w:t>
      </w:r>
      <w:r w:rsidR="004E1E85">
        <w:rPr>
          <w:sz w:val="24"/>
        </w:rPr>
        <w:t xml:space="preserve">. </w:t>
      </w:r>
      <w:r>
        <w:rPr>
          <w:sz w:val="24"/>
          <w:szCs w:val="24"/>
        </w:rPr>
        <w:t xml:space="preserve"> This should make it straightforward to judge the value and impact of each activity, and to make sure that the work plan is as SMART as possible.</w:t>
      </w:r>
      <w:r>
        <w:rPr>
          <w:sz w:val="24"/>
        </w:rPr>
        <w:t xml:space="preserve"> </w:t>
      </w:r>
    </w:p>
    <w:p w:rsidR="004E1E85" w:rsidRPr="004E1E85" w:rsidRDefault="004E1E85" w:rsidP="004E1E85">
      <w:pPr>
        <w:rPr>
          <w:lang w:val="en" w:eastAsia="en-GB"/>
        </w:rPr>
      </w:pPr>
    </w:p>
    <w:p w:rsidR="00893613" w:rsidRDefault="00893613" w:rsidP="00FE390D">
      <w:r w:rsidRPr="006A6FCE">
        <w:rPr>
          <w:szCs w:val="24"/>
        </w:rPr>
        <w:t xml:space="preserve">All payments are to </w:t>
      </w:r>
      <w:proofErr w:type="gramStart"/>
      <w:r w:rsidRPr="006A6FCE">
        <w:rPr>
          <w:szCs w:val="24"/>
        </w:rPr>
        <w:t>be triggered</w:t>
      </w:r>
      <w:proofErr w:type="gramEnd"/>
      <w:r w:rsidRPr="006A6FCE">
        <w:rPr>
          <w:szCs w:val="24"/>
        </w:rPr>
        <w:t xml:space="preserve"> by the Department’s acceptance of milestone deliverables.   Bidders are required to propose a series of milestone deliverables in their bid.  </w:t>
      </w:r>
      <w:r>
        <w:rPr>
          <w:szCs w:val="24"/>
        </w:rPr>
        <w:t xml:space="preserve">The successful bidder will need to demonstrate that they have delivered the activity planned for any given month prior to payment </w:t>
      </w:r>
      <w:proofErr w:type="gramStart"/>
      <w:r>
        <w:rPr>
          <w:szCs w:val="24"/>
        </w:rPr>
        <w:t>being released</w:t>
      </w:r>
      <w:proofErr w:type="gramEnd"/>
      <w:r>
        <w:rPr>
          <w:szCs w:val="24"/>
        </w:rPr>
        <w:t xml:space="preserve">. </w:t>
      </w:r>
    </w:p>
    <w:p w:rsidR="00893613" w:rsidRDefault="00893613" w:rsidP="00FE390D">
      <w:pPr>
        <w:sectPr w:rsidR="00893613" w:rsidSect="00884E3A">
          <w:pgSz w:w="11906" w:h="16838"/>
          <w:pgMar w:top="1440" w:right="1134" w:bottom="1440" w:left="1134" w:header="709" w:footer="709" w:gutter="0"/>
          <w:cols w:space="708"/>
          <w:docGrid w:linePitch="360"/>
        </w:sectPr>
      </w:pPr>
    </w:p>
    <w:p w:rsidR="00893613" w:rsidRPr="003A537B" w:rsidRDefault="00893613" w:rsidP="00FE390D">
      <w:pPr>
        <w:pStyle w:val="Heading2"/>
        <w:spacing w:before="0" w:after="0"/>
        <w:rPr>
          <w:rFonts w:ascii="Calibri" w:hAnsi="Calibri" w:cs="Calibri"/>
          <w:b/>
          <w:color w:val="4F81BD"/>
          <w:sz w:val="26"/>
          <w:szCs w:val="26"/>
        </w:rPr>
      </w:pPr>
      <w:proofErr w:type="spellStart"/>
      <w:r>
        <w:rPr>
          <w:rFonts w:ascii="Calibri" w:hAnsi="Calibri" w:cs="Calibri"/>
          <w:b/>
          <w:color w:val="4F81BD"/>
          <w:sz w:val="26"/>
          <w:szCs w:val="26"/>
        </w:rPr>
        <w:lastRenderedPageBreak/>
        <w:t>Workplan</w:t>
      </w:r>
      <w:proofErr w:type="spellEnd"/>
      <w:r>
        <w:rPr>
          <w:rFonts w:ascii="Calibri" w:hAnsi="Calibri" w:cs="Calibri"/>
          <w:b/>
          <w:color w:val="4F81BD"/>
          <w:sz w:val="26"/>
          <w:szCs w:val="26"/>
        </w:rPr>
        <w:t xml:space="preserve"> template</w:t>
      </w:r>
    </w:p>
    <w:p w:rsidR="00893613" w:rsidRPr="009B1A6A" w:rsidRDefault="00893613" w:rsidP="00FE390D">
      <w:pPr>
        <w:numPr>
          <w:ilvl w:val="0"/>
          <w:numId w:val="7"/>
        </w:numPr>
        <w:spacing w:line="276" w:lineRule="auto"/>
        <w:rPr>
          <w:b/>
        </w:rPr>
      </w:pPr>
      <w:r>
        <w:rPr>
          <w:b/>
        </w:rPr>
        <w:t>[Title of activity]</w:t>
      </w:r>
    </w:p>
    <w:p w:rsidR="004E1E85" w:rsidRDefault="004E1E85" w:rsidP="00FE39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53"/>
        <w:gridCol w:w="3723"/>
        <w:gridCol w:w="2285"/>
        <w:gridCol w:w="1217"/>
        <w:gridCol w:w="1839"/>
        <w:gridCol w:w="2271"/>
      </w:tblGrid>
      <w:tr w:rsidR="00893613" w:rsidRPr="009B1A6A" w:rsidTr="001452C0">
        <w:tc>
          <w:tcPr>
            <w:tcW w:w="0" w:type="auto"/>
            <w:shd w:val="clear" w:color="auto" w:fill="0070C0"/>
          </w:tcPr>
          <w:p w:rsidR="00893613" w:rsidRPr="003D52FC" w:rsidRDefault="00893613" w:rsidP="00FE390D">
            <w:pPr>
              <w:rPr>
                <w:b/>
                <w:color w:val="FFFFFF"/>
                <w:sz w:val="20"/>
              </w:rPr>
            </w:pPr>
            <w:r w:rsidRPr="003D52FC">
              <w:rPr>
                <w:b/>
                <w:color w:val="FFFFFF"/>
                <w:sz w:val="20"/>
              </w:rPr>
              <w:t>Objective</w:t>
            </w:r>
          </w:p>
        </w:tc>
        <w:tc>
          <w:tcPr>
            <w:tcW w:w="0" w:type="auto"/>
            <w:shd w:val="clear" w:color="auto" w:fill="0070C0"/>
          </w:tcPr>
          <w:p w:rsidR="00893613" w:rsidRPr="003D52FC" w:rsidRDefault="00893613" w:rsidP="00FE390D">
            <w:pPr>
              <w:rPr>
                <w:b/>
                <w:color w:val="FFFFFF"/>
                <w:sz w:val="20"/>
              </w:rPr>
            </w:pPr>
            <w:r>
              <w:rPr>
                <w:b/>
                <w:color w:val="FFFFFF"/>
                <w:sz w:val="20"/>
              </w:rPr>
              <w:t>Ref no</w:t>
            </w:r>
          </w:p>
        </w:tc>
        <w:tc>
          <w:tcPr>
            <w:tcW w:w="0" w:type="auto"/>
            <w:shd w:val="clear" w:color="auto" w:fill="0070C0"/>
          </w:tcPr>
          <w:p w:rsidR="00893613" w:rsidRPr="003D52FC" w:rsidRDefault="00893613" w:rsidP="00FE390D">
            <w:pPr>
              <w:rPr>
                <w:b/>
                <w:color w:val="FFFFFF"/>
                <w:sz w:val="20"/>
              </w:rPr>
            </w:pPr>
            <w:r w:rsidRPr="003D52FC">
              <w:rPr>
                <w:b/>
                <w:color w:val="FFFFFF"/>
                <w:sz w:val="20"/>
              </w:rPr>
              <w:t>Key Performance Indicator (including targets for success)</w:t>
            </w:r>
          </w:p>
        </w:tc>
        <w:tc>
          <w:tcPr>
            <w:tcW w:w="0" w:type="auto"/>
            <w:shd w:val="clear" w:color="auto" w:fill="0070C0"/>
          </w:tcPr>
          <w:p w:rsidR="00893613" w:rsidRPr="003D52FC" w:rsidRDefault="00893613" w:rsidP="00FE390D">
            <w:pPr>
              <w:rPr>
                <w:b/>
                <w:color w:val="FFFFFF"/>
                <w:sz w:val="20"/>
              </w:rPr>
            </w:pPr>
            <w:r w:rsidRPr="003D52FC">
              <w:rPr>
                <w:b/>
                <w:color w:val="FFFFFF"/>
                <w:sz w:val="20"/>
              </w:rPr>
              <w:t>Activities/Actions</w:t>
            </w:r>
          </w:p>
        </w:tc>
        <w:tc>
          <w:tcPr>
            <w:tcW w:w="0" w:type="auto"/>
            <w:shd w:val="clear" w:color="auto" w:fill="0070C0"/>
          </w:tcPr>
          <w:p w:rsidR="00893613" w:rsidRPr="003D52FC" w:rsidRDefault="00893613" w:rsidP="00FE390D">
            <w:pPr>
              <w:rPr>
                <w:b/>
                <w:color w:val="FFFFFF"/>
                <w:sz w:val="20"/>
              </w:rPr>
            </w:pPr>
            <w:r w:rsidRPr="003D52FC">
              <w:rPr>
                <w:b/>
                <w:color w:val="FFFFFF"/>
                <w:sz w:val="20"/>
              </w:rPr>
              <w:t>By When</w:t>
            </w:r>
          </w:p>
        </w:tc>
        <w:tc>
          <w:tcPr>
            <w:tcW w:w="0" w:type="auto"/>
            <w:shd w:val="clear" w:color="auto" w:fill="0070C0"/>
          </w:tcPr>
          <w:p w:rsidR="00893613" w:rsidRPr="003D52FC" w:rsidRDefault="00893613" w:rsidP="00FE390D">
            <w:pPr>
              <w:rPr>
                <w:b/>
                <w:color w:val="FFFFFF"/>
                <w:sz w:val="20"/>
              </w:rPr>
            </w:pPr>
            <w:r w:rsidRPr="003D52FC">
              <w:rPr>
                <w:b/>
                <w:color w:val="FFFFFF"/>
                <w:sz w:val="20"/>
              </w:rPr>
              <w:t>Break down/itemised</w:t>
            </w:r>
          </w:p>
          <w:p w:rsidR="00893613" w:rsidRPr="003D52FC" w:rsidRDefault="00893613" w:rsidP="00FE390D">
            <w:pPr>
              <w:rPr>
                <w:b/>
                <w:color w:val="FFFFFF"/>
                <w:sz w:val="20"/>
              </w:rPr>
            </w:pPr>
            <w:r w:rsidRPr="003D52FC">
              <w:rPr>
                <w:b/>
                <w:color w:val="FFFFFF"/>
                <w:sz w:val="20"/>
              </w:rPr>
              <w:t>cost</w:t>
            </w:r>
          </w:p>
        </w:tc>
        <w:tc>
          <w:tcPr>
            <w:tcW w:w="0" w:type="auto"/>
            <w:shd w:val="clear" w:color="auto" w:fill="0070C0"/>
          </w:tcPr>
          <w:p w:rsidR="00893613" w:rsidRPr="003D52FC" w:rsidRDefault="00893613" w:rsidP="00FE390D">
            <w:pPr>
              <w:rPr>
                <w:b/>
                <w:color w:val="FFFFFF"/>
                <w:sz w:val="20"/>
              </w:rPr>
            </w:pPr>
            <w:r w:rsidRPr="003D52FC">
              <w:rPr>
                <w:b/>
                <w:color w:val="FFFFFF"/>
                <w:sz w:val="20"/>
              </w:rPr>
              <w:t>Total cost for objective (excluding VAT)</w:t>
            </w:r>
          </w:p>
        </w:tc>
      </w:tr>
      <w:tr w:rsidR="00893613" w:rsidRPr="009B1A6A" w:rsidTr="001452C0">
        <w:tc>
          <w:tcPr>
            <w:tcW w:w="0" w:type="auto"/>
            <w:shd w:val="clear" w:color="auto" w:fill="auto"/>
          </w:tcPr>
          <w:p w:rsidR="00893613" w:rsidRPr="003D52FC" w:rsidRDefault="00893613" w:rsidP="00FE390D">
            <w:pPr>
              <w:rPr>
                <w:b/>
                <w:sz w:val="20"/>
                <w:lang w:val="en-US"/>
              </w:rPr>
            </w:pPr>
          </w:p>
        </w:tc>
        <w:tc>
          <w:tcPr>
            <w:tcW w:w="0" w:type="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r w:rsidRPr="003D52FC">
              <w:rPr>
                <w:sz w:val="20"/>
              </w:rPr>
              <w:t>Staffing costs:</w:t>
            </w:r>
          </w:p>
          <w:p w:rsidR="00893613" w:rsidRPr="003D52FC" w:rsidRDefault="00893613" w:rsidP="00FE390D">
            <w:pPr>
              <w:rPr>
                <w:sz w:val="20"/>
              </w:rPr>
            </w:pPr>
            <w:r w:rsidRPr="003D52FC">
              <w:rPr>
                <w:sz w:val="20"/>
              </w:rPr>
              <w:t xml:space="preserve">£ </w:t>
            </w:r>
          </w:p>
          <w:p w:rsidR="00893613" w:rsidRPr="003D52FC" w:rsidRDefault="00893613" w:rsidP="00FE390D">
            <w:pPr>
              <w:rPr>
                <w:sz w:val="20"/>
              </w:rPr>
            </w:pPr>
            <w:r w:rsidRPr="003D52FC">
              <w:rPr>
                <w:sz w:val="20"/>
              </w:rPr>
              <w:t>travel costs:</w:t>
            </w:r>
          </w:p>
          <w:p w:rsidR="00893613" w:rsidRPr="003D52FC" w:rsidRDefault="00893613" w:rsidP="00FE390D">
            <w:pPr>
              <w:rPr>
                <w:sz w:val="20"/>
              </w:rPr>
            </w:pPr>
            <w:r w:rsidRPr="003D52FC">
              <w:rPr>
                <w:sz w:val="20"/>
              </w:rPr>
              <w:t>£</w:t>
            </w:r>
          </w:p>
        </w:tc>
        <w:tc>
          <w:tcPr>
            <w:tcW w:w="0" w:type="auto"/>
            <w:shd w:val="clear" w:color="auto" w:fill="auto"/>
          </w:tcPr>
          <w:p w:rsidR="00893613" w:rsidRPr="003D52FC" w:rsidRDefault="00893613" w:rsidP="00FE390D">
            <w:pPr>
              <w:rPr>
                <w:sz w:val="20"/>
              </w:rPr>
            </w:pPr>
            <w:r w:rsidRPr="003D52FC">
              <w:rPr>
                <w:sz w:val="20"/>
              </w:rPr>
              <w:t>£</w:t>
            </w:r>
          </w:p>
        </w:tc>
      </w:tr>
      <w:tr w:rsidR="00893613" w:rsidRPr="009B1A6A" w:rsidTr="001452C0">
        <w:tc>
          <w:tcPr>
            <w:tcW w:w="0" w:type="auto"/>
            <w:shd w:val="clear" w:color="auto" w:fill="auto"/>
          </w:tcPr>
          <w:p w:rsidR="00893613" w:rsidRPr="003D52FC" w:rsidRDefault="00893613" w:rsidP="00FE390D">
            <w:pPr>
              <w:rPr>
                <w:b/>
                <w:sz w:val="20"/>
                <w:lang w:val="en-US"/>
              </w:rPr>
            </w:pPr>
          </w:p>
        </w:tc>
        <w:tc>
          <w:tcPr>
            <w:tcW w:w="0" w:type="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r>
      <w:tr w:rsidR="00893613" w:rsidRPr="009B1A6A" w:rsidTr="001452C0">
        <w:tc>
          <w:tcPr>
            <w:tcW w:w="0" w:type="auto"/>
            <w:shd w:val="clear" w:color="auto" w:fill="auto"/>
          </w:tcPr>
          <w:p w:rsidR="00893613" w:rsidRPr="007B0466" w:rsidRDefault="00893613" w:rsidP="00FE390D">
            <w:pPr>
              <w:rPr>
                <w:i/>
                <w:sz w:val="20"/>
              </w:rPr>
            </w:pPr>
            <w:r w:rsidRPr="007B0466">
              <w:rPr>
                <w:i/>
                <w:sz w:val="20"/>
              </w:rPr>
              <w:t>Example: To provide a report on xx</w:t>
            </w:r>
          </w:p>
        </w:tc>
        <w:tc>
          <w:tcPr>
            <w:tcW w:w="0" w:type="auto"/>
          </w:tcPr>
          <w:p w:rsidR="00893613" w:rsidRPr="007B0466" w:rsidRDefault="00893613" w:rsidP="00FE390D">
            <w:pPr>
              <w:rPr>
                <w:i/>
                <w:sz w:val="20"/>
              </w:rPr>
            </w:pPr>
            <w:r>
              <w:rPr>
                <w:i/>
                <w:sz w:val="20"/>
              </w:rPr>
              <w:t>1</w:t>
            </w:r>
          </w:p>
        </w:tc>
        <w:tc>
          <w:tcPr>
            <w:tcW w:w="0" w:type="auto"/>
            <w:shd w:val="clear" w:color="auto" w:fill="auto"/>
          </w:tcPr>
          <w:p w:rsidR="00893613" w:rsidRPr="007B0466" w:rsidRDefault="00893613" w:rsidP="00FE390D">
            <w:pPr>
              <w:rPr>
                <w:i/>
                <w:sz w:val="20"/>
              </w:rPr>
            </w:pPr>
            <w:r w:rsidRPr="007B0466">
              <w:rPr>
                <w:i/>
                <w:sz w:val="20"/>
              </w:rPr>
              <w:t xml:space="preserve">To provide a report on xxx which will inform next steps and policy direction for </w:t>
            </w:r>
            <w:proofErr w:type="spellStart"/>
            <w:r w:rsidRPr="007B0466">
              <w:rPr>
                <w:i/>
                <w:sz w:val="20"/>
              </w:rPr>
              <w:t>yyy</w:t>
            </w:r>
            <w:proofErr w:type="spellEnd"/>
          </w:p>
        </w:tc>
        <w:tc>
          <w:tcPr>
            <w:tcW w:w="0" w:type="auto"/>
            <w:shd w:val="clear" w:color="auto" w:fill="auto"/>
          </w:tcPr>
          <w:p w:rsidR="00893613" w:rsidRPr="007B0466" w:rsidRDefault="00893613" w:rsidP="00FE390D">
            <w:pPr>
              <w:rPr>
                <w:i/>
                <w:sz w:val="20"/>
              </w:rPr>
            </w:pPr>
            <w:r w:rsidRPr="007B0466">
              <w:rPr>
                <w:i/>
                <w:sz w:val="20"/>
              </w:rPr>
              <w:t>Research for report completed</w:t>
            </w:r>
          </w:p>
          <w:p w:rsidR="00893613" w:rsidRPr="007B0466" w:rsidRDefault="00893613" w:rsidP="00FE390D">
            <w:pPr>
              <w:rPr>
                <w:i/>
                <w:sz w:val="20"/>
              </w:rPr>
            </w:pPr>
            <w:r w:rsidRPr="007B0466">
              <w:rPr>
                <w:i/>
                <w:sz w:val="20"/>
              </w:rPr>
              <w:t>First Draft provided</w:t>
            </w:r>
          </w:p>
          <w:p w:rsidR="00893613" w:rsidRPr="007B0466" w:rsidRDefault="00893613" w:rsidP="00FE390D">
            <w:pPr>
              <w:rPr>
                <w:i/>
                <w:sz w:val="20"/>
              </w:rPr>
            </w:pPr>
            <w:r w:rsidRPr="007B0466">
              <w:rPr>
                <w:i/>
                <w:sz w:val="20"/>
              </w:rPr>
              <w:t>Final draft provided</w:t>
            </w:r>
          </w:p>
        </w:tc>
        <w:tc>
          <w:tcPr>
            <w:tcW w:w="0" w:type="auto"/>
            <w:shd w:val="clear" w:color="auto" w:fill="auto"/>
          </w:tcPr>
          <w:p w:rsidR="00893613" w:rsidRPr="007B0466" w:rsidRDefault="00893613" w:rsidP="00FE390D">
            <w:pPr>
              <w:rPr>
                <w:i/>
                <w:sz w:val="20"/>
              </w:rPr>
            </w:pPr>
            <w:r w:rsidRPr="007B0466">
              <w:rPr>
                <w:i/>
                <w:sz w:val="20"/>
              </w:rPr>
              <w:t>1/05/2018</w:t>
            </w:r>
          </w:p>
          <w:p w:rsidR="00893613" w:rsidRDefault="00893613" w:rsidP="00FE390D">
            <w:pPr>
              <w:rPr>
                <w:i/>
                <w:sz w:val="20"/>
              </w:rPr>
            </w:pPr>
          </w:p>
          <w:p w:rsidR="00893613" w:rsidRPr="007B0466" w:rsidRDefault="00893613" w:rsidP="00FE390D">
            <w:pPr>
              <w:rPr>
                <w:i/>
                <w:sz w:val="20"/>
              </w:rPr>
            </w:pPr>
            <w:r w:rsidRPr="007B0466">
              <w:rPr>
                <w:i/>
                <w:sz w:val="20"/>
              </w:rPr>
              <w:t>30/06/2018</w:t>
            </w:r>
          </w:p>
          <w:p w:rsidR="00893613" w:rsidRPr="007B0466" w:rsidRDefault="00893613" w:rsidP="00FE390D">
            <w:pPr>
              <w:rPr>
                <w:i/>
                <w:sz w:val="20"/>
              </w:rPr>
            </w:pPr>
            <w:r w:rsidRPr="007B0466">
              <w:rPr>
                <w:i/>
                <w:sz w:val="20"/>
              </w:rPr>
              <w:t>31/08/2018</w:t>
            </w:r>
          </w:p>
        </w:tc>
        <w:tc>
          <w:tcPr>
            <w:tcW w:w="0" w:type="auto"/>
            <w:shd w:val="clear" w:color="auto" w:fill="auto"/>
          </w:tcPr>
          <w:p w:rsidR="00893613" w:rsidRDefault="00893613" w:rsidP="00FE390D">
            <w:pPr>
              <w:rPr>
                <w:i/>
                <w:sz w:val="20"/>
              </w:rPr>
            </w:pPr>
            <w:r w:rsidRPr="007B0466">
              <w:rPr>
                <w:i/>
                <w:sz w:val="20"/>
              </w:rPr>
              <w:t>£</w:t>
            </w:r>
            <w:proofErr w:type="spellStart"/>
            <w:r w:rsidRPr="007B0466">
              <w:rPr>
                <w:i/>
                <w:sz w:val="20"/>
              </w:rPr>
              <w:t>xxxx</w:t>
            </w:r>
            <w:proofErr w:type="spellEnd"/>
          </w:p>
          <w:p w:rsidR="00893613" w:rsidRPr="007B0466" w:rsidRDefault="00893613" w:rsidP="00FE390D">
            <w:pPr>
              <w:rPr>
                <w:i/>
                <w:sz w:val="20"/>
              </w:rPr>
            </w:pPr>
          </w:p>
          <w:p w:rsidR="00893613" w:rsidRPr="007B0466" w:rsidRDefault="00893613" w:rsidP="00FE390D">
            <w:pPr>
              <w:rPr>
                <w:i/>
                <w:sz w:val="20"/>
              </w:rPr>
            </w:pPr>
            <w:r w:rsidRPr="007B0466">
              <w:rPr>
                <w:i/>
                <w:sz w:val="20"/>
              </w:rPr>
              <w:t>£</w:t>
            </w:r>
            <w:proofErr w:type="spellStart"/>
            <w:r w:rsidRPr="007B0466">
              <w:rPr>
                <w:i/>
                <w:sz w:val="20"/>
              </w:rPr>
              <w:t>xxxx</w:t>
            </w:r>
            <w:proofErr w:type="spellEnd"/>
          </w:p>
          <w:p w:rsidR="00893613" w:rsidRPr="007B0466" w:rsidRDefault="00893613" w:rsidP="00FE390D">
            <w:pPr>
              <w:rPr>
                <w:i/>
                <w:sz w:val="20"/>
              </w:rPr>
            </w:pPr>
            <w:r w:rsidRPr="007B0466">
              <w:rPr>
                <w:i/>
                <w:sz w:val="20"/>
              </w:rPr>
              <w:t>£</w:t>
            </w:r>
            <w:proofErr w:type="spellStart"/>
            <w:r w:rsidRPr="007B0466">
              <w:rPr>
                <w:i/>
                <w:sz w:val="20"/>
              </w:rPr>
              <w:t>xxxx</w:t>
            </w:r>
            <w:proofErr w:type="spellEnd"/>
          </w:p>
        </w:tc>
        <w:tc>
          <w:tcPr>
            <w:tcW w:w="0" w:type="auto"/>
            <w:shd w:val="clear" w:color="auto" w:fill="auto"/>
          </w:tcPr>
          <w:p w:rsidR="00893613" w:rsidRPr="007B0466" w:rsidRDefault="00893613" w:rsidP="00FE390D">
            <w:pPr>
              <w:rPr>
                <w:i/>
                <w:sz w:val="20"/>
              </w:rPr>
            </w:pPr>
            <w:r w:rsidRPr="007B0466">
              <w:rPr>
                <w:i/>
                <w:sz w:val="20"/>
              </w:rPr>
              <w:t>£</w:t>
            </w:r>
            <w:proofErr w:type="spellStart"/>
            <w:r w:rsidRPr="007B0466">
              <w:rPr>
                <w:i/>
                <w:sz w:val="20"/>
              </w:rPr>
              <w:t>xxxx</w:t>
            </w:r>
            <w:proofErr w:type="spellEnd"/>
          </w:p>
        </w:tc>
      </w:tr>
    </w:tbl>
    <w:p w:rsidR="00893613" w:rsidRDefault="00893613" w:rsidP="00FE390D">
      <w:pPr>
        <w:pStyle w:val="Heading2"/>
        <w:spacing w:before="0" w:after="0"/>
      </w:pPr>
      <w:r>
        <w:t xml:space="preserve"> </w:t>
      </w:r>
    </w:p>
    <w:p w:rsidR="00893613" w:rsidRDefault="00893613" w:rsidP="00FE390D"/>
    <w:p w:rsidR="00893613" w:rsidRDefault="00893613" w:rsidP="00FE390D"/>
    <w:p w:rsidR="00893613" w:rsidRDefault="00893613" w:rsidP="00FE390D"/>
    <w:p w:rsidR="00893613" w:rsidRPr="003A537B" w:rsidRDefault="00893613" w:rsidP="00FE390D">
      <w:pPr>
        <w:pStyle w:val="Heading2"/>
        <w:spacing w:before="0" w:after="0"/>
        <w:rPr>
          <w:rFonts w:ascii="Calibri" w:hAnsi="Calibri" w:cs="Calibri"/>
          <w:b/>
          <w:color w:val="4F81BD"/>
          <w:sz w:val="26"/>
          <w:szCs w:val="26"/>
        </w:rPr>
      </w:pPr>
      <w:r>
        <w:rPr>
          <w:rFonts w:ascii="Calibri" w:hAnsi="Calibri" w:cs="Calibri"/>
          <w:b/>
          <w:color w:val="4F81BD"/>
          <w:sz w:val="26"/>
          <w:szCs w:val="26"/>
        </w:rPr>
        <w:br w:type="page"/>
      </w:r>
      <w:r>
        <w:rPr>
          <w:rFonts w:ascii="Calibri" w:hAnsi="Calibri" w:cs="Calibri"/>
          <w:b/>
          <w:color w:val="4F81BD"/>
          <w:sz w:val="26"/>
          <w:szCs w:val="26"/>
        </w:rPr>
        <w:lastRenderedPageBreak/>
        <w:t>Payment schedule template</w:t>
      </w:r>
    </w:p>
    <w:p w:rsidR="00893613" w:rsidRDefault="00893613" w:rsidP="00FE390D"/>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839"/>
        <w:gridCol w:w="1439"/>
        <w:gridCol w:w="672"/>
        <w:gridCol w:w="606"/>
        <w:gridCol w:w="683"/>
        <w:gridCol w:w="617"/>
        <w:gridCol w:w="605"/>
        <w:gridCol w:w="650"/>
        <w:gridCol w:w="550"/>
        <w:gridCol w:w="594"/>
        <w:gridCol w:w="583"/>
        <w:gridCol w:w="561"/>
        <w:gridCol w:w="572"/>
        <w:gridCol w:w="572"/>
        <w:gridCol w:w="1617"/>
        <w:gridCol w:w="750"/>
        <w:gridCol w:w="1283"/>
      </w:tblGrid>
      <w:tr w:rsidR="00893613" w:rsidRPr="009B1A6A" w:rsidTr="001452C0">
        <w:tc>
          <w:tcPr>
            <w:tcW w:w="0" w:type="auto"/>
            <w:shd w:val="clear" w:color="auto" w:fill="0070C0"/>
          </w:tcPr>
          <w:p w:rsidR="00893613" w:rsidRPr="003D52FC" w:rsidRDefault="00893613" w:rsidP="00FE390D">
            <w:pPr>
              <w:rPr>
                <w:b/>
                <w:color w:val="FFFFFF"/>
                <w:sz w:val="20"/>
              </w:rPr>
            </w:pPr>
            <w:r w:rsidRPr="003D52FC">
              <w:rPr>
                <w:b/>
                <w:color w:val="FFFFFF"/>
                <w:sz w:val="20"/>
              </w:rPr>
              <w:t>Objective</w:t>
            </w:r>
          </w:p>
        </w:tc>
        <w:tc>
          <w:tcPr>
            <w:tcW w:w="0" w:type="auto"/>
            <w:shd w:val="clear" w:color="auto" w:fill="0070C0"/>
          </w:tcPr>
          <w:p w:rsidR="00893613" w:rsidRDefault="00893613" w:rsidP="00FE390D">
            <w:pPr>
              <w:rPr>
                <w:b/>
                <w:color w:val="FFFFFF"/>
                <w:sz w:val="20"/>
              </w:rPr>
            </w:pPr>
            <w:r>
              <w:rPr>
                <w:b/>
                <w:color w:val="FFFFFF"/>
                <w:sz w:val="20"/>
              </w:rPr>
              <w:t>Ref no</w:t>
            </w:r>
          </w:p>
        </w:tc>
        <w:tc>
          <w:tcPr>
            <w:tcW w:w="0" w:type="auto"/>
            <w:shd w:val="clear" w:color="auto" w:fill="0070C0"/>
          </w:tcPr>
          <w:p w:rsidR="00893613" w:rsidRPr="003D52FC" w:rsidRDefault="00893613" w:rsidP="00FE390D">
            <w:pPr>
              <w:rPr>
                <w:b/>
                <w:color w:val="FFFFFF"/>
                <w:sz w:val="20"/>
              </w:rPr>
            </w:pPr>
            <w:r>
              <w:rPr>
                <w:b/>
                <w:color w:val="FFFFFF"/>
                <w:sz w:val="20"/>
              </w:rPr>
              <w:t>Activity / KPI</w:t>
            </w:r>
          </w:p>
        </w:tc>
        <w:tc>
          <w:tcPr>
            <w:tcW w:w="0" w:type="auto"/>
            <w:shd w:val="clear" w:color="auto" w:fill="0070C0"/>
          </w:tcPr>
          <w:p w:rsidR="00893613" w:rsidRPr="003D52FC" w:rsidRDefault="00893613" w:rsidP="00FE390D">
            <w:pPr>
              <w:rPr>
                <w:b/>
                <w:color w:val="FFFFFF"/>
                <w:sz w:val="20"/>
              </w:rPr>
            </w:pPr>
            <w:r>
              <w:rPr>
                <w:b/>
                <w:color w:val="FFFFFF"/>
                <w:sz w:val="20"/>
              </w:rPr>
              <w:t>April</w:t>
            </w:r>
          </w:p>
        </w:tc>
        <w:tc>
          <w:tcPr>
            <w:tcW w:w="0" w:type="auto"/>
            <w:shd w:val="clear" w:color="auto" w:fill="0070C0"/>
          </w:tcPr>
          <w:p w:rsidR="00893613" w:rsidRPr="003D52FC" w:rsidRDefault="00893613" w:rsidP="00FE390D">
            <w:pPr>
              <w:rPr>
                <w:b/>
                <w:color w:val="FFFFFF"/>
                <w:sz w:val="20"/>
              </w:rPr>
            </w:pPr>
            <w:r>
              <w:rPr>
                <w:b/>
                <w:color w:val="FFFFFF"/>
                <w:sz w:val="20"/>
              </w:rPr>
              <w:t>May</w:t>
            </w:r>
          </w:p>
        </w:tc>
        <w:tc>
          <w:tcPr>
            <w:tcW w:w="0" w:type="auto"/>
            <w:shd w:val="clear" w:color="auto" w:fill="0070C0"/>
          </w:tcPr>
          <w:p w:rsidR="00893613" w:rsidRPr="003D52FC" w:rsidRDefault="00893613" w:rsidP="00FE390D">
            <w:pPr>
              <w:rPr>
                <w:b/>
                <w:color w:val="FFFFFF"/>
                <w:sz w:val="20"/>
              </w:rPr>
            </w:pPr>
            <w:r>
              <w:rPr>
                <w:b/>
                <w:color w:val="FFFFFF"/>
                <w:sz w:val="20"/>
              </w:rPr>
              <w:t>June</w:t>
            </w:r>
          </w:p>
        </w:tc>
        <w:tc>
          <w:tcPr>
            <w:tcW w:w="0" w:type="auto"/>
            <w:shd w:val="clear" w:color="auto" w:fill="0070C0"/>
          </w:tcPr>
          <w:p w:rsidR="00893613" w:rsidRPr="003D52FC" w:rsidRDefault="00893613" w:rsidP="00FE390D">
            <w:pPr>
              <w:rPr>
                <w:b/>
                <w:color w:val="FFFFFF"/>
                <w:sz w:val="20"/>
              </w:rPr>
            </w:pPr>
            <w:r>
              <w:rPr>
                <w:b/>
                <w:color w:val="FFFFFF"/>
                <w:sz w:val="20"/>
              </w:rPr>
              <w:t>July</w:t>
            </w:r>
          </w:p>
        </w:tc>
        <w:tc>
          <w:tcPr>
            <w:tcW w:w="0" w:type="auto"/>
            <w:shd w:val="clear" w:color="auto" w:fill="0070C0"/>
          </w:tcPr>
          <w:p w:rsidR="00893613" w:rsidRPr="003D52FC" w:rsidRDefault="00893613" w:rsidP="00FE390D">
            <w:pPr>
              <w:rPr>
                <w:b/>
                <w:color w:val="FFFFFF"/>
                <w:sz w:val="20"/>
              </w:rPr>
            </w:pPr>
            <w:r>
              <w:rPr>
                <w:b/>
                <w:color w:val="FFFFFF"/>
                <w:sz w:val="20"/>
              </w:rPr>
              <w:t>Aug</w:t>
            </w:r>
          </w:p>
        </w:tc>
        <w:tc>
          <w:tcPr>
            <w:tcW w:w="0" w:type="auto"/>
            <w:shd w:val="clear" w:color="auto" w:fill="0070C0"/>
          </w:tcPr>
          <w:p w:rsidR="00893613" w:rsidRPr="003D52FC" w:rsidRDefault="00893613" w:rsidP="00FE390D">
            <w:pPr>
              <w:rPr>
                <w:b/>
                <w:color w:val="FFFFFF"/>
                <w:sz w:val="20"/>
              </w:rPr>
            </w:pPr>
            <w:r>
              <w:rPr>
                <w:b/>
                <w:color w:val="FFFFFF"/>
                <w:sz w:val="20"/>
              </w:rPr>
              <w:t>Sept</w:t>
            </w:r>
          </w:p>
        </w:tc>
        <w:tc>
          <w:tcPr>
            <w:tcW w:w="0" w:type="auto"/>
            <w:shd w:val="clear" w:color="auto" w:fill="0070C0"/>
          </w:tcPr>
          <w:p w:rsidR="00893613" w:rsidRPr="003D52FC" w:rsidRDefault="00893613" w:rsidP="00FE390D">
            <w:pPr>
              <w:rPr>
                <w:b/>
                <w:color w:val="FFFFFF"/>
                <w:sz w:val="20"/>
              </w:rPr>
            </w:pPr>
            <w:r>
              <w:rPr>
                <w:b/>
                <w:color w:val="FFFFFF"/>
                <w:sz w:val="20"/>
              </w:rPr>
              <w:t>Oct</w:t>
            </w:r>
          </w:p>
        </w:tc>
        <w:tc>
          <w:tcPr>
            <w:tcW w:w="0" w:type="auto"/>
            <w:shd w:val="clear" w:color="auto" w:fill="0070C0"/>
          </w:tcPr>
          <w:p w:rsidR="00893613" w:rsidRPr="003D52FC" w:rsidRDefault="00893613" w:rsidP="00FE390D">
            <w:pPr>
              <w:rPr>
                <w:b/>
                <w:color w:val="FFFFFF"/>
                <w:sz w:val="20"/>
              </w:rPr>
            </w:pPr>
            <w:r>
              <w:rPr>
                <w:b/>
                <w:color w:val="FFFFFF"/>
                <w:sz w:val="20"/>
              </w:rPr>
              <w:t>Nov</w:t>
            </w:r>
          </w:p>
        </w:tc>
        <w:tc>
          <w:tcPr>
            <w:tcW w:w="0" w:type="auto"/>
            <w:shd w:val="clear" w:color="auto" w:fill="0070C0"/>
          </w:tcPr>
          <w:p w:rsidR="00893613" w:rsidRPr="003D52FC" w:rsidRDefault="00893613" w:rsidP="00FE390D">
            <w:pPr>
              <w:rPr>
                <w:b/>
                <w:color w:val="FFFFFF"/>
                <w:sz w:val="20"/>
              </w:rPr>
            </w:pPr>
            <w:r>
              <w:rPr>
                <w:b/>
                <w:color w:val="FFFFFF"/>
                <w:sz w:val="20"/>
              </w:rPr>
              <w:t>Dec</w:t>
            </w:r>
          </w:p>
        </w:tc>
        <w:tc>
          <w:tcPr>
            <w:tcW w:w="0" w:type="auto"/>
            <w:shd w:val="clear" w:color="auto" w:fill="0070C0"/>
          </w:tcPr>
          <w:p w:rsidR="00893613" w:rsidRPr="003D52FC" w:rsidRDefault="00893613" w:rsidP="00FE390D">
            <w:pPr>
              <w:rPr>
                <w:b/>
                <w:color w:val="FFFFFF"/>
                <w:sz w:val="20"/>
              </w:rPr>
            </w:pPr>
            <w:r>
              <w:rPr>
                <w:b/>
                <w:color w:val="FFFFFF"/>
                <w:sz w:val="20"/>
              </w:rPr>
              <w:t>Jan</w:t>
            </w:r>
          </w:p>
        </w:tc>
        <w:tc>
          <w:tcPr>
            <w:tcW w:w="0" w:type="auto"/>
            <w:shd w:val="clear" w:color="auto" w:fill="0070C0"/>
          </w:tcPr>
          <w:p w:rsidR="00893613" w:rsidRPr="003D52FC" w:rsidRDefault="00893613" w:rsidP="00FE390D">
            <w:pPr>
              <w:rPr>
                <w:b/>
                <w:color w:val="FFFFFF"/>
                <w:sz w:val="20"/>
              </w:rPr>
            </w:pPr>
            <w:r>
              <w:rPr>
                <w:b/>
                <w:color w:val="FFFFFF"/>
                <w:sz w:val="20"/>
              </w:rPr>
              <w:t>Feb</w:t>
            </w:r>
          </w:p>
        </w:tc>
        <w:tc>
          <w:tcPr>
            <w:tcW w:w="0" w:type="auto"/>
            <w:shd w:val="clear" w:color="auto" w:fill="0070C0"/>
          </w:tcPr>
          <w:p w:rsidR="00893613" w:rsidRPr="003D52FC" w:rsidRDefault="00893613" w:rsidP="00FE390D">
            <w:pPr>
              <w:rPr>
                <w:b/>
                <w:color w:val="FFFFFF"/>
                <w:sz w:val="20"/>
              </w:rPr>
            </w:pPr>
            <w:r>
              <w:rPr>
                <w:b/>
                <w:color w:val="FFFFFF"/>
                <w:sz w:val="20"/>
              </w:rPr>
              <w:t>Mar</w:t>
            </w:r>
          </w:p>
        </w:tc>
        <w:tc>
          <w:tcPr>
            <w:tcW w:w="0" w:type="auto"/>
            <w:shd w:val="clear" w:color="auto" w:fill="0070C0"/>
          </w:tcPr>
          <w:p w:rsidR="00893613" w:rsidRPr="003D52FC" w:rsidRDefault="00893613" w:rsidP="00FE390D">
            <w:pPr>
              <w:rPr>
                <w:b/>
                <w:color w:val="FFFFFF"/>
                <w:sz w:val="20"/>
              </w:rPr>
            </w:pPr>
            <w:r>
              <w:rPr>
                <w:b/>
                <w:color w:val="FFFFFF"/>
                <w:sz w:val="20"/>
              </w:rPr>
              <w:t>Total (ex. VAT)</w:t>
            </w:r>
          </w:p>
        </w:tc>
        <w:tc>
          <w:tcPr>
            <w:tcW w:w="0" w:type="auto"/>
            <w:shd w:val="clear" w:color="auto" w:fill="0070C0"/>
          </w:tcPr>
          <w:p w:rsidR="00893613" w:rsidRPr="003D52FC" w:rsidRDefault="00893613" w:rsidP="00FE390D">
            <w:pPr>
              <w:rPr>
                <w:b/>
                <w:color w:val="FFFFFF"/>
                <w:sz w:val="20"/>
              </w:rPr>
            </w:pPr>
            <w:r>
              <w:rPr>
                <w:b/>
                <w:color w:val="FFFFFF"/>
                <w:sz w:val="20"/>
              </w:rPr>
              <w:t>VAT *</w:t>
            </w:r>
          </w:p>
        </w:tc>
        <w:tc>
          <w:tcPr>
            <w:tcW w:w="0" w:type="auto"/>
            <w:shd w:val="clear" w:color="auto" w:fill="0070C0"/>
          </w:tcPr>
          <w:p w:rsidR="00893613" w:rsidRPr="003D52FC" w:rsidRDefault="00893613" w:rsidP="00FE390D">
            <w:pPr>
              <w:rPr>
                <w:b/>
                <w:color w:val="FFFFFF"/>
                <w:sz w:val="20"/>
              </w:rPr>
            </w:pPr>
            <w:r>
              <w:rPr>
                <w:b/>
                <w:color w:val="FFFFFF"/>
                <w:sz w:val="20"/>
              </w:rPr>
              <w:t>Grand total</w:t>
            </w:r>
          </w:p>
        </w:tc>
      </w:tr>
      <w:tr w:rsidR="00893613" w:rsidRPr="009B1A6A" w:rsidTr="001452C0">
        <w:tc>
          <w:tcPr>
            <w:tcW w:w="0" w:type="auto"/>
            <w:shd w:val="clear" w:color="auto" w:fill="auto"/>
          </w:tcPr>
          <w:p w:rsidR="00893613" w:rsidRPr="003D52FC" w:rsidRDefault="00893613" w:rsidP="00FE390D">
            <w:pPr>
              <w:rPr>
                <w:b/>
                <w:sz w:val="20"/>
                <w:lang w:val="en-US"/>
              </w:rPr>
            </w:pPr>
          </w:p>
        </w:tc>
        <w:tc>
          <w:tcPr>
            <w:tcW w:w="0" w:type="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r>
      <w:tr w:rsidR="00893613" w:rsidRPr="009B1A6A" w:rsidTr="001452C0">
        <w:tc>
          <w:tcPr>
            <w:tcW w:w="0" w:type="auto"/>
            <w:shd w:val="clear" w:color="auto" w:fill="auto"/>
          </w:tcPr>
          <w:p w:rsidR="00893613" w:rsidRPr="003D52FC" w:rsidRDefault="00893613" w:rsidP="00FE390D">
            <w:pPr>
              <w:rPr>
                <w:b/>
                <w:sz w:val="20"/>
                <w:lang w:val="en-US"/>
              </w:rPr>
            </w:pPr>
          </w:p>
        </w:tc>
        <w:tc>
          <w:tcPr>
            <w:tcW w:w="0" w:type="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r>
      <w:tr w:rsidR="00893613" w:rsidRPr="009B1A6A" w:rsidTr="001452C0">
        <w:tc>
          <w:tcPr>
            <w:tcW w:w="0" w:type="auto"/>
            <w:shd w:val="clear" w:color="auto" w:fill="auto"/>
          </w:tcPr>
          <w:p w:rsidR="00893613" w:rsidRPr="003D52FC" w:rsidRDefault="00893613" w:rsidP="00FE390D">
            <w:pPr>
              <w:rPr>
                <w:b/>
                <w:sz w:val="20"/>
                <w:lang w:val="en-US"/>
              </w:rPr>
            </w:pPr>
          </w:p>
        </w:tc>
        <w:tc>
          <w:tcPr>
            <w:tcW w:w="0" w:type="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r>
      <w:tr w:rsidR="00893613" w:rsidRPr="009B1A6A" w:rsidTr="001452C0">
        <w:tc>
          <w:tcPr>
            <w:tcW w:w="0" w:type="auto"/>
            <w:shd w:val="clear" w:color="auto" w:fill="auto"/>
          </w:tcPr>
          <w:p w:rsidR="00893613" w:rsidRPr="003D52FC" w:rsidRDefault="00893613" w:rsidP="00FE390D">
            <w:pPr>
              <w:rPr>
                <w:b/>
                <w:sz w:val="20"/>
                <w:lang w:val="en-US"/>
              </w:rPr>
            </w:pPr>
          </w:p>
        </w:tc>
        <w:tc>
          <w:tcPr>
            <w:tcW w:w="0" w:type="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r>
      <w:tr w:rsidR="00893613" w:rsidRPr="009B1A6A" w:rsidTr="001452C0">
        <w:tc>
          <w:tcPr>
            <w:tcW w:w="0" w:type="auto"/>
            <w:shd w:val="clear" w:color="auto" w:fill="auto"/>
          </w:tcPr>
          <w:p w:rsidR="00893613" w:rsidRPr="003D52FC" w:rsidRDefault="00893613" w:rsidP="00FE390D">
            <w:pPr>
              <w:rPr>
                <w:b/>
                <w:sz w:val="20"/>
                <w:lang w:val="en-US"/>
              </w:rPr>
            </w:pPr>
          </w:p>
        </w:tc>
        <w:tc>
          <w:tcPr>
            <w:tcW w:w="0" w:type="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r>
      <w:tr w:rsidR="00893613" w:rsidRPr="009B1A6A" w:rsidTr="001452C0">
        <w:tc>
          <w:tcPr>
            <w:tcW w:w="0" w:type="auto"/>
            <w:shd w:val="clear" w:color="auto" w:fill="auto"/>
          </w:tcPr>
          <w:p w:rsidR="00893613" w:rsidRPr="003D52FC" w:rsidRDefault="00893613" w:rsidP="00FE390D">
            <w:pPr>
              <w:rPr>
                <w:b/>
                <w:sz w:val="20"/>
                <w:lang w:val="en-US"/>
              </w:rPr>
            </w:pPr>
          </w:p>
        </w:tc>
        <w:tc>
          <w:tcPr>
            <w:tcW w:w="0" w:type="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r>
      <w:tr w:rsidR="00893613" w:rsidRPr="009B1A6A" w:rsidTr="001452C0">
        <w:tc>
          <w:tcPr>
            <w:tcW w:w="0" w:type="auto"/>
            <w:shd w:val="clear" w:color="auto" w:fill="auto"/>
          </w:tcPr>
          <w:p w:rsidR="00893613" w:rsidRPr="003D52FC" w:rsidRDefault="00893613" w:rsidP="00FE390D">
            <w:pPr>
              <w:rPr>
                <w:b/>
                <w:sz w:val="20"/>
                <w:lang w:val="en-US"/>
              </w:rPr>
            </w:pPr>
          </w:p>
        </w:tc>
        <w:tc>
          <w:tcPr>
            <w:tcW w:w="0" w:type="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r>
      <w:tr w:rsidR="00893613" w:rsidRPr="009B1A6A" w:rsidTr="001452C0">
        <w:tc>
          <w:tcPr>
            <w:tcW w:w="0" w:type="auto"/>
            <w:shd w:val="clear" w:color="auto" w:fill="auto"/>
          </w:tcPr>
          <w:p w:rsidR="00893613" w:rsidRPr="003D52FC" w:rsidRDefault="00893613" w:rsidP="00FE390D">
            <w:pPr>
              <w:rPr>
                <w:b/>
                <w:sz w:val="20"/>
                <w:lang w:val="en-US"/>
              </w:rPr>
            </w:pPr>
          </w:p>
        </w:tc>
        <w:tc>
          <w:tcPr>
            <w:tcW w:w="0" w:type="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r>
      <w:tr w:rsidR="00893613" w:rsidRPr="009B1A6A" w:rsidTr="001452C0">
        <w:tc>
          <w:tcPr>
            <w:tcW w:w="0" w:type="auto"/>
            <w:shd w:val="clear" w:color="auto" w:fill="auto"/>
          </w:tcPr>
          <w:p w:rsidR="00893613" w:rsidRPr="003D52FC" w:rsidRDefault="00893613" w:rsidP="00FE390D">
            <w:pPr>
              <w:rPr>
                <w:b/>
                <w:sz w:val="20"/>
                <w:lang w:val="en-US"/>
              </w:rPr>
            </w:pPr>
          </w:p>
        </w:tc>
        <w:tc>
          <w:tcPr>
            <w:tcW w:w="0" w:type="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r>
      <w:tr w:rsidR="00893613" w:rsidRPr="009B1A6A" w:rsidTr="001452C0">
        <w:tc>
          <w:tcPr>
            <w:tcW w:w="0" w:type="auto"/>
            <w:shd w:val="clear" w:color="auto" w:fill="auto"/>
          </w:tcPr>
          <w:p w:rsidR="00893613" w:rsidRPr="003D52FC" w:rsidRDefault="00893613" w:rsidP="00FE390D">
            <w:pPr>
              <w:rPr>
                <w:b/>
                <w:sz w:val="20"/>
                <w:lang w:val="en-US"/>
              </w:rPr>
            </w:pPr>
          </w:p>
        </w:tc>
        <w:tc>
          <w:tcPr>
            <w:tcW w:w="0" w:type="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Pr="003D52FC"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tcPr>
          <w:p w:rsidR="00893613" w:rsidRDefault="00893613" w:rsidP="00FE390D">
            <w:pPr>
              <w:rPr>
                <w:sz w:val="20"/>
              </w:rPr>
            </w:pPr>
          </w:p>
        </w:tc>
        <w:tc>
          <w:tcPr>
            <w:tcW w:w="0" w:type="auto"/>
            <w:shd w:val="clear" w:color="auto" w:fill="auto"/>
          </w:tcPr>
          <w:p w:rsidR="00893613" w:rsidRPr="003D52FC" w:rsidRDefault="00893613" w:rsidP="00FE390D">
            <w:pPr>
              <w:rPr>
                <w:sz w:val="20"/>
              </w:rPr>
            </w:pPr>
          </w:p>
        </w:tc>
        <w:tc>
          <w:tcPr>
            <w:tcW w:w="0" w:type="auto"/>
            <w:shd w:val="clear" w:color="auto" w:fill="auto"/>
          </w:tcPr>
          <w:p w:rsidR="00893613" w:rsidRPr="003D52FC" w:rsidRDefault="00893613" w:rsidP="00FE390D">
            <w:pPr>
              <w:rPr>
                <w:sz w:val="20"/>
              </w:rPr>
            </w:pPr>
          </w:p>
        </w:tc>
      </w:tr>
      <w:tr w:rsidR="00893613" w:rsidRPr="009B1A6A" w:rsidTr="001452C0">
        <w:tc>
          <w:tcPr>
            <w:tcW w:w="0" w:type="auto"/>
            <w:shd w:val="clear" w:color="auto" w:fill="auto"/>
          </w:tcPr>
          <w:p w:rsidR="00893613" w:rsidRPr="000B3FA9" w:rsidRDefault="00893613" w:rsidP="00FE390D">
            <w:pPr>
              <w:rPr>
                <w:b/>
                <w:sz w:val="20"/>
                <w:lang w:val="en-US"/>
              </w:rPr>
            </w:pPr>
            <w:r w:rsidRPr="000B3FA9">
              <w:rPr>
                <w:b/>
                <w:sz w:val="20"/>
                <w:lang w:val="en-US"/>
              </w:rPr>
              <w:t>Total</w:t>
            </w:r>
          </w:p>
        </w:tc>
        <w:tc>
          <w:tcPr>
            <w:tcW w:w="0" w:type="auto"/>
          </w:tcPr>
          <w:p w:rsidR="00893613" w:rsidRPr="000B3FA9" w:rsidRDefault="00893613" w:rsidP="00FE390D">
            <w:pPr>
              <w:rPr>
                <w:b/>
                <w:sz w:val="20"/>
              </w:rPr>
            </w:pPr>
          </w:p>
        </w:tc>
        <w:tc>
          <w:tcPr>
            <w:tcW w:w="0" w:type="auto"/>
            <w:shd w:val="clear" w:color="auto" w:fill="auto"/>
          </w:tcPr>
          <w:p w:rsidR="00893613" w:rsidRPr="000B3FA9" w:rsidRDefault="00893613" w:rsidP="00FE390D">
            <w:pPr>
              <w:rPr>
                <w:b/>
                <w:sz w:val="20"/>
              </w:rPr>
            </w:pPr>
          </w:p>
        </w:tc>
        <w:tc>
          <w:tcPr>
            <w:tcW w:w="0" w:type="auto"/>
            <w:shd w:val="clear" w:color="auto" w:fill="auto"/>
          </w:tcPr>
          <w:p w:rsidR="00893613" w:rsidRPr="000B3FA9" w:rsidRDefault="00893613" w:rsidP="00FE390D">
            <w:pPr>
              <w:rPr>
                <w:b/>
                <w:sz w:val="20"/>
              </w:rPr>
            </w:pPr>
            <w:r>
              <w:rPr>
                <w:b/>
                <w:sz w:val="20"/>
              </w:rPr>
              <w:t>£</w:t>
            </w:r>
          </w:p>
        </w:tc>
        <w:tc>
          <w:tcPr>
            <w:tcW w:w="0" w:type="auto"/>
          </w:tcPr>
          <w:p w:rsidR="00893613" w:rsidRPr="000B3FA9" w:rsidRDefault="00893613" w:rsidP="00FE390D">
            <w:pPr>
              <w:rPr>
                <w:b/>
                <w:sz w:val="20"/>
              </w:rPr>
            </w:pPr>
            <w:r>
              <w:rPr>
                <w:b/>
                <w:sz w:val="20"/>
              </w:rPr>
              <w:t>£</w:t>
            </w:r>
          </w:p>
        </w:tc>
        <w:tc>
          <w:tcPr>
            <w:tcW w:w="0" w:type="auto"/>
          </w:tcPr>
          <w:p w:rsidR="00893613" w:rsidRPr="000B3FA9" w:rsidRDefault="00893613" w:rsidP="00FE390D">
            <w:pPr>
              <w:rPr>
                <w:b/>
                <w:sz w:val="20"/>
              </w:rPr>
            </w:pPr>
            <w:r>
              <w:rPr>
                <w:b/>
                <w:sz w:val="20"/>
              </w:rPr>
              <w:t>£</w:t>
            </w:r>
          </w:p>
        </w:tc>
        <w:tc>
          <w:tcPr>
            <w:tcW w:w="0" w:type="auto"/>
          </w:tcPr>
          <w:p w:rsidR="00893613" w:rsidRPr="000B3FA9" w:rsidRDefault="00893613" w:rsidP="00FE390D">
            <w:pPr>
              <w:rPr>
                <w:b/>
                <w:sz w:val="20"/>
              </w:rPr>
            </w:pPr>
            <w:r>
              <w:rPr>
                <w:b/>
                <w:sz w:val="20"/>
              </w:rPr>
              <w:t>£</w:t>
            </w:r>
          </w:p>
        </w:tc>
        <w:tc>
          <w:tcPr>
            <w:tcW w:w="0" w:type="auto"/>
          </w:tcPr>
          <w:p w:rsidR="00893613" w:rsidRPr="000B3FA9" w:rsidRDefault="00893613" w:rsidP="00FE390D">
            <w:pPr>
              <w:rPr>
                <w:b/>
                <w:sz w:val="20"/>
              </w:rPr>
            </w:pPr>
            <w:r>
              <w:rPr>
                <w:b/>
                <w:sz w:val="20"/>
              </w:rPr>
              <w:t>£</w:t>
            </w:r>
          </w:p>
        </w:tc>
        <w:tc>
          <w:tcPr>
            <w:tcW w:w="0" w:type="auto"/>
          </w:tcPr>
          <w:p w:rsidR="00893613" w:rsidRPr="000B3FA9" w:rsidRDefault="00893613" w:rsidP="00FE390D">
            <w:pPr>
              <w:rPr>
                <w:b/>
                <w:sz w:val="20"/>
              </w:rPr>
            </w:pPr>
            <w:r>
              <w:rPr>
                <w:b/>
                <w:sz w:val="20"/>
              </w:rPr>
              <w:t>£</w:t>
            </w:r>
          </w:p>
        </w:tc>
        <w:tc>
          <w:tcPr>
            <w:tcW w:w="0" w:type="auto"/>
          </w:tcPr>
          <w:p w:rsidR="00893613" w:rsidRPr="000B3FA9" w:rsidRDefault="00893613" w:rsidP="00FE390D">
            <w:pPr>
              <w:rPr>
                <w:b/>
                <w:sz w:val="20"/>
              </w:rPr>
            </w:pPr>
            <w:r>
              <w:rPr>
                <w:b/>
                <w:sz w:val="20"/>
              </w:rPr>
              <w:t>£</w:t>
            </w:r>
          </w:p>
        </w:tc>
        <w:tc>
          <w:tcPr>
            <w:tcW w:w="0" w:type="auto"/>
          </w:tcPr>
          <w:p w:rsidR="00893613" w:rsidRPr="000B3FA9" w:rsidRDefault="00893613" w:rsidP="00FE390D">
            <w:pPr>
              <w:rPr>
                <w:b/>
                <w:sz w:val="20"/>
              </w:rPr>
            </w:pPr>
            <w:r>
              <w:rPr>
                <w:b/>
                <w:sz w:val="20"/>
              </w:rPr>
              <w:t>£</w:t>
            </w:r>
          </w:p>
        </w:tc>
        <w:tc>
          <w:tcPr>
            <w:tcW w:w="0" w:type="auto"/>
          </w:tcPr>
          <w:p w:rsidR="00893613" w:rsidRPr="000B3FA9" w:rsidRDefault="00893613" w:rsidP="00FE390D">
            <w:pPr>
              <w:rPr>
                <w:b/>
                <w:sz w:val="20"/>
              </w:rPr>
            </w:pPr>
            <w:r>
              <w:rPr>
                <w:b/>
                <w:sz w:val="20"/>
              </w:rPr>
              <w:t>£</w:t>
            </w:r>
          </w:p>
        </w:tc>
        <w:tc>
          <w:tcPr>
            <w:tcW w:w="0" w:type="auto"/>
          </w:tcPr>
          <w:p w:rsidR="00893613" w:rsidRPr="000B3FA9" w:rsidRDefault="00893613" w:rsidP="00FE390D">
            <w:pPr>
              <w:rPr>
                <w:b/>
                <w:sz w:val="20"/>
              </w:rPr>
            </w:pPr>
            <w:r>
              <w:rPr>
                <w:b/>
                <w:sz w:val="20"/>
              </w:rPr>
              <w:t>£</w:t>
            </w:r>
          </w:p>
        </w:tc>
        <w:tc>
          <w:tcPr>
            <w:tcW w:w="0" w:type="auto"/>
          </w:tcPr>
          <w:p w:rsidR="00893613" w:rsidRPr="000B3FA9" w:rsidRDefault="00893613" w:rsidP="00FE390D">
            <w:pPr>
              <w:rPr>
                <w:b/>
                <w:sz w:val="20"/>
              </w:rPr>
            </w:pPr>
            <w:r>
              <w:rPr>
                <w:b/>
                <w:sz w:val="20"/>
              </w:rPr>
              <w:t>£</w:t>
            </w:r>
          </w:p>
        </w:tc>
        <w:tc>
          <w:tcPr>
            <w:tcW w:w="0" w:type="auto"/>
          </w:tcPr>
          <w:p w:rsidR="00893613" w:rsidRPr="000B3FA9" w:rsidRDefault="00893613" w:rsidP="00FE390D">
            <w:pPr>
              <w:rPr>
                <w:b/>
                <w:sz w:val="20"/>
              </w:rPr>
            </w:pPr>
            <w:r>
              <w:rPr>
                <w:b/>
                <w:sz w:val="20"/>
              </w:rPr>
              <w:t>£</w:t>
            </w:r>
          </w:p>
        </w:tc>
        <w:tc>
          <w:tcPr>
            <w:tcW w:w="0" w:type="auto"/>
          </w:tcPr>
          <w:p w:rsidR="00893613" w:rsidRPr="000B3FA9" w:rsidRDefault="00893613" w:rsidP="00FE390D">
            <w:pPr>
              <w:rPr>
                <w:b/>
                <w:sz w:val="20"/>
              </w:rPr>
            </w:pPr>
            <w:r>
              <w:rPr>
                <w:b/>
                <w:sz w:val="20"/>
              </w:rPr>
              <w:t>£</w:t>
            </w:r>
          </w:p>
        </w:tc>
        <w:tc>
          <w:tcPr>
            <w:tcW w:w="0" w:type="auto"/>
            <w:shd w:val="clear" w:color="auto" w:fill="auto"/>
          </w:tcPr>
          <w:p w:rsidR="00893613" w:rsidRPr="000B3FA9" w:rsidRDefault="00893613" w:rsidP="00FE390D">
            <w:pPr>
              <w:rPr>
                <w:b/>
                <w:sz w:val="20"/>
              </w:rPr>
            </w:pPr>
            <w:r>
              <w:rPr>
                <w:b/>
                <w:sz w:val="20"/>
              </w:rPr>
              <w:t>£</w:t>
            </w:r>
          </w:p>
        </w:tc>
        <w:tc>
          <w:tcPr>
            <w:tcW w:w="0" w:type="auto"/>
            <w:shd w:val="clear" w:color="auto" w:fill="auto"/>
          </w:tcPr>
          <w:p w:rsidR="00893613" w:rsidRPr="000B3FA9" w:rsidRDefault="00893613" w:rsidP="00FE390D">
            <w:pPr>
              <w:rPr>
                <w:b/>
                <w:sz w:val="20"/>
              </w:rPr>
            </w:pPr>
            <w:r>
              <w:rPr>
                <w:b/>
                <w:sz w:val="20"/>
              </w:rPr>
              <w:t>£</w:t>
            </w:r>
          </w:p>
        </w:tc>
      </w:tr>
    </w:tbl>
    <w:p w:rsidR="00893613" w:rsidRDefault="00893613" w:rsidP="00FE390D"/>
    <w:p w:rsidR="00893613" w:rsidRDefault="00893613" w:rsidP="00FE390D">
      <w:r>
        <w:t>* VAT if applicable</w:t>
      </w:r>
    </w:p>
    <w:p w:rsidR="00893613" w:rsidRDefault="00893613" w:rsidP="00FE390D"/>
    <w:p w:rsidR="00893613" w:rsidRDefault="00893613" w:rsidP="00FE390D"/>
    <w:p w:rsidR="00893613" w:rsidRPr="00061984" w:rsidRDefault="00893613" w:rsidP="00FE390D">
      <w:pPr>
        <w:rPr>
          <w:szCs w:val="24"/>
        </w:rPr>
      </w:pPr>
    </w:p>
    <w:p w:rsidR="00F27D8B" w:rsidRPr="00F27D8B" w:rsidRDefault="00F27D8B" w:rsidP="00FE390D">
      <w:pPr>
        <w:spacing w:line="360" w:lineRule="auto"/>
        <w:rPr>
          <w:rFonts w:cs="Arial"/>
          <w:iCs/>
          <w:szCs w:val="24"/>
        </w:rPr>
      </w:pPr>
    </w:p>
    <w:p w:rsidR="00F27D8B" w:rsidRPr="00F27D8B" w:rsidRDefault="00F27D8B" w:rsidP="00FE390D">
      <w:pPr>
        <w:spacing w:line="360" w:lineRule="auto"/>
        <w:rPr>
          <w:rFonts w:cs="Arial"/>
          <w:iCs/>
          <w:szCs w:val="24"/>
        </w:rPr>
      </w:pPr>
    </w:p>
    <w:p w:rsidR="00FA3BB7" w:rsidRPr="00EE5F33" w:rsidRDefault="00FA3BB7" w:rsidP="00FE390D">
      <w:pPr>
        <w:rPr>
          <w:szCs w:val="24"/>
        </w:rPr>
      </w:pPr>
    </w:p>
    <w:p w:rsidR="00FA3BB7" w:rsidRPr="00EE5F33" w:rsidRDefault="00FA3BB7" w:rsidP="00FE390D">
      <w:pPr>
        <w:rPr>
          <w:szCs w:val="24"/>
        </w:rPr>
      </w:pPr>
    </w:p>
    <w:p w:rsidR="00FA3BB7" w:rsidRPr="00EE5F33" w:rsidRDefault="00FA3BB7" w:rsidP="00FE390D">
      <w:pPr>
        <w:rPr>
          <w:szCs w:val="24"/>
        </w:rPr>
      </w:pPr>
    </w:p>
    <w:p w:rsidR="00FA3BB7" w:rsidRPr="00EE5F33" w:rsidRDefault="00FA3BB7" w:rsidP="00FE390D">
      <w:pPr>
        <w:rPr>
          <w:szCs w:val="24"/>
        </w:rPr>
      </w:pPr>
    </w:p>
    <w:sectPr w:rsidR="00FA3BB7" w:rsidRPr="00EE5F33" w:rsidSect="0089361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63DF"/>
    <w:multiLevelType w:val="hybridMultilevel"/>
    <w:tmpl w:val="415E458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175B49"/>
    <w:multiLevelType w:val="hybridMultilevel"/>
    <w:tmpl w:val="9E0CCB3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3B7294"/>
    <w:multiLevelType w:val="hybridMultilevel"/>
    <w:tmpl w:val="AE0C7BB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EA220AD"/>
    <w:multiLevelType w:val="hybridMultilevel"/>
    <w:tmpl w:val="870C4C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3360E07"/>
    <w:multiLevelType w:val="hybridMultilevel"/>
    <w:tmpl w:val="F1807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7544B7"/>
    <w:multiLevelType w:val="hybridMultilevel"/>
    <w:tmpl w:val="C7F0C6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93F1C3A"/>
    <w:multiLevelType w:val="hybridMultilevel"/>
    <w:tmpl w:val="3AAC4A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B7"/>
    <w:rsid w:val="000B6BBD"/>
    <w:rsid w:val="000C4123"/>
    <w:rsid w:val="000D0490"/>
    <w:rsid w:val="002439EA"/>
    <w:rsid w:val="002A05E4"/>
    <w:rsid w:val="002B5BAD"/>
    <w:rsid w:val="00464BD1"/>
    <w:rsid w:val="004D2587"/>
    <w:rsid w:val="004E1E85"/>
    <w:rsid w:val="005A104C"/>
    <w:rsid w:val="00606388"/>
    <w:rsid w:val="0061308E"/>
    <w:rsid w:val="006514A9"/>
    <w:rsid w:val="00656E32"/>
    <w:rsid w:val="00685B41"/>
    <w:rsid w:val="006C6596"/>
    <w:rsid w:val="00710C5E"/>
    <w:rsid w:val="0075198E"/>
    <w:rsid w:val="00760F64"/>
    <w:rsid w:val="0076664F"/>
    <w:rsid w:val="00803BF9"/>
    <w:rsid w:val="008440FE"/>
    <w:rsid w:val="00893613"/>
    <w:rsid w:val="008B10D1"/>
    <w:rsid w:val="008C6291"/>
    <w:rsid w:val="008C7E48"/>
    <w:rsid w:val="00AB009A"/>
    <w:rsid w:val="00AB1E60"/>
    <w:rsid w:val="00AB5934"/>
    <w:rsid w:val="00B77375"/>
    <w:rsid w:val="00B97522"/>
    <w:rsid w:val="00BE6E48"/>
    <w:rsid w:val="00CB6C1B"/>
    <w:rsid w:val="00D402B2"/>
    <w:rsid w:val="00DD7D98"/>
    <w:rsid w:val="00E0650D"/>
    <w:rsid w:val="00E6062D"/>
    <w:rsid w:val="00ED098C"/>
    <w:rsid w:val="00ED32DE"/>
    <w:rsid w:val="00EE5EC9"/>
    <w:rsid w:val="00EE5F33"/>
    <w:rsid w:val="00EF4E36"/>
    <w:rsid w:val="00F0108A"/>
    <w:rsid w:val="00F27D8B"/>
    <w:rsid w:val="00F512C6"/>
    <w:rsid w:val="00FA3BB7"/>
    <w:rsid w:val="00FA7BB6"/>
    <w:rsid w:val="00FE3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F21F7-5A29-4773-B12E-5B4C96A9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BB6"/>
    <w:pPr>
      <w:spacing w:after="0"/>
    </w:pPr>
    <w:rPr>
      <w:rFonts w:ascii="Arial" w:hAnsi="Arial"/>
      <w:sz w:val="24"/>
    </w:rPr>
  </w:style>
  <w:style w:type="paragraph" w:styleId="Heading2">
    <w:name w:val="heading 2"/>
    <w:basedOn w:val="Normal"/>
    <w:next w:val="Normal"/>
    <w:link w:val="Heading2Char"/>
    <w:rsid w:val="00893613"/>
    <w:pPr>
      <w:keepNext/>
      <w:keepLines/>
      <w:pBdr>
        <w:top w:val="nil"/>
        <w:left w:val="nil"/>
        <w:bottom w:val="nil"/>
        <w:right w:val="nil"/>
        <w:between w:val="nil"/>
      </w:pBdr>
      <w:spacing w:before="360" w:after="120" w:line="276" w:lineRule="auto"/>
      <w:outlineLvl w:val="1"/>
    </w:pPr>
    <w:rPr>
      <w:rFonts w:eastAsia="Arial" w:cs="Arial"/>
      <w:color w:val="000000"/>
      <w:sz w:val="32"/>
      <w:szCs w:val="32"/>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BAD"/>
    <w:pPr>
      <w:spacing w:line="240" w:lineRule="auto"/>
      <w:ind w:left="720"/>
    </w:pPr>
    <w:rPr>
      <w:rFonts w:ascii="Times New Roman" w:hAnsi="Times New Roman" w:cs="Times New Roman"/>
      <w:szCs w:val="24"/>
      <w:lang w:eastAsia="en-GB"/>
    </w:rPr>
  </w:style>
  <w:style w:type="character" w:styleId="Hyperlink">
    <w:name w:val="Hyperlink"/>
    <w:basedOn w:val="DefaultParagraphFont"/>
    <w:uiPriority w:val="99"/>
    <w:unhideWhenUsed/>
    <w:rsid w:val="00893613"/>
    <w:rPr>
      <w:color w:val="0563C1"/>
      <w:u w:val="single"/>
    </w:rPr>
  </w:style>
  <w:style w:type="paragraph" w:customStyle="1" w:styleId="Normal1">
    <w:name w:val="Normal1"/>
    <w:link w:val="Normal1Char"/>
    <w:rsid w:val="00893613"/>
    <w:pPr>
      <w:spacing w:after="0" w:line="240" w:lineRule="auto"/>
    </w:pPr>
    <w:rPr>
      <w:rFonts w:ascii="Times New Roman" w:eastAsia="Times New Roman" w:hAnsi="Times New Roman" w:cs="Times New Roman"/>
      <w:color w:val="000000"/>
      <w:sz w:val="24"/>
      <w:szCs w:val="24"/>
    </w:rPr>
  </w:style>
  <w:style w:type="character" w:customStyle="1" w:styleId="Normal1Char">
    <w:name w:val="Normal1 Char"/>
    <w:link w:val="Normal1"/>
    <w:rsid w:val="00893613"/>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893613"/>
    <w:rPr>
      <w:rFonts w:ascii="Arial" w:eastAsia="Arial" w:hAnsi="Arial" w:cs="Arial"/>
      <w:color w:val="000000"/>
      <w:sz w:val="32"/>
      <w:szCs w:val="32"/>
      <w:lang w:val="en" w:eastAsia="en-GB"/>
    </w:rPr>
  </w:style>
  <w:style w:type="paragraph" w:styleId="BalloonText">
    <w:name w:val="Balloon Text"/>
    <w:basedOn w:val="Normal"/>
    <w:link w:val="BalloonTextChar"/>
    <w:uiPriority w:val="99"/>
    <w:semiHidden/>
    <w:unhideWhenUsed/>
    <w:rsid w:val="00464B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D1"/>
    <w:rPr>
      <w:rFonts w:ascii="Segoe UI" w:hAnsi="Segoe UI" w:cs="Segoe UI"/>
      <w:sz w:val="18"/>
      <w:szCs w:val="18"/>
    </w:rPr>
  </w:style>
  <w:style w:type="character" w:styleId="CommentReference">
    <w:name w:val="annotation reference"/>
    <w:basedOn w:val="DefaultParagraphFont"/>
    <w:uiPriority w:val="99"/>
    <w:semiHidden/>
    <w:unhideWhenUsed/>
    <w:rsid w:val="00FE390D"/>
    <w:rPr>
      <w:sz w:val="16"/>
      <w:szCs w:val="16"/>
    </w:rPr>
  </w:style>
  <w:style w:type="paragraph" w:styleId="CommentText">
    <w:name w:val="annotation text"/>
    <w:basedOn w:val="Normal"/>
    <w:link w:val="CommentTextChar"/>
    <w:uiPriority w:val="99"/>
    <w:semiHidden/>
    <w:unhideWhenUsed/>
    <w:rsid w:val="00FE390D"/>
    <w:pPr>
      <w:spacing w:line="240" w:lineRule="auto"/>
    </w:pPr>
    <w:rPr>
      <w:sz w:val="20"/>
      <w:szCs w:val="20"/>
    </w:rPr>
  </w:style>
  <w:style w:type="character" w:customStyle="1" w:styleId="CommentTextChar">
    <w:name w:val="Comment Text Char"/>
    <w:basedOn w:val="DefaultParagraphFont"/>
    <w:link w:val="CommentText"/>
    <w:uiPriority w:val="99"/>
    <w:semiHidden/>
    <w:rsid w:val="00FE390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E390D"/>
    <w:rPr>
      <w:b/>
      <w:bCs/>
    </w:rPr>
  </w:style>
  <w:style w:type="character" w:customStyle="1" w:styleId="CommentSubjectChar">
    <w:name w:val="Comment Subject Char"/>
    <w:basedOn w:val="CommentTextChar"/>
    <w:link w:val="CommentSubject"/>
    <w:uiPriority w:val="99"/>
    <w:semiHidden/>
    <w:rsid w:val="00FE390D"/>
    <w:rPr>
      <w:rFonts w:ascii="Arial" w:hAnsi="Arial"/>
      <w:b/>
      <w:bCs/>
      <w:sz w:val="20"/>
      <w:szCs w:val="20"/>
    </w:rPr>
  </w:style>
  <w:style w:type="character" w:styleId="FollowedHyperlink">
    <w:name w:val="FollowedHyperlink"/>
    <w:basedOn w:val="DefaultParagraphFont"/>
    <w:uiPriority w:val="99"/>
    <w:semiHidden/>
    <w:unhideWhenUsed/>
    <w:rsid w:val="004E1E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6877">
      <w:bodyDiv w:val="1"/>
      <w:marLeft w:val="0"/>
      <w:marRight w:val="0"/>
      <w:marTop w:val="0"/>
      <w:marBottom w:val="0"/>
      <w:divBdr>
        <w:top w:val="none" w:sz="0" w:space="0" w:color="auto"/>
        <w:left w:val="none" w:sz="0" w:space="0" w:color="auto"/>
        <w:bottom w:val="none" w:sz="0" w:space="0" w:color="auto"/>
        <w:right w:val="none" w:sz="0" w:space="0" w:color="auto"/>
      </w:divBdr>
    </w:div>
    <w:div w:id="204412535">
      <w:bodyDiv w:val="1"/>
      <w:marLeft w:val="0"/>
      <w:marRight w:val="0"/>
      <w:marTop w:val="0"/>
      <w:marBottom w:val="0"/>
      <w:divBdr>
        <w:top w:val="none" w:sz="0" w:space="0" w:color="auto"/>
        <w:left w:val="none" w:sz="0" w:space="0" w:color="auto"/>
        <w:bottom w:val="none" w:sz="0" w:space="0" w:color="auto"/>
        <w:right w:val="none" w:sz="0" w:space="0" w:color="auto"/>
      </w:divBdr>
    </w:div>
    <w:div w:id="469055652">
      <w:bodyDiv w:val="1"/>
      <w:marLeft w:val="0"/>
      <w:marRight w:val="0"/>
      <w:marTop w:val="0"/>
      <w:marBottom w:val="0"/>
      <w:divBdr>
        <w:top w:val="none" w:sz="0" w:space="0" w:color="auto"/>
        <w:left w:val="none" w:sz="0" w:space="0" w:color="auto"/>
        <w:bottom w:val="none" w:sz="0" w:space="0" w:color="auto"/>
        <w:right w:val="none" w:sz="0" w:space="0" w:color="auto"/>
      </w:divBdr>
    </w:div>
    <w:div w:id="523251573">
      <w:bodyDiv w:val="1"/>
      <w:marLeft w:val="0"/>
      <w:marRight w:val="0"/>
      <w:marTop w:val="0"/>
      <w:marBottom w:val="0"/>
      <w:divBdr>
        <w:top w:val="none" w:sz="0" w:space="0" w:color="auto"/>
        <w:left w:val="none" w:sz="0" w:space="0" w:color="auto"/>
        <w:bottom w:val="none" w:sz="0" w:space="0" w:color="auto"/>
        <w:right w:val="none" w:sz="0" w:space="0" w:color="auto"/>
      </w:divBdr>
    </w:div>
    <w:div w:id="805002004">
      <w:bodyDiv w:val="1"/>
      <w:marLeft w:val="0"/>
      <w:marRight w:val="0"/>
      <w:marTop w:val="0"/>
      <w:marBottom w:val="0"/>
      <w:divBdr>
        <w:top w:val="none" w:sz="0" w:space="0" w:color="auto"/>
        <w:left w:val="none" w:sz="0" w:space="0" w:color="auto"/>
        <w:bottom w:val="none" w:sz="0" w:space="0" w:color="auto"/>
        <w:right w:val="none" w:sz="0" w:space="0" w:color="auto"/>
      </w:divBdr>
    </w:div>
    <w:div w:id="821822330">
      <w:bodyDiv w:val="1"/>
      <w:marLeft w:val="0"/>
      <w:marRight w:val="0"/>
      <w:marTop w:val="0"/>
      <w:marBottom w:val="0"/>
      <w:divBdr>
        <w:top w:val="none" w:sz="0" w:space="0" w:color="auto"/>
        <w:left w:val="none" w:sz="0" w:space="0" w:color="auto"/>
        <w:bottom w:val="none" w:sz="0" w:space="0" w:color="auto"/>
        <w:right w:val="none" w:sz="0" w:space="0" w:color="auto"/>
      </w:divBdr>
    </w:div>
    <w:div w:id="983318787">
      <w:bodyDiv w:val="1"/>
      <w:marLeft w:val="0"/>
      <w:marRight w:val="0"/>
      <w:marTop w:val="0"/>
      <w:marBottom w:val="0"/>
      <w:divBdr>
        <w:top w:val="none" w:sz="0" w:space="0" w:color="auto"/>
        <w:left w:val="none" w:sz="0" w:space="0" w:color="auto"/>
        <w:bottom w:val="none" w:sz="0" w:space="0" w:color="auto"/>
        <w:right w:val="none" w:sz="0" w:space="0" w:color="auto"/>
      </w:divBdr>
    </w:div>
    <w:div w:id="1037704042">
      <w:bodyDiv w:val="1"/>
      <w:marLeft w:val="0"/>
      <w:marRight w:val="0"/>
      <w:marTop w:val="0"/>
      <w:marBottom w:val="0"/>
      <w:divBdr>
        <w:top w:val="none" w:sz="0" w:space="0" w:color="auto"/>
        <w:left w:val="none" w:sz="0" w:space="0" w:color="auto"/>
        <w:bottom w:val="none" w:sz="0" w:space="0" w:color="auto"/>
        <w:right w:val="none" w:sz="0" w:space="0" w:color="auto"/>
      </w:divBdr>
    </w:div>
    <w:div w:id="1064572968">
      <w:bodyDiv w:val="1"/>
      <w:marLeft w:val="0"/>
      <w:marRight w:val="0"/>
      <w:marTop w:val="0"/>
      <w:marBottom w:val="0"/>
      <w:divBdr>
        <w:top w:val="none" w:sz="0" w:space="0" w:color="auto"/>
        <w:left w:val="none" w:sz="0" w:space="0" w:color="auto"/>
        <w:bottom w:val="none" w:sz="0" w:space="0" w:color="auto"/>
        <w:right w:val="none" w:sz="0" w:space="0" w:color="auto"/>
      </w:divBdr>
    </w:div>
    <w:div w:id="1150748155">
      <w:bodyDiv w:val="1"/>
      <w:marLeft w:val="0"/>
      <w:marRight w:val="0"/>
      <w:marTop w:val="0"/>
      <w:marBottom w:val="0"/>
      <w:divBdr>
        <w:top w:val="none" w:sz="0" w:space="0" w:color="auto"/>
        <w:left w:val="none" w:sz="0" w:space="0" w:color="auto"/>
        <w:bottom w:val="none" w:sz="0" w:space="0" w:color="auto"/>
        <w:right w:val="none" w:sz="0" w:space="0" w:color="auto"/>
      </w:divBdr>
    </w:div>
    <w:div w:id="1186870713">
      <w:bodyDiv w:val="1"/>
      <w:marLeft w:val="0"/>
      <w:marRight w:val="0"/>
      <w:marTop w:val="0"/>
      <w:marBottom w:val="0"/>
      <w:divBdr>
        <w:top w:val="none" w:sz="0" w:space="0" w:color="auto"/>
        <w:left w:val="none" w:sz="0" w:space="0" w:color="auto"/>
        <w:bottom w:val="none" w:sz="0" w:space="0" w:color="auto"/>
        <w:right w:val="none" w:sz="0" w:space="0" w:color="auto"/>
      </w:divBdr>
    </w:div>
    <w:div w:id="1252860153">
      <w:bodyDiv w:val="1"/>
      <w:marLeft w:val="0"/>
      <w:marRight w:val="0"/>
      <w:marTop w:val="0"/>
      <w:marBottom w:val="0"/>
      <w:divBdr>
        <w:top w:val="none" w:sz="0" w:space="0" w:color="auto"/>
        <w:left w:val="none" w:sz="0" w:space="0" w:color="auto"/>
        <w:bottom w:val="none" w:sz="0" w:space="0" w:color="auto"/>
        <w:right w:val="none" w:sz="0" w:space="0" w:color="auto"/>
      </w:divBdr>
    </w:div>
    <w:div w:id="1339960711">
      <w:bodyDiv w:val="1"/>
      <w:marLeft w:val="0"/>
      <w:marRight w:val="0"/>
      <w:marTop w:val="0"/>
      <w:marBottom w:val="0"/>
      <w:divBdr>
        <w:top w:val="none" w:sz="0" w:space="0" w:color="auto"/>
        <w:left w:val="none" w:sz="0" w:space="0" w:color="auto"/>
        <w:bottom w:val="none" w:sz="0" w:space="0" w:color="auto"/>
        <w:right w:val="none" w:sz="0" w:space="0" w:color="auto"/>
      </w:divBdr>
    </w:div>
    <w:div w:id="1573347016">
      <w:bodyDiv w:val="1"/>
      <w:marLeft w:val="0"/>
      <w:marRight w:val="0"/>
      <w:marTop w:val="0"/>
      <w:marBottom w:val="0"/>
      <w:divBdr>
        <w:top w:val="none" w:sz="0" w:space="0" w:color="auto"/>
        <w:left w:val="none" w:sz="0" w:space="0" w:color="auto"/>
        <w:bottom w:val="none" w:sz="0" w:space="0" w:color="auto"/>
        <w:right w:val="none" w:sz="0" w:space="0" w:color="auto"/>
      </w:divBdr>
    </w:div>
    <w:div w:id="1751345586">
      <w:bodyDiv w:val="1"/>
      <w:marLeft w:val="0"/>
      <w:marRight w:val="0"/>
      <w:marTop w:val="0"/>
      <w:marBottom w:val="0"/>
      <w:divBdr>
        <w:top w:val="none" w:sz="0" w:space="0" w:color="auto"/>
        <w:left w:val="none" w:sz="0" w:space="0" w:color="auto"/>
        <w:bottom w:val="none" w:sz="0" w:space="0" w:color="auto"/>
        <w:right w:val="none" w:sz="0" w:space="0" w:color="auto"/>
      </w:divBdr>
    </w:div>
    <w:div w:id="1837070707">
      <w:bodyDiv w:val="1"/>
      <w:marLeft w:val="0"/>
      <w:marRight w:val="0"/>
      <w:marTop w:val="0"/>
      <w:marBottom w:val="0"/>
      <w:divBdr>
        <w:top w:val="none" w:sz="0" w:space="0" w:color="auto"/>
        <w:left w:val="none" w:sz="0" w:space="0" w:color="auto"/>
        <w:bottom w:val="none" w:sz="0" w:space="0" w:color="auto"/>
        <w:right w:val="none" w:sz="0" w:space="0" w:color="auto"/>
      </w:divBdr>
    </w:div>
    <w:div w:id="1869101775">
      <w:bodyDiv w:val="1"/>
      <w:marLeft w:val="0"/>
      <w:marRight w:val="0"/>
      <w:marTop w:val="0"/>
      <w:marBottom w:val="0"/>
      <w:divBdr>
        <w:top w:val="none" w:sz="0" w:space="0" w:color="auto"/>
        <w:left w:val="none" w:sz="0" w:space="0" w:color="auto"/>
        <w:bottom w:val="none" w:sz="0" w:space="0" w:color="auto"/>
        <w:right w:val="none" w:sz="0" w:space="0" w:color="auto"/>
      </w:divBdr>
    </w:div>
    <w:div w:id="195778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afamily.org.uk/advice-and-support/resource-library/parent-carer-participation-9th-send-reforms-implementation-survey-re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v.uk/government/publications/education-health-and-care-plans-parents-and-young-people-survey" TargetMode="External"/><Relationship Id="rId5" Type="http://schemas.openxmlformats.org/officeDocument/2006/relationships/customXml" Target="../customXml/item5.xml"/><Relationship Id="rId10" Type="http://schemas.openxmlformats.org/officeDocument/2006/relationships/hyperlink" Target="https://www.cyberessentials.ncsc.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5181134883947a99a38d116ffff0102 xmlns="963d0779-4465-43ed-af42-0f503389a4d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963d0779-4465-43ed-af42-0f503389a4d0">
      <Terms xmlns="http://schemas.microsoft.com/office/infopath/2007/PartnerControls"/>
    </h5181134883947a99a38d116ffff0006>
    <iaae15c7ae0042a08b708d3ca8dbe384 xmlns="4a77ed79-50c3-49f6-9fb6-59f28e57671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aae15c7ae0042a08b708d3ca8dbe384>
    <k14870ab92cc404591919127e21a038a xmlns="4a77ed79-50c3-49f6-9fb6-59f28e576712">
      <Terms xmlns="http://schemas.microsoft.com/office/infopath/2007/PartnerControls"/>
    </k14870ab92cc404591919127e21a038a>
    <l930e60bd4b34acaaca7828f3d2639d3 xmlns="4a77ed79-50c3-49f6-9fb6-59f28e576712">
      <Terms xmlns="http://schemas.microsoft.com/office/infopath/2007/PartnerControls"/>
    </l930e60bd4b34acaaca7828f3d2639d3>
    <g4eb11b6ba4343c9b3b0bb4891eda34f xmlns="4a77ed79-50c3-49f6-9fb6-59f28e57671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g4eb11b6ba4343c9b3b0bb4891eda34f>
    <IWPContributor xmlns="aeb8ab6c-1d2d-4d8d-84d8-fff70fa976f0">
      <UserInfo>
        <DisplayName/>
        <AccountId xsi:nil="true"/>
        <AccountType/>
      </UserInfo>
    </IWPContributor>
    <_dlc_DocId xmlns="4a77ed79-50c3-49f6-9fb6-59f28e576712">C2HUUFTHRAUH-11-31995</_dlc_DocId>
    <_dlc_DocIdUrl xmlns="4a77ed79-50c3-49f6-9fb6-59f28e576712">
      <Url>https://educationgovuk.sharepoint.com/sites/ey/d/_layouts/15/DocIdRedir.aspx?ID=C2HUUFTHRAUH-11-31995</Url>
      <Description>C2HUUFTHRAUH-11-31995</Description>
    </_dlc_DocIdUrl>
    <TaxCatchAll xmlns="4a77ed79-50c3-49f6-9fb6-59f28e576712">
      <Value>3</Value>
      <Value>2</Value>
      <Value>1</Value>
    </TaxCatchAll>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ual" ma:contentTypeID="0x010100905DE3262C806A42B4F60506C1C099BF0C00D27FD6E490F5434CB1D7C02A4568B841" ma:contentTypeVersion="40" ma:contentTypeDescription="Relates to a contract with an external organisation, and Records retained for 10 years." ma:contentTypeScope="" ma:versionID="ef5874fce23d1a5a46e7e2f7f2d213e9">
  <xsd:schema xmlns:xsd="http://www.w3.org/2001/XMLSchema" xmlns:xs="http://www.w3.org/2001/XMLSchema" xmlns:p="http://schemas.microsoft.com/office/2006/metadata/properties" xmlns:ns1="http://schemas.microsoft.com/sharepoint/v3" xmlns:ns2="4a77ed79-50c3-49f6-9fb6-59f28e576712" xmlns:ns3="aeb8ab6c-1d2d-4d8d-84d8-fff70fa976f0" xmlns:ns4="963d0779-4465-43ed-af42-0f503389a4d0" targetNamespace="http://schemas.microsoft.com/office/2006/metadata/properties" ma:root="true" ma:fieldsID="f3a83a0a183cf64ce70a3da60e37387d" ns1:_="" ns2:_="" ns3:_="" ns4:_="">
    <xsd:import namespace="http://schemas.microsoft.com/sharepoint/v3"/>
    <xsd:import namespace="4a77ed79-50c3-49f6-9fb6-59f28e576712"/>
    <xsd:import namespace="aeb8ab6c-1d2d-4d8d-84d8-fff70fa976f0"/>
    <xsd:import namespace="963d0779-4465-43ed-af42-0f503389a4d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k14870ab92cc404591919127e21a038a" minOccurs="0"/>
                <xsd:element ref="ns2:iaae15c7ae0042a08b708d3ca8dbe384" minOccurs="0"/>
                <xsd:element ref="ns2:l930e60bd4b34acaaca7828f3d2639d3" minOccurs="0"/>
                <xsd:element ref="ns2:g4eb11b6ba4343c9b3b0bb4891eda34f"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77ed79-50c3-49f6-9fb6-59f28e5767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aa931f-9532-4ac8-a9a3-a358c80562fd}" ma:internalName="TaxCatchAll" ma:readOnly="false" ma:showField="CatchAllData" ma:web="4a77ed79-50c3-49f6-9fb6-59f28e576712">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aa931f-9532-4ac8-a9a3-a358c80562fd}" ma:internalName="TaxCatchAllLabel" ma:readOnly="true" ma:showField="CatchAllDataLabel" ma:web="4a77ed79-50c3-49f6-9fb6-59f28e576712">
      <xsd:complexType>
        <xsd:complexContent>
          <xsd:extension base="dms:MultiChoiceLookup">
            <xsd:sequence>
              <xsd:element name="Value" type="dms:Lookup" maxOccurs="unbounded" minOccurs="0" nillable="true"/>
            </xsd:sequence>
          </xsd:extension>
        </xsd:complexContent>
      </xsd:complexType>
    </xsd:element>
    <xsd:element name="k14870ab92cc404591919127e21a038a" ma:index="22" nillable="true" ma:taxonomy="true" ma:internalName="k14870ab92cc404591919127e21a038a" ma:taxonomyFieldName="IWPFunction" ma:displayName="Function" ma:readOnly="false" ma:fieldId="{414870ab-92cc-4045-9191-9127e21a038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iaae15c7ae0042a08b708d3ca8dbe384" ma:index="23" ma:taxonomy="true" ma:internalName="iaae15c7ae0042a08b708d3ca8dbe384" ma:taxonomyFieldName="IWPRightsProtectiveMarking" ma:displayName="Rights: Protective Marking" ma:readOnly="false" ma:default="1;#Official|0884c477-2e62-47ea-b19c-5af6e91124c5" ma:fieldId="{2aae15c7-ae00-42a0-8b70-8d3ca8dbe38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l930e60bd4b34acaaca7828f3d2639d3" ma:index="24" nillable="true" ma:taxonomy="true" ma:internalName="l930e60bd4b34acaaca7828f3d2639d3" ma:taxonomyFieldName="IWPSiteType" ma:displayName="Site Type" ma:readOnly="false" ma:fieldId="{5930e60b-d4b3-4aca-aca7-828f3d2639d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4eb11b6ba4343c9b3b0bb4891eda34f" ma:index="25" ma:taxonomy="true" ma:internalName="g4eb11b6ba4343c9b3b0bb4891eda34f" ma:taxonomyFieldName="IWPOrganisationalUnit" ma:displayName="Organisational Unit" ma:readOnly="false" ma:default="2;#DfE|cc08a6d4-dfde-4d0f-bd85-069ebcef80d5" ma:fieldId="{04eb11b6-ba43-43c9-b3b0-bb4891eda34f}"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3d0779-4465-43ed-af42-0f503389a4d0"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94091-03D5-4234-929C-D6499596293D}">
  <ds:schemaRefs>
    <ds:schemaRef ds:uri="http://schemas.microsoft.com/sharepoint/v3"/>
    <ds:schemaRef ds:uri="963d0779-4465-43ed-af42-0f503389a4d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a77ed79-50c3-49f6-9fb6-59f28e576712"/>
    <ds:schemaRef ds:uri="http://purl.org/dc/elements/1.1/"/>
    <ds:schemaRef ds:uri="http://schemas.microsoft.com/office/2006/metadata/properties"/>
    <ds:schemaRef ds:uri="aeb8ab6c-1d2d-4d8d-84d8-fff70fa976f0"/>
    <ds:schemaRef ds:uri="http://www.w3.org/XML/1998/namespace"/>
    <ds:schemaRef ds:uri="http://purl.org/dc/dcmitype/"/>
  </ds:schemaRefs>
</ds:datastoreItem>
</file>

<file path=customXml/itemProps2.xml><?xml version="1.0" encoding="utf-8"?>
<ds:datastoreItem xmlns:ds="http://schemas.openxmlformats.org/officeDocument/2006/customXml" ds:itemID="{3E5702CF-D6E2-4B0D-B78C-10A856825D49}">
  <ds:schemaRefs>
    <ds:schemaRef ds:uri="http://schemas.microsoft.com/sharepoint/v3/contenttype/forms"/>
  </ds:schemaRefs>
</ds:datastoreItem>
</file>

<file path=customXml/itemProps3.xml><?xml version="1.0" encoding="utf-8"?>
<ds:datastoreItem xmlns:ds="http://schemas.openxmlformats.org/officeDocument/2006/customXml" ds:itemID="{0BCD00FE-5AC1-486F-A383-97E6F10FC34F}">
  <ds:schemaRefs>
    <ds:schemaRef ds:uri="http://schemas.microsoft.com/sharepoint/events"/>
  </ds:schemaRefs>
</ds:datastoreItem>
</file>

<file path=customXml/itemProps4.xml><?xml version="1.0" encoding="utf-8"?>
<ds:datastoreItem xmlns:ds="http://schemas.openxmlformats.org/officeDocument/2006/customXml" ds:itemID="{25179E51-93E8-47B8-A8C0-7EBE16519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77ed79-50c3-49f6-9fb6-59f28e576712"/>
    <ds:schemaRef ds:uri="aeb8ab6c-1d2d-4d8d-84d8-fff70fa976f0"/>
    <ds:schemaRef ds:uri="963d0779-4465-43ed-af42-0f503389a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86E5D2-7A95-4B20-B160-C5CFA315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3158</Words>
  <Characters>18003</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SEND 2018-19 procurement – clarification questions</vt:lpstr>
    </vt:vector>
  </TitlesOfParts>
  <Company>DfE</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2018-19 procurement – clarification questions</dc:title>
  <dc:subject/>
  <dc:creator>COFFIN, Benedict</dc:creator>
  <cp:keywords/>
  <dc:description/>
  <cp:lastModifiedBy>ARROWSMITH, Morgan</cp:lastModifiedBy>
  <cp:revision>2</cp:revision>
  <cp:lastPrinted>2018-01-15T10:13:00Z</cp:lastPrinted>
  <dcterms:created xsi:type="dcterms:W3CDTF">2018-01-16T17:12:00Z</dcterms:created>
  <dcterms:modified xsi:type="dcterms:W3CDTF">2018-01-16T17:12:00Z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0x010100905DE3262C806A42B4F60506C1C099BF0C00D27FD6E490F5434CB1D7C02A4568B841</vt:lpwstr>
  </property>
  <property fmtid="{D5CDD505-2E9C-101B-9397-08002B2CF9AE}" pid="3" name="_dlc_DocIdItemGuid">
    <vt:lpwstr>f2c0da51-c61c-4ec4-9256-3c0b2f3ed5be</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