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F1664" w:rsidRDefault="009F1B90">
      <w:pPr>
        <w:spacing w:after="0" w:line="259" w:lineRule="auto"/>
        <w:ind w:left="636" w:firstLine="0"/>
        <w:jc w:val="left"/>
      </w:pPr>
      <w:r>
        <w:rPr>
          <w:rFonts w:ascii="Calibri" w:eastAsia="Calibri" w:hAnsi="Calibri" w:cs="Calibri"/>
          <w:noProof/>
          <w:sz w:val="22"/>
        </w:rPr>
        <mc:AlternateContent>
          <mc:Choice Requires="wpg">
            <w:drawing>
              <wp:inline distT="0" distB="0" distL="0" distR="0">
                <wp:extent cx="5988380" cy="852805"/>
                <wp:effectExtent l="0" t="0" r="0" b="0"/>
                <wp:docPr id="14128" name="Group 14128"/>
                <wp:cNvGraphicFramePr/>
                <a:graphic xmlns:a="http://schemas.openxmlformats.org/drawingml/2006/main">
                  <a:graphicData uri="http://schemas.microsoft.com/office/word/2010/wordprocessingGroup">
                    <wpg:wgp>
                      <wpg:cNvGrpSpPr/>
                      <wpg:grpSpPr>
                        <a:xfrm>
                          <a:off x="0" y="0"/>
                          <a:ext cx="5988380" cy="852805"/>
                          <a:chOff x="0" y="0"/>
                          <a:chExt cx="5988380" cy="852805"/>
                        </a:xfrm>
                      </wpg:grpSpPr>
                      <wps:wsp>
                        <wps:cNvPr id="6" name="Rectangle 6"/>
                        <wps:cNvSpPr/>
                        <wps:spPr>
                          <a:xfrm>
                            <a:off x="0" y="88116"/>
                            <a:ext cx="65640" cy="181742"/>
                          </a:xfrm>
                          <a:prstGeom prst="rect">
                            <a:avLst/>
                          </a:prstGeom>
                          <a:ln>
                            <a:noFill/>
                          </a:ln>
                        </wps:spPr>
                        <wps:txbx>
                          <w:txbxContent>
                            <w:p w:rsidR="004F1664" w:rsidRDefault="009F1B90">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0" name="Shape 10"/>
                        <wps:cNvSpPr/>
                        <wps:spPr>
                          <a:xfrm>
                            <a:off x="10490" y="0"/>
                            <a:ext cx="5977890" cy="0"/>
                          </a:xfrm>
                          <a:custGeom>
                            <a:avLst/>
                            <a:gdLst/>
                            <a:ahLst/>
                            <a:cxnLst/>
                            <a:rect l="0" t="0" r="0" b="0"/>
                            <a:pathLst>
                              <a:path w="5977890">
                                <a:moveTo>
                                  <a:pt x="0" y="0"/>
                                </a:moveTo>
                                <a:lnTo>
                                  <a:pt x="5977890" y="0"/>
                                </a:lnTo>
                              </a:path>
                            </a:pathLst>
                          </a:custGeom>
                          <a:ln w="3048" cap="flat">
                            <a:round/>
                          </a:ln>
                        </wps:spPr>
                        <wps:style>
                          <a:lnRef idx="1">
                            <a:srgbClr val="000080"/>
                          </a:lnRef>
                          <a:fillRef idx="0">
                            <a:srgbClr val="000000">
                              <a:alpha val="0"/>
                            </a:srgbClr>
                          </a:fillRef>
                          <a:effectRef idx="0">
                            <a:scrgbClr r="0" g="0" b="0"/>
                          </a:effectRef>
                          <a:fontRef idx="none"/>
                        </wps:style>
                        <wps:bodyPr/>
                      </wps:wsp>
                      <pic:pic xmlns:pic="http://schemas.openxmlformats.org/drawingml/2006/picture">
                        <pic:nvPicPr>
                          <pic:cNvPr id="49" name="Picture 49"/>
                          <pic:cNvPicPr/>
                        </pic:nvPicPr>
                        <pic:blipFill>
                          <a:blip r:embed="rId7"/>
                          <a:stretch>
                            <a:fillRect/>
                          </a:stretch>
                        </pic:blipFill>
                        <pic:spPr>
                          <a:xfrm>
                            <a:off x="4767910" y="100965"/>
                            <a:ext cx="1182903" cy="751840"/>
                          </a:xfrm>
                          <a:prstGeom prst="rect">
                            <a:avLst/>
                          </a:prstGeom>
                        </pic:spPr>
                      </pic:pic>
                    </wpg:wgp>
                  </a:graphicData>
                </a:graphic>
              </wp:inline>
            </w:drawing>
          </mc:Choice>
          <mc:Fallback xmlns:a="http://schemas.openxmlformats.org/drawingml/2006/main">
            <w:pict>
              <v:group id="Group 14128" style="width:471.526pt;height:67.15pt;mso-position-horizontal-relative:char;mso-position-vertical-relative:line" coordsize="59883,8528">
                <v:rect id="Rectangle 6" style="position:absolute;width:656;height:1817;left:0;top:881;" filled="f" stroked="f">
                  <v:textbox inset="0,0,0,0">
                    <w:txbxContent>
                      <w:p>
                        <w:pPr>
                          <w:spacing w:before="0" w:after="160" w:line="259" w:lineRule="auto"/>
                          <w:ind w:left="0" w:firstLine="0"/>
                          <w:jc w:val="left"/>
                        </w:pPr>
                        <w:r>
                          <w:rPr>
                            <w:sz w:val="22"/>
                          </w:rPr>
                          <w:t xml:space="preserve"> </w:t>
                        </w:r>
                      </w:p>
                    </w:txbxContent>
                  </v:textbox>
                </v:rect>
                <v:shape id="Shape 10" style="position:absolute;width:59778;height:0;left:104;top:0;" coordsize="5977890,0" path="m0,0l5977890,0">
                  <v:stroke weight="0.24pt" endcap="flat" joinstyle="round" on="true" color="#000080"/>
                  <v:fill on="false" color="#000000" opacity="0"/>
                </v:shape>
                <v:shape id="Picture 49" style="position:absolute;width:11829;height:7518;left:47679;top:1009;" filled="f">
                  <v:imagedata r:id="rId8"/>
                </v:shape>
              </v:group>
            </w:pict>
          </mc:Fallback>
        </mc:AlternateContent>
      </w:r>
    </w:p>
    <w:p w:rsidR="004F1664" w:rsidRDefault="009F1B90">
      <w:pPr>
        <w:spacing w:after="0" w:line="259" w:lineRule="auto"/>
        <w:ind w:left="0" w:right="291" w:firstLine="0"/>
        <w:jc w:val="left"/>
      </w:pPr>
      <w:r>
        <w:rPr>
          <w:rFonts w:ascii="Times New Roman" w:eastAsia="Times New Roman" w:hAnsi="Times New Roman" w:cs="Times New Roman"/>
        </w:rPr>
        <w:t xml:space="preserve"> </w:t>
      </w:r>
    </w:p>
    <w:p w:rsidR="004F1664" w:rsidRDefault="009F1B90">
      <w:pPr>
        <w:spacing w:after="0" w:line="259" w:lineRule="auto"/>
        <w:ind w:left="0" w:firstLine="0"/>
        <w:jc w:val="left"/>
      </w:pPr>
      <w:r>
        <w:rPr>
          <w:rFonts w:ascii="Times New Roman" w:eastAsia="Times New Roman" w:hAnsi="Times New Roman" w:cs="Times New Roman"/>
        </w:rPr>
        <w:t xml:space="preserve"> </w:t>
      </w:r>
    </w:p>
    <w:p w:rsidR="004F1664" w:rsidRDefault="009F1B90">
      <w:pPr>
        <w:spacing w:after="0" w:line="259" w:lineRule="auto"/>
        <w:ind w:left="0" w:firstLine="0"/>
        <w:jc w:val="left"/>
      </w:pPr>
      <w:r>
        <w:rPr>
          <w:rFonts w:ascii="Times New Roman" w:eastAsia="Times New Roman" w:hAnsi="Times New Roman" w:cs="Times New Roman"/>
        </w:rPr>
        <w:t xml:space="preserve"> </w:t>
      </w:r>
    </w:p>
    <w:p w:rsidR="004F1664" w:rsidRDefault="009F1B90">
      <w:pPr>
        <w:spacing w:after="0" w:line="259" w:lineRule="auto"/>
        <w:ind w:left="0" w:firstLine="0"/>
        <w:jc w:val="left"/>
      </w:pPr>
      <w:r>
        <w:rPr>
          <w:rFonts w:ascii="Times New Roman" w:eastAsia="Times New Roman" w:hAnsi="Times New Roman" w:cs="Times New Roman"/>
        </w:rPr>
        <w:t xml:space="preserve"> </w:t>
      </w:r>
    </w:p>
    <w:p w:rsidR="004F1664" w:rsidRDefault="009F1B90">
      <w:pPr>
        <w:spacing w:after="0" w:line="259" w:lineRule="auto"/>
        <w:ind w:left="0" w:firstLine="0"/>
        <w:jc w:val="left"/>
      </w:pPr>
      <w:r>
        <w:rPr>
          <w:rFonts w:ascii="Times New Roman" w:eastAsia="Times New Roman" w:hAnsi="Times New Roman" w:cs="Times New Roman"/>
        </w:rPr>
        <w:t xml:space="preserve"> </w:t>
      </w:r>
    </w:p>
    <w:p w:rsidR="004F1664" w:rsidRDefault="009F1B90">
      <w:pPr>
        <w:spacing w:after="0" w:line="259" w:lineRule="auto"/>
        <w:ind w:left="0" w:firstLine="0"/>
        <w:jc w:val="left"/>
      </w:pPr>
      <w:r>
        <w:rPr>
          <w:rFonts w:ascii="Times New Roman" w:eastAsia="Times New Roman" w:hAnsi="Times New Roman" w:cs="Times New Roman"/>
        </w:rPr>
        <w:t xml:space="preserve"> </w:t>
      </w:r>
    </w:p>
    <w:p w:rsidR="004F1664" w:rsidRDefault="009F1B90">
      <w:pPr>
        <w:spacing w:after="0" w:line="259" w:lineRule="auto"/>
        <w:ind w:left="0" w:firstLine="0"/>
        <w:jc w:val="left"/>
      </w:pPr>
      <w:r>
        <w:rPr>
          <w:rFonts w:ascii="Times New Roman" w:eastAsia="Times New Roman" w:hAnsi="Times New Roman" w:cs="Times New Roman"/>
        </w:rPr>
        <w:t xml:space="preserve"> </w:t>
      </w:r>
    </w:p>
    <w:p w:rsidR="004F1664" w:rsidRDefault="009F1B90">
      <w:pPr>
        <w:spacing w:after="0" w:line="259" w:lineRule="auto"/>
        <w:ind w:left="0" w:firstLine="0"/>
        <w:jc w:val="left"/>
      </w:pPr>
      <w:r>
        <w:rPr>
          <w:rFonts w:ascii="Times New Roman" w:eastAsia="Times New Roman" w:hAnsi="Times New Roman" w:cs="Times New Roman"/>
        </w:rPr>
        <w:t xml:space="preserve"> </w:t>
      </w:r>
    </w:p>
    <w:p w:rsidR="004F1664" w:rsidRDefault="009F1B90">
      <w:pPr>
        <w:spacing w:after="0" w:line="259" w:lineRule="auto"/>
        <w:ind w:left="0" w:firstLine="0"/>
        <w:jc w:val="left"/>
      </w:pPr>
      <w:r>
        <w:rPr>
          <w:rFonts w:ascii="Times New Roman" w:eastAsia="Times New Roman" w:hAnsi="Times New Roman" w:cs="Times New Roman"/>
        </w:rPr>
        <w:t xml:space="preserve"> </w:t>
      </w:r>
    </w:p>
    <w:p w:rsidR="004F1664" w:rsidRDefault="009F1B90">
      <w:pPr>
        <w:spacing w:after="0" w:line="259" w:lineRule="auto"/>
        <w:ind w:left="0" w:firstLine="0"/>
        <w:jc w:val="left"/>
      </w:pPr>
      <w:r>
        <w:rPr>
          <w:rFonts w:ascii="Times New Roman" w:eastAsia="Times New Roman" w:hAnsi="Times New Roman" w:cs="Times New Roman"/>
        </w:rPr>
        <w:t xml:space="preserve"> </w:t>
      </w:r>
    </w:p>
    <w:p w:rsidR="004F1664" w:rsidRDefault="009F1B90">
      <w:pPr>
        <w:spacing w:after="0" w:line="259" w:lineRule="auto"/>
        <w:ind w:left="0" w:firstLine="0"/>
        <w:jc w:val="left"/>
      </w:pPr>
      <w:r>
        <w:rPr>
          <w:rFonts w:ascii="Times New Roman" w:eastAsia="Times New Roman" w:hAnsi="Times New Roman" w:cs="Times New Roman"/>
        </w:rPr>
        <w:t xml:space="preserve"> </w:t>
      </w:r>
    </w:p>
    <w:p w:rsidR="004F1664" w:rsidRDefault="009F1B90">
      <w:pPr>
        <w:spacing w:after="0" w:line="259" w:lineRule="auto"/>
        <w:ind w:left="0" w:firstLine="0"/>
        <w:jc w:val="left"/>
      </w:pPr>
      <w:r>
        <w:rPr>
          <w:rFonts w:ascii="Times New Roman" w:eastAsia="Times New Roman" w:hAnsi="Times New Roman" w:cs="Times New Roman"/>
        </w:rPr>
        <w:t xml:space="preserve"> </w:t>
      </w:r>
    </w:p>
    <w:p w:rsidR="004F1664" w:rsidRDefault="009F1B90">
      <w:pPr>
        <w:spacing w:after="0" w:line="259" w:lineRule="auto"/>
        <w:ind w:left="0" w:firstLine="0"/>
        <w:jc w:val="left"/>
      </w:pPr>
      <w:r>
        <w:rPr>
          <w:rFonts w:ascii="Times New Roman" w:eastAsia="Times New Roman" w:hAnsi="Times New Roman" w:cs="Times New Roman"/>
        </w:rPr>
        <w:t xml:space="preserve"> </w:t>
      </w:r>
    </w:p>
    <w:p w:rsidR="004F1664" w:rsidRDefault="009F1B90">
      <w:pPr>
        <w:spacing w:after="0" w:line="259" w:lineRule="auto"/>
        <w:ind w:left="0" w:firstLine="0"/>
        <w:jc w:val="left"/>
      </w:pPr>
      <w:r>
        <w:rPr>
          <w:rFonts w:ascii="Times New Roman" w:eastAsia="Times New Roman" w:hAnsi="Times New Roman" w:cs="Times New Roman"/>
        </w:rPr>
        <w:t xml:space="preserve"> </w:t>
      </w:r>
    </w:p>
    <w:p w:rsidR="004F1664" w:rsidRDefault="009F1B90">
      <w:pPr>
        <w:spacing w:after="51" w:line="259" w:lineRule="auto"/>
        <w:ind w:left="0" w:firstLine="0"/>
        <w:jc w:val="left"/>
      </w:pPr>
      <w:r>
        <w:rPr>
          <w:rFonts w:ascii="Times New Roman" w:eastAsia="Times New Roman" w:hAnsi="Times New Roman" w:cs="Times New Roman"/>
        </w:rPr>
        <w:t xml:space="preserve"> </w:t>
      </w:r>
    </w:p>
    <w:p w:rsidR="004F1664" w:rsidRDefault="009F1B90">
      <w:pPr>
        <w:spacing w:after="441"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7978775</wp:posOffset>
                </wp:positionV>
                <wp:extent cx="7560945" cy="2566035"/>
                <wp:effectExtent l="0" t="0" r="0" b="0"/>
                <wp:wrapTopAndBottom/>
                <wp:docPr id="14129" name="Group 14129"/>
                <wp:cNvGraphicFramePr/>
                <a:graphic xmlns:a="http://schemas.openxmlformats.org/drawingml/2006/main">
                  <a:graphicData uri="http://schemas.microsoft.com/office/word/2010/wordprocessingGroup">
                    <wpg:wgp>
                      <wpg:cNvGrpSpPr/>
                      <wpg:grpSpPr>
                        <a:xfrm>
                          <a:off x="0" y="0"/>
                          <a:ext cx="7560945" cy="2566035"/>
                          <a:chOff x="0" y="0"/>
                          <a:chExt cx="7560945" cy="2566035"/>
                        </a:xfrm>
                      </wpg:grpSpPr>
                      <wps:wsp>
                        <wps:cNvPr id="8" name="Rectangle 8"/>
                        <wps:cNvSpPr/>
                        <wps:spPr>
                          <a:xfrm>
                            <a:off x="6377686" y="2166140"/>
                            <a:ext cx="858007" cy="132356"/>
                          </a:xfrm>
                          <a:prstGeom prst="rect">
                            <a:avLst/>
                          </a:prstGeom>
                          <a:ln>
                            <a:noFill/>
                          </a:ln>
                        </wps:spPr>
                        <wps:txbx>
                          <w:txbxContent>
                            <w:p w:rsidR="004F1664" w:rsidRDefault="009F1B90">
                              <w:pPr>
                                <w:spacing w:after="160" w:line="259" w:lineRule="auto"/>
                                <w:ind w:left="0" w:firstLine="0"/>
                                <w:jc w:val="left"/>
                              </w:pPr>
                              <w:r>
                                <w:rPr>
                                  <w:color w:val="808080"/>
                                  <w:sz w:val="16"/>
                                </w:rPr>
                                <w:t>Page 3 of 10</w:t>
                              </w:r>
                            </w:p>
                          </w:txbxContent>
                        </wps:txbx>
                        <wps:bodyPr horzOverflow="overflow" vert="horz" lIns="0" tIns="0" rIns="0" bIns="0" rtlCol="0">
                          <a:noAutofit/>
                        </wps:bodyPr>
                      </wps:wsp>
                      <wps:wsp>
                        <wps:cNvPr id="9" name="Rectangle 9"/>
                        <wps:cNvSpPr/>
                        <wps:spPr>
                          <a:xfrm>
                            <a:off x="7022593" y="2166140"/>
                            <a:ext cx="47803" cy="132356"/>
                          </a:xfrm>
                          <a:prstGeom prst="rect">
                            <a:avLst/>
                          </a:prstGeom>
                          <a:ln>
                            <a:noFill/>
                          </a:ln>
                        </wps:spPr>
                        <wps:txbx>
                          <w:txbxContent>
                            <w:p w:rsidR="004F1664" w:rsidRDefault="009F1B9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50" name="Shape 50"/>
                        <wps:cNvSpPr/>
                        <wps:spPr>
                          <a:xfrm>
                            <a:off x="1062355" y="2125345"/>
                            <a:ext cx="5977890" cy="0"/>
                          </a:xfrm>
                          <a:custGeom>
                            <a:avLst/>
                            <a:gdLst/>
                            <a:ahLst/>
                            <a:cxnLst/>
                            <a:rect l="0" t="0" r="0" b="0"/>
                            <a:pathLst>
                              <a:path w="5977890">
                                <a:moveTo>
                                  <a:pt x="0" y="0"/>
                                </a:moveTo>
                                <a:lnTo>
                                  <a:pt x="5977890" y="0"/>
                                </a:lnTo>
                              </a:path>
                            </a:pathLst>
                          </a:custGeom>
                          <a:ln w="6096" cap="flat">
                            <a:round/>
                          </a:ln>
                        </wps:spPr>
                        <wps:style>
                          <a:lnRef idx="1">
                            <a:srgbClr val="000080"/>
                          </a:lnRef>
                          <a:fillRef idx="0">
                            <a:srgbClr val="000000">
                              <a:alpha val="0"/>
                            </a:srgbClr>
                          </a:fillRef>
                          <a:effectRef idx="0">
                            <a:scrgbClr r="0" g="0" b="0"/>
                          </a:effectRef>
                          <a:fontRef idx="none"/>
                        </wps:style>
                        <wps:bodyPr/>
                      </wps:wsp>
                      <pic:pic xmlns:pic="http://schemas.openxmlformats.org/drawingml/2006/picture">
                        <pic:nvPicPr>
                          <pic:cNvPr id="52" name="Picture 52"/>
                          <pic:cNvPicPr/>
                        </pic:nvPicPr>
                        <pic:blipFill>
                          <a:blip r:embed="rId9"/>
                          <a:stretch>
                            <a:fillRect/>
                          </a:stretch>
                        </pic:blipFill>
                        <pic:spPr>
                          <a:xfrm>
                            <a:off x="0" y="0"/>
                            <a:ext cx="7560945" cy="2566035"/>
                          </a:xfrm>
                          <a:prstGeom prst="rect">
                            <a:avLst/>
                          </a:prstGeom>
                        </pic:spPr>
                      </pic:pic>
                    </wpg:wgp>
                  </a:graphicData>
                </a:graphic>
              </wp:anchor>
            </w:drawing>
          </mc:Choice>
          <mc:Fallback xmlns:a="http://schemas.openxmlformats.org/drawingml/2006/main">
            <w:pict>
              <v:group id="Group 14129" style="width:595.35pt;height:202.05pt;position:absolute;mso-position-horizontal-relative:page;mso-position-horizontal:absolute;margin-left:0pt;mso-position-vertical-relative:page;margin-top:628.25pt;" coordsize="75609,25660">
                <v:rect id="Rectangle 8" style="position:absolute;width:8580;height:1323;left:63776;top:21661;" filled="f" stroked="f">
                  <v:textbox inset="0,0,0,0">
                    <w:txbxContent>
                      <w:p>
                        <w:pPr>
                          <w:spacing w:before="0" w:after="160" w:line="259" w:lineRule="auto"/>
                          <w:ind w:left="0" w:firstLine="0"/>
                          <w:jc w:val="left"/>
                        </w:pPr>
                        <w:r>
                          <w:rPr>
                            <w:color w:val="808080"/>
                            <w:sz w:val="16"/>
                          </w:rPr>
                          <w:t xml:space="preserve">Page 3 of 10</w:t>
                        </w:r>
                      </w:p>
                    </w:txbxContent>
                  </v:textbox>
                </v:rect>
                <v:rect id="Rectangle 9" style="position:absolute;width:478;height:1323;left:70225;top:21661;" filled="f" stroked="f">
                  <v:textbox inset="0,0,0,0">
                    <w:txbxContent>
                      <w:p>
                        <w:pPr>
                          <w:spacing w:before="0" w:after="160" w:line="259" w:lineRule="auto"/>
                          <w:ind w:left="0" w:firstLine="0"/>
                          <w:jc w:val="left"/>
                        </w:pPr>
                        <w:r>
                          <w:rPr>
                            <w:sz w:val="16"/>
                          </w:rPr>
                          <w:t xml:space="preserve"> </w:t>
                        </w:r>
                      </w:p>
                    </w:txbxContent>
                  </v:textbox>
                </v:rect>
                <v:shape id="Shape 50" style="position:absolute;width:59778;height:0;left:10623;top:21253;" coordsize="5977890,0" path="m0,0l5977890,0">
                  <v:stroke weight="0.48pt" endcap="flat" joinstyle="round" on="true" color="#000080"/>
                  <v:fill on="false" color="#000000" opacity="0"/>
                </v:shape>
                <v:shape id="Picture 52" style="position:absolute;width:75609;height:25660;left:0;top:0;" filled="f">
                  <v:imagedata r:id="rId10"/>
                </v:shape>
                <w10:wrap type="topAndBottom"/>
              </v:group>
            </w:pict>
          </mc:Fallback>
        </mc:AlternateContent>
      </w:r>
      <w:r>
        <w:rPr>
          <w:rFonts w:ascii="Times New Roman" w:eastAsia="Times New Roman" w:hAnsi="Times New Roman" w:cs="Times New Roman"/>
          <w:sz w:val="27"/>
        </w:rPr>
        <w:t xml:space="preserve"> </w:t>
      </w:r>
    </w:p>
    <w:p w:rsidR="004F1664" w:rsidRDefault="009F1B90">
      <w:pPr>
        <w:spacing w:after="0" w:line="259" w:lineRule="auto"/>
        <w:ind w:left="10" w:right="300"/>
        <w:jc w:val="right"/>
      </w:pPr>
      <w:r>
        <w:rPr>
          <w:b/>
          <w:color w:val="000080"/>
          <w:sz w:val="64"/>
        </w:rPr>
        <w:t xml:space="preserve">London Pensions Fund </w:t>
      </w:r>
    </w:p>
    <w:p w:rsidR="004F1664" w:rsidRDefault="009F1B90">
      <w:pPr>
        <w:spacing w:after="39" w:line="259" w:lineRule="auto"/>
        <w:ind w:left="10" w:right="300"/>
        <w:jc w:val="right"/>
      </w:pPr>
      <w:r>
        <w:rPr>
          <w:b/>
          <w:color w:val="000080"/>
          <w:sz w:val="64"/>
        </w:rPr>
        <w:t xml:space="preserve">Authority (LPFA) </w:t>
      </w:r>
    </w:p>
    <w:p w:rsidR="004F1664" w:rsidRDefault="009F1B90">
      <w:pPr>
        <w:spacing w:after="0" w:line="259" w:lineRule="auto"/>
        <w:ind w:left="10" w:right="300"/>
        <w:jc w:val="right"/>
      </w:pPr>
      <w:r>
        <w:rPr>
          <w:b/>
          <w:color w:val="000080"/>
          <w:sz w:val="64"/>
        </w:rPr>
        <w:t>Investment Strategy</w:t>
      </w:r>
      <w:r>
        <w:rPr>
          <w:b/>
          <w:sz w:val="64"/>
        </w:rPr>
        <w:t xml:space="preserve"> </w:t>
      </w:r>
    </w:p>
    <w:p w:rsidR="004F1664" w:rsidRDefault="009F1B90">
      <w:pPr>
        <w:spacing w:after="77" w:line="259" w:lineRule="auto"/>
        <w:ind w:left="10" w:right="300"/>
        <w:jc w:val="right"/>
      </w:pPr>
      <w:r>
        <w:rPr>
          <w:b/>
          <w:color w:val="000080"/>
          <w:sz w:val="64"/>
        </w:rPr>
        <w:t>Statement</w:t>
      </w:r>
      <w:r>
        <w:rPr>
          <w:b/>
          <w:sz w:val="64"/>
        </w:rPr>
        <w:t xml:space="preserve"> </w:t>
      </w:r>
    </w:p>
    <w:p w:rsidR="004F1664" w:rsidRDefault="009F1B90">
      <w:pPr>
        <w:spacing w:after="0" w:line="259" w:lineRule="auto"/>
        <w:ind w:left="0" w:firstLine="0"/>
        <w:jc w:val="left"/>
      </w:pPr>
      <w:r>
        <w:rPr>
          <w:b/>
          <w:sz w:val="78"/>
        </w:rPr>
        <w:t xml:space="preserve"> </w:t>
      </w:r>
    </w:p>
    <w:p w:rsidR="004F1664" w:rsidRDefault="009F1B90">
      <w:pPr>
        <w:spacing w:after="0" w:line="259" w:lineRule="auto"/>
        <w:ind w:left="0" w:right="311" w:firstLine="0"/>
        <w:jc w:val="right"/>
      </w:pPr>
      <w:r>
        <w:rPr>
          <w:b/>
          <w:color w:val="000080"/>
          <w:sz w:val="24"/>
        </w:rPr>
        <w:t>June 2018</w:t>
      </w:r>
      <w:r>
        <w:rPr>
          <w:b/>
          <w:sz w:val="24"/>
        </w:rPr>
        <w:t xml:space="preserve"> </w:t>
      </w:r>
    </w:p>
    <w:p w:rsidR="004F1664" w:rsidRDefault="009F1B90">
      <w:pPr>
        <w:spacing w:after="989" w:line="259" w:lineRule="auto"/>
        <w:ind w:left="632" w:firstLine="0"/>
        <w:jc w:val="left"/>
      </w:pPr>
      <w:r>
        <w:rPr>
          <w:color w:val="36447D"/>
        </w:rPr>
        <w:t>Investment Strategy Statement</w:t>
      </w:r>
      <w:r>
        <w:t xml:space="preserve"> </w:t>
      </w:r>
    </w:p>
    <w:p w:rsidR="004F1664" w:rsidRDefault="009F1B90">
      <w:pPr>
        <w:spacing w:after="0" w:line="259" w:lineRule="auto"/>
        <w:ind w:left="0" w:firstLine="0"/>
        <w:jc w:val="left"/>
      </w:pPr>
      <w:r>
        <w:rPr>
          <w:b/>
        </w:rPr>
        <w:lastRenderedPageBreak/>
        <w:t xml:space="preserve"> </w:t>
      </w:r>
    </w:p>
    <w:p w:rsidR="004F1664" w:rsidRDefault="009F1B90">
      <w:pPr>
        <w:spacing w:after="0" w:line="259" w:lineRule="auto"/>
        <w:ind w:left="0" w:firstLine="0"/>
        <w:jc w:val="left"/>
      </w:pPr>
      <w:r>
        <w:rPr>
          <w:b/>
        </w:rPr>
        <w:t xml:space="preserve"> </w:t>
      </w:r>
    </w:p>
    <w:p w:rsidR="004F1664" w:rsidRDefault="009F1B90">
      <w:pPr>
        <w:spacing w:after="0" w:line="259" w:lineRule="auto"/>
        <w:ind w:left="0" w:firstLine="0"/>
        <w:jc w:val="left"/>
      </w:pPr>
      <w:r>
        <w:rPr>
          <w:b/>
        </w:rPr>
        <w:t xml:space="preserve"> </w:t>
      </w:r>
    </w:p>
    <w:p w:rsidR="004F1664" w:rsidRDefault="009F1B90">
      <w:pPr>
        <w:spacing w:after="0" w:line="259" w:lineRule="auto"/>
        <w:ind w:left="0" w:firstLine="0"/>
        <w:jc w:val="left"/>
      </w:pPr>
      <w:r>
        <w:rPr>
          <w:b/>
        </w:rPr>
        <w:t xml:space="preserve"> </w:t>
      </w:r>
    </w:p>
    <w:p w:rsidR="004F1664" w:rsidRDefault="009F1B90">
      <w:pPr>
        <w:spacing w:after="0" w:line="259" w:lineRule="auto"/>
        <w:ind w:left="0" w:firstLine="0"/>
        <w:jc w:val="left"/>
      </w:pPr>
      <w:r>
        <w:rPr>
          <w:b/>
        </w:rPr>
        <w:t xml:space="preserve"> </w:t>
      </w:r>
    </w:p>
    <w:p w:rsidR="004F1664" w:rsidRDefault="009F1B90">
      <w:pPr>
        <w:spacing w:after="515" w:line="259" w:lineRule="auto"/>
        <w:ind w:left="0" w:firstLine="0"/>
        <w:jc w:val="left"/>
      </w:pPr>
      <w:r>
        <w:rPr>
          <w:b/>
          <w:sz w:val="17"/>
        </w:rPr>
        <w:t xml:space="preserve"> </w:t>
      </w:r>
    </w:p>
    <w:p w:rsidR="004F1664" w:rsidRDefault="009F1B90">
      <w:pPr>
        <w:pStyle w:val="Heading1"/>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1062355</wp:posOffset>
                </wp:positionH>
                <wp:positionV relativeFrom="page">
                  <wp:posOffset>361314</wp:posOffset>
                </wp:positionV>
                <wp:extent cx="5977255" cy="3048"/>
                <wp:effectExtent l="0" t="0" r="0" b="0"/>
                <wp:wrapTopAndBottom/>
                <wp:docPr id="14161" name="Group 14161"/>
                <wp:cNvGraphicFramePr/>
                <a:graphic xmlns:a="http://schemas.openxmlformats.org/drawingml/2006/main">
                  <a:graphicData uri="http://schemas.microsoft.com/office/word/2010/wordprocessingGroup">
                    <wpg:wgp>
                      <wpg:cNvGrpSpPr/>
                      <wpg:grpSpPr>
                        <a:xfrm>
                          <a:off x="0" y="0"/>
                          <a:ext cx="5977255" cy="3048"/>
                          <a:chOff x="0" y="0"/>
                          <a:chExt cx="5977255" cy="3048"/>
                        </a:xfrm>
                      </wpg:grpSpPr>
                      <wps:wsp>
                        <wps:cNvPr id="152" name="Shape 152"/>
                        <wps:cNvSpPr/>
                        <wps:spPr>
                          <a:xfrm>
                            <a:off x="0" y="0"/>
                            <a:ext cx="5977255" cy="0"/>
                          </a:xfrm>
                          <a:custGeom>
                            <a:avLst/>
                            <a:gdLst/>
                            <a:ahLst/>
                            <a:cxnLst/>
                            <a:rect l="0" t="0" r="0" b="0"/>
                            <a:pathLst>
                              <a:path w="5977255">
                                <a:moveTo>
                                  <a:pt x="0" y="0"/>
                                </a:moveTo>
                                <a:lnTo>
                                  <a:pt x="5977255" y="0"/>
                                </a:lnTo>
                              </a:path>
                            </a:pathLst>
                          </a:custGeom>
                          <a:ln w="3048" cap="flat">
                            <a:round/>
                          </a:ln>
                        </wps:spPr>
                        <wps:style>
                          <a:lnRef idx="1">
                            <a:srgbClr val="000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61" style="width:470.65pt;height:0.24pt;position:absolute;mso-position-horizontal-relative:page;mso-position-horizontal:absolute;margin-left:83.65pt;mso-position-vertical-relative:page;margin-top:28.45pt;" coordsize="59772,30">
                <v:shape id="Shape 152" style="position:absolute;width:59772;height:0;left:0;top:0;" coordsize="5977255,0" path="m0,0l5977255,0">
                  <v:stroke weight="0.24pt" endcap="flat" joinstyle="round" on="true" color="#000080"/>
                  <v:fill on="false" color="#000000" opacity="0"/>
                </v:shape>
                <w10:wrap type="topAndBottom"/>
              </v:group>
            </w:pict>
          </mc:Fallback>
        </mc:AlternateContent>
      </w:r>
      <w:r>
        <w:t>Contents</w:t>
      </w:r>
      <w:r>
        <w:rPr>
          <w:color w:val="000000"/>
        </w:rPr>
        <w:t xml:space="preserve"> </w:t>
      </w:r>
    </w:p>
    <w:p w:rsidR="004F1664" w:rsidRDefault="009F1B90">
      <w:pPr>
        <w:numPr>
          <w:ilvl w:val="0"/>
          <w:numId w:val="1"/>
        </w:numPr>
        <w:ind w:hanging="720"/>
      </w:pPr>
      <w:r>
        <w:t xml:space="preserve">Introduction </w:t>
      </w:r>
    </w:p>
    <w:p w:rsidR="004F1664" w:rsidRDefault="009F1B90">
      <w:pPr>
        <w:numPr>
          <w:ilvl w:val="0"/>
          <w:numId w:val="1"/>
        </w:numPr>
        <w:ind w:hanging="720"/>
      </w:pPr>
      <w:r>
        <w:t xml:space="preserve">Investment Objectives </w:t>
      </w:r>
    </w:p>
    <w:p w:rsidR="004F1664" w:rsidRDefault="009F1B90">
      <w:pPr>
        <w:numPr>
          <w:ilvl w:val="0"/>
          <w:numId w:val="1"/>
        </w:numPr>
        <w:ind w:hanging="720"/>
      </w:pPr>
      <w:r>
        <w:t xml:space="preserve">Asset Allocation </w:t>
      </w:r>
      <w:r>
        <w:t xml:space="preserve">Framework </w:t>
      </w:r>
    </w:p>
    <w:p w:rsidR="004F1664" w:rsidRDefault="009F1B90">
      <w:pPr>
        <w:numPr>
          <w:ilvl w:val="0"/>
          <w:numId w:val="1"/>
        </w:numPr>
        <w:spacing w:after="27"/>
        <w:ind w:hanging="720"/>
      </w:pPr>
      <w:r>
        <w:t xml:space="preserve">Investment Governance </w:t>
      </w:r>
    </w:p>
    <w:p w:rsidR="004F1664" w:rsidRDefault="009F1B90">
      <w:pPr>
        <w:numPr>
          <w:ilvl w:val="0"/>
          <w:numId w:val="1"/>
        </w:numPr>
        <w:ind w:hanging="720"/>
      </w:pPr>
      <w:r>
        <w:t xml:space="preserve">Investment Implementation </w:t>
      </w:r>
    </w:p>
    <w:p w:rsidR="004F1664" w:rsidRDefault="009F1B90">
      <w:pPr>
        <w:numPr>
          <w:ilvl w:val="0"/>
          <w:numId w:val="1"/>
        </w:numPr>
        <w:spacing w:after="30"/>
        <w:ind w:hanging="720"/>
      </w:pPr>
      <w:r>
        <w:t xml:space="preserve">Pooling of Assets </w:t>
      </w:r>
    </w:p>
    <w:p w:rsidR="004F1664" w:rsidRDefault="009F1B90">
      <w:pPr>
        <w:numPr>
          <w:ilvl w:val="0"/>
          <w:numId w:val="1"/>
        </w:numPr>
        <w:ind w:hanging="720"/>
      </w:pPr>
      <w:r>
        <w:t xml:space="preserve">November 2015 investment reform and criteria guidance on pooling </w:t>
      </w:r>
    </w:p>
    <w:p w:rsidR="004F1664" w:rsidRDefault="009F1B90">
      <w:pPr>
        <w:numPr>
          <w:ilvl w:val="0"/>
          <w:numId w:val="1"/>
        </w:numPr>
        <w:ind w:hanging="720"/>
      </w:pPr>
      <w:r>
        <w:t xml:space="preserve">Risk Management </w:t>
      </w:r>
    </w:p>
    <w:p w:rsidR="004F1664" w:rsidRDefault="009F1B90">
      <w:pPr>
        <w:numPr>
          <w:ilvl w:val="0"/>
          <w:numId w:val="1"/>
        </w:numPr>
        <w:spacing w:after="30"/>
        <w:ind w:hanging="720"/>
      </w:pPr>
      <w:r>
        <w:t xml:space="preserve">Performance Measurement </w:t>
      </w:r>
    </w:p>
    <w:p w:rsidR="004F1664" w:rsidRDefault="009F1B90">
      <w:pPr>
        <w:numPr>
          <w:ilvl w:val="0"/>
          <w:numId w:val="1"/>
        </w:numPr>
        <w:ind w:hanging="720"/>
      </w:pPr>
      <w:r>
        <w:t xml:space="preserve">Environmental social and corporate governance (ESG) policy, and approach to social investments </w:t>
      </w:r>
    </w:p>
    <w:p w:rsidR="004F1664" w:rsidRDefault="009F1B90">
      <w:pPr>
        <w:numPr>
          <w:ilvl w:val="0"/>
          <w:numId w:val="1"/>
        </w:numPr>
        <w:ind w:hanging="720"/>
      </w:pPr>
      <w:r>
        <w:t xml:space="preserve">Exercising the Rights of Ownership </w:t>
      </w:r>
    </w:p>
    <w:p w:rsidR="004F1664" w:rsidRDefault="009F1B90">
      <w:pPr>
        <w:numPr>
          <w:ilvl w:val="0"/>
          <w:numId w:val="1"/>
        </w:numPr>
        <w:ind w:hanging="720"/>
      </w:pPr>
      <w:r>
        <w:t xml:space="preserve">Voting </w:t>
      </w:r>
    </w:p>
    <w:p w:rsidR="004F1664" w:rsidRDefault="009F1B90">
      <w:pPr>
        <w:numPr>
          <w:ilvl w:val="0"/>
          <w:numId w:val="1"/>
        </w:numPr>
        <w:ind w:hanging="720"/>
      </w:pPr>
      <w:r>
        <w:t xml:space="preserve">Engagement </w:t>
      </w:r>
    </w:p>
    <w:p w:rsidR="004F1664" w:rsidRDefault="009F1B90">
      <w:pPr>
        <w:spacing w:after="0" w:line="259" w:lineRule="auto"/>
        <w:ind w:left="0" w:firstLine="0"/>
        <w:jc w:val="left"/>
      </w:pPr>
      <w:r>
        <w:t xml:space="preserve"> </w:t>
      </w:r>
      <w:r>
        <w:tab/>
        <w:t xml:space="preserve"> </w:t>
      </w:r>
      <w:r>
        <w:br w:type="page"/>
      </w:r>
    </w:p>
    <w:p w:rsidR="004F1664" w:rsidRDefault="009F1B90">
      <w:pPr>
        <w:spacing w:after="139" w:line="259" w:lineRule="auto"/>
        <w:ind w:left="0" w:firstLine="0"/>
        <w:jc w:val="left"/>
      </w:pPr>
      <w:r>
        <w:rPr>
          <w:sz w:val="17"/>
        </w:rPr>
        <w:lastRenderedPageBreak/>
        <w:t xml:space="preserve"> </w:t>
      </w:r>
    </w:p>
    <w:p w:rsidR="004F1664" w:rsidRDefault="009F1B90">
      <w:pPr>
        <w:tabs>
          <w:tab w:val="center" w:pos="1581"/>
        </w:tabs>
        <w:spacing w:after="0" w:line="259" w:lineRule="auto"/>
        <w:ind w:left="0" w:firstLine="0"/>
        <w:jc w:val="left"/>
      </w:pPr>
      <w:r>
        <w:rPr>
          <w:b/>
          <w:color w:val="17365D"/>
        </w:rPr>
        <w:t>1.</w:t>
      </w:r>
      <w:r>
        <w:rPr>
          <w:rFonts w:ascii="Arial" w:eastAsia="Arial" w:hAnsi="Arial" w:cs="Arial"/>
          <w:b/>
          <w:color w:val="17365D"/>
        </w:rPr>
        <w:t xml:space="preserve"> </w:t>
      </w:r>
      <w:r>
        <w:rPr>
          <w:rFonts w:ascii="Arial" w:eastAsia="Arial" w:hAnsi="Arial" w:cs="Arial"/>
          <w:b/>
          <w:color w:val="17365D"/>
        </w:rPr>
        <w:tab/>
      </w:r>
      <w:r>
        <w:rPr>
          <w:b/>
          <w:color w:val="17365D"/>
        </w:rPr>
        <w:t xml:space="preserve">INTRODUCTION </w:t>
      </w:r>
    </w:p>
    <w:p w:rsidR="004F1664" w:rsidRDefault="009F1B90">
      <w:pPr>
        <w:spacing w:after="0" w:line="259" w:lineRule="auto"/>
        <w:ind w:left="0" w:firstLine="0"/>
        <w:jc w:val="left"/>
      </w:pPr>
      <w:r>
        <w:rPr>
          <w:b/>
          <w:sz w:val="19"/>
        </w:rPr>
        <w:t xml:space="preserve"> </w:t>
      </w:r>
    </w:p>
    <w:p w:rsidR="004F1664" w:rsidRDefault="009F1B90">
      <w:pPr>
        <w:spacing w:after="0" w:line="259" w:lineRule="auto"/>
        <w:ind w:left="682" w:firstLine="0"/>
        <w:jc w:val="left"/>
      </w:pPr>
      <w:r>
        <w:t xml:space="preserve">The Board (“the Board”) of the London Pensions Fund Authority (“the Fund”) has prepared this </w:t>
      </w:r>
    </w:p>
    <w:p w:rsidR="004F1664" w:rsidRDefault="009F1B90">
      <w:pPr>
        <w:ind w:left="677"/>
      </w:pPr>
      <w:r>
        <w:t xml:space="preserve">Investment Strategy Statement (“the Statement”) in accordance with the </w:t>
      </w:r>
      <w:r>
        <w:t>Guidance on Preparing and Maintaining an Investment Strategy Statement and after taking app</w:t>
      </w:r>
      <w:r>
        <w:t xml:space="preserve">ropriate advice.  </w:t>
      </w:r>
    </w:p>
    <w:p w:rsidR="004F1664" w:rsidRDefault="009F1B90">
      <w:pPr>
        <w:spacing w:after="0" w:line="259" w:lineRule="auto"/>
        <w:ind w:left="682" w:firstLine="0"/>
        <w:jc w:val="left"/>
      </w:pPr>
      <w:r>
        <w:t xml:space="preserve"> </w:t>
      </w:r>
    </w:p>
    <w:p w:rsidR="004F1664" w:rsidRDefault="009F1B90">
      <w:pPr>
        <w:ind w:left="677"/>
      </w:pPr>
      <w:r>
        <w:t>As set out in the Regulations, the Board will review this Statement from time to time, but at least every three years, and revise it as necessary. Also, in the event of a significant change in relation to any matter contained in this S</w:t>
      </w:r>
      <w:r>
        <w:t xml:space="preserve">tatement, changes will be reflected within six months of the change occurring.  </w:t>
      </w:r>
    </w:p>
    <w:p w:rsidR="004F1664" w:rsidRDefault="009F1B90">
      <w:pPr>
        <w:spacing w:after="0" w:line="259" w:lineRule="auto"/>
        <w:ind w:left="682" w:firstLine="0"/>
        <w:jc w:val="left"/>
      </w:pPr>
      <w:r>
        <w:t xml:space="preserve"> </w:t>
      </w:r>
    </w:p>
    <w:p w:rsidR="004F1664" w:rsidRDefault="009F1B90">
      <w:pPr>
        <w:ind w:left="677"/>
      </w:pPr>
      <w:r>
        <w:t xml:space="preserve">The Regulations require all Administering Authorities to take “proper advice” when formulating </w:t>
      </w:r>
      <w:r>
        <w:t xml:space="preserve">an investment strategy. In preparing this document and the overall investment </w:t>
      </w:r>
      <w:r>
        <w:t xml:space="preserve">strategy the Board has taken advice from Local Pension Partnership Investment Limited which is an FCA regulated investment manager with specific expertise and regulatory permissions to provide advice on investments.  </w:t>
      </w:r>
    </w:p>
    <w:p w:rsidR="004F1664" w:rsidRDefault="009F1B90">
      <w:pPr>
        <w:spacing w:after="11" w:line="259" w:lineRule="auto"/>
        <w:ind w:left="0" w:firstLine="0"/>
        <w:jc w:val="left"/>
      </w:pPr>
      <w:r>
        <w:t xml:space="preserve"> </w:t>
      </w:r>
    </w:p>
    <w:p w:rsidR="004F1664" w:rsidRDefault="009F1B90">
      <w:pPr>
        <w:pStyle w:val="Heading2"/>
        <w:tabs>
          <w:tab w:val="center" w:pos="2148"/>
        </w:tabs>
        <w:ind w:left="0" w:firstLine="0"/>
      </w:pPr>
      <w:r>
        <w:t>2.</w:t>
      </w:r>
      <w:r>
        <w:rPr>
          <w:rFonts w:ascii="Arial" w:eastAsia="Arial" w:hAnsi="Arial" w:cs="Arial"/>
        </w:rPr>
        <w:t xml:space="preserve"> </w:t>
      </w:r>
      <w:r>
        <w:rPr>
          <w:rFonts w:ascii="Arial" w:eastAsia="Arial" w:hAnsi="Arial" w:cs="Arial"/>
        </w:rPr>
        <w:tab/>
      </w:r>
      <w:r>
        <w:t xml:space="preserve">INVESTMENT OBJECTIVES </w:t>
      </w:r>
    </w:p>
    <w:p w:rsidR="004F1664" w:rsidRDefault="009F1B90">
      <w:pPr>
        <w:spacing w:after="0" w:line="259" w:lineRule="auto"/>
        <w:ind w:left="0" w:firstLine="0"/>
        <w:jc w:val="left"/>
      </w:pPr>
      <w:r>
        <w:rPr>
          <w:b/>
          <w:sz w:val="19"/>
        </w:rPr>
        <w:t xml:space="preserve"> </w:t>
      </w:r>
    </w:p>
    <w:p w:rsidR="004F1664" w:rsidRDefault="009F1B90">
      <w:pPr>
        <w:ind w:left="677"/>
      </w:pPr>
      <w:r>
        <w:t xml:space="preserve">The </w:t>
      </w:r>
      <w:r>
        <w:t xml:space="preserve">Fund’s </w:t>
      </w:r>
      <w:r>
        <w:t xml:space="preserve">primary investment objective is to ensure that over the long term the Fund will have sufficient assets to meet all pension liabilities as they fall due.  </w:t>
      </w:r>
    </w:p>
    <w:p w:rsidR="004F1664" w:rsidRDefault="009F1B90">
      <w:pPr>
        <w:spacing w:after="0" w:line="259" w:lineRule="auto"/>
        <w:ind w:left="682" w:firstLine="0"/>
        <w:jc w:val="left"/>
      </w:pPr>
      <w:r>
        <w:t xml:space="preserve"> </w:t>
      </w:r>
    </w:p>
    <w:p w:rsidR="004F1664" w:rsidRDefault="009F1B90">
      <w:pPr>
        <w:ind w:left="677"/>
      </w:pPr>
      <w:r>
        <w:t>In order to meet this overriding objective the Board maintains an investment policy so as to</w:t>
      </w:r>
      <w:r>
        <w:t xml:space="preserve">:  </w:t>
      </w:r>
    </w:p>
    <w:p w:rsidR="004F1664" w:rsidRDefault="009F1B90">
      <w:pPr>
        <w:spacing w:after="9" w:line="259" w:lineRule="auto"/>
        <w:ind w:left="682" w:firstLine="0"/>
        <w:jc w:val="left"/>
      </w:pPr>
      <w:r>
        <w:t xml:space="preserve"> </w:t>
      </w:r>
    </w:p>
    <w:p w:rsidR="004F1664" w:rsidRDefault="009F1B90">
      <w:pPr>
        <w:numPr>
          <w:ilvl w:val="0"/>
          <w:numId w:val="2"/>
        </w:numPr>
        <w:ind w:hanging="360"/>
      </w:pPr>
      <w:r>
        <w:t xml:space="preserve">Maximise the returns from investments whilst keeping risk within acceptable levels and ensuring liquidity requirements are at all times met;  </w:t>
      </w:r>
    </w:p>
    <w:p w:rsidR="004F1664" w:rsidRDefault="009F1B90">
      <w:pPr>
        <w:numPr>
          <w:ilvl w:val="0"/>
          <w:numId w:val="2"/>
        </w:numPr>
        <w:ind w:hanging="360"/>
      </w:pPr>
      <w:r>
        <w:t xml:space="preserve">Contribute towards achieving and maintaining a sustainable future funding level;  </w:t>
      </w:r>
    </w:p>
    <w:p w:rsidR="004F1664" w:rsidRDefault="009F1B90">
      <w:pPr>
        <w:numPr>
          <w:ilvl w:val="0"/>
          <w:numId w:val="2"/>
        </w:numPr>
        <w:ind w:hanging="360"/>
      </w:pPr>
      <w:r>
        <w:t>Enable employer contribu</w:t>
      </w:r>
      <w:r>
        <w:t xml:space="preserve">tion rates to be kept as stable as possible.  </w:t>
      </w:r>
    </w:p>
    <w:p w:rsidR="004F1664" w:rsidRDefault="009F1B90">
      <w:pPr>
        <w:spacing w:after="0" w:line="259" w:lineRule="auto"/>
        <w:ind w:left="682" w:firstLine="0"/>
        <w:jc w:val="left"/>
      </w:pPr>
      <w:r>
        <w:t xml:space="preserve"> </w:t>
      </w:r>
    </w:p>
    <w:p w:rsidR="004F1664" w:rsidRDefault="009F1B90">
      <w:pPr>
        <w:ind w:left="677"/>
      </w:pPr>
      <w:r>
        <w:t xml:space="preserve">The Fund will use its influence as a large institutional investor to encourage responsible longterm behaviour. </w:t>
      </w:r>
    </w:p>
    <w:p w:rsidR="004F1664" w:rsidRDefault="009F1B90">
      <w:pPr>
        <w:spacing w:after="8" w:line="259" w:lineRule="auto"/>
        <w:ind w:left="0" w:firstLine="0"/>
        <w:jc w:val="left"/>
      </w:pPr>
      <w:r>
        <w:t xml:space="preserve"> </w:t>
      </w:r>
    </w:p>
    <w:p w:rsidR="004F1664" w:rsidRDefault="009F1B90">
      <w:pPr>
        <w:pStyle w:val="Heading2"/>
        <w:tabs>
          <w:tab w:val="center" w:pos="2574"/>
        </w:tabs>
        <w:ind w:left="0" w:firstLine="0"/>
      </w:pPr>
      <w:r>
        <w:t>3.</w:t>
      </w:r>
      <w:r>
        <w:rPr>
          <w:rFonts w:ascii="Arial" w:eastAsia="Arial" w:hAnsi="Arial" w:cs="Arial"/>
        </w:rPr>
        <w:t xml:space="preserve"> </w:t>
      </w:r>
      <w:r>
        <w:rPr>
          <w:rFonts w:ascii="Arial" w:eastAsia="Arial" w:hAnsi="Arial" w:cs="Arial"/>
        </w:rPr>
        <w:tab/>
      </w:r>
      <w:r>
        <w:t xml:space="preserve">ASSET ALLOCATION FRAMEWORK </w:t>
      </w:r>
    </w:p>
    <w:p w:rsidR="004F1664" w:rsidRDefault="009F1B90">
      <w:pPr>
        <w:spacing w:after="0" w:line="259" w:lineRule="auto"/>
        <w:ind w:left="0" w:firstLine="0"/>
        <w:jc w:val="left"/>
      </w:pPr>
      <w:r>
        <w:rPr>
          <w:b/>
        </w:rPr>
        <w:t xml:space="preserve"> </w:t>
      </w:r>
    </w:p>
    <w:p w:rsidR="004F1664" w:rsidRDefault="009F1B90">
      <w:pPr>
        <w:ind w:left="677"/>
      </w:pPr>
      <w:r>
        <w:t>To pay benefits over time the Fund needs to generate a rate of return that is at least equal to the actuarial discount rate. The starting point for considering asset allocation is a simple portfolio of bonds and equities. However, this basic portfolio does</w:t>
      </w:r>
      <w:r>
        <w:t xml:space="preserve"> not maximise diversification and therefore risk adjusted return. </w:t>
      </w:r>
    </w:p>
    <w:p w:rsidR="004F1664" w:rsidRDefault="009F1B90">
      <w:pPr>
        <w:spacing w:after="0" w:line="259" w:lineRule="auto"/>
        <w:ind w:left="682" w:firstLine="0"/>
        <w:jc w:val="left"/>
      </w:pPr>
      <w:r>
        <w:t xml:space="preserve"> </w:t>
      </w:r>
    </w:p>
    <w:p w:rsidR="004F1664" w:rsidRDefault="009F1B90">
      <w:pPr>
        <w:ind w:left="677"/>
      </w:pPr>
      <w:r>
        <w:t>In order to prudently diversify sources of risk and return, the Fund allocates capital across a wide variety of different asset classes. To be added to the portfolio, asset classes are fi</w:t>
      </w:r>
      <w:r>
        <w:t xml:space="preserve">rst judged for </w:t>
      </w:r>
      <w:r>
        <w:rPr>
          <w:b/>
        </w:rPr>
        <w:t>suitability</w:t>
      </w:r>
      <w:r>
        <w:t xml:space="preserve">; they have to be well understood by the Board, consistent with the </w:t>
      </w:r>
      <w:r>
        <w:t xml:space="preserve">Fund’s </w:t>
      </w:r>
      <w:r>
        <w:t>risk and return objectives; and they have to make a significant contribution to the portfolio by improving overall return and risk characteristics. In addi</w:t>
      </w:r>
      <w:r>
        <w:t xml:space="preserve">tion, the new asset classes have to be less than perfectly correlated with equities and bonds, so that the portfolio benefits from increased </w:t>
      </w:r>
      <w:r>
        <w:rPr>
          <w:b/>
        </w:rPr>
        <w:t>diversification</w:t>
      </w:r>
      <w:r>
        <w:t xml:space="preserve">. The scheme has identified a total of eight asset classes that combined form the </w:t>
      </w:r>
      <w:r>
        <w:rPr>
          <w:b/>
        </w:rPr>
        <w:t>policy portfolio</w:t>
      </w:r>
      <w:r>
        <w:t xml:space="preserve">. </w:t>
      </w:r>
    </w:p>
    <w:p w:rsidR="004F1664" w:rsidRDefault="009F1B90">
      <w:pPr>
        <w:spacing w:after="0" w:line="259" w:lineRule="auto"/>
        <w:ind w:left="682" w:firstLine="0"/>
        <w:jc w:val="left"/>
      </w:pPr>
      <w:r>
        <w:t xml:space="preserve"> </w:t>
      </w:r>
    </w:p>
    <w:p w:rsidR="004F1664" w:rsidRDefault="009F1B90">
      <w:pPr>
        <w:spacing w:after="0" w:line="259" w:lineRule="auto"/>
        <w:ind w:left="682" w:firstLine="0"/>
        <w:jc w:val="left"/>
      </w:pPr>
      <w:r>
        <w:t xml:space="preserve"> </w:t>
      </w:r>
      <w:r>
        <w:tab/>
        <w:t xml:space="preserve"> </w:t>
      </w:r>
    </w:p>
    <w:p w:rsidR="004F1664" w:rsidRDefault="004F1664">
      <w:pPr>
        <w:sectPr w:rsidR="004F1664">
          <w:headerReference w:type="even" r:id="rId11"/>
          <w:headerReference w:type="default" r:id="rId12"/>
          <w:headerReference w:type="first" r:id="rId13"/>
          <w:pgSz w:w="11911" w:h="16841"/>
          <w:pgMar w:top="700" w:right="534" w:bottom="2481" w:left="1020" w:header="720" w:footer="720" w:gutter="0"/>
          <w:cols w:space="720"/>
          <w:titlePg/>
        </w:sectPr>
      </w:pPr>
    </w:p>
    <w:p w:rsidR="004F1664" w:rsidRDefault="009F1B90">
      <w:pPr>
        <w:spacing w:after="0" w:line="259" w:lineRule="auto"/>
        <w:ind w:left="1364" w:firstLine="0"/>
        <w:jc w:val="left"/>
      </w:pPr>
      <w:r>
        <w:t xml:space="preserve"> </w:t>
      </w:r>
    </w:p>
    <w:p w:rsidR="004F1664" w:rsidRDefault="009F1B90">
      <w:pPr>
        <w:ind w:left="677"/>
      </w:pPr>
      <w:r>
        <w:t>The eight asset classes shown below have different exposures to economic factors (GDP growth and inflation), and combine different geographies, and currencies. In assessing suitability the Board has considered the respective return drivers, exposure to eco</w:t>
      </w:r>
      <w:r>
        <w:t xml:space="preserve">nomic growth and sensitivity to inflation </w:t>
      </w:r>
      <w:r>
        <w:t>–</w:t>
      </w:r>
      <w:r>
        <w:t xml:space="preserve"> each an important consideration, relative to the </w:t>
      </w:r>
      <w:r>
        <w:t>sensitivities of the Fund’s liabilities and managing risk.</w:t>
      </w:r>
      <w:r>
        <w:t xml:space="preserve"> </w:t>
      </w:r>
    </w:p>
    <w:p w:rsidR="004F1664" w:rsidRDefault="009F1B90">
      <w:pPr>
        <w:spacing w:after="0" w:line="259" w:lineRule="auto"/>
        <w:ind w:left="720" w:firstLine="0"/>
        <w:jc w:val="left"/>
      </w:pPr>
      <w:r>
        <w:t xml:space="preserve"> </w:t>
      </w:r>
    </w:p>
    <w:tbl>
      <w:tblPr>
        <w:tblStyle w:val="TableGrid"/>
        <w:tblW w:w="8704" w:type="dxa"/>
        <w:tblInd w:w="824" w:type="dxa"/>
        <w:tblCellMar>
          <w:top w:w="78" w:type="dxa"/>
          <w:left w:w="0" w:type="dxa"/>
          <w:bottom w:w="0" w:type="dxa"/>
          <w:right w:w="0" w:type="dxa"/>
        </w:tblCellMar>
        <w:tblLook w:val="04A0" w:firstRow="1" w:lastRow="0" w:firstColumn="1" w:lastColumn="0" w:noHBand="0" w:noVBand="1"/>
      </w:tblPr>
      <w:tblGrid>
        <w:gridCol w:w="1344"/>
        <w:gridCol w:w="2271"/>
        <w:gridCol w:w="1270"/>
        <w:gridCol w:w="1274"/>
        <w:gridCol w:w="1275"/>
        <w:gridCol w:w="1270"/>
      </w:tblGrid>
      <w:tr w:rsidR="004F1664">
        <w:trPr>
          <w:trHeight w:val="542"/>
        </w:trPr>
        <w:tc>
          <w:tcPr>
            <w:tcW w:w="134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36" w:firstLine="0"/>
            </w:pPr>
            <w:r>
              <w:rPr>
                <w:b/>
              </w:rPr>
              <w:t xml:space="preserve">Asset Class </w:t>
            </w:r>
          </w:p>
        </w:tc>
        <w:tc>
          <w:tcPr>
            <w:tcW w:w="2271" w:type="dxa"/>
            <w:tcBorders>
              <w:top w:val="single" w:sz="4" w:space="0" w:color="000000"/>
              <w:left w:val="single" w:sz="4" w:space="0" w:color="000000"/>
              <w:bottom w:val="single" w:sz="4" w:space="0" w:color="000000"/>
              <w:right w:val="single" w:sz="4" w:space="0" w:color="000000"/>
            </w:tcBorders>
          </w:tcPr>
          <w:p w:rsidR="004F1664" w:rsidRDefault="009F1B90">
            <w:pPr>
              <w:spacing w:after="0" w:line="259" w:lineRule="auto"/>
              <w:ind w:left="0" w:firstLine="0"/>
              <w:jc w:val="center"/>
            </w:pPr>
            <w:r>
              <w:rPr>
                <w:b/>
              </w:rPr>
              <w:t xml:space="preserve">Long-Term Return Drivers </w:t>
            </w:r>
          </w:p>
        </w:tc>
        <w:tc>
          <w:tcPr>
            <w:tcW w:w="1270" w:type="dxa"/>
            <w:tcBorders>
              <w:top w:val="single" w:sz="4" w:space="0" w:color="000000"/>
              <w:left w:val="single" w:sz="4" w:space="0" w:color="000000"/>
              <w:bottom w:val="single" w:sz="4" w:space="0" w:color="000000"/>
              <w:right w:val="single" w:sz="4" w:space="0" w:color="000000"/>
            </w:tcBorders>
          </w:tcPr>
          <w:p w:rsidR="004F1664" w:rsidRDefault="009F1B90">
            <w:pPr>
              <w:spacing w:after="0" w:line="259" w:lineRule="auto"/>
              <w:ind w:left="0" w:firstLine="0"/>
              <w:jc w:val="center"/>
            </w:pPr>
            <w:r>
              <w:rPr>
                <w:b/>
              </w:rPr>
              <w:t xml:space="preserve">Economic Growth * </w:t>
            </w:r>
          </w:p>
        </w:tc>
        <w:tc>
          <w:tcPr>
            <w:tcW w:w="127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43" w:firstLine="0"/>
            </w:pPr>
            <w:r>
              <w:rPr>
                <w:b/>
              </w:rPr>
              <w:t xml:space="preserve">Inflation * </w:t>
            </w:r>
          </w:p>
        </w:tc>
        <w:tc>
          <w:tcPr>
            <w:tcW w:w="1275"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26" w:firstLine="0"/>
            </w:pPr>
            <w:r>
              <w:rPr>
                <w:b/>
              </w:rPr>
              <w:t>Geography</w:t>
            </w:r>
          </w:p>
        </w:tc>
        <w:tc>
          <w:tcPr>
            <w:tcW w:w="1270"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31" w:firstLine="0"/>
            </w:pPr>
            <w:r>
              <w:rPr>
                <w:b/>
              </w:rPr>
              <w:t xml:space="preserve"> Currency </w:t>
            </w:r>
          </w:p>
        </w:tc>
      </w:tr>
      <w:tr w:rsidR="004F1664">
        <w:trPr>
          <w:trHeight w:val="799"/>
        </w:trPr>
        <w:tc>
          <w:tcPr>
            <w:tcW w:w="134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5" w:firstLine="0"/>
              <w:jc w:val="left"/>
            </w:pPr>
            <w:r>
              <w:rPr>
                <w:sz w:val="16"/>
              </w:rPr>
              <w:t xml:space="preserve">Global Equity </w:t>
            </w:r>
          </w:p>
        </w:tc>
        <w:tc>
          <w:tcPr>
            <w:tcW w:w="2271" w:type="dxa"/>
            <w:tcBorders>
              <w:top w:val="single" w:sz="4" w:space="0" w:color="000000"/>
              <w:left w:val="single" w:sz="4" w:space="0" w:color="000000"/>
              <w:bottom w:val="single" w:sz="4" w:space="0" w:color="000000"/>
              <w:right w:val="single" w:sz="4" w:space="0" w:color="000000"/>
            </w:tcBorders>
            <w:vAlign w:val="center"/>
          </w:tcPr>
          <w:p w:rsidR="004F1664" w:rsidRDefault="009F1B90">
            <w:pPr>
              <w:numPr>
                <w:ilvl w:val="0"/>
                <w:numId w:val="5"/>
              </w:numPr>
              <w:spacing w:after="0" w:line="259" w:lineRule="auto"/>
              <w:ind w:left="135" w:hanging="130"/>
              <w:jc w:val="left"/>
            </w:pPr>
            <w:r>
              <w:rPr>
                <w:sz w:val="16"/>
              </w:rPr>
              <w:t xml:space="preserve">Dividend Income </w:t>
            </w:r>
          </w:p>
          <w:p w:rsidR="004F1664" w:rsidRDefault="009F1B90">
            <w:pPr>
              <w:numPr>
                <w:ilvl w:val="0"/>
                <w:numId w:val="5"/>
              </w:numPr>
              <w:spacing w:after="0" w:line="259" w:lineRule="auto"/>
              <w:ind w:left="135" w:hanging="130"/>
              <w:jc w:val="left"/>
            </w:pPr>
            <w:r>
              <w:rPr>
                <w:sz w:val="16"/>
              </w:rPr>
              <w:t xml:space="preserve">EPS Growth </w:t>
            </w:r>
          </w:p>
          <w:p w:rsidR="004F1664" w:rsidRDefault="009F1B90">
            <w:pPr>
              <w:numPr>
                <w:ilvl w:val="0"/>
                <w:numId w:val="5"/>
              </w:numPr>
              <w:spacing w:after="0" w:line="259" w:lineRule="auto"/>
              <w:ind w:left="135" w:hanging="130"/>
              <w:jc w:val="left"/>
            </w:pPr>
            <w:r>
              <w:rPr>
                <w:sz w:val="16"/>
              </w:rPr>
              <w:t xml:space="preserve">Change in PE </w:t>
            </w:r>
          </w:p>
        </w:tc>
        <w:tc>
          <w:tcPr>
            <w:tcW w:w="1270"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firstLine="0"/>
              <w:jc w:val="center"/>
            </w:pPr>
            <w:r>
              <w:rPr>
                <w:sz w:val="16"/>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1" w:firstLine="0"/>
              <w:jc w:val="center"/>
            </w:pPr>
            <w:r>
              <w:rPr>
                <w:sz w:val="16"/>
              </w:rPr>
              <w:t xml:space="preserve">+/ - ** </w:t>
            </w:r>
          </w:p>
        </w:tc>
        <w:tc>
          <w:tcPr>
            <w:tcW w:w="1275"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right="4" w:firstLine="0"/>
              <w:jc w:val="center"/>
            </w:pPr>
            <w:r>
              <w:rPr>
                <w:sz w:val="16"/>
              </w:rPr>
              <w:t xml:space="preserve">Diversified </w:t>
            </w:r>
          </w:p>
        </w:tc>
        <w:tc>
          <w:tcPr>
            <w:tcW w:w="1270"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1" w:firstLine="0"/>
              <w:jc w:val="center"/>
            </w:pPr>
            <w:r>
              <w:rPr>
                <w:sz w:val="16"/>
              </w:rPr>
              <w:t xml:space="preserve">Diversified </w:t>
            </w:r>
          </w:p>
        </w:tc>
      </w:tr>
      <w:tr w:rsidR="004F1664">
        <w:trPr>
          <w:trHeight w:val="800"/>
        </w:trPr>
        <w:tc>
          <w:tcPr>
            <w:tcW w:w="134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5" w:firstLine="0"/>
              <w:jc w:val="left"/>
            </w:pPr>
            <w:r>
              <w:rPr>
                <w:sz w:val="16"/>
              </w:rPr>
              <w:t xml:space="preserve">Private Equity </w:t>
            </w:r>
          </w:p>
        </w:tc>
        <w:tc>
          <w:tcPr>
            <w:tcW w:w="2271" w:type="dxa"/>
            <w:tcBorders>
              <w:top w:val="single" w:sz="4" w:space="0" w:color="000000"/>
              <w:left w:val="single" w:sz="4" w:space="0" w:color="000000"/>
              <w:bottom w:val="single" w:sz="4" w:space="0" w:color="000000"/>
              <w:right w:val="single" w:sz="4" w:space="0" w:color="000000"/>
            </w:tcBorders>
            <w:vAlign w:val="center"/>
          </w:tcPr>
          <w:p w:rsidR="004F1664" w:rsidRDefault="009F1B90">
            <w:pPr>
              <w:numPr>
                <w:ilvl w:val="0"/>
                <w:numId w:val="6"/>
              </w:numPr>
              <w:spacing w:after="0" w:line="259" w:lineRule="auto"/>
              <w:ind w:left="135" w:hanging="130"/>
              <w:jc w:val="left"/>
            </w:pPr>
            <w:r>
              <w:rPr>
                <w:sz w:val="16"/>
              </w:rPr>
              <w:t xml:space="preserve">Dividend Income </w:t>
            </w:r>
          </w:p>
          <w:p w:rsidR="004F1664" w:rsidRDefault="009F1B90">
            <w:pPr>
              <w:numPr>
                <w:ilvl w:val="0"/>
                <w:numId w:val="6"/>
              </w:numPr>
              <w:spacing w:after="0" w:line="259" w:lineRule="auto"/>
              <w:ind w:left="135" w:hanging="130"/>
              <w:jc w:val="left"/>
            </w:pPr>
            <w:r>
              <w:rPr>
                <w:sz w:val="16"/>
              </w:rPr>
              <w:t xml:space="preserve">EPS Growth </w:t>
            </w:r>
          </w:p>
          <w:p w:rsidR="004F1664" w:rsidRDefault="009F1B90">
            <w:pPr>
              <w:numPr>
                <w:ilvl w:val="0"/>
                <w:numId w:val="6"/>
              </w:numPr>
              <w:spacing w:after="0" w:line="259" w:lineRule="auto"/>
              <w:ind w:left="135" w:hanging="130"/>
              <w:jc w:val="left"/>
            </w:pPr>
            <w:r>
              <w:rPr>
                <w:sz w:val="16"/>
              </w:rPr>
              <w:t xml:space="preserve">Change in PE </w:t>
            </w:r>
          </w:p>
        </w:tc>
        <w:tc>
          <w:tcPr>
            <w:tcW w:w="1270"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firstLine="0"/>
              <w:jc w:val="center"/>
            </w:pPr>
            <w:r>
              <w:rPr>
                <w:sz w:val="16"/>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1" w:firstLine="0"/>
              <w:jc w:val="center"/>
            </w:pPr>
            <w:r>
              <w:rPr>
                <w:sz w:val="16"/>
              </w:rPr>
              <w:t xml:space="preserve">+/ - ** </w:t>
            </w:r>
          </w:p>
        </w:tc>
        <w:tc>
          <w:tcPr>
            <w:tcW w:w="1275"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right="4" w:firstLine="0"/>
              <w:jc w:val="center"/>
            </w:pPr>
            <w:r>
              <w:rPr>
                <w:sz w:val="16"/>
              </w:rPr>
              <w:t xml:space="preserve">Diversified </w:t>
            </w:r>
          </w:p>
        </w:tc>
        <w:tc>
          <w:tcPr>
            <w:tcW w:w="1270"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1" w:firstLine="0"/>
              <w:jc w:val="center"/>
            </w:pPr>
            <w:r>
              <w:rPr>
                <w:sz w:val="16"/>
              </w:rPr>
              <w:t xml:space="preserve">Diversified </w:t>
            </w:r>
          </w:p>
        </w:tc>
      </w:tr>
      <w:tr w:rsidR="004F1664">
        <w:trPr>
          <w:trHeight w:val="1061"/>
        </w:trPr>
        <w:tc>
          <w:tcPr>
            <w:tcW w:w="134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5" w:firstLine="0"/>
              <w:jc w:val="left"/>
            </w:pPr>
            <w:r>
              <w:rPr>
                <w:sz w:val="16"/>
              </w:rPr>
              <w:t xml:space="preserve">Fixed Income </w:t>
            </w:r>
          </w:p>
        </w:tc>
        <w:tc>
          <w:tcPr>
            <w:tcW w:w="2271" w:type="dxa"/>
            <w:tcBorders>
              <w:top w:val="single" w:sz="4" w:space="0" w:color="000000"/>
              <w:left w:val="single" w:sz="4" w:space="0" w:color="000000"/>
              <w:bottom w:val="single" w:sz="4" w:space="0" w:color="000000"/>
              <w:right w:val="single" w:sz="4" w:space="0" w:color="000000"/>
            </w:tcBorders>
            <w:vAlign w:val="center"/>
          </w:tcPr>
          <w:p w:rsidR="004F1664" w:rsidRDefault="009F1B90">
            <w:pPr>
              <w:numPr>
                <w:ilvl w:val="0"/>
                <w:numId w:val="7"/>
              </w:numPr>
              <w:spacing w:after="0" w:line="259" w:lineRule="auto"/>
              <w:ind w:left="135" w:hanging="130"/>
              <w:jc w:val="left"/>
            </w:pPr>
            <w:r>
              <w:rPr>
                <w:sz w:val="16"/>
              </w:rPr>
              <w:t>Yield (minus credit losses)</w:t>
            </w:r>
          </w:p>
          <w:p w:rsidR="004F1664" w:rsidRDefault="009F1B90">
            <w:pPr>
              <w:numPr>
                <w:ilvl w:val="0"/>
                <w:numId w:val="7"/>
              </w:numPr>
              <w:spacing w:after="0" w:line="259" w:lineRule="auto"/>
              <w:ind w:left="135" w:hanging="130"/>
              <w:jc w:val="left"/>
            </w:pPr>
            <w:r>
              <w:rPr>
                <w:sz w:val="16"/>
              </w:rPr>
              <w:t xml:space="preserve">Roll down </w:t>
            </w:r>
          </w:p>
          <w:p w:rsidR="004F1664" w:rsidRDefault="009F1B90">
            <w:pPr>
              <w:numPr>
                <w:ilvl w:val="0"/>
                <w:numId w:val="7"/>
              </w:numPr>
              <w:spacing w:after="0" w:line="259" w:lineRule="auto"/>
              <w:ind w:left="135" w:hanging="130"/>
              <w:jc w:val="left"/>
            </w:pPr>
            <w:r>
              <w:rPr>
                <w:sz w:val="16"/>
              </w:rPr>
              <w:t xml:space="preserve">Change in Yield </w:t>
            </w:r>
          </w:p>
        </w:tc>
        <w:tc>
          <w:tcPr>
            <w:tcW w:w="1270" w:type="dxa"/>
            <w:tcBorders>
              <w:top w:val="single" w:sz="4" w:space="0" w:color="000000"/>
              <w:left w:val="single" w:sz="4" w:space="0" w:color="000000"/>
              <w:bottom w:val="single" w:sz="4" w:space="0" w:color="000000"/>
              <w:right w:val="single" w:sz="4" w:space="0" w:color="000000"/>
            </w:tcBorders>
          </w:tcPr>
          <w:p w:rsidR="004F1664" w:rsidRDefault="009F1B90">
            <w:pPr>
              <w:spacing w:after="0" w:line="259" w:lineRule="auto"/>
              <w:ind w:left="-17" w:firstLine="0"/>
              <w:jc w:val="left"/>
            </w:pPr>
            <w:r>
              <w:rPr>
                <w:sz w:val="16"/>
              </w:rPr>
              <w:t xml:space="preserve"> </w:t>
            </w:r>
          </w:p>
          <w:p w:rsidR="004F1664" w:rsidRDefault="009F1B90">
            <w:pPr>
              <w:spacing w:after="0" w:line="259" w:lineRule="auto"/>
              <w:ind w:left="0" w:right="1" w:firstLine="0"/>
              <w:jc w:val="center"/>
            </w:pPr>
            <w:r>
              <w:rPr>
                <w:sz w:val="16"/>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right="1" w:firstLine="0"/>
              <w:jc w:val="center"/>
            </w:pPr>
            <w:r>
              <w:rPr>
                <w:sz w:val="16"/>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right="4" w:firstLine="0"/>
              <w:jc w:val="center"/>
            </w:pPr>
            <w:r>
              <w:rPr>
                <w:sz w:val="16"/>
              </w:rPr>
              <w:t xml:space="preserve"> Diversified </w:t>
            </w:r>
          </w:p>
        </w:tc>
        <w:tc>
          <w:tcPr>
            <w:tcW w:w="1270"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right="56" w:firstLine="0"/>
              <w:jc w:val="center"/>
            </w:pPr>
            <w:r>
              <w:rPr>
                <w:sz w:val="16"/>
              </w:rPr>
              <w:t xml:space="preserve">Diversified  </w:t>
            </w:r>
          </w:p>
        </w:tc>
      </w:tr>
      <w:tr w:rsidR="004F1664">
        <w:trPr>
          <w:trHeight w:val="1322"/>
        </w:trPr>
        <w:tc>
          <w:tcPr>
            <w:tcW w:w="134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5" w:firstLine="0"/>
              <w:jc w:val="left"/>
            </w:pPr>
            <w:r>
              <w:rPr>
                <w:sz w:val="16"/>
              </w:rPr>
              <w:t xml:space="preserve">Alternative Credit </w:t>
            </w:r>
          </w:p>
        </w:tc>
        <w:tc>
          <w:tcPr>
            <w:tcW w:w="2271" w:type="dxa"/>
            <w:tcBorders>
              <w:top w:val="single" w:sz="4" w:space="0" w:color="000000"/>
              <w:left w:val="single" w:sz="4" w:space="0" w:color="000000"/>
              <w:bottom w:val="single" w:sz="4" w:space="0" w:color="000000"/>
              <w:right w:val="single" w:sz="4" w:space="0" w:color="000000"/>
            </w:tcBorders>
            <w:vAlign w:val="center"/>
          </w:tcPr>
          <w:p w:rsidR="004F1664" w:rsidRDefault="009F1B90">
            <w:pPr>
              <w:numPr>
                <w:ilvl w:val="0"/>
                <w:numId w:val="8"/>
              </w:numPr>
              <w:spacing w:after="0" w:line="259" w:lineRule="auto"/>
              <w:ind w:left="135" w:hanging="130"/>
              <w:jc w:val="left"/>
            </w:pPr>
            <w:r>
              <w:rPr>
                <w:sz w:val="16"/>
              </w:rPr>
              <w:t>Yield (minus credit losses)</w:t>
            </w:r>
          </w:p>
          <w:p w:rsidR="004F1664" w:rsidRDefault="009F1B90">
            <w:pPr>
              <w:numPr>
                <w:ilvl w:val="0"/>
                <w:numId w:val="8"/>
              </w:numPr>
              <w:spacing w:after="0" w:line="259" w:lineRule="auto"/>
              <w:ind w:left="135" w:hanging="130"/>
              <w:jc w:val="left"/>
            </w:pPr>
            <w:r>
              <w:rPr>
                <w:sz w:val="16"/>
              </w:rPr>
              <w:t xml:space="preserve">Roll down </w:t>
            </w:r>
          </w:p>
          <w:p w:rsidR="004F1664" w:rsidRDefault="009F1B90">
            <w:pPr>
              <w:numPr>
                <w:ilvl w:val="0"/>
                <w:numId w:val="8"/>
              </w:numPr>
              <w:spacing w:after="0" w:line="259" w:lineRule="auto"/>
              <w:ind w:left="135" w:hanging="130"/>
              <w:jc w:val="left"/>
            </w:pPr>
            <w:r>
              <w:rPr>
                <w:sz w:val="16"/>
              </w:rPr>
              <w:t xml:space="preserve">Change in Yield </w:t>
            </w:r>
          </w:p>
          <w:p w:rsidR="004F1664" w:rsidRDefault="009F1B90">
            <w:pPr>
              <w:numPr>
                <w:ilvl w:val="0"/>
                <w:numId w:val="8"/>
              </w:numPr>
              <w:spacing w:after="0" w:line="259" w:lineRule="auto"/>
              <w:ind w:left="135" w:hanging="130"/>
              <w:jc w:val="left"/>
            </w:pPr>
            <w:r>
              <w:rPr>
                <w:sz w:val="16"/>
              </w:rPr>
              <w:t xml:space="preserve">Liquidity Premium </w:t>
            </w:r>
          </w:p>
        </w:tc>
        <w:tc>
          <w:tcPr>
            <w:tcW w:w="1270" w:type="dxa"/>
            <w:tcBorders>
              <w:top w:val="single" w:sz="4" w:space="0" w:color="000000"/>
              <w:left w:val="single" w:sz="4" w:space="0" w:color="000000"/>
              <w:bottom w:val="single" w:sz="4" w:space="0" w:color="000000"/>
              <w:right w:val="single" w:sz="4" w:space="0" w:color="000000"/>
            </w:tcBorders>
          </w:tcPr>
          <w:p w:rsidR="004F1664" w:rsidRDefault="009F1B90">
            <w:pPr>
              <w:spacing w:after="79" w:line="259" w:lineRule="auto"/>
              <w:ind w:left="-17" w:firstLine="0"/>
              <w:jc w:val="left"/>
            </w:pPr>
            <w:r>
              <w:rPr>
                <w:sz w:val="16"/>
              </w:rPr>
              <w:t xml:space="preserve"> </w:t>
            </w:r>
          </w:p>
          <w:p w:rsidR="004F1664" w:rsidRDefault="009F1B90">
            <w:pPr>
              <w:spacing w:after="0" w:line="259" w:lineRule="auto"/>
              <w:ind w:left="0" w:firstLine="0"/>
              <w:jc w:val="center"/>
            </w:pPr>
            <w:r>
              <w:rPr>
                <w:sz w:val="16"/>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right="1" w:firstLine="0"/>
              <w:jc w:val="center"/>
            </w:pPr>
            <w:r>
              <w:rPr>
                <w:sz w:val="16"/>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right="4" w:firstLine="0"/>
              <w:jc w:val="center"/>
            </w:pPr>
            <w:r>
              <w:rPr>
                <w:sz w:val="16"/>
              </w:rPr>
              <w:t xml:space="preserve">Diversified </w:t>
            </w:r>
          </w:p>
        </w:tc>
        <w:tc>
          <w:tcPr>
            <w:tcW w:w="1270"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1" w:firstLine="0"/>
              <w:jc w:val="center"/>
            </w:pPr>
            <w:r>
              <w:rPr>
                <w:sz w:val="16"/>
              </w:rPr>
              <w:t xml:space="preserve">Diversified </w:t>
            </w:r>
          </w:p>
        </w:tc>
      </w:tr>
      <w:tr w:rsidR="004F1664">
        <w:trPr>
          <w:trHeight w:val="800"/>
        </w:trPr>
        <w:tc>
          <w:tcPr>
            <w:tcW w:w="134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5" w:firstLine="0"/>
              <w:jc w:val="left"/>
            </w:pPr>
            <w:r>
              <w:rPr>
                <w:sz w:val="16"/>
              </w:rPr>
              <w:t xml:space="preserve">Property  </w:t>
            </w:r>
          </w:p>
        </w:tc>
        <w:tc>
          <w:tcPr>
            <w:tcW w:w="2271" w:type="dxa"/>
            <w:tcBorders>
              <w:top w:val="single" w:sz="4" w:space="0" w:color="000000"/>
              <w:left w:val="single" w:sz="4" w:space="0" w:color="000000"/>
              <w:bottom w:val="single" w:sz="4" w:space="0" w:color="000000"/>
              <w:right w:val="single" w:sz="4" w:space="0" w:color="000000"/>
            </w:tcBorders>
            <w:vAlign w:val="center"/>
          </w:tcPr>
          <w:p w:rsidR="004F1664" w:rsidRDefault="009F1B90">
            <w:pPr>
              <w:numPr>
                <w:ilvl w:val="0"/>
                <w:numId w:val="9"/>
              </w:numPr>
              <w:spacing w:after="0" w:line="259" w:lineRule="auto"/>
              <w:ind w:left="135" w:hanging="130"/>
              <w:jc w:val="left"/>
            </w:pPr>
            <w:r>
              <w:rPr>
                <w:sz w:val="16"/>
              </w:rPr>
              <w:t xml:space="preserve">Rental Yield minus Capex </w:t>
            </w:r>
          </w:p>
          <w:p w:rsidR="004F1664" w:rsidRDefault="009F1B90">
            <w:pPr>
              <w:numPr>
                <w:ilvl w:val="0"/>
                <w:numId w:val="9"/>
              </w:numPr>
              <w:spacing w:after="0" w:line="259" w:lineRule="auto"/>
              <w:ind w:left="135" w:hanging="130"/>
              <w:jc w:val="left"/>
            </w:pPr>
            <w:r>
              <w:rPr>
                <w:sz w:val="16"/>
              </w:rPr>
              <w:t xml:space="preserve">Rental Growth  </w:t>
            </w:r>
          </w:p>
          <w:p w:rsidR="004F1664" w:rsidRDefault="009F1B90">
            <w:pPr>
              <w:numPr>
                <w:ilvl w:val="0"/>
                <w:numId w:val="9"/>
              </w:numPr>
              <w:spacing w:after="0" w:line="259" w:lineRule="auto"/>
              <w:ind w:left="135" w:hanging="130"/>
              <w:jc w:val="left"/>
            </w:pPr>
            <w:r>
              <w:rPr>
                <w:sz w:val="16"/>
              </w:rPr>
              <w:t xml:space="preserve">Capital Growth  </w:t>
            </w:r>
          </w:p>
        </w:tc>
        <w:tc>
          <w:tcPr>
            <w:tcW w:w="1270"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firstLine="0"/>
              <w:jc w:val="center"/>
            </w:pPr>
            <w:r>
              <w:rPr>
                <w:sz w:val="16"/>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1" w:firstLine="0"/>
              <w:jc w:val="center"/>
            </w:pPr>
            <w:r>
              <w:rPr>
                <w:sz w:val="16"/>
              </w:rPr>
              <w:t xml:space="preserve">+/ - ** </w:t>
            </w:r>
          </w:p>
        </w:tc>
        <w:tc>
          <w:tcPr>
            <w:tcW w:w="1275"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firstLine="0"/>
              <w:jc w:val="center"/>
            </w:pPr>
            <w:r>
              <w:rPr>
                <w:sz w:val="16"/>
              </w:rPr>
              <w:t xml:space="preserve">Predominantly UK </w:t>
            </w:r>
          </w:p>
        </w:tc>
        <w:tc>
          <w:tcPr>
            <w:tcW w:w="1270"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firstLine="0"/>
              <w:jc w:val="center"/>
            </w:pPr>
            <w:r>
              <w:rPr>
                <w:sz w:val="16"/>
              </w:rPr>
              <w:t xml:space="preserve">Predominantly GBP </w:t>
            </w:r>
          </w:p>
        </w:tc>
      </w:tr>
      <w:tr w:rsidR="004F1664">
        <w:trPr>
          <w:trHeight w:val="799"/>
        </w:trPr>
        <w:tc>
          <w:tcPr>
            <w:tcW w:w="134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5" w:firstLine="0"/>
              <w:jc w:val="left"/>
            </w:pPr>
            <w:r>
              <w:rPr>
                <w:sz w:val="16"/>
              </w:rPr>
              <w:t xml:space="preserve">Infrastructure </w:t>
            </w:r>
          </w:p>
        </w:tc>
        <w:tc>
          <w:tcPr>
            <w:tcW w:w="2271" w:type="dxa"/>
            <w:tcBorders>
              <w:top w:val="single" w:sz="4" w:space="0" w:color="000000"/>
              <w:left w:val="single" w:sz="4" w:space="0" w:color="000000"/>
              <w:bottom w:val="single" w:sz="4" w:space="0" w:color="000000"/>
              <w:right w:val="single" w:sz="4" w:space="0" w:color="000000"/>
            </w:tcBorders>
            <w:vAlign w:val="center"/>
          </w:tcPr>
          <w:p w:rsidR="004F1664" w:rsidRDefault="009F1B90">
            <w:pPr>
              <w:numPr>
                <w:ilvl w:val="0"/>
                <w:numId w:val="10"/>
              </w:numPr>
              <w:spacing w:after="0" w:line="259" w:lineRule="auto"/>
              <w:ind w:left="135" w:hanging="130"/>
              <w:jc w:val="left"/>
            </w:pPr>
            <w:r>
              <w:rPr>
                <w:sz w:val="16"/>
              </w:rPr>
              <w:t xml:space="preserve">Dividend Income </w:t>
            </w:r>
          </w:p>
          <w:p w:rsidR="004F1664" w:rsidRDefault="009F1B90">
            <w:pPr>
              <w:numPr>
                <w:ilvl w:val="0"/>
                <w:numId w:val="10"/>
              </w:numPr>
              <w:spacing w:after="0" w:line="259" w:lineRule="auto"/>
              <w:ind w:left="135" w:hanging="130"/>
              <w:jc w:val="left"/>
            </w:pPr>
            <w:r>
              <w:rPr>
                <w:sz w:val="16"/>
              </w:rPr>
              <w:t xml:space="preserve">Dividend Growth  </w:t>
            </w:r>
          </w:p>
          <w:p w:rsidR="004F1664" w:rsidRDefault="009F1B90">
            <w:pPr>
              <w:numPr>
                <w:ilvl w:val="0"/>
                <w:numId w:val="10"/>
              </w:numPr>
              <w:spacing w:after="0" w:line="259" w:lineRule="auto"/>
              <w:ind w:left="135" w:hanging="130"/>
              <w:jc w:val="left"/>
            </w:pPr>
            <w:r>
              <w:rPr>
                <w:sz w:val="16"/>
              </w:rPr>
              <w:t xml:space="preserve">Capital Growth  </w:t>
            </w:r>
          </w:p>
        </w:tc>
        <w:tc>
          <w:tcPr>
            <w:tcW w:w="1270"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firstLine="0"/>
              <w:jc w:val="center"/>
            </w:pPr>
            <w:r>
              <w:rPr>
                <w:sz w:val="16"/>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firstLine="0"/>
              <w:jc w:val="center"/>
            </w:pPr>
            <w:r>
              <w:rPr>
                <w:sz w:val="16"/>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firstLine="0"/>
              <w:jc w:val="center"/>
            </w:pPr>
            <w:r>
              <w:rPr>
                <w:sz w:val="16"/>
              </w:rPr>
              <w:t xml:space="preserve">Predominantly OECD  </w:t>
            </w:r>
          </w:p>
        </w:tc>
        <w:tc>
          <w:tcPr>
            <w:tcW w:w="1270"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1" w:firstLine="0"/>
              <w:jc w:val="center"/>
            </w:pPr>
            <w:r>
              <w:rPr>
                <w:sz w:val="16"/>
              </w:rPr>
              <w:t xml:space="preserve">Diversified </w:t>
            </w:r>
          </w:p>
        </w:tc>
      </w:tr>
      <w:tr w:rsidR="004F1664">
        <w:trPr>
          <w:trHeight w:val="538"/>
        </w:trPr>
        <w:tc>
          <w:tcPr>
            <w:tcW w:w="134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5" w:firstLine="0"/>
              <w:jc w:val="left"/>
            </w:pPr>
            <w:r>
              <w:rPr>
                <w:sz w:val="16"/>
              </w:rPr>
              <w:t xml:space="preserve">Total Return </w:t>
            </w:r>
          </w:p>
        </w:tc>
        <w:tc>
          <w:tcPr>
            <w:tcW w:w="2271"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5" w:firstLine="0"/>
              <w:jc w:val="left"/>
            </w:pPr>
            <w:r>
              <w:rPr>
                <w:sz w:val="16"/>
              </w:rPr>
              <w:t xml:space="preserve">- Diversified </w:t>
            </w:r>
          </w:p>
        </w:tc>
        <w:tc>
          <w:tcPr>
            <w:tcW w:w="1270"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19" w:firstLine="0"/>
            </w:pPr>
            <w:r>
              <w:rPr>
                <w:sz w:val="16"/>
              </w:rPr>
              <w:t>Low correlation</w:t>
            </w:r>
          </w:p>
        </w:tc>
        <w:tc>
          <w:tcPr>
            <w:tcW w:w="127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19" w:firstLine="0"/>
            </w:pPr>
            <w:r>
              <w:rPr>
                <w:sz w:val="16"/>
              </w:rPr>
              <w:t xml:space="preserve"> Low correlation</w:t>
            </w:r>
          </w:p>
        </w:tc>
        <w:tc>
          <w:tcPr>
            <w:tcW w:w="1275" w:type="dxa"/>
            <w:tcBorders>
              <w:top w:val="single" w:sz="4" w:space="0" w:color="000000"/>
              <w:left w:val="single" w:sz="4" w:space="0" w:color="000000"/>
              <w:bottom w:val="single" w:sz="4" w:space="0" w:color="000000"/>
              <w:right w:val="single" w:sz="4" w:space="0" w:color="000000"/>
            </w:tcBorders>
            <w:vAlign w:val="center"/>
          </w:tcPr>
          <w:p w:rsidR="004F1664" w:rsidRDefault="009F1B90">
            <w:pPr>
              <w:tabs>
                <w:tab w:val="center" w:pos="635"/>
              </w:tabs>
              <w:spacing w:after="0" w:line="259" w:lineRule="auto"/>
              <w:ind w:left="-22" w:firstLine="0"/>
              <w:jc w:val="left"/>
            </w:pPr>
            <w:r>
              <w:rPr>
                <w:sz w:val="16"/>
              </w:rPr>
              <w:t xml:space="preserve"> </w:t>
            </w:r>
            <w:r>
              <w:rPr>
                <w:sz w:val="16"/>
              </w:rPr>
              <w:tab/>
              <w:t xml:space="preserve">Diversified </w:t>
            </w:r>
          </w:p>
        </w:tc>
        <w:tc>
          <w:tcPr>
            <w:tcW w:w="1270"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1" w:firstLine="0"/>
              <w:jc w:val="center"/>
            </w:pPr>
            <w:r>
              <w:rPr>
                <w:sz w:val="16"/>
              </w:rPr>
              <w:t xml:space="preserve">Diversified </w:t>
            </w:r>
          </w:p>
        </w:tc>
      </w:tr>
      <w:tr w:rsidR="004F1664">
        <w:trPr>
          <w:trHeight w:val="538"/>
        </w:trPr>
        <w:tc>
          <w:tcPr>
            <w:tcW w:w="134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5" w:firstLine="0"/>
              <w:jc w:val="left"/>
            </w:pPr>
            <w:r>
              <w:rPr>
                <w:sz w:val="16"/>
              </w:rPr>
              <w:t xml:space="preserve">Cash </w:t>
            </w:r>
          </w:p>
        </w:tc>
        <w:tc>
          <w:tcPr>
            <w:tcW w:w="2271"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5" w:firstLine="0"/>
              <w:jc w:val="left"/>
            </w:pPr>
            <w:r>
              <w:rPr>
                <w:sz w:val="16"/>
              </w:rPr>
              <w:t xml:space="preserve">- </w:t>
            </w:r>
            <w:r>
              <w:rPr>
                <w:sz w:val="16"/>
              </w:rPr>
              <w:t xml:space="preserve">Yield </w:t>
            </w:r>
          </w:p>
        </w:tc>
        <w:tc>
          <w:tcPr>
            <w:tcW w:w="1270"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firstLine="0"/>
              <w:jc w:val="center"/>
            </w:pPr>
            <w:r>
              <w:rPr>
                <w:sz w:val="16"/>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4F1664" w:rsidRDefault="009F1B90">
            <w:pPr>
              <w:spacing w:after="0" w:line="259" w:lineRule="auto"/>
              <w:ind w:left="0" w:firstLine="0"/>
              <w:jc w:val="center"/>
            </w:pPr>
            <w:r>
              <w:rPr>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4F1664" w:rsidRDefault="009F1B90">
            <w:pPr>
              <w:spacing w:after="0" w:line="259" w:lineRule="auto"/>
              <w:ind w:left="0" w:firstLine="0"/>
              <w:jc w:val="center"/>
            </w:pPr>
            <w:r>
              <w:rPr>
                <w:sz w:val="16"/>
              </w:rPr>
              <w:t xml:space="preserve">Predominantly UK </w:t>
            </w:r>
          </w:p>
        </w:tc>
        <w:tc>
          <w:tcPr>
            <w:tcW w:w="1270" w:type="dxa"/>
            <w:tcBorders>
              <w:top w:val="single" w:sz="4" w:space="0" w:color="000000"/>
              <w:left w:val="single" w:sz="4" w:space="0" w:color="000000"/>
              <w:bottom w:val="single" w:sz="4" w:space="0" w:color="000000"/>
              <w:right w:val="single" w:sz="4" w:space="0" w:color="000000"/>
            </w:tcBorders>
          </w:tcPr>
          <w:p w:rsidR="004F1664" w:rsidRDefault="009F1B90">
            <w:pPr>
              <w:spacing w:after="0" w:line="259" w:lineRule="auto"/>
              <w:ind w:left="0" w:firstLine="0"/>
              <w:jc w:val="center"/>
            </w:pPr>
            <w:r>
              <w:rPr>
                <w:sz w:val="16"/>
              </w:rPr>
              <w:t xml:space="preserve">Predominantly GBP </w:t>
            </w:r>
          </w:p>
        </w:tc>
      </w:tr>
    </w:tbl>
    <w:p w:rsidR="004F1664" w:rsidRDefault="009F1B90">
      <w:pPr>
        <w:spacing w:after="113" w:line="259" w:lineRule="auto"/>
        <w:ind w:left="715"/>
        <w:jc w:val="left"/>
      </w:pPr>
      <w:r>
        <w:rPr>
          <w:i/>
          <w:sz w:val="16"/>
        </w:rPr>
        <w:t xml:space="preserve">* Sensitivities shown are to positive shocks, i.e., if growth and inflation surprise on the upside. </w:t>
      </w:r>
    </w:p>
    <w:p w:rsidR="004F1664" w:rsidRDefault="009F1B90">
      <w:pPr>
        <w:spacing w:after="74" w:line="259" w:lineRule="auto"/>
        <w:ind w:left="715"/>
        <w:jc w:val="left"/>
      </w:pPr>
      <w:r>
        <w:rPr>
          <w:i/>
          <w:sz w:val="16"/>
        </w:rPr>
        <w:t xml:space="preserve">** Property, public and private equities expected to provide partial inflation protection. </w:t>
      </w:r>
    </w:p>
    <w:p w:rsidR="004F1664" w:rsidRDefault="009F1B90">
      <w:pPr>
        <w:spacing w:after="0" w:line="259" w:lineRule="auto"/>
        <w:ind w:left="0" w:firstLine="0"/>
        <w:jc w:val="left"/>
      </w:pPr>
      <w:r>
        <w:rPr>
          <w:i/>
          <w:sz w:val="24"/>
        </w:rPr>
        <w:t xml:space="preserve"> </w:t>
      </w:r>
    </w:p>
    <w:p w:rsidR="004F1664" w:rsidRDefault="009F1B90">
      <w:pPr>
        <w:spacing w:after="3" w:line="241" w:lineRule="auto"/>
        <w:ind w:left="677" w:right="454"/>
        <w:jc w:val="left"/>
      </w:pPr>
      <w:r>
        <w:t>These are the eight building blocks used to create the policy portfolio. The Board have determined benchmark weights to each asset class which it believe to be best suited to meeting the long term objectives of the Fund. It has also identified tolerance ra</w:t>
      </w:r>
      <w:r>
        <w:t xml:space="preserve">nges within which shorter term variations would be tolerated and/or actively pursued due to a combination of relative returns and investment opportunity.  </w:t>
      </w:r>
    </w:p>
    <w:p w:rsidR="004F1664" w:rsidRDefault="009F1B90">
      <w:pPr>
        <w:spacing w:after="0" w:line="259" w:lineRule="auto"/>
        <w:ind w:left="720" w:firstLine="0"/>
        <w:jc w:val="left"/>
      </w:pPr>
      <w:r>
        <w:t xml:space="preserve"> </w:t>
      </w:r>
    </w:p>
    <w:p w:rsidR="004F1664" w:rsidRDefault="009F1B90">
      <w:pPr>
        <w:spacing w:after="3" w:line="241" w:lineRule="auto"/>
        <w:ind w:left="677" w:right="498"/>
        <w:jc w:val="left"/>
      </w:pPr>
      <w:r>
        <w:t xml:space="preserve">The benchmark weight and tolerances are shown in the table below. </w:t>
      </w:r>
      <w:r>
        <w:t xml:space="preserve">The weights are to be maintained within the ranges as long as the scheme can find attractive opportunities that meet its return, risk, and cash flow requirements. In the absence of opportunities </w:t>
      </w:r>
      <w:r>
        <w:t>investments will not be “forced” and under/over allocations m</w:t>
      </w:r>
      <w:r>
        <w:t xml:space="preserve">ay be made to any asset </w:t>
      </w:r>
      <w:r>
        <w:t>class. This includes allocations falling outside of the tolerance range.  Should any allocations fall outside of the range the Board shall seek to bring the allocation back within the range as soon as suitable opportunities are iden</w:t>
      </w:r>
      <w:r>
        <w:t xml:space="preserve">tified. </w:t>
      </w:r>
    </w:p>
    <w:p w:rsidR="004F1664" w:rsidRDefault="009F1B90">
      <w:pPr>
        <w:spacing w:after="0" w:line="259" w:lineRule="auto"/>
        <w:ind w:left="720" w:firstLine="0"/>
        <w:jc w:val="left"/>
      </w:pPr>
      <w:r>
        <w:t xml:space="preserve"> </w:t>
      </w:r>
    </w:p>
    <w:tbl>
      <w:tblPr>
        <w:tblStyle w:val="TableGrid"/>
        <w:tblW w:w="4831" w:type="dxa"/>
        <w:tblInd w:w="2759" w:type="dxa"/>
        <w:tblCellMar>
          <w:top w:w="67" w:type="dxa"/>
          <w:left w:w="38" w:type="dxa"/>
          <w:bottom w:w="0" w:type="dxa"/>
          <w:right w:w="115" w:type="dxa"/>
        </w:tblCellMar>
        <w:tblLook w:val="04A0" w:firstRow="1" w:lastRow="0" w:firstColumn="1" w:lastColumn="0" w:noHBand="0" w:noVBand="1"/>
      </w:tblPr>
      <w:tblGrid>
        <w:gridCol w:w="1976"/>
        <w:gridCol w:w="1426"/>
        <w:gridCol w:w="1429"/>
      </w:tblGrid>
      <w:tr w:rsidR="004F1664">
        <w:trPr>
          <w:trHeight w:val="295"/>
        </w:trPr>
        <w:tc>
          <w:tcPr>
            <w:tcW w:w="1976" w:type="dxa"/>
            <w:vMerge w:val="restart"/>
            <w:tcBorders>
              <w:top w:val="single" w:sz="6" w:space="0" w:color="FFFFFF"/>
              <w:left w:val="single" w:sz="6" w:space="0" w:color="FFFFFF"/>
              <w:bottom w:val="single" w:sz="12" w:space="0" w:color="FFFFFF"/>
              <w:right w:val="single" w:sz="13" w:space="0" w:color="FFFFFF"/>
            </w:tcBorders>
            <w:shd w:val="clear" w:color="auto" w:fill="366092"/>
            <w:vAlign w:val="center"/>
          </w:tcPr>
          <w:p w:rsidR="004F1664" w:rsidRDefault="009F1B90">
            <w:pPr>
              <w:spacing w:after="0" w:line="259" w:lineRule="auto"/>
              <w:ind w:left="85" w:firstLine="0"/>
              <w:jc w:val="center"/>
            </w:pPr>
            <w:r>
              <w:rPr>
                <w:rFonts w:ascii="Calibri" w:eastAsia="Calibri" w:hAnsi="Calibri" w:cs="Calibri"/>
                <w:b/>
                <w:color w:val="FFFFFF"/>
                <w:sz w:val="19"/>
              </w:rPr>
              <w:t>Asset Class</w:t>
            </w:r>
          </w:p>
        </w:tc>
        <w:tc>
          <w:tcPr>
            <w:tcW w:w="2855" w:type="dxa"/>
            <w:gridSpan w:val="2"/>
            <w:tcBorders>
              <w:top w:val="single" w:sz="6" w:space="0" w:color="FFFFFF"/>
              <w:left w:val="single" w:sz="13" w:space="0" w:color="FFFFFF"/>
              <w:bottom w:val="single" w:sz="12" w:space="0" w:color="FFFFFF"/>
              <w:right w:val="single" w:sz="13" w:space="0" w:color="FFFFFF"/>
            </w:tcBorders>
            <w:shd w:val="clear" w:color="auto" w:fill="366092"/>
          </w:tcPr>
          <w:p w:rsidR="004F1664" w:rsidRDefault="009F1B90">
            <w:pPr>
              <w:spacing w:after="0" w:line="259" w:lineRule="auto"/>
              <w:ind w:left="72" w:firstLine="0"/>
              <w:jc w:val="center"/>
            </w:pPr>
            <w:r>
              <w:rPr>
                <w:rFonts w:ascii="Calibri" w:eastAsia="Calibri" w:hAnsi="Calibri" w:cs="Calibri"/>
                <w:b/>
                <w:color w:val="FFFFFF"/>
                <w:sz w:val="19"/>
              </w:rPr>
              <w:t>Policy Portfolio</w:t>
            </w:r>
          </w:p>
        </w:tc>
      </w:tr>
      <w:tr w:rsidR="004F1664">
        <w:trPr>
          <w:trHeight w:val="582"/>
        </w:trPr>
        <w:tc>
          <w:tcPr>
            <w:tcW w:w="0" w:type="auto"/>
            <w:vMerge/>
            <w:tcBorders>
              <w:top w:val="nil"/>
              <w:left w:val="single" w:sz="6" w:space="0" w:color="FFFFFF"/>
              <w:bottom w:val="single" w:sz="12" w:space="0" w:color="FFFFFF"/>
              <w:right w:val="single" w:sz="13" w:space="0" w:color="FFFFFF"/>
            </w:tcBorders>
          </w:tcPr>
          <w:p w:rsidR="004F1664" w:rsidRDefault="004F1664">
            <w:pPr>
              <w:spacing w:after="160" w:line="259" w:lineRule="auto"/>
              <w:ind w:left="0" w:firstLine="0"/>
              <w:jc w:val="left"/>
            </w:pPr>
          </w:p>
        </w:tc>
        <w:tc>
          <w:tcPr>
            <w:tcW w:w="1426" w:type="dxa"/>
            <w:tcBorders>
              <w:top w:val="single" w:sz="12" w:space="0" w:color="FFFFFF"/>
              <w:left w:val="single" w:sz="13" w:space="0" w:color="FFFFFF"/>
              <w:bottom w:val="single" w:sz="12" w:space="0" w:color="FFFFFF"/>
              <w:right w:val="single" w:sz="13" w:space="0" w:color="FFFFFF"/>
            </w:tcBorders>
            <w:shd w:val="clear" w:color="auto" w:fill="366092"/>
          </w:tcPr>
          <w:p w:rsidR="004F1664" w:rsidRDefault="009F1B90">
            <w:pPr>
              <w:spacing w:after="0" w:line="259" w:lineRule="auto"/>
              <w:ind w:left="0" w:firstLine="0"/>
              <w:jc w:val="center"/>
            </w:pPr>
            <w:r>
              <w:rPr>
                <w:rFonts w:ascii="Calibri" w:eastAsia="Calibri" w:hAnsi="Calibri" w:cs="Calibri"/>
                <w:b/>
                <w:color w:val="FFFFFF"/>
                <w:sz w:val="19"/>
              </w:rPr>
              <w:t>Benchmark Weight</w:t>
            </w:r>
          </w:p>
        </w:tc>
        <w:tc>
          <w:tcPr>
            <w:tcW w:w="1429" w:type="dxa"/>
            <w:tcBorders>
              <w:top w:val="single" w:sz="12" w:space="0" w:color="FFFFFF"/>
              <w:left w:val="single" w:sz="13" w:space="0" w:color="FFFFFF"/>
              <w:bottom w:val="single" w:sz="12" w:space="0" w:color="FFFFFF"/>
              <w:right w:val="single" w:sz="13" w:space="0" w:color="FFFFFF"/>
            </w:tcBorders>
            <w:shd w:val="clear" w:color="auto" w:fill="366092"/>
            <w:vAlign w:val="center"/>
          </w:tcPr>
          <w:p w:rsidR="004F1664" w:rsidRDefault="009F1B90">
            <w:pPr>
              <w:spacing w:after="0" w:line="259" w:lineRule="auto"/>
              <w:ind w:left="67" w:firstLine="0"/>
              <w:jc w:val="center"/>
            </w:pPr>
            <w:r>
              <w:rPr>
                <w:rFonts w:ascii="Calibri" w:eastAsia="Calibri" w:hAnsi="Calibri" w:cs="Calibri"/>
                <w:b/>
                <w:color w:val="FFFFFF"/>
                <w:sz w:val="19"/>
              </w:rPr>
              <w:t>Range</w:t>
            </w:r>
          </w:p>
        </w:tc>
      </w:tr>
      <w:tr w:rsidR="004F1664">
        <w:trPr>
          <w:trHeight w:val="2425"/>
        </w:trPr>
        <w:tc>
          <w:tcPr>
            <w:tcW w:w="1976" w:type="dxa"/>
            <w:tcBorders>
              <w:top w:val="single" w:sz="12" w:space="0" w:color="FFFFFF"/>
              <w:left w:val="single" w:sz="6" w:space="0" w:color="FFFFFF"/>
              <w:bottom w:val="single" w:sz="12" w:space="0" w:color="FFFFFF"/>
              <w:right w:val="single" w:sz="13" w:space="0" w:color="FFFFFF"/>
            </w:tcBorders>
          </w:tcPr>
          <w:p w:rsidR="004F1664" w:rsidRDefault="009F1B90">
            <w:pPr>
              <w:spacing w:after="56" w:line="259" w:lineRule="auto"/>
              <w:ind w:left="0" w:firstLine="0"/>
              <w:jc w:val="left"/>
            </w:pPr>
            <w:r>
              <w:rPr>
                <w:rFonts w:ascii="Calibri" w:eastAsia="Calibri" w:hAnsi="Calibri" w:cs="Calibri"/>
                <w:sz w:val="19"/>
              </w:rPr>
              <w:t>Global Equities</w:t>
            </w:r>
          </w:p>
          <w:p w:rsidR="004F1664" w:rsidRDefault="009F1B90">
            <w:pPr>
              <w:spacing w:after="55" w:line="259" w:lineRule="auto"/>
              <w:ind w:left="0" w:firstLine="0"/>
              <w:jc w:val="left"/>
            </w:pPr>
            <w:r>
              <w:rPr>
                <w:rFonts w:ascii="Calibri" w:eastAsia="Calibri" w:hAnsi="Calibri" w:cs="Calibri"/>
                <w:sz w:val="19"/>
              </w:rPr>
              <w:t>Fixed Income</w:t>
            </w:r>
          </w:p>
          <w:p w:rsidR="004F1664" w:rsidRDefault="009F1B90">
            <w:pPr>
              <w:spacing w:after="56" w:line="259" w:lineRule="auto"/>
              <w:ind w:left="0" w:firstLine="0"/>
              <w:jc w:val="left"/>
            </w:pPr>
            <w:r>
              <w:rPr>
                <w:rFonts w:ascii="Calibri" w:eastAsia="Calibri" w:hAnsi="Calibri" w:cs="Calibri"/>
                <w:sz w:val="19"/>
              </w:rPr>
              <w:t>Private Equity</w:t>
            </w:r>
          </w:p>
          <w:p w:rsidR="004F1664" w:rsidRDefault="009F1B90">
            <w:pPr>
              <w:spacing w:after="55" w:line="259" w:lineRule="auto"/>
              <w:ind w:left="0" w:firstLine="0"/>
              <w:jc w:val="left"/>
            </w:pPr>
            <w:r>
              <w:rPr>
                <w:rFonts w:ascii="Calibri" w:eastAsia="Calibri" w:hAnsi="Calibri" w:cs="Calibri"/>
                <w:sz w:val="19"/>
              </w:rPr>
              <w:t>Infrastructure</w:t>
            </w:r>
          </w:p>
          <w:p w:rsidR="004F1664" w:rsidRDefault="009F1B90">
            <w:pPr>
              <w:spacing w:after="56" w:line="259" w:lineRule="auto"/>
              <w:ind w:left="0" w:firstLine="0"/>
              <w:jc w:val="left"/>
            </w:pPr>
            <w:r>
              <w:rPr>
                <w:rFonts w:ascii="Calibri" w:eastAsia="Calibri" w:hAnsi="Calibri" w:cs="Calibri"/>
                <w:sz w:val="19"/>
              </w:rPr>
              <w:t>Alternative Credit</w:t>
            </w:r>
          </w:p>
          <w:p w:rsidR="004F1664" w:rsidRDefault="009F1B90">
            <w:pPr>
              <w:spacing w:after="55" w:line="259" w:lineRule="auto"/>
              <w:ind w:left="0" w:firstLine="0"/>
              <w:jc w:val="left"/>
            </w:pPr>
            <w:r>
              <w:rPr>
                <w:rFonts w:ascii="Calibri" w:eastAsia="Calibri" w:hAnsi="Calibri" w:cs="Calibri"/>
                <w:sz w:val="19"/>
              </w:rPr>
              <w:t>Property</w:t>
            </w:r>
          </w:p>
          <w:p w:rsidR="004F1664" w:rsidRDefault="009F1B90">
            <w:pPr>
              <w:spacing w:after="56" w:line="259" w:lineRule="auto"/>
              <w:ind w:left="0" w:firstLine="0"/>
              <w:jc w:val="left"/>
            </w:pPr>
            <w:r>
              <w:rPr>
                <w:rFonts w:ascii="Calibri" w:eastAsia="Calibri" w:hAnsi="Calibri" w:cs="Calibri"/>
                <w:sz w:val="19"/>
              </w:rPr>
              <w:t>Total Return</w:t>
            </w:r>
          </w:p>
          <w:p w:rsidR="004F1664" w:rsidRDefault="009F1B90">
            <w:pPr>
              <w:spacing w:after="0" w:line="259" w:lineRule="auto"/>
              <w:ind w:left="0" w:firstLine="0"/>
              <w:jc w:val="left"/>
            </w:pPr>
            <w:r>
              <w:rPr>
                <w:rFonts w:ascii="Calibri" w:eastAsia="Calibri" w:hAnsi="Calibri" w:cs="Calibri"/>
                <w:sz w:val="19"/>
              </w:rPr>
              <w:t>Cash</w:t>
            </w:r>
          </w:p>
        </w:tc>
        <w:tc>
          <w:tcPr>
            <w:tcW w:w="1426" w:type="dxa"/>
            <w:tcBorders>
              <w:top w:val="single" w:sz="12" w:space="0" w:color="FFFFFF"/>
              <w:left w:val="single" w:sz="13" w:space="0" w:color="FFFFFF"/>
              <w:bottom w:val="single" w:sz="12" w:space="0" w:color="FFFFFF"/>
              <w:right w:val="single" w:sz="13" w:space="0" w:color="FFFFFF"/>
            </w:tcBorders>
          </w:tcPr>
          <w:p w:rsidR="004F1664" w:rsidRDefault="009F1B90">
            <w:pPr>
              <w:spacing w:after="56" w:line="259" w:lineRule="auto"/>
              <w:ind w:left="114" w:firstLine="0"/>
              <w:jc w:val="center"/>
            </w:pPr>
            <w:r>
              <w:rPr>
                <w:rFonts w:ascii="Calibri" w:eastAsia="Calibri" w:hAnsi="Calibri" w:cs="Calibri"/>
                <w:sz w:val="19"/>
              </w:rPr>
              <w:t>45.0%</w:t>
            </w:r>
          </w:p>
          <w:p w:rsidR="004F1664" w:rsidRDefault="009F1B90">
            <w:pPr>
              <w:spacing w:after="55" w:line="259" w:lineRule="auto"/>
              <w:ind w:left="97" w:firstLine="0"/>
              <w:jc w:val="center"/>
            </w:pPr>
            <w:r>
              <w:rPr>
                <w:rFonts w:ascii="Calibri" w:eastAsia="Calibri" w:hAnsi="Calibri" w:cs="Calibri"/>
                <w:sz w:val="19"/>
              </w:rPr>
              <w:t>2.5%</w:t>
            </w:r>
          </w:p>
          <w:p w:rsidR="004F1664" w:rsidRDefault="009F1B90">
            <w:pPr>
              <w:spacing w:after="56" w:line="259" w:lineRule="auto"/>
              <w:ind w:left="97" w:firstLine="0"/>
              <w:jc w:val="center"/>
            </w:pPr>
            <w:r>
              <w:rPr>
                <w:rFonts w:ascii="Calibri" w:eastAsia="Calibri" w:hAnsi="Calibri" w:cs="Calibri"/>
                <w:sz w:val="19"/>
              </w:rPr>
              <w:t>7.5%</w:t>
            </w:r>
          </w:p>
          <w:p w:rsidR="004F1664" w:rsidRDefault="009F1B90">
            <w:pPr>
              <w:spacing w:after="55" w:line="259" w:lineRule="auto"/>
              <w:ind w:left="114" w:firstLine="0"/>
              <w:jc w:val="center"/>
            </w:pPr>
            <w:r>
              <w:rPr>
                <w:rFonts w:ascii="Calibri" w:eastAsia="Calibri" w:hAnsi="Calibri" w:cs="Calibri"/>
                <w:sz w:val="19"/>
              </w:rPr>
              <w:t>10.0%</w:t>
            </w:r>
          </w:p>
          <w:p w:rsidR="004F1664" w:rsidRDefault="009F1B90">
            <w:pPr>
              <w:spacing w:after="56" w:line="259" w:lineRule="auto"/>
              <w:ind w:left="97" w:firstLine="0"/>
              <w:jc w:val="center"/>
            </w:pPr>
            <w:r>
              <w:rPr>
                <w:rFonts w:ascii="Calibri" w:eastAsia="Calibri" w:hAnsi="Calibri" w:cs="Calibri"/>
                <w:sz w:val="19"/>
              </w:rPr>
              <w:t>9.0%</w:t>
            </w:r>
          </w:p>
          <w:p w:rsidR="004F1664" w:rsidRDefault="009F1B90">
            <w:pPr>
              <w:spacing w:after="55" w:line="259" w:lineRule="auto"/>
              <w:ind w:left="114" w:firstLine="0"/>
              <w:jc w:val="center"/>
            </w:pPr>
            <w:r>
              <w:rPr>
                <w:rFonts w:ascii="Calibri" w:eastAsia="Calibri" w:hAnsi="Calibri" w:cs="Calibri"/>
                <w:sz w:val="19"/>
              </w:rPr>
              <w:t>10.0%</w:t>
            </w:r>
          </w:p>
          <w:p w:rsidR="004F1664" w:rsidRDefault="009F1B90">
            <w:pPr>
              <w:spacing w:after="56" w:line="259" w:lineRule="auto"/>
              <w:ind w:left="114" w:firstLine="0"/>
              <w:jc w:val="center"/>
            </w:pPr>
            <w:r>
              <w:rPr>
                <w:rFonts w:ascii="Calibri" w:eastAsia="Calibri" w:hAnsi="Calibri" w:cs="Calibri"/>
                <w:sz w:val="19"/>
              </w:rPr>
              <w:t>15.0%</w:t>
            </w:r>
          </w:p>
          <w:p w:rsidR="004F1664" w:rsidRDefault="009F1B90">
            <w:pPr>
              <w:spacing w:after="0" w:line="259" w:lineRule="auto"/>
              <w:ind w:left="97" w:firstLine="0"/>
              <w:jc w:val="center"/>
            </w:pPr>
            <w:r>
              <w:rPr>
                <w:rFonts w:ascii="Calibri" w:eastAsia="Calibri" w:hAnsi="Calibri" w:cs="Calibri"/>
                <w:sz w:val="19"/>
              </w:rPr>
              <w:t>1.0%</w:t>
            </w:r>
          </w:p>
        </w:tc>
        <w:tc>
          <w:tcPr>
            <w:tcW w:w="1429" w:type="dxa"/>
            <w:tcBorders>
              <w:top w:val="single" w:sz="12" w:space="0" w:color="FFFFFF"/>
              <w:left w:val="single" w:sz="13" w:space="0" w:color="FFFFFF"/>
              <w:bottom w:val="single" w:sz="12" w:space="0" w:color="FFFFFF"/>
              <w:right w:val="single" w:sz="13" w:space="0" w:color="FFFFFF"/>
            </w:tcBorders>
          </w:tcPr>
          <w:p w:rsidR="004F1664" w:rsidRDefault="009F1B90">
            <w:pPr>
              <w:spacing w:after="56" w:line="259" w:lineRule="auto"/>
              <w:ind w:left="94" w:firstLine="0"/>
              <w:jc w:val="center"/>
            </w:pPr>
            <w:r>
              <w:rPr>
                <w:rFonts w:ascii="Calibri" w:eastAsia="Calibri" w:hAnsi="Calibri" w:cs="Calibri"/>
                <w:sz w:val="19"/>
              </w:rPr>
              <w:t>35%-55%</w:t>
            </w:r>
          </w:p>
          <w:p w:rsidR="004F1664" w:rsidRDefault="009F1B90">
            <w:pPr>
              <w:spacing w:after="55" w:line="259" w:lineRule="auto"/>
              <w:ind w:left="109" w:firstLine="0"/>
              <w:jc w:val="center"/>
            </w:pPr>
            <w:r>
              <w:rPr>
                <w:rFonts w:ascii="Calibri" w:eastAsia="Calibri" w:hAnsi="Calibri" w:cs="Calibri"/>
                <w:sz w:val="19"/>
              </w:rPr>
              <w:t>0%-15%</w:t>
            </w:r>
          </w:p>
          <w:p w:rsidR="004F1664" w:rsidRDefault="009F1B90">
            <w:pPr>
              <w:spacing w:after="56" w:line="259" w:lineRule="auto"/>
              <w:ind w:left="109" w:firstLine="0"/>
              <w:jc w:val="center"/>
            </w:pPr>
            <w:r>
              <w:rPr>
                <w:rFonts w:ascii="Calibri" w:eastAsia="Calibri" w:hAnsi="Calibri" w:cs="Calibri"/>
                <w:sz w:val="19"/>
              </w:rPr>
              <w:t>5%-15%</w:t>
            </w:r>
          </w:p>
          <w:p w:rsidR="004F1664" w:rsidRDefault="009F1B90">
            <w:pPr>
              <w:spacing w:after="55" w:line="259" w:lineRule="auto"/>
              <w:ind w:left="109" w:firstLine="0"/>
              <w:jc w:val="center"/>
            </w:pPr>
            <w:r>
              <w:rPr>
                <w:rFonts w:ascii="Calibri" w:eastAsia="Calibri" w:hAnsi="Calibri" w:cs="Calibri"/>
                <w:sz w:val="19"/>
              </w:rPr>
              <w:t>5%-15%</w:t>
            </w:r>
          </w:p>
          <w:p w:rsidR="004F1664" w:rsidRDefault="009F1B90">
            <w:pPr>
              <w:spacing w:after="56" w:line="259" w:lineRule="auto"/>
              <w:ind w:left="110" w:firstLine="0"/>
              <w:jc w:val="center"/>
            </w:pPr>
            <w:r>
              <w:rPr>
                <w:rFonts w:ascii="Calibri" w:eastAsia="Calibri" w:hAnsi="Calibri" w:cs="Calibri"/>
                <w:sz w:val="19"/>
              </w:rPr>
              <w:t>0%-12.5%</w:t>
            </w:r>
          </w:p>
          <w:p w:rsidR="004F1664" w:rsidRDefault="009F1B90">
            <w:pPr>
              <w:spacing w:after="55" w:line="259" w:lineRule="auto"/>
              <w:ind w:left="109" w:firstLine="0"/>
              <w:jc w:val="center"/>
            </w:pPr>
            <w:r>
              <w:rPr>
                <w:rFonts w:ascii="Calibri" w:eastAsia="Calibri" w:hAnsi="Calibri" w:cs="Calibri"/>
                <w:sz w:val="19"/>
              </w:rPr>
              <w:t>5%-15%</w:t>
            </w:r>
          </w:p>
          <w:p w:rsidR="004F1664" w:rsidRDefault="009F1B90">
            <w:pPr>
              <w:spacing w:after="56" w:line="259" w:lineRule="auto"/>
              <w:ind w:left="109" w:firstLine="0"/>
              <w:jc w:val="center"/>
            </w:pPr>
            <w:r>
              <w:rPr>
                <w:rFonts w:ascii="Calibri" w:eastAsia="Calibri" w:hAnsi="Calibri" w:cs="Calibri"/>
                <w:sz w:val="19"/>
              </w:rPr>
              <w:t>0%-20%</w:t>
            </w:r>
          </w:p>
          <w:p w:rsidR="004F1664" w:rsidRDefault="009F1B90">
            <w:pPr>
              <w:spacing w:after="0" w:line="259" w:lineRule="auto"/>
              <w:ind w:left="109" w:firstLine="0"/>
              <w:jc w:val="center"/>
            </w:pPr>
            <w:r>
              <w:rPr>
                <w:rFonts w:ascii="Calibri" w:eastAsia="Calibri" w:hAnsi="Calibri" w:cs="Calibri"/>
                <w:sz w:val="19"/>
              </w:rPr>
              <w:t>0%-10%</w:t>
            </w:r>
          </w:p>
        </w:tc>
      </w:tr>
      <w:tr w:rsidR="004F1664">
        <w:trPr>
          <w:trHeight w:val="307"/>
        </w:trPr>
        <w:tc>
          <w:tcPr>
            <w:tcW w:w="1976" w:type="dxa"/>
            <w:tcBorders>
              <w:top w:val="single" w:sz="12" w:space="0" w:color="FFFFFF"/>
              <w:left w:val="single" w:sz="6" w:space="0" w:color="FFFFFF"/>
              <w:bottom w:val="single" w:sz="12" w:space="0" w:color="FFFFFF"/>
              <w:right w:val="single" w:sz="13" w:space="0" w:color="FFFFFF"/>
            </w:tcBorders>
            <w:shd w:val="clear" w:color="auto" w:fill="366092"/>
          </w:tcPr>
          <w:p w:rsidR="004F1664" w:rsidRDefault="009F1B90">
            <w:pPr>
              <w:spacing w:after="0" w:line="259" w:lineRule="auto"/>
              <w:ind w:left="0" w:firstLine="0"/>
              <w:jc w:val="left"/>
            </w:pPr>
            <w:r>
              <w:rPr>
                <w:rFonts w:ascii="Calibri" w:eastAsia="Calibri" w:hAnsi="Calibri" w:cs="Calibri"/>
                <w:b/>
                <w:color w:val="FFFFFF"/>
                <w:sz w:val="19"/>
              </w:rPr>
              <w:t xml:space="preserve">Total </w:t>
            </w:r>
          </w:p>
        </w:tc>
        <w:tc>
          <w:tcPr>
            <w:tcW w:w="1426" w:type="dxa"/>
            <w:tcBorders>
              <w:top w:val="single" w:sz="12" w:space="0" w:color="FFFFFF"/>
              <w:left w:val="single" w:sz="13" w:space="0" w:color="FFFFFF"/>
              <w:bottom w:val="single" w:sz="12" w:space="0" w:color="FFFFFF"/>
              <w:right w:val="single" w:sz="13" w:space="0" w:color="FFFFFF"/>
            </w:tcBorders>
            <w:shd w:val="clear" w:color="auto" w:fill="366092"/>
          </w:tcPr>
          <w:p w:rsidR="004F1664" w:rsidRDefault="009F1B90">
            <w:pPr>
              <w:spacing w:after="0" w:line="259" w:lineRule="auto"/>
              <w:ind w:left="101" w:firstLine="0"/>
              <w:jc w:val="center"/>
            </w:pPr>
            <w:r>
              <w:rPr>
                <w:rFonts w:ascii="Calibri" w:eastAsia="Calibri" w:hAnsi="Calibri" w:cs="Calibri"/>
                <w:b/>
                <w:color w:val="FFFFFF"/>
                <w:sz w:val="19"/>
              </w:rPr>
              <w:t>100%</w:t>
            </w:r>
          </w:p>
        </w:tc>
        <w:tc>
          <w:tcPr>
            <w:tcW w:w="1429" w:type="dxa"/>
            <w:tcBorders>
              <w:top w:val="single" w:sz="12" w:space="0" w:color="FFFFFF"/>
              <w:left w:val="single" w:sz="13" w:space="0" w:color="FFFFFF"/>
              <w:bottom w:val="single" w:sz="12" w:space="0" w:color="FFFFFF"/>
              <w:right w:val="single" w:sz="13" w:space="0" w:color="FFFFFF"/>
            </w:tcBorders>
            <w:shd w:val="clear" w:color="auto" w:fill="366092"/>
          </w:tcPr>
          <w:p w:rsidR="004F1664" w:rsidRDefault="004F1664">
            <w:pPr>
              <w:spacing w:after="160" w:line="259" w:lineRule="auto"/>
              <w:ind w:left="0" w:firstLine="0"/>
              <w:jc w:val="left"/>
            </w:pPr>
          </w:p>
        </w:tc>
      </w:tr>
    </w:tbl>
    <w:p w:rsidR="004F1664" w:rsidRDefault="009F1B90">
      <w:pPr>
        <w:spacing w:after="0" w:line="259" w:lineRule="auto"/>
        <w:ind w:left="66" w:firstLine="0"/>
        <w:jc w:val="center"/>
      </w:pPr>
      <w:r>
        <w:t xml:space="preserve"> </w:t>
      </w:r>
    </w:p>
    <w:p w:rsidR="004F1664" w:rsidRDefault="009F1B90">
      <w:pPr>
        <w:ind w:left="677"/>
      </w:pPr>
      <w:r>
        <w:t xml:space="preserve">Each asset class has its own specific investment objective and within each asset class there are further diversification controls. The mandates are managed by Local Pensions Partnership Investments Ltd (LPP I), </w:t>
      </w:r>
      <w:r>
        <w:t>to whom the Fund has delegated investment management and implementation duties in line with the principle of asset pooling within LGPS. LPP I has discretion to act on behalf of the Board in order to implement the allocations set out in the Policy Portfolio</w:t>
      </w:r>
      <w:r>
        <w:t xml:space="preserve">.  This includes determining any over/under allocation within the tolerance ranges.  Should allocations fall out of the ranges LPP I is responsible for informing the LPFA and agreeing appropriate action.  </w:t>
      </w:r>
    </w:p>
    <w:p w:rsidR="004F1664" w:rsidRDefault="009F1B90">
      <w:pPr>
        <w:spacing w:after="0" w:line="259" w:lineRule="auto"/>
        <w:ind w:left="0" w:firstLine="0"/>
        <w:jc w:val="left"/>
      </w:pPr>
      <w:r>
        <w:t xml:space="preserve"> </w:t>
      </w:r>
    </w:p>
    <w:p w:rsidR="004F1664" w:rsidRDefault="009F1B90">
      <w:pPr>
        <w:pStyle w:val="Heading3"/>
        <w:ind w:left="677"/>
      </w:pPr>
      <w:r>
        <w:t xml:space="preserve">Global Equities </w:t>
      </w:r>
    </w:p>
    <w:p w:rsidR="004F1664" w:rsidRDefault="009F1B90">
      <w:pPr>
        <w:ind w:left="677"/>
      </w:pPr>
      <w:r>
        <w:t xml:space="preserve">The objective is to outperform </w:t>
      </w:r>
      <w:r>
        <w:t xml:space="preserve">the MSCI All Country World, net dividends reinvested, in GBP Index over the full market cycle which is considered to be at least seven years (the </w:t>
      </w:r>
      <w:r>
        <w:t xml:space="preserve">“Benchmark”). </w:t>
      </w:r>
      <w:r>
        <w:t xml:space="preserve">Equity investments are made via LPP I, by investing in underlying funds which may </w:t>
      </w:r>
      <w:r>
        <w:t>be managed by LPP I (“Internal Mandates”), or by external third parties (“External Mandates”).</w:t>
      </w:r>
      <w:r>
        <w:t xml:space="preserve">  LPFA also gains exposure to equities via equity index futures which are designed to replicate the performance of the MSCI All Country World Index.  </w:t>
      </w:r>
    </w:p>
    <w:p w:rsidR="004F1664" w:rsidRDefault="009F1B90">
      <w:pPr>
        <w:spacing w:after="0" w:line="259" w:lineRule="auto"/>
        <w:ind w:left="0" w:firstLine="0"/>
        <w:jc w:val="left"/>
      </w:pPr>
      <w:r>
        <w:t xml:space="preserve"> </w:t>
      </w:r>
    </w:p>
    <w:p w:rsidR="004F1664" w:rsidRDefault="009F1B90">
      <w:pPr>
        <w:pStyle w:val="Heading3"/>
        <w:ind w:left="677"/>
      </w:pPr>
      <w:r>
        <w:t>Private E</w:t>
      </w:r>
      <w:r>
        <w:t xml:space="preserve">quity </w:t>
      </w:r>
    </w:p>
    <w:p w:rsidR="004F1664" w:rsidRDefault="009F1B90">
      <w:pPr>
        <w:ind w:left="677"/>
      </w:pPr>
      <w:r>
        <w:t>The objective is to outperform the MSCI World, net dividends reinvested, in GBP Index and provide investors with access to attractive private equity opportunities. All new investments will include, but not be limited to the following sectors: Buyout</w:t>
      </w:r>
      <w:r>
        <w:t xml:space="preserve">, Venture Capital, Growth Equity, Special Situations/Distressed and Upstream Energy.  </w:t>
      </w:r>
    </w:p>
    <w:p w:rsidR="004F1664" w:rsidRDefault="009F1B90">
      <w:pPr>
        <w:spacing w:after="0" w:line="259" w:lineRule="auto"/>
        <w:ind w:left="0" w:firstLine="0"/>
        <w:jc w:val="left"/>
      </w:pPr>
      <w:r>
        <w:rPr>
          <w:sz w:val="19"/>
        </w:rPr>
        <w:t xml:space="preserve"> </w:t>
      </w:r>
    </w:p>
    <w:p w:rsidR="004F1664" w:rsidRDefault="009F1B90">
      <w:pPr>
        <w:pStyle w:val="Heading3"/>
        <w:ind w:left="677"/>
      </w:pPr>
      <w:r>
        <w:t xml:space="preserve">Fixed Income </w:t>
      </w:r>
    </w:p>
    <w:p w:rsidR="004F1664" w:rsidRDefault="009F1B90">
      <w:pPr>
        <w:ind w:left="677"/>
      </w:pPr>
      <w:r>
        <w:t xml:space="preserve">The objective is to outperform 1 Month GBP LIBOR </w:t>
      </w:r>
      <w:r>
        <w:t>by 2.0% per annum. The LPP I Pool will pursue this aim by investing in underlying funds which may be managed b</w:t>
      </w:r>
      <w:r>
        <w:t xml:space="preserve">y LPP I (“Internal Mandates”), or by external third parties (“External Mandates”) which are consistent with the </w:t>
      </w:r>
      <w:r>
        <w:t xml:space="preserve">Fixed Income </w:t>
      </w:r>
      <w:r>
        <w:t>Pool’s investment obj</w:t>
      </w:r>
      <w:r>
        <w:t>ectives and restrictions.</w:t>
      </w:r>
      <w:r>
        <w:t xml:space="preserve"> </w:t>
      </w:r>
    </w:p>
    <w:p w:rsidR="004F1664" w:rsidRDefault="009F1B90">
      <w:pPr>
        <w:spacing w:after="0" w:line="259" w:lineRule="auto"/>
        <w:ind w:left="0" w:firstLine="0"/>
        <w:jc w:val="left"/>
      </w:pPr>
      <w:r>
        <w:t xml:space="preserve"> </w:t>
      </w:r>
    </w:p>
    <w:p w:rsidR="004F1664" w:rsidRDefault="009F1B90">
      <w:pPr>
        <w:pStyle w:val="Heading3"/>
        <w:ind w:left="677"/>
      </w:pPr>
      <w:r>
        <w:t xml:space="preserve">Total Return </w:t>
      </w:r>
    </w:p>
    <w:p w:rsidR="004F1664" w:rsidRDefault="009F1B90">
      <w:pPr>
        <w:ind w:left="677"/>
      </w:pPr>
      <w:r>
        <w:t>The LPP I total return pool seeks to gain cost effective exposure to diversifying sources of return distinct from global equity beta and bond duration. The LPP I pool will pursue this aim primarily by allocating c</w:t>
      </w:r>
      <w:r>
        <w:t xml:space="preserve">apital to investment strategies managed by external third parties </w:t>
      </w:r>
      <w:r>
        <w:t xml:space="preserve">(“External Mandates”). </w:t>
      </w:r>
      <w:r>
        <w:t xml:space="preserve"> </w:t>
      </w:r>
    </w:p>
    <w:p w:rsidR="004F1664" w:rsidRDefault="009F1B90">
      <w:pPr>
        <w:spacing w:after="0" w:line="259" w:lineRule="auto"/>
        <w:ind w:left="0" w:firstLine="0"/>
        <w:jc w:val="left"/>
      </w:pPr>
      <w:r>
        <w:t xml:space="preserve"> </w:t>
      </w:r>
    </w:p>
    <w:p w:rsidR="004F1664" w:rsidRDefault="009F1B90">
      <w:pPr>
        <w:pStyle w:val="Heading3"/>
        <w:ind w:left="677"/>
      </w:pPr>
      <w:r>
        <w:t xml:space="preserve">Infrastructure </w:t>
      </w:r>
    </w:p>
    <w:p w:rsidR="004F1664" w:rsidRDefault="009F1B90">
      <w:pPr>
        <w:spacing w:after="3" w:line="241" w:lineRule="auto"/>
        <w:ind w:left="677"/>
        <w:jc w:val="left"/>
      </w:pPr>
      <w:r>
        <w:t>The objective is to gain cost effective, diversified exposure to global infrastructure assets located predominantly in OECD nations. These investme</w:t>
      </w:r>
      <w:r>
        <w:t xml:space="preserve">nts seek to generate a satisfactory risk adjusted return; improve diversification; provide predictable cash flows; and indirectly hedge against inflation. </w:t>
      </w:r>
    </w:p>
    <w:p w:rsidR="004F1664" w:rsidRDefault="009F1B90">
      <w:pPr>
        <w:spacing w:after="51" w:line="259" w:lineRule="auto"/>
        <w:ind w:left="0" w:firstLine="0"/>
        <w:jc w:val="left"/>
      </w:pPr>
      <w:r>
        <w:rPr>
          <w:sz w:val="22"/>
        </w:rPr>
        <w:t xml:space="preserve"> </w:t>
      </w:r>
    </w:p>
    <w:p w:rsidR="004F1664" w:rsidRDefault="009F1B90">
      <w:pPr>
        <w:pStyle w:val="Heading3"/>
        <w:ind w:left="677"/>
      </w:pPr>
      <w:r>
        <w:t xml:space="preserve">Alternative Credit </w:t>
      </w:r>
    </w:p>
    <w:p w:rsidR="004F1664" w:rsidRDefault="009F1B90">
      <w:pPr>
        <w:ind w:left="677"/>
      </w:pPr>
      <w:r>
        <w:t xml:space="preserve">The objective is to gain cost effective exposure to diverse sources of return </w:t>
      </w:r>
      <w:r>
        <w:t xml:space="preserve">linked to global credit markets and credit instruments. The LPP I investment pool will pursue this aim primarily by allocating capital to investment vehicles, mandates or pooled funds managed by external </w:t>
      </w:r>
      <w:r>
        <w:t xml:space="preserve">third parties (“External Mandates”). </w:t>
      </w:r>
      <w:r>
        <w:t xml:space="preserve"> </w:t>
      </w:r>
    </w:p>
    <w:p w:rsidR="004F1664" w:rsidRDefault="009F1B90">
      <w:pPr>
        <w:spacing w:after="0" w:line="259" w:lineRule="auto"/>
        <w:ind w:left="0" w:firstLine="0"/>
        <w:jc w:val="left"/>
      </w:pPr>
      <w:r>
        <w:rPr>
          <w:sz w:val="19"/>
        </w:rPr>
        <w:t xml:space="preserve"> </w:t>
      </w:r>
    </w:p>
    <w:p w:rsidR="004F1664" w:rsidRDefault="009F1B90">
      <w:pPr>
        <w:pStyle w:val="Heading3"/>
        <w:ind w:left="677"/>
      </w:pPr>
      <w:r>
        <w:t xml:space="preserve">Property </w:t>
      </w:r>
    </w:p>
    <w:p w:rsidR="004F1664" w:rsidRDefault="009F1B90">
      <w:pPr>
        <w:ind w:left="677"/>
      </w:pPr>
      <w:r>
        <w:t>T</w:t>
      </w:r>
      <w:r>
        <w:t>he objective is to gain cost effective, diversified exposure to UK and international property assets that meet its investment objectives: to generate a return in excess of the benchmark; earn predictable cash flows; and provide a partial hedge against infl</w:t>
      </w:r>
      <w:r>
        <w:t xml:space="preserve">ation. The largest exposure of the portfolio will be to traditional sectors of the UK commercial real estate market. A smaller allocation will be made to value-added and opportunistic investments. </w:t>
      </w:r>
    </w:p>
    <w:p w:rsidR="004F1664" w:rsidRDefault="009F1B90">
      <w:pPr>
        <w:spacing w:after="0" w:line="259" w:lineRule="auto"/>
        <w:ind w:left="0" w:firstLine="0"/>
        <w:jc w:val="left"/>
      </w:pPr>
      <w:r>
        <w:t xml:space="preserve"> </w:t>
      </w:r>
    </w:p>
    <w:p w:rsidR="004F1664" w:rsidRDefault="009F1B90">
      <w:pPr>
        <w:pStyle w:val="Heading3"/>
        <w:ind w:left="677"/>
      </w:pPr>
      <w:r>
        <w:t xml:space="preserve">Cash/ Liquidity </w:t>
      </w:r>
    </w:p>
    <w:p w:rsidR="004F1664" w:rsidRDefault="009F1B90">
      <w:pPr>
        <w:ind w:left="677"/>
      </w:pPr>
      <w:r>
        <w:t>The objective is to achieve cost effect</w:t>
      </w:r>
      <w:r>
        <w:t xml:space="preserve">ive management of cash balances by allocating capital to securities or funds in appropriate markets and in relevant currencies or hedged back to relevant currencies. The benchmark for the Liquidity pool is 1 month GBP LIBOR. </w:t>
      </w:r>
    </w:p>
    <w:p w:rsidR="004F1664" w:rsidRDefault="009F1B90">
      <w:pPr>
        <w:ind w:left="677"/>
      </w:pPr>
      <w:r>
        <w:t>The policy portfolio has a num</w:t>
      </w:r>
      <w:r>
        <w:t xml:space="preserve">ber of illiquid assets that could prove difficult to sell in a period of market turmoil. Due to the fact most of these assets generate income that can be used to pay benefits throughout the business cycle (e.g. income from infrastructure and rent payments </w:t>
      </w:r>
      <w:r>
        <w:t xml:space="preserve">from properties), the scheme has determined that the illiquidity premiums that are generated from holding these assets are enough compensation for the level of risk. </w:t>
      </w:r>
    </w:p>
    <w:p w:rsidR="004F1664" w:rsidRDefault="009F1B90">
      <w:pPr>
        <w:spacing w:after="21" w:line="259" w:lineRule="auto"/>
        <w:ind w:left="0" w:firstLine="0"/>
        <w:jc w:val="left"/>
      </w:pPr>
      <w:r>
        <w:rPr>
          <w:sz w:val="19"/>
        </w:rPr>
        <w:t xml:space="preserve"> </w:t>
      </w:r>
    </w:p>
    <w:p w:rsidR="004F1664" w:rsidRDefault="009F1B90">
      <w:pPr>
        <w:pStyle w:val="Heading2"/>
        <w:tabs>
          <w:tab w:val="center" w:pos="2230"/>
        </w:tabs>
        <w:ind w:left="0" w:firstLine="0"/>
      </w:pPr>
      <w:r>
        <w:t>4.</w:t>
      </w:r>
      <w:r>
        <w:rPr>
          <w:rFonts w:ascii="Arial" w:eastAsia="Arial" w:hAnsi="Arial" w:cs="Arial"/>
        </w:rPr>
        <w:t xml:space="preserve"> </w:t>
      </w:r>
      <w:r>
        <w:rPr>
          <w:rFonts w:ascii="Arial" w:eastAsia="Arial" w:hAnsi="Arial" w:cs="Arial"/>
        </w:rPr>
        <w:tab/>
      </w:r>
      <w:r>
        <w:t xml:space="preserve">INVESTMENT GOVERNANCE </w:t>
      </w:r>
    </w:p>
    <w:p w:rsidR="004F1664" w:rsidRDefault="009F1B90">
      <w:pPr>
        <w:spacing w:after="0" w:line="259" w:lineRule="auto"/>
        <w:ind w:left="0" w:firstLine="0"/>
        <w:jc w:val="left"/>
      </w:pPr>
      <w:r>
        <w:rPr>
          <w:b/>
        </w:rPr>
        <w:t xml:space="preserve"> </w:t>
      </w:r>
    </w:p>
    <w:p w:rsidR="004F1664" w:rsidRDefault="009F1B90">
      <w:pPr>
        <w:ind w:left="677"/>
      </w:pPr>
      <w:r>
        <w:t>The Board is responsible for setting the objectives and risk tolerances of the scheme. The Board sets in conjunction wit</w:t>
      </w:r>
      <w:r>
        <w:t xml:space="preserve">h the scheme’s actuary the required rate of return needed to </w:t>
      </w:r>
      <w:r>
        <w:t>achieve its objectives and the risks it is willing to take. Once these para</w:t>
      </w:r>
      <w:r>
        <w:t xml:space="preserve">meters are established, the Board will determine the strategic asset allocation or Policy Portfolio that it believes has the highest probability of succeeding. The implementation of the asset allocation is delegated to an expert investment manager </w:t>
      </w:r>
      <w:r>
        <w:t>–</w:t>
      </w:r>
      <w:r>
        <w:t xml:space="preserve"> Local </w:t>
      </w:r>
      <w:r>
        <w:t>Pension Partnership Investment Ltd (LPP I). LPFA is a founding shareholder of LPP I and maintains ongoing corporate governance controls but plays no direct role in Investment Management activities. The Board will monitor the performance of LPP I and the po</w:t>
      </w:r>
      <w:r>
        <w:t xml:space="preserve">rtfolio. </w:t>
      </w:r>
    </w:p>
    <w:p w:rsidR="004F1664" w:rsidRDefault="009F1B90">
      <w:pPr>
        <w:spacing w:after="8" w:line="259" w:lineRule="auto"/>
        <w:ind w:left="0" w:firstLine="0"/>
        <w:jc w:val="left"/>
      </w:pPr>
      <w:r>
        <w:t xml:space="preserve"> </w:t>
      </w:r>
    </w:p>
    <w:p w:rsidR="004F1664" w:rsidRDefault="009F1B90">
      <w:pPr>
        <w:pStyle w:val="Heading2"/>
        <w:tabs>
          <w:tab w:val="center" w:pos="2495"/>
        </w:tabs>
        <w:ind w:left="0" w:firstLine="0"/>
      </w:pPr>
      <w:r>
        <w:t>5.</w:t>
      </w:r>
      <w:r>
        <w:rPr>
          <w:rFonts w:ascii="Arial" w:eastAsia="Arial" w:hAnsi="Arial" w:cs="Arial"/>
        </w:rPr>
        <w:t xml:space="preserve"> </w:t>
      </w:r>
      <w:r>
        <w:rPr>
          <w:rFonts w:ascii="Arial" w:eastAsia="Arial" w:hAnsi="Arial" w:cs="Arial"/>
        </w:rPr>
        <w:tab/>
      </w:r>
      <w:r>
        <w:t xml:space="preserve">INVESTMENT IMPLEMENTATION </w:t>
      </w:r>
    </w:p>
    <w:p w:rsidR="004F1664" w:rsidRDefault="009F1B90">
      <w:pPr>
        <w:spacing w:after="0" w:line="259" w:lineRule="auto"/>
        <w:ind w:left="0" w:firstLine="0"/>
        <w:jc w:val="left"/>
      </w:pPr>
      <w:r>
        <w:rPr>
          <w:b/>
          <w:sz w:val="19"/>
        </w:rPr>
        <w:t xml:space="preserve"> </w:t>
      </w:r>
    </w:p>
    <w:p w:rsidR="004F1664" w:rsidRDefault="009F1B90">
      <w:pPr>
        <w:ind w:left="677"/>
      </w:pPr>
      <w:r>
        <w:t>The implementation of all investments is delegated to Local Pensions Partnership Investment Ltd, an FCA authorised company. The partnership was set up by the LPFA and Lancashire County Council for the purpose of</w:t>
      </w:r>
      <w:r>
        <w:t xml:space="preserve"> achieving economies of scale, greater internal resource and superior investment opportunities. The partnership brings the benefit of scale and expert resources beyond that which would be available to the Fund alone.  This facilitates lower costs and a bro</w:t>
      </w:r>
      <w:r>
        <w:t xml:space="preserve">ader opportunity set which together facilitate improved net returns. Pooled vehicles are used wherever appropriate. Where assets are not physically pooled the management is typically pooled.  </w:t>
      </w:r>
    </w:p>
    <w:p w:rsidR="004F1664" w:rsidRDefault="009F1B90">
      <w:pPr>
        <w:spacing w:after="0" w:line="259" w:lineRule="auto"/>
        <w:ind w:left="682" w:firstLine="0"/>
        <w:jc w:val="left"/>
      </w:pPr>
      <w:r>
        <w:t xml:space="preserve"> </w:t>
      </w:r>
    </w:p>
    <w:p w:rsidR="004F1664" w:rsidRDefault="009F1B90">
      <w:pPr>
        <w:ind w:left="677"/>
      </w:pPr>
      <w:r>
        <w:t>The partnership has created eight investment pools to allow access to the asset classes listed in the Asset Allocation Framework section. The investment pools are a combination of internally managed and externally managed strategies that offer an effective</w:t>
      </w:r>
      <w:r>
        <w:t xml:space="preserve"> and efficient way of achieving asset class exposures.  </w:t>
      </w:r>
    </w:p>
    <w:p w:rsidR="004F1664" w:rsidRDefault="009F1B90">
      <w:pPr>
        <w:spacing w:after="0" w:line="259" w:lineRule="auto"/>
        <w:ind w:left="682" w:firstLine="0"/>
        <w:jc w:val="left"/>
      </w:pPr>
      <w:r>
        <w:t xml:space="preserve"> </w:t>
      </w:r>
    </w:p>
    <w:p w:rsidR="004F1664" w:rsidRDefault="009F1B90">
      <w:pPr>
        <w:ind w:left="677"/>
      </w:pPr>
      <w:r>
        <w:t xml:space="preserve">The Fund also expects to benefit from scale via pooling arrangements with other funds in order to better access direct investments in areas such as infrastructure.  </w:t>
      </w:r>
    </w:p>
    <w:p w:rsidR="004F1664" w:rsidRDefault="009F1B90">
      <w:pPr>
        <w:spacing w:after="0" w:line="259" w:lineRule="auto"/>
        <w:ind w:left="682" w:firstLine="0"/>
        <w:jc w:val="left"/>
      </w:pPr>
      <w:r>
        <w:t xml:space="preserve"> </w:t>
      </w:r>
    </w:p>
    <w:p w:rsidR="004F1664" w:rsidRDefault="009F1B90">
      <w:pPr>
        <w:ind w:left="677"/>
      </w:pPr>
      <w:r>
        <w:t>Some of the pools are expecte</w:t>
      </w:r>
      <w:r>
        <w:t>d to use derivatives as part of their strategies. Derivatives can reduce implementation costs, or change economic exposures. They may be used for both active and passive management strategies. The broad use of derivatives is explicitly approved the Board f</w:t>
      </w:r>
      <w:r>
        <w:t xml:space="preserve">or both investment purposes and efficient portfolio management. Both exchange traded and over the counter derivatives may be used.  </w:t>
      </w:r>
    </w:p>
    <w:p w:rsidR="004F1664" w:rsidRDefault="009F1B90">
      <w:pPr>
        <w:spacing w:after="0" w:line="259" w:lineRule="auto"/>
        <w:ind w:left="0" w:firstLine="0"/>
        <w:jc w:val="left"/>
      </w:pPr>
      <w:r>
        <w:t xml:space="preserve"> </w:t>
      </w:r>
    </w:p>
    <w:p w:rsidR="004F1664" w:rsidRDefault="009F1B90">
      <w:pPr>
        <w:spacing w:after="21" w:line="259" w:lineRule="auto"/>
        <w:ind w:left="0" w:firstLine="0"/>
        <w:jc w:val="left"/>
      </w:pPr>
      <w:r>
        <w:rPr>
          <w:sz w:val="19"/>
        </w:rPr>
        <w:t xml:space="preserve"> </w:t>
      </w:r>
    </w:p>
    <w:p w:rsidR="004F1664" w:rsidRDefault="009F1B90">
      <w:pPr>
        <w:pStyle w:val="Heading2"/>
        <w:tabs>
          <w:tab w:val="center" w:pos="1852"/>
        </w:tabs>
        <w:ind w:left="0" w:firstLine="0"/>
      </w:pPr>
      <w:r>
        <w:t>6.</w:t>
      </w:r>
      <w:r>
        <w:rPr>
          <w:rFonts w:ascii="Arial" w:eastAsia="Arial" w:hAnsi="Arial" w:cs="Arial"/>
        </w:rPr>
        <w:t xml:space="preserve"> </w:t>
      </w:r>
      <w:r>
        <w:rPr>
          <w:rFonts w:ascii="Arial" w:eastAsia="Arial" w:hAnsi="Arial" w:cs="Arial"/>
        </w:rPr>
        <w:tab/>
      </w:r>
      <w:r>
        <w:t xml:space="preserve">POOLING OF ASSETS </w:t>
      </w:r>
    </w:p>
    <w:p w:rsidR="004F1664" w:rsidRDefault="009F1B90">
      <w:pPr>
        <w:spacing w:after="0" w:line="259" w:lineRule="auto"/>
        <w:ind w:left="0" w:firstLine="0"/>
        <w:jc w:val="left"/>
      </w:pPr>
      <w:r>
        <w:rPr>
          <w:b/>
        </w:rPr>
        <w:t xml:space="preserve"> </w:t>
      </w:r>
    </w:p>
    <w:p w:rsidR="004F1664" w:rsidRDefault="009F1B90">
      <w:pPr>
        <w:ind w:left="677"/>
      </w:pPr>
      <w:r>
        <w:t xml:space="preserve">The Board has delegated the management of its investments to LPP I </w:t>
      </w:r>
      <w:r>
        <w:t xml:space="preserve">who are responsible for managing 100% of the assets of the Fund.  A significant majority of </w:t>
      </w:r>
      <w:r>
        <w:t>the Fund’s</w:t>
      </w:r>
      <w:r>
        <w:t xml:space="preserve"> assets have already, or are expected to be, transitioned into investment pooling vehicles also managed by LPP I. A small minority of assets will remain o</w:t>
      </w:r>
      <w:r>
        <w:t xml:space="preserve">n the balance sheet of the Fund </w:t>
      </w:r>
      <w:r>
        <w:t>as “legacy assets”</w:t>
      </w:r>
      <w:r>
        <w:t xml:space="preserve">. Assets will be held as legacy assets if; the costs of transitioning outweigh any potential gains, the assets have </w:t>
      </w:r>
      <w:r>
        <w:t xml:space="preserve">reached “harvesting period”, or transitioning would have a </w:t>
      </w:r>
      <w:r>
        <w:t xml:space="preserve">negative </w:t>
      </w:r>
      <w:r>
        <w:t>impact on the scheme’s</w:t>
      </w:r>
      <w:r>
        <w:t xml:space="preserve"> investment strategy.</w:t>
      </w:r>
      <w:r>
        <w:t xml:space="preserve"> </w:t>
      </w:r>
      <w:r>
        <w:t xml:space="preserve">Proceeds from assets in “harvesting period” will </w:t>
      </w:r>
      <w:r>
        <w:t xml:space="preserve">be reinvested through LPP asset pools.  </w:t>
      </w:r>
    </w:p>
    <w:p w:rsidR="004F1664" w:rsidRDefault="009F1B90">
      <w:pPr>
        <w:spacing w:after="0" w:line="259" w:lineRule="auto"/>
        <w:ind w:left="0" w:firstLine="0"/>
        <w:jc w:val="left"/>
      </w:pPr>
      <w:r>
        <w:rPr>
          <w:sz w:val="19"/>
        </w:rPr>
        <w:t xml:space="preserve"> </w:t>
      </w:r>
    </w:p>
    <w:tbl>
      <w:tblPr>
        <w:tblStyle w:val="TableGrid"/>
        <w:tblW w:w="9136" w:type="dxa"/>
        <w:tblInd w:w="658" w:type="dxa"/>
        <w:tblCellMar>
          <w:top w:w="24" w:type="dxa"/>
          <w:left w:w="0" w:type="dxa"/>
          <w:bottom w:w="9" w:type="dxa"/>
          <w:right w:w="0" w:type="dxa"/>
        </w:tblCellMar>
        <w:tblLook w:val="04A0" w:firstRow="1" w:lastRow="0" w:firstColumn="1" w:lastColumn="0" w:noHBand="0" w:noVBand="1"/>
      </w:tblPr>
      <w:tblGrid>
        <w:gridCol w:w="1826"/>
        <w:gridCol w:w="1829"/>
        <w:gridCol w:w="1827"/>
        <w:gridCol w:w="1827"/>
        <w:gridCol w:w="1827"/>
      </w:tblGrid>
      <w:tr w:rsidR="004F1664">
        <w:trPr>
          <w:trHeight w:val="389"/>
        </w:trPr>
        <w:tc>
          <w:tcPr>
            <w:tcW w:w="1826" w:type="dxa"/>
            <w:tcBorders>
              <w:top w:val="single" w:sz="8" w:space="0" w:color="000000"/>
              <w:left w:val="single" w:sz="8" w:space="0" w:color="000000"/>
              <w:bottom w:val="single" w:sz="8" w:space="0" w:color="000000"/>
              <w:right w:val="single" w:sz="8" w:space="0" w:color="000000"/>
            </w:tcBorders>
          </w:tcPr>
          <w:p w:rsidR="004F1664" w:rsidRDefault="009F1B90">
            <w:pPr>
              <w:spacing w:after="0" w:line="259" w:lineRule="auto"/>
              <w:ind w:left="0" w:right="3" w:firstLine="0"/>
              <w:jc w:val="center"/>
            </w:pPr>
            <w:r>
              <w:rPr>
                <w:b/>
              </w:rPr>
              <w:t xml:space="preserve">Asset Class </w:t>
            </w:r>
          </w:p>
        </w:tc>
        <w:tc>
          <w:tcPr>
            <w:tcW w:w="1829" w:type="dxa"/>
            <w:tcBorders>
              <w:top w:val="single" w:sz="8" w:space="0" w:color="000000"/>
              <w:left w:val="single" w:sz="8" w:space="0" w:color="000000"/>
              <w:bottom w:val="single" w:sz="8" w:space="0" w:color="000000"/>
              <w:right w:val="single" w:sz="8" w:space="0" w:color="000000"/>
            </w:tcBorders>
          </w:tcPr>
          <w:p w:rsidR="004F1664" w:rsidRDefault="009F1B90">
            <w:pPr>
              <w:spacing w:after="0" w:line="259" w:lineRule="auto"/>
              <w:ind w:left="233" w:firstLine="0"/>
              <w:jc w:val="left"/>
            </w:pPr>
            <w:r>
              <w:rPr>
                <w:b/>
              </w:rPr>
              <w:t xml:space="preserve">LPFA Assets </w:t>
            </w:r>
          </w:p>
        </w:tc>
        <w:tc>
          <w:tcPr>
            <w:tcW w:w="1827" w:type="dxa"/>
            <w:tcBorders>
              <w:top w:val="single" w:sz="8" w:space="0" w:color="000000"/>
              <w:left w:val="single" w:sz="8" w:space="0" w:color="000000"/>
              <w:bottom w:val="single" w:sz="8" w:space="0" w:color="000000"/>
              <w:right w:val="single" w:sz="8" w:space="0" w:color="000000"/>
            </w:tcBorders>
          </w:tcPr>
          <w:p w:rsidR="004F1664" w:rsidRDefault="009F1B90">
            <w:pPr>
              <w:spacing w:after="0" w:line="259" w:lineRule="auto"/>
              <w:ind w:left="48" w:firstLine="0"/>
            </w:pPr>
            <w:r>
              <w:rPr>
                <w:b/>
              </w:rPr>
              <w:t xml:space="preserve">Legal Structure </w:t>
            </w:r>
          </w:p>
        </w:tc>
        <w:tc>
          <w:tcPr>
            <w:tcW w:w="1827" w:type="dxa"/>
            <w:tcBorders>
              <w:top w:val="single" w:sz="8" w:space="0" w:color="000000"/>
              <w:left w:val="single" w:sz="8" w:space="0" w:color="000000"/>
              <w:bottom w:val="single" w:sz="8" w:space="0" w:color="000000"/>
              <w:right w:val="single" w:sz="8" w:space="0" w:color="000000"/>
            </w:tcBorders>
            <w:vAlign w:val="bottom"/>
          </w:tcPr>
          <w:p w:rsidR="004F1664" w:rsidRDefault="009F1B90">
            <w:pPr>
              <w:spacing w:after="0" w:line="259" w:lineRule="auto"/>
              <w:ind w:left="413" w:firstLine="0"/>
              <w:jc w:val="left"/>
            </w:pPr>
            <w:r>
              <w:rPr>
                <w:b/>
                <w:sz w:val="16"/>
              </w:rPr>
              <w:t xml:space="preserve"> </w:t>
            </w:r>
          </w:p>
        </w:tc>
        <w:tc>
          <w:tcPr>
            <w:tcW w:w="1827" w:type="dxa"/>
            <w:tcBorders>
              <w:top w:val="single" w:sz="8" w:space="0" w:color="000000"/>
              <w:left w:val="single" w:sz="8" w:space="0" w:color="000000"/>
              <w:bottom w:val="single" w:sz="8" w:space="0" w:color="000000"/>
              <w:right w:val="single" w:sz="8" w:space="0" w:color="000000"/>
            </w:tcBorders>
            <w:vAlign w:val="bottom"/>
          </w:tcPr>
          <w:p w:rsidR="004F1664" w:rsidRDefault="009F1B90">
            <w:pPr>
              <w:spacing w:after="0" w:line="259" w:lineRule="auto"/>
              <w:ind w:left="413" w:firstLine="0"/>
              <w:jc w:val="left"/>
            </w:pPr>
            <w:r>
              <w:rPr>
                <w:b/>
                <w:sz w:val="16"/>
              </w:rPr>
              <w:t xml:space="preserve"> </w:t>
            </w:r>
          </w:p>
        </w:tc>
      </w:tr>
      <w:tr w:rsidR="004F1664">
        <w:trPr>
          <w:trHeight w:val="506"/>
        </w:trPr>
        <w:tc>
          <w:tcPr>
            <w:tcW w:w="1826" w:type="dxa"/>
            <w:tcBorders>
              <w:top w:val="single" w:sz="8" w:space="0" w:color="000000"/>
              <w:left w:val="single" w:sz="8" w:space="0" w:color="000000"/>
              <w:bottom w:val="single" w:sz="8" w:space="0" w:color="000000"/>
              <w:right w:val="single" w:sz="8" w:space="0" w:color="000000"/>
            </w:tcBorders>
            <w:vAlign w:val="center"/>
          </w:tcPr>
          <w:p w:rsidR="004F1664" w:rsidRDefault="009F1B90">
            <w:pPr>
              <w:spacing w:after="0" w:line="259" w:lineRule="auto"/>
              <w:ind w:left="10" w:firstLine="0"/>
              <w:jc w:val="left"/>
            </w:pPr>
            <w:r>
              <w:rPr>
                <w:b/>
              </w:rPr>
              <w:t xml:space="preserve"> </w:t>
            </w:r>
          </w:p>
        </w:tc>
        <w:tc>
          <w:tcPr>
            <w:tcW w:w="1829" w:type="dxa"/>
            <w:tcBorders>
              <w:top w:val="single" w:sz="8" w:space="0" w:color="000000"/>
              <w:left w:val="single" w:sz="8" w:space="0" w:color="000000"/>
              <w:bottom w:val="single" w:sz="8" w:space="0" w:color="000000"/>
              <w:right w:val="single" w:sz="8" w:space="0" w:color="000000"/>
            </w:tcBorders>
          </w:tcPr>
          <w:p w:rsidR="004F1664" w:rsidRDefault="009F1B90">
            <w:pPr>
              <w:spacing w:after="0" w:line="259" w:lineRule="auto"/>
              <w:ind w:left="0" w:firstLine="0"/>
              <w:jc w:val="center"/>
            </w:pPr>
            <w:r>
              <w:rPr>
                <w:b/>
              </w:rPr>
              <w:t xml:space="preserve">Transitioned / Transitioning* </w:t>
            </w:r>
          </w:p>
        </w:tc>
        <w:tc>
          <w:tcPr>
            <w:tcW w:w="1827" w:type="dxa"/>
            <w:tcBorders>
              <w:top w:val="single" w:sz="8" w:space="0" w:color="000000"/>
              <w:left w:val="single" w:sz="8" w:space="0" w:color="000000"/>
              <w:bottom w:val="single" w:sz="8" w:space="0" w:color="000000"/>
              <w:right w:val="single" w:sz="8" w:space="0" w:color="000000"/>
            </w:tcBorders>
            <w:vAlign w:val="center"/>
          </w:tcPr>
          <w:p w:rsidR="004F1664" w:rsidRDefault="009F1B90">
            <w:pPr>
              <w:spacing w:after="0" w:line="259" w:lineRule="auto"/>
              <w:ind w:left="0" w:right="2" w:firstLine="0"/>
              <w:jc w:val="center"/>
            </w:pPr>
            <w:r>
              <w:rPr>
                <w:b/>
              </w:rPr>
              <w:t xml:space="preserve">Legacy* </w:t>
            </w:r>
          </w:p>
        </w:tc>
        <w:tc>
          <w:tcPr>
            <w:tcW w:w="1827" w:type="dxa"/>
            <w:tcBorders>
              <w:top w:val="single" w:sz="8" w:space="0" w:color="000000"/>
              <w:left w:val="single" w:sz="8" w:space="0" w:color="000000"/>
              <w:bottom w:val="single" w:sz="8" w:space="0" w:color="000000"/>
              <w:right w:val="single" w:sz="8" w:space="0" w:color="000000"/>
            </w:tcBorders>
            <w:vAlign w:val="center"/>
          </w:tcPr>
          <w:p w:rsidR="004F1664" w:rsidRDefault="009F1B90">
            <w:pPr>
              <w:spacing w:after="0" w:line="259" w:lineRule="auto"/>
              <w:ind w:left="0" w:right="3" w:firstLine="0"/>
              <w:jc w:val="center"/>
            </w:pPr>
            <w:r>
              <w:rPr>
                <w:b/>
              </w:rPr>
              <w:t xml:space="preserve">Total* </w:t>
            </w:r>
          </w:p>
        </w:tc>
        <w:tc>
          <w:tcPr>
            <w:tcW w:w="1827" w:type="dxa"/>
            <w:tcBorders>
              <w:top w:val="single" w:sz="8" w:space="0" w:color="000000"/>
              <w:left w:val="single" w:sz="8" w:space="0" w:color="000000"/>
              <w:bottom w:val="single" w:sz="8" w:space="0" w:color="000000"/>
              <w:right w:val="single" w:sz="8" w:space="0" w:color="000000"/>
            </w:tcBorders>
            <w:vAlign w:val="center"/>
          </w:tcPr>
          <w:p w:rsidR="004F1664" w:rsidRDefault="009F1B90">
            <w:pPr>
              <w:spacing w:after="0" w:line="259" w:lineRule="auto"/>
              <w:ind w:left="10" w:firstLine="0"/>
              <w:jc w:val="left"/>
            </w:pPr>
            <w:r>
              <w:rPr>
                <w:b/>
              </w:rPr>
              <w:t xml:space="preserve"> </w:t>
            </w:r>
          </w:p>
        </w:tc>
      </w:tr>
      <w:tr w:rsidR="004F1664">
        <w:trPr>
          <w:trHeight w:val="764"/>
        </w:trPr>
        <w:tc>
          <w:tcPr>
            <w:tcW w:w="1826" w:type="dxa"/>
            <w:tcBorders>
              <w:top w:val="single" w:sz="8" w:space="0" w:color="000000"/>
              <w:left w:val="single" w:sz="8" w:space="0" w:color="000000"/>
              <w:bottom w:val="nil"/>
              <w:right w:val="single" w:sz="8" w:space="0" w:color="000000"/>
            </w:tcBorders>
            <w:vAlign w:val="center"/>
          </w:tcPr>
          <w:p w:rsidR="004F1664" w:rsidRDefault="009F1B90">
            <w:pPr>
              <w:spacing w:after="0" w:line="259" w:lineRule="auto"/>
              <w:ind w:left="0" w:right="3" w:firstLine="0"/>
              <w:jc w:val="center"/>
            </w:pPr>
            <w:r>
              <w:t xml:space="preserve">Public Equity </w:t>
            </w:r>
          </w:p>
        </w:tc>
        <w:tc>
          <w:tcPr>
            <w:tcW w:w="1829" w:type="dxa"/>
            <w:tcBorders>
              <w:top w:val="single" w:sz="8" w:space="0" w:color="000000"/>
              <w:left w:val="single" w:sz="8" w:space="0" w:color="000000"/>
              <w:bottom w:val="nil"/>
              <w:right w:val="single" w:sz="8" w:space="0" w:color="000000"/>
            </w:tcBorders>
            <w:vAlign w:val="center"/>
          </w:tcPr>
          <w:p w:rsidR="004F1664" w:rsidRDefault="009F1B90">
            <w:pPr>
              <w:spacing w:after="0" w:line="259" w:lineRule="auto"/>
              <w:ind w:left="1" w:firstLine="0"/>
              <w:jc w:val="center"/>
            </w:pPr>
            <w:r>
              <w:t xml:space="preserve">43.8% </w:t>
            </w:r>
          </w:p>
        </w:tc>
        <w:tc>
          <w:tcPr>
            <w:tcW w:w="1827" w:type="dxa"/>
            <w:tcBorders>
              <w:top w:val="single" w:sz="8" w:space="0" w:color="000000"/>
              <w:left w:val="single" w:sz="8" w:space="0" w:color="000000"/>
              <w:bottom w:val="nil"/>
              <w:right w:val="single" w:sz="8" w:space="0" w:color="000000"/>
            </w:tcBorders>
            <w:vAlign w:val="center"/>
          </w:tcPr>
          <w:p w:rsidR="004F1664" w:rsidRDefault="009F1B90">
            <w:pPr>
              <w:spacing w:after="0" w:line="259" w:lineRule="auto"/>
              <w:ind w:left="0" w:right="4" w:firstLine="0"/>
              <w:jc w:val="center"/>
            </w:pPr>
            <w:r>
              <w:t xml:space="preserve">1.7% </w:t>
            </w:r>
          </w:p>
        </w:tc>
        <w:tc>
          <w:tcPr>
            <w:tcW w:w="1827" w:type="dxa"/>
            <w:tcBorders>
              <w:top w:val="single" w:sz="8" w:space="0" w:color="000000"/>
              <w:left w:val="single" w:sz="8" w:space="0" w:color="000000"/>
              <w:bottom w:val="nil"/>
              <w:right w:val="single" w:sz="8" w:space="0" w:color="000000"/>
            </w:tcBorders>
            <w:vAlign w:val="center"/>
          </w:tcPr>
          <w:p w:rsidR="004F1664" w:rsidRDefault="009F1B90">
            <w:pPr>
              <w:spacing w:after="0" w:line="259" w:lineRule="auto"/>
              <w:ind w:left="0" w:right="6" w:firstLine="0"/>
              <w:jc w:val="center"/>
            </w:pPr>
            <w:r>
              <w:rPr>
                <w:b/>
              </w:rPr>
              <w:t xml:space="preserve">45.5% </w:t>
            </w:r>
          </w:p>
        </w:tc>
        <w:tc>
          <w:tcPr>
            <w:tcW w:w="1827" w:type="dxa"/>
            <w:tcBorders>
              <w:top w:val="single" w:sz="8" w:space="0" w:color="000000"/>
              <w:left w:val="single" w:sz="8" w:space="0" w:color="000000"/>
              <w:bottom w:val="nil"/>
              <w:right w:val="single" w:sz="8" w:space="0" w:color="000000"/>
            </w:tcBorders>
          </w:tcPr>
          <w:p w:rsidR="004F1664" w:rsidRDefault="009F1B90">
            <w:pPr>
              <w:spacing w:after="0" w:line="259" w:lineRule="auto"/>
              <w:ind w:left="0" w:right="2" w:firstLine="0"/>
              <w:jc w:val="center"/>
            </w:pPr>
            <w:r>
              <w:t xml:space="preserve">Authorised </w:t>
            </w:r>
          </w:p>
          <w:p w:rsidR="004F1664" w:rsidRDefault="009F1B90">
            <w:pPr>
              <w:spacing w:after="0" w:line="259" w:lineRule="auto"/>
              <w:ind w:left="0" w:right="2" w:firstLine="0"/>
              <w:jc w:val="center"/>
            </w:pPr>
            <w:r>
              <w:t xml:space="preserve">Collective </w:t>
            </w:r>
          </w:p>
          <w:p w:rsidR="004F1664" w:rsidRDefault="009F1B90">
            <w:pPr>
              <w:spacing w:after="0" w:line="259" w:lineRule="auto"/>
              <w:ind w:left="0" w:right="3" w:firstLine="0"/>
              <w:jc w:val="center"/>
            </w:pPr>
            <w:r>
              <w:t xml:space="preserve">Scheme </w:t>
            </w:r>
          </w:p>
        </w:tc>
      </w:tr>
      <w:tr w:rsidR="004F1664">
        <w:trPr>
          <w:trHeight w:val="486"/>
        </w:trPr>
        <w:tc>
          <w:tcPr>
            <w:tcW w:w="1826" w:type="dxa"/>
            <w:tcBorders>
              <w:top w:val="nil"/>
              <w:left w:val="single" w:sz="8" w:space="0" w:color="000000"/>
              <w:bottom w:val="nil"/>
              <w:right w:val="single" w:sz="8" w:space="0" w:color="000000"/>
            </w:tcBorders>
            <w:vAlign w:val="center"/>
          </w:tcPr>
          <w:p w:rsidR="004F1664" w:rsidRDefault="009F1B90">
            <w:pPr>
              <w:spacing w:after="0" w:line="259" w:lineRule="auto"/>
              <w:ind w:left="0" w:right="1" w:firstLine="0"/>
              <w:jc w:val="center"/>
            </w:pPr>
            <w:r>
              <w:t xml:space="preserve">Private Equity </w:t>
            </w:r>
          </w:p>
        </w:tc>
        <w:tc>
          <w:tcPr>
            <w:tcW w:w="1829" w:type="dxa"/>
            <w:tcBorders>
              <w:top w:val="nil"/>
              <w:left w:val="single" w:sz="8" w:space="0" w:color="000000"/>
              <w:bottom w:val="nil"/>
              <w:right w:val="single" w:sz="8" w:space="0" w:color="000000"/>
            </w:tcBorders>
            <w:vAlign w:val="center"/>
          </w:tcPr>
          <w:p w:rsidR="004F1664" w:rsidRDefault="009F1B90">
            <w:pPr>
              <w:spacing w:after="0" w:line="259" w:lineRule="auto"/>
              <w:ind w:left="1" w:firstLine="0"/>
              <w:jc w:val="center"/>
            </w:pPr>
            <w:r>
              <w:t xml:space="preserve">10.8% </w:t>
            </w:r>
          </w:p>
        </w:tc>
        <w:tc>
          <w:tcPr>
            <w:tcW w:w="1827" w:type="dxa"/>
            <w:tcBorders>
              <w:top w:val="nil"/>
              <w:left w:val="single" w:sz="8" w:space="0" w:color="000000"/>
              <w:bottom w:val="nil"/>
              <w:right w:val="single" w:sz="8" w:space="0" w:color="000000"/>
            </w:tcBorders>
            <w:vAlign w:val="center"/>
          </w:tcPr>
          <w:p w:rsidR="004F1664" w:rsidRDefault="009F1B90">
            <w:pPr>
              <w:spacing w:after="0" w:line="259" w:lineRule="auto"/>
              <w:ind w:left="0" w:right="4" w:firstLine="0"/>
              <w:jc w:val="center"/>
            </w:pPr>
            <w:r>
              <w:t xml:space="preserve">0.0% </w:t>
            </w:r>
          </w:p>
        </w:tc>
        <w:tc>
          <w:tcPr>
            <w:tcW w:w="1827" w:type="dxa"/>
            <w:tcBorders>
              <w:top w:val="nil"/>
              <w:left w:val="single" w:sz="8" w:space="0" w:color="000000"/>
              <w:bottom w:val="nil"/>
              <w:right w:val="single" w:sz="8" w:space="0" w:color="000000"/>
            </w:tcBorders>
            <w:vAlign w:val="center"/>
          </w:tcPr>
          <w:p w:rsidR="004F1664" w:rsidRDefault="009F1B90">
            <w:pPr>
              <w:spacing w:after="0" w:line="259" w:lineRule="auto"/>
              <w:ind w:left="0" w:right="6" w:firstLine="0"/>
              <w:jc w:val="center"/>
            </w:pPr>
            <w:r>
              <w:rPr>
                <w:b/>
              </w:rPr>
              <w:t xml:space="preserve">10.8% </w:t>
            </w:r>
          </w:p>
        </w:tc>
        <w:tc>
          <w:tcPr>
            <w:tcW w:w="1827" w:type="dxa"/>
            <w:tcBorders>
              <w:top w:val="nil"/>
              <w:left w:val="single" w:sz="8" w:space="0" w:color="000000"/>
              <w:bottom w:val="nil"/>
              <w:right w:val="single" w:sz="8" w:space="0" w:color="000000"/>
            </w:tcBorders>
          </w:tcPr>
          <w:p w:rsidR="004F1664" w:rsidRDefault="009F1B90">
            <w:pPr>
              <w:spacing w:after="0" w:line="259" w:lineRule="auto"/>
              <w:ind w:left="0" w:firstLine="0"/>
              <w:jc w:val="center"/>
            </w:pPr>
            <w:r>
              <w:t xml:space="preserve">Limited Partnership </w:t>
            </w:r>
          </w:p>
        </w:tc>
      </w:tr>
      <w:tr w:rsidR="004F1664">
        <w:trPr>
          <w:trHeight w:val="486"/>
        </w:trPr>
        <w:tc>
          <w:tcPr>
            <w:tcW w:w="1826" w:type="dxa"/>
            <w:tcBorders>
              <w:top w:val="nil"/>
              <w:left w:val="single" w:sz="8" w:space="0" w:color="000000"/>
              <w:bottom w:val="nil"/>
              <w:right w:val="single" w:sz="8" w:space="0" w:color="000000"/>
            </w:tcBorders>
            <w:vAlign w:val="center"/>
          </w:tcPr>
          <w:p w:rsidR="004F1664" w:rsidRDefault="009F1B90">
            <w:pPr>
              <w:spacing w:after="0" w:line="259" w:lineRule="auto"/>
              <w:ind w:left="0" w:right="5" w:firstLine="0"/>
              <w:jc w:val="center"/>
            </w:pPr>
            <w:r>
              <w:t xml:space="preserve">Infrastructure </w:t>
            </w:r>
          </w:p>
        </w:tc>
        <w:tc>
          <w:tcPr>
            <w:tcW w:w="1829" w:type="dxa"/>
            <w:tcBorders>
              <w:top w:val="nil"/>
              <w:left w:val="single" w:sz="8" w:space="0" w:color="000000"/>
              <w:bottom w:val="nil"/>
              <w:right w:val="single" w:sz="8" w:space="0" w:color="000000"/>
            </w:tcBorders>
            <w:vAlign w:val="center"/>
          </w:tcPr>
          <w:p w:rsidR="004F1664" w:rsidRDefault="009F1B90">
            <w:pPr>
              <w:spacing w:after="0" w:line="259" w:lineRule="auto"/>
              <w:ind w:left="0" w:right="1" w:firstLine="0"/>
              <w:jc w:val="center"/>
            </w:pPr>
            <w:r>
              <w:t xml:space="preserve">4.3% </w:t>
            </w:r>
          </w:p>
        </w:tc>
        <w:tc>
          <w:tcPr>
            <w:tcW w:w="1827" w:type="dxa"/>
            <w:tcBorders>
              <w:top w:val="nil"/>
              <w:left w:val="single" w:sz="8" w:space="0" w:color="000000"/>
              <w:bottom w:val="nil"/>
              <w:right w:val="single" w:sz="8" w:space="0" w:color="000000"/>
            </w:tcBorders>
            <w:vAlign w:val="center"/>
          </w:tcPr>
          <w:p w:rsidR="004F1664" w:rsidRDefault="009F1B90">
            <w:pPr>
              <w:spacing w:after="0" w:line="259" w:lineRule="auto"/>
              <w:ind w:left="0" w:right="4" w:firstLine="0"/>
              <w:jc w:val="center"/>
            </w:pPr>
            <w:r>
              <w:t xml:space="preserve">0.2% </w:t>
            </w:r>
          </w:p>
        </w:tc>
        <w:tc>
          <w:tcPr>
            <w:tcW w:w="1827" w:type="dxa"/>
            <w:tcBorders>
              <w:top w:val="nil"/>
              <w:left w:val="single" w:sz="8" w:space="0" w:color="000000"/>
              <w:bottom w:val="nil"/>
              <w:right w:val="single" w:sz="8" w:space="0" w:color="000000"/>
            </w:tcBorders>
            <w:vAlign w:val="center"/>
          </w:tcPr>
          <w:p w:rsidR="004F1664" w:rsidRDefault="009F1B90">
            <w:pPr>
              <w:spacing w:after="0" w:line="259" w:lineRule="auto"/>
              <w:ind w:left="0" w:right="4" w:firstLine="0"/>
              <w:jc w:val="center"/>
            </w:pPr>
            <w:r>
              <w:rPr>
                <w:b/>
              </w:rPr>
              <w:t xml:space="preserve">4.5% </w:t>
            </w:r>
          </w:p>
        </w:tc>
        <w:tc>
          <w:tcPr>
            <w:tcW w:w="1827" w:type="dxa"/>
            <w:tcBorders>
              <w:top w:val="nil"/>
              <w:left w:val="single" w:sz="8" w:space="0" w:color="000000"/>
              <w:bottom w:val="nil"/>
              <w:right w:val="single" w:sz="8" w:space="0" w:color="000000"/>
            </w:tcBorders>
          </w:tcPr>
          <w:p w:rsidR="004F1664" w:rsidRDefault="009F1B90">
            <w:pPr>
              <w:spacing w:after="0" w:line="259" w:lineRule="auto"/>
              <w:ind w:left="0" w:firstLine="0"/>
              <w:jc w:val="center"/>
            </w:pPr>
            <w:r>
              <w:t xml:space="preserve">Limited Partnership </w:t>
            </w:r>
          </w:p>
        </w:tc>
      </w:tr>
      <w:tr w:rsidR="004F1664">
        <w:trPr>
          <w:trHeight w:val="730"/>
        </w:trPr>
        <w:tc>
          <w:tcPr>
            <w:tcW w:w="1826" w:type="dxa"/>
            <w:tcBorders>
              <w:top w:val="nil"/>
              <w:left w:val="single" w:sz="8" w:space="0" w:color="000000"/>
              <w:bottom w:val="nil"/>
              <w:right w:val="single" w:sz="8" w:space="0" w:color="000000"/>
            </w:tcBorders>
            <w:vAlign w:val="center"/>
          </w:tcPr>
          <w:p w:rsidR="004F1664" w:rsidRDefault="009F1B90">
            <w:pPr>
              <w:spacing w:after="0" w:line="259" w:lineRule="auto"/>
              <w:ind w:left="0" w:right="5" w:firstLine="0"/>
              <w:jc w:val="center"/>
            </w:pPr>
            <w:r>
              <w:t xml:space="preserve">Property </w:t>
            </w:r>
          </w:p>
        </w:tc>
        <w:tc>
          <w:tcPr>
            <w:tcW w:w="1829" w:type="dxa"/>
            <w:tcBorders>
              <w:top w:val="nil"/>
              <w:left w:val="single" w:sz="8" w:space="0" w:color="000000"/>
              <w:bottom w:val="nil"/>
              <w:right w:val="single" w:sz="8" w:space="0" w:color="000000"/>
            </w:tcBorders>
            <w:vAlign w:val="center"/>
          </w:tcPr>
          <w:p w:rsidR="004F1664" w:rsidRDefault="009F1B90">
            <w:pPr>
              <w:spacing w:after="0" w:line="259" w:lineRule="auto"/>
              <w:ind w:left="0" w:right="1" w:firstLine="0"/>
              <w:jc w:val="center"/>
            </w:pPr>
            <w:r>
              <w:t xml:space="preserve">7.2% </w:t>
            </w:r>
          </w:p>
        </w:tc>
        <w:tc>
          <w:tcPr>
            <w:tcW w:w="1827" w:type="dxa"/>
            <w:tcBorders>
              <w:top w:val="nil"/>
              <w:left w:val="single" w:sz="8" w:space="0" w:color="000000"/>
              <w:bottom w:val="nil"/>
              <w:right w:val="single" w:sz="8" w:space="0" w:color="000000"/>
            </w:tcBorders>
            <w:vAlign w:val="center"/>
          </w:tcPr>
          <w:p w:rsidR="004F1664" w:rsidRDefault="009F1B90">
            <w:pPr>
              <w:spacing w:after="0" w:line="259" w:lineRule="auto"/>
              <w:ind w:left="0" w:right="5" w:firstLine="0"/>
              <w:jc w:val="center"/>
            </w:pPr>
            <w:r>
              <w:t xml:space="preserve">0.0% </w:t>
            </w:r>
          </w:p>
        </w:tc>
        <w:tc>
          <w:tcPr>
            <w:tcW w:w="1827" w:type="dxa"/>
            <w:tcBorders>
              <w:top w:val="nil"/>
              <w:left w:val="single" w:sz="8" w:space="0" w:color="000000"/>
              <w:bottom w:val="nil"/>
              <w:right w:val="single" w:sz="8" w:space="0" w:color="000000"/>
            </w:tcBorders>
            <w:vAlign w:val="center"/>
          </w:tcPr>
          <w:p w:rsidR="004F1664" w:rsidRDefault="009F1B90">
            <w:pPr>
              <w:spacing w:after="0" w:line="259" w:lineRule="auto"/>
              <w:ind w:left="0" w:right="4" w:firstLine="0"/>
              <w:jc w:val="center"/>
            </w:pPr>
            <w:r>
              <w:rPr>
                <w:b/>
              </w:rPr>
              <w:t xml:space="preserve">7.2% </w:t>
            </w:r>
          </w:p>
        </w:tc>
        <w:tc>
          <w:tcPr>
            <w:tcW w:w="1827" w:type="dxa"/>
            <w:tcBorders>
              <w:top w:val="nil"/>
              <w:left w:val="single" w:sz="8" w:space="0" w:color="000000"/>
              <w:bottom w:val="nil"/>
              <w:right w:val="single" w:sz="8" w:space="0" w:color="000000"/>
            </w:tcBorders>
          </w:tcPr>
          <w:p w:rsidR="004F1664" w:rsidRDefault="009F1B90">
            <w:pPr>
              <w:spacing w:after="0" w:line="259" w:lineRule="auto"/>
              <w:ind w:left="0" w:right="2" w:firstLine="0"/>
              <w:jc w:val="center"/>
            </w:pPr>
            <w:r>
              <w:t xml:space="preserve">Exempt </w:t>
            </w:r>
          </w:p>
          <w:p w:rsidR="004F1664" w:rsidRDefault="009F1B90">
            <w:pPr>
              <w:spacing w:after="0" w:line="259" w:lineRule="auto"/>
              <w:ind w:left="0" w:right="5" w:firstLine="0"/>
              <w:jc w:val="center"/>
            </w:pPr>
            <w:r>
              <w:t xml:space="preserve">Unauthorised </w:t>
            </w:r>
          </w:p>
          <w:p w:rsidR="004F1664" w:rsidRDefault="009F1B90">
            <w:pPr>
              <w:spacing w:after="0" w:line="259" w:lineRule="auto"/>
              <w:ind w:left="0" w:right="6" w:firstLine="0"/>
              <w:jc w:val="center"/>
            </w:pPr>
            <w:r>
              <w:t xml:space="preserve">Unit Trust ** </w:t>
            </w:r>
          </w:p>
        </w:tc>
      </w:tr>
      <w:tr w:rsidR="004F1664">
        <w:trPr>
          <w:trHeight w:val="486"/>
        </w:trPr>
        <w:tc>
          <w:tcPr>
            <w:tcW w:w="1826" w:type="dxa"/>
            <w:tcBorders>
              <w:top w:val="nil"/>
              <w:left w:val="single" w:sz="8" w:space="0" w:color="000000"/>
              <w:bottom w:val="nil"/>
              <w:right w:val="single" w:sz="8" w:space="0" w:color="000000"/>
            </w:tcBorders>
            <w:vAlign w:val="center"/>
          </w:tcPr>
          <w:p w:rsidR="004F1664" w:rsidRDefault="009F1B90">
            <w:pPr>
              <w:spacing w:after="0" w:line="259" w:lineRule="auto"/>
              <w:ind w:left="0" w:right="4" w:firstLine="0"/>
              <w:jc w:val="center"/>
            </w:pPr>
            <w:r>
              <w:t xml:space="preserve">Total Return </w:t>
            </w:r>
          </w:p>
        </w:tc>
        <w:tc>
          <w:tcPr>
            <w:tcW w:w="1829" w:type="dxa"/>
            <w:tcBorders>
              <w:top w:val="nil"/>
              <w:left w:val="single" w:sz="8" w:space="0" w:color="000000"/>
              <w:bottom w:val="nil"/>
              <w:right w:val="single" w:sz="8" w:space="0" w:color="000000"/>
            </w:tcBorders>
            <w:vAlign w:val="center"/>
          </w:tcPr>
          <w:p w:rsidR="004F1664" w:rsidRDefault="009F1B90">
            <w:pPr>
              <w:spacing w:after="0" w:line="259" w:lineRule="auto"/>
              <w:ind w:left="1" w:firstLine="0"/>
              <w:jc w:val="center"/>
            </w:pPr>
            <w:r>
              <w:t xml:space="preserve">15.4% </w:t>
            </w:r>
          </w:p>
        </w:tc>
        <w:tc>
          <w:tcPr>
            <w:tcW w:w="1827" w:type="dxa"/>
            <w:tcBorders>
              <w:top w:val="nil"/>
              <w:left w:val="single" w:sz="8" w:space="0" w:color="000000"/>
              <w:bottom w:val="nil"/>
              <w:right w:val="single" w:sz="8" w:space="0" w:color="000000"/>
            </w:tcBorders>
            <w:vAlign w:val="center"/>
          </w:tcPr>
          <w:p w:rsidR="004F1664" w:rsidRDefault="009F1B90">
            <w:pPr>
              <w:spacing w:after="0" w:line="259" w:lineRule="auto"/>
              <w:ind w:left="0" w:right="5" w:firstLine="0"/>
              <w:jc w:val="center"/>
            </w:pPr>
            <w:r>
              <w:t xml:space="preserve">0.0% </w:t>
            </w:r>
          </w:p>
        </w:tc>
        <w:tc>
          <w:tcPr>
            <w:tcW w:w="1827" w:type="dxa"/>
            <w:tcBorders>
              <w:top w:val="nil"/>
              <w:left w:val="single" w:sz="8" w:space="0" w:color="000000"/>
              <w:bottom w:val="nil"/>
              <w:right w:val="single" w:sz="8" w:space="0" w:color="000000"/>
            </w:tcBorders>
            <w:vAlign w:val="center"/>
          </w:tcPr>
          <w:p w:rsidR="004F1664" w:rsidRDefault="009F1B90">
            <w:pPr>
              <w:spacing w:after="0" w:line="259" w:lineRule="auto"/>
              <w:ind w:left="0" w:right="6" w:firstLine="0"/>
              <w:jc w:val="center"/>
            </w:pPr>
            <w:r>
              <w:rPr>
                <w:b/>
              </w:rPr>
              <w:t xml:space="preserve">15.4% </w:t>
            </w:r>
          </w:p>
        </w:tc>
        <w:tc>
          <w:tcPr>
            <w:tcW w:w="1827" w:type="dxa"/>
            <w:tcBorders>
              <w:top w:val="nil"/>
              <w:left w:val="single" w:sz="8" w:space="0" w:color="000000"/>
              <w:bottom w:val="nil"/>
              <w:right w:val="single" w:sz="8" w:space="0" w:color="000000"/>
            </w:tcBorders>
          </w:tcPr>
          <w:p w:rsidR="004F1664" w:rsidRDefault="009F1B90">
            <w:pPr>
              <w:spacing w:after="0" w:line="259" w:lineRule="auto"/>
              <w:ind w:left="0" w:firstLine="0"/>
              <w:jc w:val="center"/>
            </w:pPr>
            <w:r>
              <w:t xml:space="preserve">Limited Partnership ** </w:t>
            </w:r>
          </w:p>
        </w:tc>
      </w:tr>
      <w:tr w:rsidR="004F1664">
        <w:trPr>
          <w:trHeight w:val="486"/>
        </w:trPr>
        <w:tc>
          <w:tcPr>
            <w:tcW w:w="1826" w:type="dxa"/>
            <w:tcBorders>
              <w:top w:val="nil"/>
              <w:left w:val="single" w:sz="8" w:space="0" w:color="000000"/>
              <w:bottom w:val="nil"/>
              <w:right w:val="single" w:sz="8" w:space="0" w:color="000000"/>
            </w:tcBorders>
            <w:vAlign w:val="center"/>
          </w:tcPr>
          <w:p w:rsidR="004F1664" w:rsidRDefault="009F1B90">
            <w:pPr>
              <w:spacing w:after="0" w:line="259" w:lineRule="auto"/>
              <w:ind w:left="29" w:firstLine="0"/>
            </w:pPr>
            <w:r>
              <w:t>Alternative Credit</w:t>
            </w:r>
          </w:p>
        </w:tc>
        <w:tc>
          <w:tcPr>
            <w:tcW w:w="1829" w:type="dxa"/>
            <w:tcBorders>
              <w:top w:val="nil"/>
              <w:left w:val="single" w:sz="8" w:space="0" w:color="000000"/>
              <w:bottom w:val="nil"/>
              <w:right w:val="single" w:sz="8" w:space="0" w:color="000000"/>
            </w:tcBorders>
            <w:vAlign w:val="center"/>
          </w:tcPr>
          <w:p w:rsidR="004F1664" w:rsidRDefault="009F1B90">
            <w:pPr>
              <w:tabs>
                <w:tab w:val="center" w:pos="914"/>
              </w:tabs>
              <w:spacing w:after="0" w:line="259" w:lineRule="auto"/>
              <w:ind w:left="-31" w:firstLine="0"/>
              <w:jc w:val="left"/>
            </w:pPr>
            <w:r>
              <w:t xml:space="preserve"> </w:t>
            </w:r>
            <w:r>
              <w:tab/>
              <w:t xml:space="preserve">4.7% </w:t>
            </w:r>
          </w:p>
        </w:tc>
        <w:tc>
          <w:tcPr>
            <w:tcW w:w="1827" w:type="dxa"/>
            <w:tcBorders>
              <w:top w:val="nil"/>
              <w:left w:val="single" w:sz="8" w:space="0" w:color="000000"/>
              <w:bottom w:val="nil"/>
              <w:right w:val="single" w:sz="8" w:space="0" w:color="000000"/>
            </w:tcBorders>
            <w:vAlign w:val="center"/>
          </w:tcPr>
          <w:p w:rsidR="004F1664" w:rsidRDefault="009F1B90">
            <w:pPr>
              <w:spacing w:after="0" w:line="259" w:lineRule="auto"/>
              <w:ind w:left="0" w:right="4" w:firstLine="0"/>
              <w:jc w:val="center"/>
            </w:pPr>
            <w:r>
              <w:t xml:space="preserve">0.3% </w:t>
            </w:r>
          </w:p>
        </w:tc>
        <w:tc>
          <w:tcPr>
            <w:tcW w:w="1827" w:type="dxa"/>
            <w:tcBorders>
              <w:top w:val="nil"/>
              <w:left w:val="single" w:sz="8" w:space="0" w:color="000000"/>
              <w:bottom w:val="nil"/>
              <w:right w:val="single" w:sz="8" w:space="0" w:color="000000"/>
            </w:tcBorders>
            <w:vAlign w:val="center"/>
          </w:tcPr>
          <w:p w:rsidR="004F1664" w:rsidRDefault="009F1B90">
            <w:pPr>
              <w:spacing w:after="0" w:line="259" w:lineRule="auto"/>
              <w:ind w:left="0" w:right="4" w:firstLine="0"/>
              <w:jc w:val="center"/>
            </w:pPr>
            <w:r>
              <w:rPr>
                <w:b/>
              </w:rPr>
              <w:t xml:space="preserve">5.0% </w:t>
            </w:r>
          </w:p>
        </w:tc>
        <w:tc>
          <w:tcPr>
            <w:tcW w:w="1827" w:type="dxa"/>
            <w:tcBorders>
              <w:top w:val="nil"/>
              <w:left w:val="single" w:sz="8" w:space="0" w:color="000000"/>
              <w:bottom w:val="nil"/>
              <w:right w:val="single" w:sz="8" w:space="0" w:color="000000"/>
            </w:tcBorders>
          </w:tcPr>
          <w:p w:rsidR="004F1664" w:rsidRDefault="009F1B90">
            <w:pPr>
              <w:spacing w:after="0" w:line="259" w:lineRule="auto"/>
              <w:ind w:left="0" w:firstLine="0"/>
              <w:jc w:val="center"/>
            </w:pPr>
            <w:r>
              <w:t xml:space="preserve">Limited Partnership </w:t>
            </w:r>
          </w:p>
        </w:tc>
      </w:tr>
      <w:tr w:rsidR="004F1664">
        <w:trPr>
          <w:trHeight w:val="730"/>
        </w:trPr>
        <w:tc>
          <w:tcPr>
            <w:tcW w:w="1826" w:type="dxa"/>
            <w:tcBorders>
              <w:top w:val="nil"/>
              <w:left w:val="single" w:sz="8" w:space="0" w:color="000000"/>
              <w:bottom w:val="nil"/>
              <w:right w:val="single" w:sz="8" w:space="0" w:color="000000"/>
            </w:tcBorders>
            <w:vAlign w:val="center"/>
          </w:tcPr>
          <w:p w:rsidR="004F1664" w:rsidRDefault="009F1B90">
            <w:pPr>
              <w:spacing w:after="0" w:line="259" w:lineRule="auto"/>
              <w:ind w:left="0" w:right="3" w:firstLine="0"/>
              <w:jc w:val="center"/>
            </w:pPr>
            <w:r>
              <w:t xml:space="preserve">Fixed Income </w:t>
            </w:r>
          </w:p>
        </w:tc>
        <w:tc>
          <w:tcPr>
            <w:tcW w:w="1829" w:type="dxa"/>
            <w:tcBorders>
              <w:top w:val="nil"/>
              <w:left w:val="single" w:sz="8" w:space="0" w:color="000000"/>
              <w:bottom w:val="nil"/>
              <w:right w:val="single" w:sz="8" w:space="0" w:color="000000"/>
            </w:tcBorders>
            <w:vAlign w:val="center"/>
          </w:tcPr>
          <w:p w:rsidR="004F1664" w:rsidRDefault="009F1B90">
            <w:pPr>
              <w:spacing w:after="0" w:line="259" w:lineRule="auto"/>
              <w:ind w:left="0" w:right="2" w:firstLine="0"/>
              <w:jc w:val="center"/>
            </w:pPr>
            <w:r>
              <w:t xml:space="preserve">0.0% </w:t>
            </w:r>
          </w:p>
        </w:tc>
        <w:tc>
          <w:tcPr>
            <w:tcW w:w="1827" w:type="dxa"/>
            <w:tcBorders>
              <w:top w:val="nil"/>
              <w:left w:val="single" w:sz="8" w:space="0" w:color="000000"/>
              <w:bottom w:val="nil"/>
              <w:right w:val="single" w:sz="8" w:space="0" w:color="000000"/>
            </w:tcBorders>
            <w:vAlign w:val="center"/>
          </w:tcPr>
          <w:p w:rsidR="004F1664" w:rsidRDefault="009F1B90">
            <w:pPr>
              <w:spacing w:after="0" w:line="259" w:lineRule="auto"/>
              <w:ind w:left="0" w:right="5" w:firstLine="0"/>
              <w:jc w:val="center"/>
            </w:pPr>
            <w:r>
              <w:t xml:space="preserve">0.0% </w:t>
            </w:r>
          </w:p>
        </w:tc>
        <w:tc>
          <w:tcPr>
            <w:tcW w:w="1827" w:type="dxa"/>
            <w:tcBorders>
              <w:top w:val="nil"/>
              <w:left w:val="single" w:sz="8" w:space="0" w:color="000000"/>
              <w:bottom w:val="nil"/>
              <w:right w:val="single" w:sz="8" w:space="0" w:color="000000"/>
            </w:tcBorders>
            <w:vAlign w:val="center"/>
          </w:tcPr>
          <w:p w:rsidR="004F1664" w:rsidRDefault="009F1B90">
            <w:pPr>
              <w:spacing w:after="0" w:line="259" w:lineRule="auto"/>
              <w:ind w:left="0" w:right="4" w:firstLine="0"/>
              <w:jc w:val="center"/>
            </w:pPr>
            <w:r>
              <w:rPr>
                <w:b/>
              </w:rPr>
              <w:t xml:space="preserve">0.0% </w:t>
            </w:r>
          </w:p>
        </w:tc>
        <w:tc>
          <w:tcPr>
            <w:tcW w:w="1827" w:type="dxa"/>
            <w:tcBorders>
              <w:top w:val="nil"/>
              <w:left w:val="single" w:sz="8" w:space="0" w:color="000000"/>
              <w:bottom w:val="nil"/>
              <w:right w:val="single" w:sz="8" w:space="0" w:color="000000"/>
            </w:tcBorders>
          </w:tcPr>
          <w:p w:rsidR="004F1664" w:rsidRDefault="009F1B90">
            <w:pPr>
              <w:spacing w:after="0" w:line="259" w:lineRule="auto"/>
              <w:ind w:left="0" w:right="2" w:firstLine="0"/>
              <w:jc w:val="center"/>
            </w:pPr>
            <w:r>
              <w:t xml:space="preserve">Authorised </w:t>
            </w:r>
          </w:p>
          <w:p w:rsidR="004F1664" w:rsidRDefault="009F1B90">
            <w:pPr>
              <w:spacing w:after="0" w:line="259" w:lineRule="auto"/>
              <w:ind w:left="0" w:right="2" w:firstLine="0"/>
              <w:jc w:val="center"/>
            </w:pPr>
            <w:r>
              <w:t xml:space="preserve">Collective </w:t>
            </w:r>
          </w:p>
          <w:p w:rsidR="004F1664" w:rsidRDefault="009F1B90">
            <w:pPr>
              <w:spacing w:after="0" w:line="259" w:lineRule="auto"/>
              <w:ind w:left="0" w:right="3" w:firstLine="0"/>
              <w:jc w:val="center"/>
            </w:pPr>
            <w:r>
              <w:t xml:space="preserve">Scheme </w:t>
            </w:r>
          </w:p>
        </w:tc>
      </w:tr>
      <w:tr w:rsidR="004F1664">
        <w:trPr>
          <w:trHeight w:val="714"/>
        </w:trPr>
        <w:tc>
          <w:tcPr>
            <w:tcW w:w="1826" w:type="dxa"/>
            <w:tcBorders>
              <w:top w:val="nil"/>
              <w:left w:val="single" w:sz="8" w:space="0" w:color="000000"/>
              <w:bottom w:val="single" w:sz="8" w:space="0" w:color="000000"/>
              <w:right w:val="single" w:sz="8" w:space="0" w:color="000000"/>
            </w:tcBorders>
            <w:vAlign w:val="center"/>
          </w:tcPr>
          <w:p w:rsidR="004F1664" w:rsidRDefault="009F1B90">
            <w:pPr>
              <w:spacing w:after="0" w:line="259" w:lineRule="auto"/>
              <w:ind w:left="0" w:right="3" w:firstLine="0"/>
              <w:jc w:val="center"/>
            </w:pPr>
            <w:r>
              <w:t xml:space="preserve">Cash </w:t>
            </w:r>
          </w:p>
        </w:tc>
        <w:tc>
          <w:tcPr>
            <w:tcW w:w="1829" w:type="dxa"/>
            <w:tcBorders>
              <w:top w:val="nil"/>
              <w:left w:val="single" w:sz="8" w:space="0" w:color="000000"/>
              <w:bottom w:val="single" w:sz="8" w:space="0" w:color="000000"/>
              <w:right w:val="single" w:sz="8" w:space="0" w:color="000000"/>
            </w:tcBorders>
            <w:vAlign w:val="center"/>
          </w:tcPr>
          <w:p w:rsidR="004F1664" w:rsidRDefault="009F1B90">
            <w:pPr>
              <w:spacing w:after="0" w:line="259" w:lineRule="auto"/>
              <w:ind w:left="0" w:right="1" w:firstLine="0"/>
              <w:jc w:val="center"/>
            </w:pPr>
            <w:r>
              <w:t xml:space="preserve">0.0% </w:t>
            </w:r>
          </w:p>
        </w:tc>
        <w:tc>
          <w:tcPr>
            <w:tcW w:w="1827" w:type="dxa"/>
            <w:tcBorders>
              <w:top w:val="nil"/>
              <w:left w:val="single" w:sz="8" w:space="0" w:color="000000"/>
              <w:bottom w:val="single" w:sz="8" w:space="0" w:color="000000"/>
              <w:right w:val="single" w:sz="8" w:space="0" w:color="000000"/>
            </w:tcBorders>
            <w:vAlign w:val="center"/>
          </w:tcPr>
          <w:p w:rsidR="004F1664" w:rsidRDefault="009F1B90">
            <w:pPr>
              <w:spacing w:after="0" w:line="259" w:lineRule="auto"/>
              <w:ind w:left="0" w:right="2" w:firstLine="0"/>
              <w:jc w:val="center"/>
            </w:pPr>
            <w:r>
              <w:t xml:space="preserve">11.7% </w:t>
            </w:r>
          </w:p>
        </w:tc>
        <w:tc>
          <w:tcPr>
            <w:tcW w:w="1827" w:type="dxa"/>
            <w:tcBorders>
              <w:top w:val="nil"/>
              <w:left w:val="single" w:sz="8" w:space="0" w:color="000000"/>
              <w:bottom w:val="single" w:sz="8" w:space="0" w:color="000000"/>
              <w:right w:val="single" w:sz="8" w:space="0" w:color="000000"/>
            </w:tcBorders>
            <w:vAlign w:val="center"/>
          </w:tcPr>
          <w:p w:rsidR="004F1664" w:rsidRDefault="009F1B90">
            <w:pPr>
              <w:spacing w:after="0" w:line="259" w:lineRule="auto"/>
              <w:ind w:left="0" w:right="6" w:firstLine="0"/>
              <w:jc w:val="center"/>
            </w:pPr>
            <w:r>
              <w:rPr>
                <w:b/>
              </w:rPr>
              <w:t xml:space="preserve">11.7% </w:t>
            </w:r>
          </w:p>
        </w:tc>
        <w:tc>
          <w:tcPr>
            <w:tcW w:w="1827" w:type="dxa"/>
            <w:tcBorders>
              <w:top w:val="nil"/>
              <w:left w:val="single" w:sz="8" w:space="0" w:color="000000"/>
              <w:bottom w:val="single" w:sz="8" w:space="0" w:color="000000"/>
              <w:right w:val="single" w:sz="8" w:space="0" w:color="000000"/>
            </w:tcBorders>
          </w:tcPr>
          <w:p w:rsidR="004F1664" w:rsidRDefault="009F1B90">
            <w:pPr>
              <w:spacing w:after="0" w:line="259" w:lineRule="auto"/>
              <w:ind w:left="0" w:right="2" w:firstLine="0"/>
              <w:jc w:val="center"/>
            </w:pPr>
            <w:r>
              <w:t xml:space="preserve">Authorised </w:t>
            </w:r>
          </w:p>
          <w:p w:rsidR="004F1664" w:rsidRDefault="009F1B90">
            <w:pPr>
              <w:spacing w:after="0" w:line="259" w:lineRule="auto"/>
              <w:ind w:left="0" w:right="2" w:firstLine="0"/>
              <w:jc w:val="center"/>
            </w:pPr>
            <w:r>
              <w:t xml:space="preserve">Collective </w:t>
            </w:r>
          </w:p>
          <w:p w:rsidR="004F1664" w:rsidRDefault="009F1B90">
            <w:pPr>
              <w:spacing w:after="0" w:line="259" w:lineRule="auto"/>
              <w:ind w:left="0" w:right="6" w:firstLine="0"/>
              <w:jc w:val="center"/>
            </w:pPr>
            <w:r>
              <w:t xml:space="preserve">Scheme*** </w:t>
            </w:r>
          </w:p>
        </w:tc>
      </w:tr>
      <w:tr w:rsidR="004F1664">
        <w:trPr>
          <w:trHeight w:val="310"/>
        </w:trPr>
        <w:tc>
          <w:tcPr>
            <w:tcW w:w="1826" w:type="dxa"/>
            <w:tcBorders>
              <w:top w:val="single" w:sz="8" w:space="0" w:color="000000"/>
              <w:left w:val="single" w:sz="8" w:space="0" w:color="000000"/>
              <w:bottom w:val="single" w:sz="8" w:space="0" w:color="000000"/>
              <w:right w:val="single" w:sz="8" w:space="0" w:color="000000"/>
            </w:tcBorders>
          </w:tcPr>
          <w:p w:rsidR="004F1664" w:rsidRDefault="009F1B90">
            <w:pPr>
              <w:spacing w:after="0" w:line="259" w:lineRule="auto"/>
              <w:ind w:left="0" w:right="4" w:firstLine="0"/>
              <w:jc w:val="center"/>
            </w:pPr>
            <w:r>
              <w:rPr>
                <w:b/>
              </w:rPr>
              <w:t xml:space="preserve">Total </w:t>
            </w:r>
          </w:p>
        </w:tc>
        <w:tc>
          <w:tcPr>
            <w:tcW w:w="1829" w:type="dxa"/>
            <w:tcBorders>
              <w:top w:val="single" w:sz="8" w:space="0" w:color="000000"/>
              <w:left w:val="single" w:sz="8" w:space="0" w:color="000000"/>
              <w:bottom w:val="single" w:sz="8" w:space="0" w:color="000000"/>
              <w:right w:val="single" w:sz="8" w:space="0" w:color="000000"/>
            </w:tcBorders>
          </w:tcPr>
          <w:p w:rsidR="004F1664" w:rsidRDefault="009F1B90">
            <w:pPr>
              <w:spacing w:after="0" w:line="259" w:lineRule="auto"/>
              <w:ind w:left="0" w:right="3" w:firstLine="0"/>
              <w:jc w:val="center"/>
            </w:pPr>
            <w:r>
              <w:rPr>
                <w:b/>
              </w:rPr>
              <w:t xml:space="preserve">86.1% </w:t>
            </w:r>
          </w:p>
        </w:tc>
        <w:tc>
          <w:tcPr>
            <w:tcW w:w="1827" w:type="dxa"/>
            <w:tcBorders>
              <w:top w:val="single" w:sz="8" w:space="0" w:color="000000"/>
              <w:left w:val="single" w:sz="8" w:space="0" w:color="000000"/>
              <w:bottom w:val="single" w:sz="8" w:space="0" w:color="000000"/>
              <w:right w:val="single" w:sz="8" w:space="0" w:color="000000"/>
            </w:tcBorders>
          </w:tcPr>
          <w:p w:rsidR="004F1664" w:rsidRDefault="009F1B90">
            <w:pPr>
              <w:spacing w:after="0" w:line="259" w:lineRule="auto"/>
              <w:ind w:left="0" w:right="6" w:firstLine="0"/>
              <w:jc w:val="center"/>
            </w:pPr>
            <w:r>
              <w:rPr>
                <w:b/>
              </w:rPr>
              <w:t xml:space="preserve">13.9% </w:t>
            </w:r>
          </w:p>
        </w:tc>
        <w:tc>
          <w:tcPr>
            <w:tcW w:w="1827" w:type="dxa"/>
            <w:tcBorders>
              <w:top w:val="single" w:sz="8" w:space="0" w:color="000000"/>
              <w:left w:val="single" w:sz="8" w:space="0" w:color="000000"/>
              <w:bottom w:val="single" w:sz="8" w:space="0" w:color="000000"/>
              <w:right w:val="single" w:sz="8" w:space="0" w:color="000000"/>
            </w:tcBorders>
          </w:tcPr>
          <w:p w:rsidR="004F1664" w:rsidRDefault="009F1B90">
            <w:pPr>
              <w:spacing w:after="0" w:line="259" w:lineRule="auto"/>
              <w:ind w:left="0" w:right="4" w:firstLine="0"/>
              <w:jc w:val="center"/>
            </w:pPr>
            <w:r>
              <w:rPr>
                <w:b/>
              </w:rPr>
              <w:t xml:space="preserve">100.0% </w:t>
            </w:r>
          </w:p>
        </w:tc>
        <w:tc>
          <w:tcPr>
            <w:tcW w:w="1827" w:type="dxa"/>
            <w:tcBorders>
              <w:top w:val="single" w:sz="8" w:space="0" w:color="000000"/>
              <w:left w:val="single" w:sz="8" w:space="0" w:color="000000"/>
              <w:bottom w:val="single" w:sz="8" w:space="0" w:color="000000"/>
              <w:right w:val="single" w:sz="8" w:space="0" w:color="000000"/>
            </w:tcBorders>
          </w:tcPr>
          <w:p w:rsidR="004F1664" w:rsidRDefault="009F1B90">
            <w:pPr>
              <w:spacing w:after="0" w:line="259" w:lineRule="auto"/>
              <w:ind w:left="10" w:firstLine="0"/>
              <w:jc w:val="left"/>
            </w:pPr>
            <w:r>
              <w:t xml:space="preserve">  </w:t>
            </w:r>
          </w:p>
        </w:tc>
      </w:tr>
    </w:tbl>
    <w:p w:rsidR="004F1664" w:rsidRDefault="009F1B90">
      <w:pPr>
        <w:spacing w:after="1" w:line="259" w:lineRule="auto"/>
        <w:ind w:left="715"/>
        <w:jc w:val="left"/>
      </w:pPr>
      <w:r>
        <w:rPr>
          <w:sz w:val="16"/>
        </w:rPr>
        <w:t>Information correct as at 31</w:t>
      </w:r>
      <w:r>
        <w:rPr>
          <w:sz w:val="16"/>
          <w:vertAlign w:val="superscript"/>
        </w:rPr>
        <w:t>st</w:t>
      </w:r>
      <w:r>
        <w:rPr>
          <w:sz w:val="16"/>
        </w:rPr>
        <w:t xml:space="preserve"> December 2017. </w:t>
      </w:r>
    </w:p>
    <w:p w:rsidR="004F1664" w:rsidRDefault="009F1B90">
      <w:pPr>
        <w:spacing w:after="1" w:line="259" w:lineRule="auto"/>
        <w:ind w:left="715"/>
        <w:jc w:val="left"/>
      </w:pPr>
      <w:r>
        <w:rPr>
          <w:sz w:val="16"/>
        </w:rPr>
        <w:t xml:space="preserve">* estimated figures  ** subject to change *** cash pooling vehicle currently dormant </w:t>
      </w:r>
    </w:p>
    <w:p w:rsidR="004F1664" w:rsidRDefault="009F1B90">
      <w:pPr>
        <w:spacing w:after="23" w:line="259" w:lineRule="auto"/>
        <w:ind w:left="0" w:firstLine="0"/>
        <w:jc w:val="left"/>
      </w:pPr>
      <w:r>
        <w:rPr>
          <w:sz w:val="19"/>
        </w:rPr>
        <w:t xml:space="preserve"> </w:t>
      </w:r>
    </w:p>
    <w:p w:rsidR="004F1664" w:rsidRDefault="009F1B90">
      <w:pPr>
        <w:pStyle w:val="Heading2"/>
        <w:tabs>
          <w:tab w:val="center" w:pos="5173"/>
        </w:tabs>
        <w:ind w:left="0" w:firstLine="0"/>
      </w:pPr>
      <w:r>
        <w:t>7.</w:t>
      </w:r>
      <w:r>
        <w:rPr>
          <w:rFonts w:ascii="Arial" w:eastAsia="Arial" w:hAnsi="Arial" w:cs="Arial"/>
        </w:rPr>
        <w:t xml:space="preserve"> </w:t>
      </w:r>
      <w:r>
        <w:rPr>
          <w:rFonts w:ascii="Arial" w:eastAsia="Arial" w:hAnsi="Arial" w:cs="Arial"/>
        </w:rPr>
        <w:tab/>
      </w:r>
      <w:r>
        <w:t xml:space="preserve">NOVEMBER 2015 INVESTMENT REFORM AND CRITERIA GUIDANCE ON POOLING </w:t>
      </w:r>
    </w:p>
    <w:p w:rsidR="004F1664" w:rsidRDefault="009F1B90">
      <w:pPr>
        <w:spacing w:after="0" w:line="259" w:lineRule="auto"/>
        <w:ind w:left="0" w:firstLine="0"/>
        <w:jc w:val="left"/>
      </w:pPr>
      <w:r>
        <w:rPr>
          <w:b/>
        </w:rPr>
        <w:t xml:space="preserve"> </w:t>
      </w:r>
    </w:p>
    <w:p w:rsidR="004F1664" w:rsidRDefault="009F1B90">
      <w:pPr>
        <w:spacing w:after="3" w:line="241" w:lineRule="auto"/>
        <w:ind w:left="677"/>
        <w:jc w:val="left"/>
      </w:pPr>
      <w:r>
        <w:t>The Fund has selected Local Pensions Partnership Limited (LPP) and its subsidiary LPP I to facilitate investment pooling.  LPP has communicated its structure to MHCLG via its response to the July 2016 consultation. This structure and associated business pl</w:t>
      </w:r>
      <w:r>
        <w:t xml:space="preserve">an is consistent with the criteria contained within the November guidance. </w:t>
      </w:r>
    </w:p>
    <w:p w:rsidR="004F1664" w:rsidRDefault="009F1B90">
      <w:pPr>
        <w:spacing w:after="8" w:line="259" w:lineRule="auto"/>
        <w:ind w:left="0" w:firstLine="0"/>
        <w:jc w:val="left"/>
      </w:pPr>
      <w:r>
        <w:t xml:space="preserve"> </w:t>
      </w:r>
    </w:p>
    <w:p w:rsidR="004F1664" w:rsidRDefault="009F1B90">
      <w:pPr>
        <w:pStyle w:val="Heading2"/>
        <w:tabs>
          <w:tab w:val="center" w:pos="1795"/>
        </w:tabs>
        <w:ind w:left="0" w:firstLine="0"/>
      </w:pPr>
      <w:r>
        <w:t>8.</w:t>
      </w:r>
      <w:r>
        <w:rPr>
          <w:rFonts w:ascii="Arial" w:eastAsia="Arial" w:hAnsi="Arial" w:cs="Arial"/>
        </w:rPr>
        <w:t xml:space="preserve"> </w:t>
      </w:r>
      <w:r>
        <w:rPr>
          <w:rFonts w:ascii="Arial" w:eastAsia="Arial" w:hAnsi="Arial" w:cs="Arial"/>
        </w:rPr>
        <w:tab/>
      </w:r>
      <w:r>
        <w:t xml:space="preserve">RISK MANAGEMENT </w:t>
      </w:r>
    </w:p>
    <w:p w:rsidR="004F1664" w:rsidRDefault="009F1B90">
      <w:pPr>
        <w:ind w:left="677"/>
      </w:pPr>
      <w:r>
        <w:t>The gradual reduction and elimination of funding deficit is a core goal for the Board. Funding deficit is influenced by both assets and liabilities and for t</w:t>
      </w:r>
      <w:r>
        <w:t>his reason the Board adopt an Asset and Liability Management approach which includes the use of liability hedging strategies.  The Board review the hedging policy on an ongoing basis and may seek to hedge inflation and/or interest rate exposure using a com</w:t>
      </w:r>
      <w:r>
        <w:t xml:space="preserve">bination of physical and derivative instruments. </w:t>
      </w:r>
    </w:p>
    <w:p w:rsidR="004F1664" w:rsidRDefault="009F1B90">
      <w:pPr>
        <w:spacing w:after="0" w:line="259" w:lineRule="auto"/>
        <w:ind w:left="682" w:firstLine="0"/>
        <w:jc w:val="left"/>
      </w:pPr>
      <w:r>
        <w:t xml:space="preserve"> </w:t>
      </w:r>
    </w:p>
    <w:p w:rsidR="004F1664" w:rsidRDefault="009F1B90">
      <w:pPr>
        <w:ind w:left="677"/>
      </w:pPr>
      <w:r>
        <w:t>Diversification is a very important risk management tool. As described in the section on Asset Allocation, the scheme will seek to maintain a diversified exposure to several different asset classes, geogr</w:t>
      </w:r>
      <w:r>
        <w:t>aphies, and currencies. The Board expect this to provide (at least) two levels of protection: first, in periods of market turmoil some assets will preserve capital better than others, allowing the portfolio to better withstand a shock. Second, in periods o</w:t>
      </w:r>
      <w:r>
        <w:t xml:space="preserve">f rising markets, some assets will do better than others, and since the Board do not know with certainty which ones will do best, it is better to diversify.  </w:t>
      </w:r>
    </w:p>
    <w:p w:rsidR="004F1664" w:rsidRDefault="009F1B90">
      <w:pPr>
        <w:spacing w:after="0" w:line="259" w:lineRule="auto"/>
        <w:ind w:left="682" w:firstLine="0"/>
        <w:jc w:val="left"/>
      </w:pPr>
      <w:r>
        <w:t xml:space="preserve"> </w:t>
      </w:r>
    </w:p>
    <w:p w:rsidR="004F1664" w:rsidRDefault="009F1B90">
      <w:pPr>
        <w:spacing w:after="3" w:line="241" w:lineRule="auto"/>
        <w:ind w:left="677"/>
        <w:jc w:val="left"/>
      </w:pPr>
      <w:r>
        <w:t>Another line of defence at the scheme level is to examine how the portfolio would perform under</w:t>
      </w:r>
      <w:r>
        <w:t xml:space="preserve"> different scenarios including stress scenarios. The objective is to ensure that the losses that the portfolio endures will not cause future contributions to increase.  When setting Asset Allocation the Board have considered different stress scenarios and </w:t>
      </w:r>
      <w:r>
        <w:t xml:space="preserve">possible outcomes. </w:t>
      </w:r>
    </w:p>
    <w:p w:rsidR="004F1664" w:rsidRDefault="009F1B90">
      <w:pPr>
        <w:spacing w:after="0" w:line="259" w:lineRule="auto"/>
        <w:ind w:left="682" w:firstLine="0"/>
        <w:jc w:val="left"/>
      </w:pPr>
      <w:r>
        <w:t xml:space="preserve"> </w:t>
      </w:r>
    </w:p>
    <w:p w:rsidR="004F1664" w:rsidRDefault="009F1B90">
      <w:pPr>
        <w:spacing w:after="3" w:line="241" w:lineRule="auto"/>
        <w:ind w:left="677"/>
        <w:jc w:val="left"/>
      </w:pPr>
      <w:r>
        <w:t xml:space="preserve">The asset class pools described in the implementation section are also subject to a number of constraints to allow for intra-asset class diversification, including sector, country, manager, and maximum exposure to a single asset. </w:t>
      </w:r>
    </w:p>
    <w:p w:rsidR="004F1664" w:rsidRDefault="009F1B90">
      <w:pPr>
        <w:spacing w:after="8" w:line="259" w:lineRule="auto"/>
        <w:ind w:left="682" w:firstLine="0"/>
        <w:jc w:val="left"/>
      </w:pPr>
      <w:r>
        <w:t xml:space="preserve"> </w:t>
      </w:r>
    </w:p>
    <w:p w:rsidR="004F1664" w:rsidRDefault="009F1B90">
      <w:pPr>
        <w:pStyle w:val="Heading2"/>
        <w:tabs>
          <w:tab w:val="center" w:pos="2414"/>
        </w:tabs>
        <w:ind w:left="0" w:firstLine="0"/>
      </w:pPr>
      <w:r>
        <w:t>9.</w:t>
      </w:r>
      <w:r>
        <w:rPr>
          <w:rFonts w:ascii="Arial" w:eastAsia="Arial" w:hAnsi="Arial" w:cs="Arial"/>
        </w:rPr>
        <w:t xml:space="preserve"> </w:t>
      </w:r>
      <w:r>
        <w:rPr>
          <w:rFonts w:ascii="Arial" w:eastAsia="Arial" w:hAnsi="Arial" w:cs="Arial"/>
        </w:rPr>
        <w:tab/>
      </w:r>
      <w:r>
        <w:t xml:space="preserve">PERFORMANCE MEASUREMENT </w:t>
      </w:r>
    </w:p>
    <w:p w:rsidR="004F1664" w:rsidRDefault="009F1B90">
      <w:pPr>
        <w:spacing w:after="0" w:line="259" w:lineRule="auto"/>
        <w:ind w:left="682" w:firstLine="0"/>
        <w:jc w:val="left"/>
      </w:pPr>
      <w:r>
        <w:rPr>
          <w:b/>
          <w:color w:val="1F487C"/>
        </w:rPr>
        <w:t xml:space="preserve"> </w:t>
      </w:r>
    </w:p>
    <w:p w:rsidR="004F1664" w:rsidRDefault="009F1B90">
      <w:pPr>
        <w:ind w:left="677"/>
      </w:pPr>
      <w:r>
        <w:t>Fund performance is measured at a number of different levels. The objective of the Fund is to outperform the actuarial discount rate. The Policy Portfolio is selected by the Board with advice from LPP I, the delegated investm</w:t>
      </w:r>
      <w:r>
        <w:t xml:space="preserve">ent manager, and is expected to generate returns above the discount rate over the long run.  </w:t>
      </w:r>
    </w:p>
    <w:p w:rsidR="004F1664" w:rsidRDefault="009F1B90">
      <w:pPr>
        <w:spacing w:after="0" w:line="259" w:lineRule="auto"/>
        <w:ind w:left="682" w:firstLine="0"/>
        <w:jc w:val="left"/>
      </w:pPr>
      <w:r>
        <w:t xml:space="preserve"> </w:t>
      </w:r>
    </w:p>
    <w:p w:rsidR="004F1664" w:rsidRDefault="009F1B90">
      <w:pPr>
        <w:ind w:left="677"/>
      </w:pPr>
      <w:r>
        <w:t>The performance of the pooling arrangements is monitored via regular reporting and through periodic meetings. Performance for LPP I is measured against the poli</w:t>
      </w:r>
      <w:r>
        <w:t>cy portfolio. LPP I seeks to outperform the policy portfolio on a risk adjusted basis by tilting asset weights in an opportunistic manner, via active sub-asset class selection, selecting the best stocks/managers for each of the pools, and by implementing i</w:t>
      </w:r>
      <w:r>
        <w:t xml:space="preserve">nvestments in a low cost manner.  Performance for the investment pools is measured against widely used and transparent benchmarks. </w:t>
      </w:r>
    </w:p>
    <w:p w:rsidR="004F1664" w:rsidRDefault="009F1B90">
      <w:pPr>
        <w:spacing w:after="0" w:line="259" w:lineRule="auto"/>
        <w:ind w:left="682" w:firstLine="0"/>
        <w:jc w:val="left"/>
      </w:pPr>
      <w:r>
        <w:t xml:space="preserve"> </w:t>
      </w:r>
    </w:p>
    <w:p w:rsidR="004F1664" w:rsidRDefault="009F1B90">
      <w:pPr>
        <w:ind w:left="677"/>
      </w:pPr>
      <w:r>
        <w:t xml:space="preserve">Where performance falls short of expectations the Board will identify the cause of this underperformance and will respond </w:t>
      </w:r>
      <w:r>
        <w:t xml:space="preserve">appropriately either to alter its Policy Portfolio (where asset allocation is the underlying cause) or to require changes to the management of the pooling vehicles (where management skill within LPP I is the underlying cause).  This latter </w:t>
      </w:r>
      <w:r>
        <w:t xml:space="preserve">intervention is </w:t>
      </w:r>
      <w:r>
        <w:t xml:space="preserve">enabled through the Board’s </w:t>
      </w:r>
      <w:r>
        <w:t>discretion to any of the LPP I pooled funds from the list of approved funds for use within the Policy Portfolio.  In practice LPFA would expect to work collaboratively with LPP I to identify and remedy the cause of any underperf</w:t>
      </w:r>
      <w:r>
        <w:t xml:space="preserve">ormance. </w:t>
      </w:r>
    </w:p>
    <w:p w:rsidR="004F1664" w:rsidRDefault="009F1B90">
      <w:pPr>
        <w:spacing w:after="11" w:line="259" w:lineRule="auto"/>
        <w:ind w:left="0" w:firstLine="0"/>
        <w:jc w:val="left"/>
      </w:pPr>
      <w:r>
        <w:t xml:space="preserve"> </w:t>
      </w:r>
    </w:p>
    <w:p w:rsidR="004F1664" w:rsidRDefault="009F1B90">
      <w:pPr>
        <w:pStyle w:val="Heading2"/>
        <w:ind w:left="667" w:hanging="567"/>
      </w:pPr>
      <w:r>
        <w:t>10.</w:t>
      </w:r>
      <w:r>
        <w:rPr>
          <w:rFonts w:ascii="Arial" w:eastAsia="Arial" w:hAnsi="Arial" w:cs="Arial"/>
        </w:rPr>
        <w:t xml:space="preserve"> </w:t>
      </w:r>
      <w:r>
        <w:t xml:space="preserve">ENVIRONMENTAL SOCIAL AND CORPORATE GOVERNANCE (ESG) POLICY, AND APPROACH TO SOCIAL INVESTMENTS </w:t>
      </w:r>
    </w:p>
    <w:p w:rsidR="004F1664" w:rsidRDefault="009F1B90">
      <w:pPr>
        <w:spacing w:after="0" w:line="259" w:lineRule="auto"/>
        <w:ind w:left="0" w:firstLine="0"/>
        <w:jc w:val="left"/>
      </w:pPr>
      <w:r>
        <w:rPr>
          <w:b/>
        </w:rPr>
        <w:t xml:space="preserve"> </w:t>
      </w:r>
    </w:p>
    <w:p w:rsidR="004F1664" w:rsidRDefault="009F1B90">
      <w:pPr>
        <w:ind w:left="677"/>
      </w:pPr>
      <w:r>
        <w:t xml:space="preserve">The Fund is committed to being a long term responsible investor. The Fund complies with and follows the principles of both the UK Stewardship </w:t>
      </w:r>
      <w:r>
        <w:t xml:space="preserve">Code and to the UN-backed Principles of Responsible Investment. </w:t>
      </w:r>
    </w:p>
    <w:p w:rsidR="004F1664" w:rsidRDefault="009F1B90">
      <w:pPr>
        <w:spacing w:after="0" w:line="259" w:lineRule="auto"/>
        <w:ind w:left="682" w:firstLine="0"/>
        <w:jc w:val="left"/>
      </w:pPr>
      <w:r>
        <w:t xml:space="preserve"> </w:t>
      </w:r>
    </w:p>
    <w:p w:rsidR="004F1664" w:rsidRDefault="009F1B90">
      <w:pPr>
        <w:ind w:left="677"/>
      </w:pPr>
      <w:r>
        <w:t xml:space="preserve">Responsible Investment is an investment approach which recognises the significance of the long-term health and stability of the market as a whole and encompasses  </w:t>
      </w:r>
    </w:p>
    <w:p w:rsidR="004F1664" w:rsidRDefault="009F1B90">
      <w:pPr>
        <w:numPr>
          <w:ilvl w:val="0"/>
          <w:numId w:val="3"/>
        </w:numPr>
        <w:spacing w:after="0" w:line="259" w:lineRule="auto"/>
        <w:ind w:right="85" w:hanging="360"/>
      </w:pPr>
      <w:r>
        <w:t>the integration of materi</w:t>
      </w:r>
      <w:r>
        <w:t xml:space="preserve">al ESG factors within investment analysis and decision-making  </w:t>
      </w:r>
    </w:p>
    <w:p w:rsidR="004F1664" w:rsidRDefault="009F1B90">
      <w:pPr>
        <w:numPr>
          <w:ilvl w:val="0"/>
          <w:numId w:val="3"/>
        </w:numPr>
        <w:ind w:right="85" w:hanging="360"/>
      </w:pPr>
      <w:r>
        <w:t xml:space="preserve">the active use of ownership rights in order to protect and enhance shareholder value over the long term </w:t>
      </w:r>
      <w:r>
        <w:t>–</w:t>
      </w:r>
      <w:r>
        <w:t xml:space="preserve"> primarily through voting and engagement.  </w:t>
      </w:r>
    </w:p>
    <w:p w:rsidR="004F1664" w:rsidRDefault="009F1B90">
      <w:pPr>
        <w:ind w:left="677"/>
      </w:pPr>
      <w:r>
        <w:t>The objective of responsible investment is to decrease investor risk and improve risk-adjusted returns. Resp</w:t>
      </w:r>
      <w:r>
        <w:t xml:space="preserve">onsible investment principles are at the foundation of the Fund’s approach to </w:t>
      </w:r>
      <w:r>
        <w:t>stewardship and underpin the Fund's fulfilment of its fiduciary duty t</w:t>
      </w:r>
      <w:r>
        <w:t xml:space="preserve">o scheme beneficiaries. </w:t>
      </w:r>
    </w:p>
    <w:p w:rsidR="004F1664" w:rsidRDefault="009F1B90">
      <w:pPr>
        <w:spacing w:after="0" w:line="259" w:lineRule="auto"/>
        <w:ind w:left="682" w:firstLine="0"/>
        <w:jc w:val="left"/>
      </w:pPr>
      <w:r>
        <w:t xml:space="preserve"> </w:t>
      </w:r>
    </w:p>
    <w:p w:rsidR="004F1664" w:rsidRDefault="009F1B90">
      <w:pPr>
        <w:ind w:left="677"/>
      </w:pPr>
      <w:r>
        <w:t>ESG integration and the active use of ownership influence are integral to the investment management services provided by LPP I, which are delivered in accordance with an LPP I Responsible Investment Policy. It is an LPP I RI beli</w:t>
      </w:r>
      <w:r>
        <w:t>ef that ESG factors are relevant at every stage in the investment cycle - within investment strategy, investment selection and within the stewardship of assets in ownership.  As part of a prudent approach which applies care, skill and diligence</w:t>
      </w:r>
      <w:r>
        <w:rPr>
          <w:b/>
        </w:rPr>
        <w:t xml:space="preserve">  </w:t>
      </w:r>
      <w:r>
        <w:t>LPP I proc</w:t>
      </w:r>
      <w:r>
        <w:t>edures ensure that ESG issues are routinely considered as part investment analysis, are incorporated into the due diligence leading to investment selection and continue to be monitored and reviewed as part of the active ownership of assets under management</w:t>
      </w:r>
      <w:r>
        <w:t xml:space="preserve">. </w:t>
      </w:r>
      <w:r>
        <w:rPr>
          <w:b/>
        </w:rPr>
        <w:t xml:space="preserve"> </w:t>
      </w:r>
    </w:p>
    <w:p w:rsidR="004F1664" w:rsidRDefault="009F1B90">
      <w:pPr>
        <w:spacing w:after="0" w:line="259" w:lineRule="auto"/>
        <w:ind w:left="682" w:firstLine="0"/>
        <w:jc w:val="left"/>
      </w:pPr>
      <w:r>
        <w:t xml:space="preserve"> </w:t>
      </w:r>
    </w:p>
    <w:p w:rsidR="004F1664" w:rsidRDefault="009F1B90">
      <w:pPr>
        <w:ind w:left="677"/>
      </w:pPr>
      <w:r>
        <w:t>The approach to incorporating ESG factors is to establish the type and materiality of relevant issues on a case by case basis, whilst taking account of global norms, rather than to apply artificial exclusions through negative screening. ESG factors a</w:t>
      </w:r>
      <w:r>
        <w:t xml:space="preserve">re considered over the time horizon within which specific investments are likely to be held, in order to clarify the context that risks and returns operate within and assist the evaluation of investment risks and opportunities.  </w:t>
      </w:r>
    </w:p>
    <w:p w:rsidR="004F1664" w:rsidRDefault="009F1B90">
      <w:pPr>
        <w:spacing w:after="0" w:line="259" w:lineRule="auto"/>
        <w:ind w:left="682" w:firstLine="0"/>
        <w:jc w:val="left"/>
      </w:pPr>
      <w:r>
        <w:t xml:space="preserve"> </w:t>
      </w:r>
    </w:p>
    <w:p w:rsidR="004F1664" w:rsidRDefault="009F1B90">
      <w:pPr>
        <w:ind w:left="677"/>
      </w:pPr>
      <w:r>
        <w:t>The Fund shall invest on the basis on financial risk and return having considered a full range of factors contributing to financial risk including both those detailed above and relevant social factors to the extent these indirectly or directly impact on fi</w:t>
      </w:r>
      <w:r>
        <w:t xml:space="preserve">nancial risk and return. </w:t>
      </w:r>
    </w:p>
    <w:p w:rsidR="004F1664" w:rsidRDefault="009F1B90">
      <w:pPr>
        <w:spacing w:after="0" w:line="259" w:lineRule="auto"/>
        <w:ind w:left="0" w:firstLine="0"/>
        <w:jc w:val="left"/>
      </w:pPr>
      <w:r>
        <w:t xml:space="preserve"> </w:t>
      </w:r>
    </w:p>
    <w:p w:rsidR="004F1664" w:rsidRDefault="009F1B90">
      <w:pPr>
        <w:ind w:left="677"/>
      </w:pPr>
      <w:r>
        <w:t>LPFA has identified climate change as a long-term material financial risk with the potential to impact all asset classes within the portfolio over time. The Fund has developed a Policy on Climate Change which sets out expectatio</w:t>
      </w:r>
      <w:r>
        <w:t xml:space="preserve">ns of LPP I in relation to how the risks and opportunities arising from Climate Change will be identified, monitored and managed. </w:t>
      </w:r>
    </w:p>
    <w:p w:rsidR="004F1664" w:rsidRDefault="009F1B90">
      <w:pPr>
        <w:spacing w:after="0" w:line="259" w:lineRule="auto"/>
        <w:ind w:left="0" w:firstLine="0"/>
        <w:jc w:val="left"/>
      </w:pPr>
      <w:r>
        <w:t xml:space="preserve"> </w:t>
      </w:r>
    </w:p>
    <w:p w:rsidR="004F1664" w:rsidRDefault="009F1B90">
      <w:pPr>
        <w:spacing w:after="8" w:line="259" w:lineRule="auto"/>
        <w:ind w:left="0" w:firstLine="0"/>
        <w:jc w:val="left"/>
      </w:pPr>
      <w:r>
        <w:t xml:space="preserve"> </w:t>
      </w:r>
    </w:p>
    <w:p w:rsidR="004F1664" w:rsidRDefault="009F1B90">
      <w:pPr>
        <w:pStyle w:val="Heading2"/>
        <w:ind w:left="110"/>
      </w:pPr>
      <w:r>
        <w:t>11.</w:t>
      </w:r>
      <w:r>
        <w:rPr>
          <w:rFonts w:ascii="Arial" w:eastAsia="Arial" w:hAnsi="Arial" w:cs="Arial"/>
        </w:rPr>
        <w:t xml:space="preserve"> </w:t>
      </w:r>
      <w:r>
        <w:t xml:space="preserve">EXERCISING THE RIGHTS OF OWNERSHIP </w:t>
      </w:r>
    </w:p>
    <w:p w:rsidR="004F1664" w:rsidRDefault="009F1B90">
      <w:pPr>
        <w:spacing w:after="0" w:line="259" w:lineRule="auto"/>
        <w:ind w:left="0" w:firstLine="0"/>
        <w:jc w:val="left"/>
      </w:pPr>
      <w:r>
        <w:rPr>
          <w:b/>
        </w:rPr>
        <w:t xml:space="preserve"> </w:t>
      </w:r>
    </w:p>
    <w:p w:rsidR="004F1664" w:rsidRDefault="009F1B90">
      <w:pPr>
        <w:spacing w:after="3" w:line="241" w:lineRule="auto"/>
        <w:ind w:left="677"/>
        <w:jc w:val="left"/>
      </w:pPr>
      <w:r>
        <w:t>The Fund recognises that encouraging the highest standards of corporate governa</w:t>
      </w:r>
      <w:r>
        <w:t>nce and promoting corporate responsibility by investee companies protects the financial interests of pension fund members over the long term.  The Fund's commitment to actively exercising the ownership rights attached to its investments, reflects the Fund'</w:t>
      </w:r>
      <w:r>
        <w:t xml:space="preserve">s conviction that responsible asset owners should maintain oversight of the way in which the enterprises they invest in are managed and how their activities  impact upon customers, clients, employees, stakeholders, and wider society. </w:t>
      </w:r>
    </w:p>
    <w:p w:rsidR="004F1664" w:rsidRDefault="009F1B90">
      <w:pPr>
        <w:spacing w:after="0" w:line="259" w:lineRule="auto"/>
        <w:ind w:left="682" w:firstLine="0"/>
        <w:jc w:val="left"/>
      </w:pPr>
      <w:r>
        <w:t xml:space="preserve"> </w:t>
      </w:r>
    </w:p>
    <w:p w:rsidR="004F1664" w:rsidRDefault="009F1B90">
      <w:pPr>
        <w:spacing w:after="52" w:line="241" w:lineRule="auto"/>
        <w:ind w:left="677"/>
        <w:jc w:val="left"/>
      </w:pPr>
      <w:r>
        <w:t>The routes for exer</w:t>
      </w:r>
      <w:r>
        <w:t>cising ownership influence vary across asset types and a range of activities are undertaken on the Fund's behalf by LPP I, including direct representation on company boards, presence on investor &amp; advisory committees and participation in partnerships and c</w:t>
      </w:r>
      <w:r>
        <w:t xml:space="preserve">ollaborations with other investors. In the case of listed equites the most direct form of ownership influence comes through shareholder voting and engagement. </w:t>
      </w:r>
    </w:p>
    <w:p w:rsidR="004F1664" w:rsidRDefault="009F1B90">
      <w:pPr>
        <w:spacing w:after="0" w:line="259" w:lineRule="auto"/>
        <w:ind w:left="0" w:firstLine="0"/>
        <w:jc w:val="left"/>
      </w:pPr>
      <w:r>
        <w:rPr>
          <w:sz w:val="25"/>
        </w:rPr>
        <w:t xml:space="preserve"> </w:t>
      </w:r>
    </w:p>
    <w:p w:rsidR="004F1664" w:rsidRDefault="009F1B90">
      <w:pPr>
        <w:pStyle w:val="Heading2"/>
        <w:ind w:left="110"/>
      </w:pPr>
      <w:r>
        <w:t>12.</w:t>
      </w:r>
      <w:r>
        <w:rPr>
          <w:rFonts w:ascii="Arial" w:eastAsia="Arial" w:hAnsi="Arial" w:cs="Arial"/>
        </w:rPr>
        <w:t xml:space="preserve"> </w:t>
      </w:r>
      <w:r>
        <w:t xml:space="preserve">VOTING </w:t>
      </w:r>
    </w:p>
    <w:p w:rsidR="004F1664" w:rsidRDefault="009F1B90">
      <w:pPr>
        <w:spacing w:after="0" w:line="259" w:lineRule="auto"/>
        <w:ind w:left="0" w:firstLine="0"/>
        <w:jc w:val="left"/>
      </w:pPr>
      <w:r>
        <w:rPr>
          <w:b/>
        </w:rPr>
        <w:t xml:space="preserve"> </w:t>
      </w:r>
    </w:p>
    <w:p w:rsidR="004F1664" w:rsidRDefault="009F1B90">
      <w:pPr>
        <w:spacing w:after="230" w:line="241" w:lineRule="auto"/>
        <w:ind w:left="677"/>
        <w:jc w:val="left"/>
      </w:pPr>
      <w:r>
        <w:t>In most cases the Fund holds no direct ownership of shares of companies.  However, through the investments managed by LPP I, the Fund has indirect ownership interests in listed companies across the globe. To ensure effective and consistent use of the votin</w:t>
      </w:r>
      <w:r>
        <w:t xml:space="preserve">g rights attached to these assets, LPP I works with an external provider of governance and proxy voting services. </w:t>
      </w:r>
    </w:p>
    <w:p w:rsidR="004F1664" w:rsidRDefault="009F1B90">
      <w:pPr>
        <w:spacing w:after="228" w:line="241" w:lineRule="auto"/>
        <w:ind w:left="677"/>
        <w:jc w:val="left"/>
      </w:pPr>
      <w:r>
        <w:t xml:space="preserve">Voting is undertaken centrally rather than being delegated to individual managers and is in line </w:t>
      </w:r>
      <w:r>
        <w:t>with LPP I’s Shareholder Voting Policy which</w:t>
      </w:r>
      <w:r>
        <w:t xml:space="preserve"> promotes </w:t>
      </w:r>
      <w:r>
        <w:t xml:space="preserve">risk mitigation and long-term shareholder value creation by supporting responsible global corporate governance practices. The policy is reviewed and updated on an annual basis to reflect </w:t>
      </w:r>
      <w:r>
        <w:rPr>
          <w:color w:val="252525"/>
        </w:rPr>
        <w:t xml:space="preserve">emerging issues and trends. </w:t>
      </w:r>
    </w:p>
    <w:p w:rsidR="004F1664" w:rsidRDefault="009F1B90">
      <w:pPr>
        <w:ind w:left="677"/>
      </w:pPr>
      <w:r>
        <w:t>A quarterly report on voting a</w:t>
      </w:r>
      <w:r>
        <w:t xml:space="preserve">ctivity is available from the LPP website which is signposted via a link from the LPFA website.  </w:t>
      </w:r>
    </w:p>
    <w:p w:rsidR="004F1664" w:rsidRDefault="009F1B90">
      <w:pPr>
        <w:spacing w:after="186" w:line="259" w:lineRule="auto"/>
        <w:ind w:left="0" w:firstLine="0"/>
        <w:jc w:val="left"/>
      </w:pPr>
      <w:r>
        <w:rPr>
          <w:sz w:val="13"/>
        </w:rPr>
        <w:t xml:space="preserve"> </w:t>
      </w:r>
    </w:p>
    <w:p w:rsidR="004F1664" w:rsidRDefault="009F1B90">
      <w:pPr>
        <w:pStyle w:val="Heading2"/>
        <w:ind w:left="110"/>
      </w:pPr>
      <w:r>
        <w:t>12.</w:t>
      </w:r>
      <w:r>
        <w:rPr>
          <w:rFonts w:ascii="Arial" w:eastAsia="Arial" w:hAnsi="Arial" w:cs="Arial"/>
        </w:rPr>
        <w:t xml:space="preserve"> </w:t>
      </w:r>
      <w:r>
        <w:t>ENGAGEMENT</w:t>
      </w:r>
      <w:r>
        <w:rPr>
          <w:color w:val="000000"/>
        </w:rPr>
        <w:t xml:space="preserve"> </w:t>
      </w:r>
    </w:p>
    <w:p w:rsidR="004F1664" w:rsidRDefault="009F1B90">
      <w:pPr>
        <w:spacing w:after="0" w:line="259" w:lineRule="auto"/>
        <w:ind w:left="0" w:firstLine="0"/>
        <w:jc w:val="left"/>
      </w:pPr>
      <w:r>
        <w:rPr>
          <w:b/>
          <w:sz w:val="19"/>
        </w:rPr>
        <w:t xml:space="preserve"> </w:t>
      </w:r>
    </w:p>
    <w:p w:rsidR="004F1664" w:rsidRDefault="009F1B90">
      <w:pPr>
        <w:ind w:left="677"/>
      </w:pPr>
      <w:r>
        <w:t xml:space="preserve">The Fund’s approach to engagement recognises the importance of working in partnership to </w:t>
      </w:r>
      <w:r>
        <w:t>magnify the voice and maximise the influence of i</w:t>
      </w:r>
      <w:r>
        <w:t xml:space="preserve">nvestors as owners. The Fund appreciates that to gain the attention of companies in addressing governance concerns, it needs to join with other investors sharing similar concerns. It does this primarily through: </w:t>
      </w:r>
    </w:p>
    <w:p w:rsidR="004F1664" w:rsidRDefault="009F1B90">
      <w:pPr>
        <w:numPr>
          <w:ilvl w:val="0"/>
          <w:numId w:val="4"/>
        </w:numPr>
        <w:ind w:hanging="360"/>
      </w:pPr>
      <w:r>
        <w:t>Membership of representative bodies includi</w:t>
      </w:r>
      <w:r>
        <w:t xml:space="preserve">ng the Local Authority Pension Fund Forum (LAPFF) and the Pensions and Lifetime Savings Association (PLSA); </w:t>
      </w:r>
    </w:p>
    <w:p w:rsidR="004F1664" w:rsidRDefault="009F1B90">
      <w:pPr>
        <w:numPr>
          <w:ilvl w:val="0"/>
          <w:numId w:val="4"/>
        </w:numPr>
        <w:ind w:hanging="360"/>
      </w:pPr>
      <w:r>
        <w:t xml:space="preserve">Giving support to shareholder resolutions where these reflect concerns which are shared and represent the Fund interests; </w:t>
      </w:r>
    </w:p>
    <w:p w:rsidR="004F1664" w:rsidRDefault="009F1B90">
      <w:pPr>
        <w:numPr>
          <w:ilvl w:val="0"/>
          <w:numId w:val="4"/>
        </w:numPr>
        <w:ind w:hanging="360"/>
      </w:pPr>
      <w:r>
        <w:t>Joining wider lobbying a</w:t>
      </w:r>
      <w:r>
        <w:t xml:space="preserve">ctivities when appropriate opportunities arise. </w:t>
      </w:r>
    </w:p>
    <w:p w:rsidR="004F1664" w:rsidRDefault="009F1B90">
      <w:pPr>
        <w:spacing w:after="0" w:line="259" w:lineRule="auto"/>
        <w:ind w:left="682" w:firstLine="0"/>
        <w:jc w:val="left"/>
      </w:pPr>
      <w:r>
        <w:t xml:space="preserve"> </w:t>
      </w:r>
    </w:p>
    <w:p w:rsidR="004F1664" w:rsidRDefault="009F1B90">
      <w:pPr>
        <w:spacing w:after="3" w:line="241" w:lineRule="auto"/>
        <w:ind w:left="677"/>
        <w:jc w:val="left"/>
      </w:pPr>
      <w:r>
        <w:t>The Fund complies with the UK Stewardship Code and a statement of compliance which explains the arrangements which support its commitment to each of the seven principles is displayed on the Fund's website.</w:t>
      </w:r>
      <w:r>
        <w:t xml:space="preserve"> </w:t>
      </w:r>
    </w:p>
    <w:p w:rsidR="004F1664" w:rsidRDefault="009F1B90">
      <w:pPr>
        <w:spacing w:after="0" w:line="259" w:lineRule="auto"/>
        <w:ind w:left="0" w:firstLine="0"/>
        <w:jc w:val="left"/>
      </w:pPr>
      <w:r>
        <w:t xml:space="preserve"> </w:t>
      </w:r>
    </w:p>
    <w:sectPr w:rsidR="004F1664">
      <w:headerReference w:type="even" r:id="rId14"/>
      <w:headerReference w:type="default" r:id="rId15"/>
      <w:headerReference w:type="first" r:id="rId16"/>
      <w:pgSz w:w="11911" w:h="16841"/>
      <w:pgMar w:top="1932" w:right="536" w:bottom="880" w:left="102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F1B90">
      <w:pPr>
        <w:spacing w:after="0" w:line="240" w:lineRule="auto"/>
      </w:pPr>
      <w:r>
        <w:separator/>
      </w:r>
    </w:p>
  </w:endnote>
  <w:endnote w:type="continuationSeparator" w:id="0">
    <w:p w:rsidR="00000000" w:rsidRDefault="009F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F1B90">
      <w:pPr>
        <w:spacing w:after="0" w:line="240" w:lineRule="auto"/>
      </w:pPr>
      <w:r>
        <w:separator/>
      </w:r>
    </w:p>
  </w:footnote>
  <w:footnote w:type="continuationSeparator" w:id="0">
    <w:p w:rsidR="00000000" w:rsidRDefault="009F1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664" w:rsidRDefault="009F1B9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1062355</wp:posOffset>
              </wp:positionH>
              <wp:positionV relativeFrom="page">
                <wp:posOffset>361314</wp:posOffset>
              </wp:positionV>
              <wp:extent cx="5977255" cy="3048"/>
              <wp:effectExtent l="0" t="0" r="0" b="0"/>
              <wp:wrapSquare wrapText="bothSides"/>
              <wp:docPr id="18100" name="Group 18100"/>
              <wp:cNvGraphicFramePr/>
              <a:graphic xmlns:a="http://schemas.openxmlformats.org/drawingml/2006/main">
                <a:graphicData uri="http://schemas.microsoft.com/office/word/2010/wordprocessingGroup">
                  <wpg:wgp>
                    <wpg:cNvGrpSpPr/>
                    <wpg:grpSpPr>
                      <a:xfrm>
                        <a:off x="0" y="0"/>
                        <a:ext cx="5977255" cy="3048"/>
                        <a:chOff x="0" y="0"/>
                        <a:chExt cx="5977255" cy="3048"/>
                      </a:xfrm>
                    </wpg:grpSpPr>
                    <wps:wsp>
                      <wps:cNvPr id="18101" name="Shape 18101"/>
                      <wps:cNvSpPr/>
                      <wps:spPr>
                        <a:xfrm>
                          <a:off x="0" y="0"/>
                          <a:ext cx="5977255" cy="0"/>
                        </a:xfrm>
                        <a:custGeom>
                          <a:avLst/>
                          <a:gdLst/>
                          <a:ahLst/>
                          <a:cxnLst/>
                          <a:rect l="0" t="0" r="0" b="0"/>
                          <a:pathLst>
                            <a:path w="5977255">
                              <a:moveTo>
                                <a:pt x="0" y="0"/>
                              </a:moveTo>
                              <a:lnTo>
                                <a:pt x="5977255" y="0"/>
                              </a:lnTo>
                            </a:path>
                          </a:pathLst>
                        </a:custGeom>
                        <a:ln w="3048" cap="flat">
                          <a:round/>
                        </a:ln>
                      </wps:spPr>
                      <wps:style>
                        <a:lnRef idx="1">
                          <a:srgbClr val="000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100" style="width:470.65pt;height:0.24pt;position:absolute;mso-position-horizontal-relative:page;mso-position-horizontal:absolute;margin-left:83.65pt;mso-position-vertical-relative:page;margin-top:28.45pt;" coordsize="59772,30">
              <v:shape id="Shape 18101" style="position:absolute;width:59772;height:0;left:0;top:0;" coordsize="5977255,0" path="m0,0l5977255,0">
                <v:stroke weight="0.24pt" endcap="flat" joinstyle="round" on="true" color="#000080"/>
                <v:fill on="false" color="#000000" opacity="0"/>
              </v:shape>
              <w10:wrap type="square"/>
            </v:group>
          </w:pict>
        </mc:Fallback>
      </mc:AlternateContent>
    </w:r>
    <w:r>
      <w:t xml:space="preserve"> </w:t>
    </w:r>
    <w:r>
      <w:tab/>
    </w:r>
  </w:p>
  <w:p w:rsidR="004F1664" w:rsidRDefault="009F1B90">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5819775</wp:posOffset>
              </wp:positionH>
              <wp:positionV relativeFrom="page">
                <wp:posOffset>461645</wp:posOffset>
              </wp:positionV>
              <wp:extent cx="1183005" cy="752475"/>
              <wp:effectExtent l="0" t="0" r="0" b="0"/>
              <wp:wrapNone/>
              <wp:docPr id="18102" name="Group 18102"/>
              <wp:cNvGraphicFramePr/>
              <a:graphic xmlns:a="http://schemas.openxmlformats.org/drawingml/2006/main">
                <a:graphicData uri="http://schemas.microsoft.com/office/word/2010/wordprocessingGroup">
                  <wpg:wgp>
                    <wpg:cNvGrpSpPr/>
                    <wpg:grpSpPr>
                      <a:xfrm>
                        <a:off x="0" y="0"/>
                        <a:ext cx="1183005" cy="752475"/>
                        <a:chOff x="0" y="0"/>
                        <a:chExt cx="1183005" cy="752475"/>
                      </a:xfrm>
                    </wpg:grpSpPr>
                    <pic:pic xmlns:pic="http://schemas.openxmlformats.org/drawingml/2006/picture">
                      <pic:nvPicPr>
                        <pic:cNvPr id="18103" name="Picture 18103"/>
                        <pic:cNvPicPr/>
                      </pic:nvPicPr>
                      <pic:blipFill>
                        <a:blip r:embed="rId1"/>
                        <a:stretch>
                          <a:fillRect/>
                        </a:stretch>
                      </pic:blipFill>
                      <pic:spPr>
                        <a:xfrm>
                          <a:off x="0" y="0"/>
                          <a:ext cx="1183005" cy="752475"/>
                        </a:xfrm>
                        <a:prstGeom prst="rect">
                          <a:avLst/>
                        </a:prstGeom>
                      </pic:spPr>
                    </pic:pic>
                  </wpg:wgp>
                </a:graphicData>
              </a:graphic>
            </wp:anchor>
          </w:drawing>
        </mc:Choice>
        <mc:Fallback xmlns:a="http://schemas.openxmlformats.org/drawingml/2006/main">
          <w:pict>
            <v:group id="Group 18102" style="width:93.15pt;height:59.25pt;position:absolute;z-index:-2147483648;mso-position-horizontal-relative:page;mso-position-horizontal:absolute;margin-left:458.25pt;mso-position-vertical-relative:page;margin-top:36.35pt;" coordsize="11830,7524">
              <v:shape id="Picture 18103" style="position:absolute;width:11830;height:7524;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664" w:rsidRDefault="009F1B90">
    <w:pPr>
      <w:spacing w:after="0" w:line="259" w:lineRule="auto"/>
      <w:ind w:left="-1020" w:right="29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647700</wp:posOffset>
              </wp:positionH>
              <wp:positionV relativeFrom="page">
                <wp:posOffset>270562</wp:posOffset>
              </wp:positionV>
              <wp:extent cx="6391910" cy="943558"/>
              <wp:effectExtent l="0" t="0" r="0" b="0"/>
              <wp:wrapSquare wrapText="bothSides"/>
              <wp:docPr id="18085" name="Group 18085"/>
              <wp:cNvGraphicFramePr/>
              <a:graphic xmlns:a="http://schemas.openxmlformats.org/drawingml/2006/main">
                <a:graphicData uri="http://schemas.microsoft.com/office/word/2010/wordprocessingGroup">
                  <wpg:wgp>
                    <wpg:cNvGrpSpPr/>
                    <wpg:grpSpPr>
                      <a:xfrm>
                        <a:off x="0" y="0"/>
                        <a:ext cx="6391910" cy="943558"/>
                        <a:chOff x="0" y="0"/>
                        <a:chExt cx="6391910" cy="943558"/>
                      </a:xfrm>
                    </wpg:grpSpPr>
                    <pic:pic xmlns:pic="http://schemas.openxmlformats.org/drawingml/2006/picture">
                      <pic:nvPicPr>
                        <pic:cNvPr id="18086" name="Picture 18086"/>
                        <pic:cNvPicPr/>
                      </pic:nvPicPr>
                      <pic:blipFill>
                        <a:blip r:embed="rId1"/>
                        <a:stretch>
                          <a:fillRect/>
                        </a:stretch>
                      </pic:blipFill>
                      <pic:spPr>
                        <a:xfrm>
                          <a:off x="5172075" y="191083"/>
                          <a:ext cx="1183005" cy="752475"/>
                        </a:xfrm>
                        <a:prstGeom prst="rect">
                          <a:avLst/>
                        </a:prstGeom>
                      </pic:spPr>
                    </pic:pic>
                    <wps:wsp>
                      <wps:cNvPr id="18087" name="Shape 18087"/>
                      <wps:cNvSpPr/>
                      <wps:spPr>
                        <a:xfrm>
                          <a:off x="414655" y="90753"/>
                          <a:ext cx="5977255" cy="0"/>
                        </a:xfrm>
                        <a:custGeom>
                          <a:avLst/>
                          <a:gdLst/>
                          <a:ahLst/>
                          <a:cxnLst/>
                          <a:rect l="0" t="0" r="0" b="0"/>
                          <a:pathLst>
                            <a:path w="5977255">
                              <a:moveTo>
                                <a:pt x="0" y="0"/>
                              </a:moveTo>
                              <a:lnTo>
                                <a:pt x="5977255" y="0"/>
                              </a:lnTo>
                            </a:path>
                          </a:pathLst>
                        </a:custGeom>
                        <a:ln w="3048" cap="flat">
                          <a:round/>
                        </a:ln>
                      </wps:spPr>
                      <wps:style>
                        <a:lnRef idx="1">
                          <a:srgbClr val="000080"/>
                        </a:lnRef>
                        <a:fillRef idx="0">
                          <a:srgbClr val="000000">
                            <a:alpha val="0"/>
                          </a:srgbClr>
                        </a:fillRef>
                        <a:effectRef idx="0">
                          <a:scrgbClr r="0" g="0" b="0"/>
                        </a:effectRef>
                        <a:fontRef idx="none"/>
                      </wps:style>
                      <wps:bodyPr/>
                    </wps:wsp>
                    <wps:wsp>
                      <wps:cNvPr id="18088" name="Rectangle 18088"/>
                      <wps:cNvSpPr/>
                      <wps:spPr>
                        <a:xfrm>
                          <a:off x="401117" y="172212"/>
                          <a:ext cx="1029426" cy="163963"/>
                        </a:xfrm>
                        <a:prstGeom prst="rect">
                          <a:avLst/>
                        </a:prstGeom>
                        <a:ln>
                          <a:noFill/>
                        </a:ln>
                      </wps:spPr>
                      <wps:txbx>
                        <w:txbxContent>
                          <w:p w:rsidR="004F1664" w:rsidRDefault="009F1B90">
                            <w:pPr>
                              <w:spacing w:after="160" w:line="259" w:lineRule="auto"/>
                              <w:ind w:left="0" w:firstLine="0"/>
                              <w:jc w:val="left"/>
                            </w:pPr>
                            <w:r>
                              <w:rPr>
                                <w:color w:val="36447D"/>
                              </w:rPr>
                              <w:t xml:space="preserve">Investment </w:t>
                            </w:r>
                          </w:p>
                        </w:txbxContent>
                      </wps:txbx>
                      <wps:bodyPr horzOverflow="overflow" vert="horz" lIns="0" tIns="0" rIns="0" bIns="0" rtlCol="0">
                        <a:noAutofit/>
                      </wps:bodyPr>
                    </wps:wsp>
                    <wps:wsp>
                      <wps:cNvPr id="18089" name="Rectangle 18089"/>
                      <wps:cNvSpPr/>
                      <wps:spPr>
                        <a:xfrm>
                          <a:off x="1175258" y="172212"/>
                          <a:ext cx="1674268" cy="163963"/>
                        </a:xfrm>
                        <a:prstGeom prst="rect">
                          <a:avLst/>
                        </a:prstGeom>
                        <a:ln>
                          <a:noFill/>
                        </a:ln>
                      </wps:spPr>
                      <wps:txbx>
                        <w:txbxContent>
                          <w:p w:rsidR="004F1664" w:rsidRDefault="009F1B90">
                            <w:pPr>
                              <w:spacing w:after="160" w:line="259" w:lineRule="auto"/>
                              <w:ind w:left="0" w:firstLine="0"/>
                              <w:jc w:val="left"/>
                            </w:pPr>
                            <w:r>
                              <w:rPr>
                                <w:color w:val="36447D"/>
                              </w:rPr>
                              <w:t>Strategy Statement</w:t>
                            </w:r>
                          </w:p>
                        </w:txbxContent>
                      </wps:txbx>
                      <wps:bodyPr horzOverflow="overflow" vert="horz" lIns="0" tIns="0" rIns="0" bIns="0" rtlCol="0">
                        <a:noAutofit/>
                      </wps:bodyPr>
                    </wps:wsp>
                    <wps:wsp>
                      <wps:cNvPr id="18090" name="Rectangle 18090"/>
                      <wps:cNvSpPr/>
                      <wps:spPr>
                        <a:xfrm>
                          <a:off x="2437511" y="172212"/>
                          <a:ext cx="59219" cy="163963"/>
                        </a:xfrm>
                        <a:prstGeom prst="rect">
                          <a:avLst/>
                        </a:prstGeom>
                        <a:ln>
                          <a:noFill/>
                        </a:ln>
                      </wps:spPr>
                      <wps:txbx>
                        <w:txbxContent>
                          <w:p w:rsidR="004F1664" w:rsidRDefault="009F1B90">
                            <w:pPr>
                              <w:spacing w:after="160" w:line="259" w:lineRule="auto"/>
                              <w:ind w:left="0" w:firstLine="0"/>
                              <w:jc w:val="left"/>
                            </w:pPr>
                            <w:r>
                              <w:t xml:space="preserve"> </w:t>
                            </w:r>
                          </w:p>
                        </w:txbxContent>
                      </wps:txbx>
                      <wps:bodyPr horzOverflow="overflow" vert="horz" lIns="0" tIns="0" rIns="0" bIns="0" rtlCol="0">
                        <a:noAutofit/>
                      </wps:bodyPr>
                    </wps:wsp>
                    <wps:wsp>
                      <wps:cNvPr id="18091" name="Rectangle 18091"/>
                      <wps:cNvSpPr/>
                      <wps:spPr>
                        <a:xfrm>
                          <a:off x="0" y="0"/>
                          <a:ext cx="59219" cy="163963"/>
                        </a:xfrm>
                        <a:prstGeom prst="rect">
                          <a:avLst/>
                        </a:prstGeom>
                        <a:ln>
                          <a:noFill/>
                        </a:ln>
                      </wps:spPr>
                      <wps:txbx>
                        <w:txbxContent>
                          <w:p w:rsidR="004F1664" w:rsidRDefault="009F1B9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085" style="width:503.3pt;height:74.2959pt;position:absolute;mso-position-horizontal-relative:page;mso-position-horizontal:absolute;margin-left:51pt;mso-position-vertical-relative:page;margin-top:21.3041pt;" coordsize="63919,9435">
              <v:shape id="Picture 18086" style="position:absolute;width:11830;height:7524;left:51720;top:1910;" filled="f">
                <v:imagedata r:id="rId7"/>
              </v:shape>
              <v:shape id="Shape 18087" style="position:absolute;width:59772;height:0;left:4146;top:907;" coordsize="5977255,0" path="m0,0l5977255,0">
                <v:stroke weight="0.24pt" endcap="flat" joinstyle="round" on="true" color="#000080"/>
                <v:fill on="false" color="#000000" opacity="0"/>
              </v:shape>
              <v:rect id="Rectangle 18088" style="position:absolute;width:10294;height:1639;left:4011;top:1722;" filled="f" stroked="f">
                <v:textbox inset="0,0,0,0">
                  <w:txbxContent>
                    <w:p>
                      <w:pPr>
                        <w:spacing w:before="0" w:after="160" w:line="259" w:lineRule="auto"/>
                        <w:ind w:left="0" w:firstLine="0"/>
                        <w:jc w:val="left"/>
                      </w:pPr>
                      <w:r>
                        <w:rPr>
                          <w:color w:val="36447d"/>
                        </w:rPr>
                        <w:t xml:space="preserve">Investment </w:t>
                      </w:r>
                    </w:p>
                  </w:txbxContent>
                </v:textbox>
              </v:rect>
              <v:rect id="Rectangle 18089" style="position:absolute;width:16742;height:1639;left:11752;top:1722;" filled="f" stroked="f">
                <v:textbox inset="0,0,0,0">
                  <w:txbxContent>
                    <w:p>
                      <w:pPr>
                        <w:spacing w:before="0" w:after="160" w:line="259" w:lineRule="auto"/>
                        <w:ind w:left="0" w:firstLine="0"/>
                        <w:jc w:val="left"/>
                      </w:pPr>
                      <w:r>
                        <w:rPr>
                          <w:color w:val="36447d"/>
                        </w:rPr>
                        <w:t xml:space="preserve">Strategy Statement</w:t>
                      </w:r>
                    </w:p>
                  </w:txbxContent>
                </v:textbox>
              </v:rect>
              <v:rect id="Rectangle 18090" style="position:absolute;width:592;height:1639;left:24375;top:1722;" filled="f" stroked="f">
                <v:textbox inset="0,0,0,0">
                  <w:txbxContent>
                    <w:p>
                      <w:pPr>
                        <w:spacing w:before="0" w:after="160" w:line="259" w:lineRule="auto"/>
                        <w:ind w:left="0" w:firstLine="0"/>
                        <w:jc w:val="left"/>
                      </w:pPr>
                      <w:r>
                        <w:rPr/>
                        <w:t xml:space="preserve"> </w:t>
                      </w:r>
                    </w:p>
                  </w:txbxContent>
                </v:textbox>
              </v:rect>
              <v:rect id="Rectangle 18091" style="position:absolute;width:592;height:1639;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p>
  <w:p w:rsidR="004F1664" w:rsidRDefault="009F1B90">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18092" name="Group 1809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09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664" w:rsidRDefault="009F1B90">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1" cy="1"/>
              <wp:effectExtent l="0" t="0" r="0" b="0"/>
              <wp:wrapNone/>
              <wp:docPr id="18080" name="Group 180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080"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664" w:rsidRDefault="009F1B90">
    <w:pPr>
      <w:spacing w:after="0" w:line="259" w:lineRule="auto"/>
      <w:ind w:left="-1020" w:right="289"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647700</wp:posOffset>
              </wp:positionH>
              <wp:positionV relativeFrom="page">
                <wp:posOffset>270562</wp:posOffset>
              </wp:positionV>
              <wp:extent cx="6391910" cy="943558"/>
              <wp:effectExtent l="0" t="0" r="0" b="0"/>
              <wp:wrapSquare wrapText="bothSides"/>
              <wp:docPr id="18133" name="Group 18133"/>
              <wp:cNvGraphicFramePr/>
              <a:graphic xmlns:a="http://schemas.openxmlformats.org/drawingml/2006/main">
                <a:graphicData uri="http://schemas.microsoft.com/office/word/2010/wordprocessingGroup">
                  <wpg:wgp>
                    <wpg:cNvGrpSpPr/>
                    <wpg:grpSpPr>
                      <a:xfrm>
                        <a:off x="0" y="0"/>
                        <a:ext cx="6391910" cy="943558"/>
                        <a:chOff x="0" y="0"/>
                        <a:chExt cx="6391910" cy="943558"/>
                      </a:xfrm>
                    </wpg:grpSpPr>
                    <pic:pic xmlns:pic="http://schemas.openxmlformats.org/drawingml/2006/picture">
                      <pic:nvPicPr>
                        <pic:cNvPr id="18134" name="Picture 18134"/>
                        <pic:cNvPicPr/>
                      </pic:nvPicPr>
                      <pic:blipFill>
                        <a:blip r:embed="rId1"/>
                        <a:stretch>
                          <a:fillRect/>
                        </a:stretch>
                      </pic:blipFill>
                      <pic:spPr>
                        <a:xfrm>
                          <a:off x="5172075" y="191083"/>
                          <a:ext cx="1183005" cy="752475"/>
                        </a:xfrm>
                        <a:prstGeom prst="rect">
                          <a:avLst/>
                        </a:prstGeom>
                      </pic:spPr>
                    </pic:pic>
                    <wps:wsp>
                      <wps:cNvPr id="18135" name="Shape 18135"/>
                      <wps:cNvSpPr/>
                      <wps:spPr>
                        <a:xfrm>
                          <a:off x="414655" y="90753"/>
                          <a:ext cx="5977255" cy="0"/>
                        </a:xfrm>
                        <a:custGeom>
                          <a:avLst/>
                          <a:gdLst/>
                          <a:ahLst/>
                          <a:cxnLst/>
                          <a:rect l="0" t="0" r="0" b="0"/>
                          <a:pathLst>
                            <a:path w="5977255">
                              <a:moveTo>
                                <a:pt x="0" y="0"/>
                              </a:moveTo>
                              <a:lnTo>
                                <a:pt x="5977255" y="0"/>
                              </a:lnTo>
                            </a:path>
                          </a:pathLst>
                        </a:custGeom>
                        <a:ln w="3048" cap="flat">
                          <a:round/>
                        </a:ln>
                      </wps:spPr>
                      <wps:style>
                        <a:lnRef idx="1">
                          <a:srgbClr val="000080"/>
                        </a:lnRef>
                        <a:fillRef idx="0">
                          <a:srgbClr val="000000">
                            <a:alpha val="0"/>
                          </a:srgbClr>
                        </a:fillRef>
                        <a:effectRef idx="0">
                          <a:scrgbClr r="0" g="0" b="0"/>
                        </a:effectRef>
                        <a:fontRef idx="none"/>
                      </wps:style>
                      <wps:bodyPr/>
                    </wps:wsp>
                    <wps:wsp>
                      <wps:cNvPr id="18136" name="Rectangle 18136"/>
                      <wps:cNvSpPr/>
                      <wps:spPr>
                        <a:xfrm>
                          <a:off x="401117" y="172212"/>
                          <a:ext cx="1029426" cy="163963"/>
                        </a:xfrm>
                        <a:prstGeom prst="rect">
                          <a:avLst/>
                        </a:prstGeom>
                        <a:ln>
                          <a:noFill/>
                        </a:ln>
                      </wps:spPr>
                      <wps:txbx>
                        <w:txbxContent>
                          <w:p w:rsidR="004F1664" w:rsidRDefault="009F1B90">
                            <w:pPr>
                              <w:spacing w:after="160" w:line="259" w:lineRule="auto"/>
                              <w:ind w:left="0" w:firstLine="0"/>
                              <w:jc w:val="left"/>
                            </w:pPr>
                            <w:r>
                              <w:rPr>
                                <w:color w:val="36447D"/>
                              </w:rPr>
                              <w:t xml:space="preserve">Investment </w:t>
                            </w:r>
                          </w:p>
                        </w:txbxContent>
                      </wps:txbx>
                      <wps:bodyPr horzOverflow="overflow" vert="horz" lIns="0" tIns="0" rIns="0" bIns="0" rtlCol="0">
                        <a:noAutofit/>
                      </wps:bodyPr>
                    </wps:wsp>
                    <wps:wsp>
                      <wps:cNvPr id="18137" name="Rectangle 18137"/>
                      <wps:cNvSpPr/>
                      <wps:spPr>
                        <a:xfrm>
                          <a:off x="1175258" y="172212"/>
                          <a:ext cx="1674268" cy="163963"/>
                        </a:xfrm>
                        <a:prstGeom prst="rect">
                          <a:avLst/>
                        </a:prstGeom>
                        <a:ln>
                          <a:noFill/>
                        </a:ln>
                      </wps:spPr>
                      <wps:txbx>
                        <w:txbxContent>
                          <w:p w:rsidR="004F1664" w:rsidRDefault="009F1B90">
                            <w:pPr>
                              <w:spacing w:after="160" w:line="259" w:lineRule="auto"/>
                              <w:ind w:left="0" w:firstLine="0"/>
                              <w:jc w:val="left"/>
                            </w:pPr>
                            <w:r>
                              <w:rPr>
                                <w:color w:val="36447D"/>
                              </w:rPr>
                              <w:t>Strategy Statement</w:t>
                            </w:r>
                          </w:p>
                        </w:txbxContent>
                      </wps:txbx>
                      <wps:bodyPr horzOverflow="overflow" vert="horz" lIns="0" tIns="0" rIns="0" bIns="0" rtlCol="0">
                        <a:noAutofit/>
                      </wps:bodyPr>
                    </wps:wsp>
                    <wps:wsp>
                      <wps:cNvPr id="18138" name="Rectangle 18138"/>
                      <wps:cNvSpPr/>
                      <wps:spPr>
                        <a:xfrm>
                          <a:off x="2437511" y="172212"/>
                          <a:ext cx="59219" cy="163963"/>
                        </a:xfrm>
                        <a:prstGeom prst="rect">
                          <a:avLst/>
                        </a:prstGeom>
                        <a:ln>
                          <a:noFill/>
                        </a:ln>
                      </wps:spPr>
                      <wps:txbx>
                        <w:txbxContent>
                          <w:p w:rsidR="004F1664" w:rsidRDefault="009F1B90">
                            <w:pPr>
                              <w:spacing w:after="160" w:line="259" w:lineRule="auto"/>
                              <w:ind w:left="0" w:firstLine="0"/>
                              <w:jc w:val="left"/>
                            </w:pPr>
                            <w:r>
                              <w:t xml:space="preserve"> </w:t>
                            </w:r>
                          </w:p>
                        </w:txbxContent>
                      </wps:txbx>
                      <wps:bodyPr horzOverflow="overflow" vert="horz" lIns="0" tIns="0" rIns="0" bIns="0" rtlCol="0">
                        <a:noAutofit/>
                      </wps:bodyPr>
                    </wps:wsp>
                    <wps:wsp>
                      <wps:cNvPr id="18139" name="Rectangle 18139"/>
                      <wps:cNvSpPr/>
                      <wps:spPr>
                        <a:xfrm>
                          <a:off x="0" y="0"/>
                          <a:ext cx="59219" cy="163963"/>
                        </a:xfrm>
                        <a:prstGeom prst="rect">
                          <a:avLst/>
                        </a:prstGeom>
                        <a:ln>
                          <a:noFill/>
                        </a:ln>
                      </wps:spPr>
                      <wps:txbx>
                        <w:txbxContent>
                          <w:p w:rsidR="004F1664" w:rsidRDefault="009F1B9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133" style="width:503.3pt;height:74.2959pt;position:absolute;mso-position-horizontal-relative:page;mso-position-horizontal:absolute;margin-left:51pt;mso-position-vertical-relative:page;margin-top:21.3041pt;" coordsize="63919,9435">
              <v:shape id="Picture 18134" style="position:absolute;width:11830;height:7524;left:51720;top:1910;" filled="f">
                <v:imagedata r:id="rId7"/>
              </v:shape>
              <v:shape id="Shape 18135" style="position:absolute;width:59772;height:0;left:4146;top:907;" coordsize="5977255,0" path="m0,0l5977255,0">
                <v:stroke weight="0.24pt" endcap="flat" joinstyle="round" on="true" color="#000080"/>
                <v:fill on="false" color="#000000" opacity="0"/>
              </v:shape>
              <v:rect id="Rectangle 18136" style="position:absolute;width:10294;height:1639;left:4011;top:1722;" filled="f" stroked="f">
                <v:textbox inset="0,0,0,0">
                  <w:txbxContent>
                    <w:p>
                      <w:pPr>
                        <w:spacing w:before="0" w:after="160" w:line="259" w:lineRule="auto"/>
                        <w:ind w:left="0" w:firstLine="0"/>
                        <w:jc w:val="left"/>
                      </w:pPr>
                      <w:r>
                        <w:rPr>
                          <w:color w:val="36447d"/>
                        </w:rPr>
                        <w:t xml:space="preserve">Investment </w:t>
                      </w:r>
                    </w:p>
                  </w:txbxContent>
                </v:textbox>
              </v:rect>
              <v:rect id="Rectangle 18137" style="position:absolute;width:16742;height:1639;left:11752;top:1722;" filled="f" stroked="f">
                <v:textbox inset="0,0,0,0">
                  <w:txbxContent>
                    <w:p>
                      <w:pPr>
                        <w:spacing w:before="0" w:after="160" w:line="259" w:lineRule="auto"/>
                        <w:ind w:left="0" w:firstLine="0"/>
                        <w:jc w:val="left"/>
                      </w:pPr>
                      <w:r>
                        <w:rPr>
                          <w:color w:val="36447d"/>
                        </w:rPr>
                        <w:t xml:space="preserve">Strategy Statement</w:t>
                      </w:r>
                    </w:p>
                  </w:txbxContent>
                </v:textbox>
              </v:rect>
              <v:rect id="Rectangle 18138" style="position:absolute;width:592;height:1639;left:24375;top:1722;" filled="f" stroked="f">
                <v:textbox inset="0,0,0,0">
                  <w:txbxContent>
                    <w:p>
                      <w:pPr>
                        <w:spacing w:before="0" w:after="160" w:line="259" w:lineRule="auto"/>
                        <w:ind w:left="0" w:firstLine="0"/>
                        <w:jc w:val="left"/>
                      </w:pPr>
                      <w:r>
                        <w:rPr/>
                        <w:t xml:space="preserve"> </w:t>
                      </w:r>
                    </w:p>
                  </w:txbxContent>
                </v:textbox>
              </v:rect>
              <v:rect id="Rectangle 18139" style="position:absolute;width:592;height:1639;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p>
  <w:p w:rsidR="004F1664" w:rsidRDefault="009F1B90">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1" cy="1"/>
              <wp:effectExtent l="0" t="0" r="0" b="0"/>
              <wp:wrapNone/>
              <wp:docPr id="18140" name="Group 1814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140"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664" w:rsidRDefault="009F1B90">
    <w:pPr>
      <w:spacing w:after="0" w:line="259" w:lineRule="auto"/>
      <w:ind w:left="-1020" w:right="289"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647700</wp:posOffset>
              </wp:positionH>
              <wp:positionV relativeFrom="page">
                <wp:posOffset>270562</wp:posOffset>
              </wp:positionV>
              <wp:extent cx="6391910" cy="943558"/>
              <wp:effectExtent l="0" t="0" r="0" b="0"/>
              <wp:wrapSquare wrapText="bothSides"/>
              <wp:docPr id="18121" name="Group 18121"/>
              <wp:cNvGraphicFramePr/>
              <a:graphic xmlns:a="http://schemas.openxmlformats.org/drawingml/2006/main">
                <a:graphicData uri="http://schemas.microsoft.com/office/word/2010/wordprocessingGroup">
                  <wpg:wgp>
                    <wpg:cNvGrpSpPr/>
                    <wpg:grpSpPr>
                      <a:xfrm>
                        <a:off x="0" y="0"/>
                        <a:ext cx="6391910" cy="943558"/>
                        <a:chOff x="0" y="0"/>
                        <a:chExt cx="6391910" cy="943558"/>
                      </a:xfrm>
                    </wpg:grpSpPr>
                    <pic:pic xmlns:pic="http://schemas.openxmlformats.org/drawingml/2006/picture">
                      <pic:nvPicPr>
                        <pic:cNvPr id="18122" name="Picture 18122"/>
                        <pic:cNvPicPr/>
                      </pic:nvPicPr>
                      <pic:blipFill>
                        <a:blip r:embed="rId1"/>
                        <a:stretch>
                          <a:fillRect/>
                        </a:stretch>
                      </pic:blipFill>
                      <pic:spPr>
                        <a:xfrm>
                          <a:off x="5172075" y="191083"/>
                          <a:ext cx="1183005" cy="752475"/>
                        </a:xfrm>
                        <a:prstGeom prst="rect">
                          <a:avLst/>
                        </a:prstGeom>
                      </pic:spPr>
                    </pic:pic>
                    <wps:wsp>
                      <wps:cNvPr id="18123" name="Shape 18123"/>
                      <wps:cNvSpPr/>
                      <wps:spPr>
                        <a:xfrm>
                          <a:off x="414655" y="90753"/>
                          <a:ext cx="5977255" cy="0"/>
                        </a:xfrm>
                        <a:custGeom>
                          <a:avLst/>
                          <a:gdLst/>
                          <a:ahLst/>
                          <a:cxnLst/>
                          <a:rect l="0" t="0" r="0" b="0"/>
                          <a:pathLst>
                            <a:path w="5977255">
                              <a:moveTo>
                                <a:pt x="0" y="0"/>
                              </a:moveTo>
                              <a:lnTo>
                                <a:pt x="5977255" y="0"/>
                              </a:lnTo>
                            </a:path>
                          </a:pathLst>
                        </a:custGeom>
                        <a:ln w="3048" cap="flat">
                          <a:round/>
                        </a:ln>
                      </wps:spPr>
                      <wps:style>
                        <a:lnRef idx="1">
                          <a:srgbClr val="000080"/>
                        </a:lnRef>
                        <a:fillRef idx="0">
                          <a:srgbClr val="000000">
                            <a:alpha val="0"/>
                          </a:srgbClr>
                        </a:fillRef>
                        <a:effectRef idx="0">
                          <a:scrgbClr r="0" g="0" b="0"/>
                        </a:effectRef>
                        <a:fontRef idx="none"/>
                      </wps:style>
                      <wps:bodyPr/>
                    </wps:wsp>
                    <wps:wsp>
                      <wps:cNvPr id="18124" name="Rectangle 18124"/>
                      <wps:cNvSpPr/>
                      <wps:spPr>
                        <a:xfrm>
                          <a:off x="401117" y="172212"/>
                          <a:ext cx="1029426" cy="163963"/>
                        </a:xfrm>
                        <a:prstGeom prst="rect">
                          <a:avLst/>
                        </a:prstGeom>
                        <a:ln>
                          <a:noFill/>
                        </a:ln>
                      </wps:spPr>
                      <wps:txbx>
                        <w:txbxContent>
                          <w:p w:rsidR="004F1664" w:rsidRDefault="009F1B90">
                            <w:pPr>
                              <w:spacing w:after="160" w:line="259" w:lineRule="auto"/>
                              <w:ind w:left="0" w:firstLine="0"/>
                              <w:jc w:val="left"/>
                            </w:pPr>
                            <w:r>
                              <w:rPr>
                                <w:color w:val="36447D"/>
                              </w:rPr>
                              <w:t xml:space="preserve">Investment </w:t>
                            </w:r>
                          </w:p>
                        </w:txbxContent>
                      </wps:txbx>
                      <wps:bodyPr horzOverflow="overflow" vert="horz" lIns="0" tIns="0" rIns="0" bIns="0" rtlCol="0">
                        <a:noAutofit/>
                      </wps:bodyPr>
                    </wps:wsp>
                    <wps:wsp>
                      <wps:cNvPr id="18125" name="Rectangle 18125"/>
                      <wps:cNvSpPr/>
                      <wps:spPr>
                        <a:xfrm>
                          <a:off x="1175258" y="172212"/>
                          <a:ext cx="1674268" cy="163963"/>
                        </a:xfrm>
                        <a:prstGeom prst="rect">
                          <a:avLst/>
                        </a:prstGeom>
                        <a:ln>
                          <a:noFill/>
                        </a:ln>
                      </wps:spPr>
                      <wps:txbx>
                        <w:txbxContent>
                          <w:p w:rsidR="004F1664" w:rsidRDefault="009F1B90">
                            <w:pPr>
                              <w:spacing w:after="160" w:line="259" w:lineRule="auto"/>
                              <w:ind w:left="0" w:firstLine="0"/>
                              <w:jc w:val="left"/>
                            </w:pPr>
                            <w:r>
                              <w:rPr>
                                <w:color w:val="36447D"/>
                              </w:rPr>
                              <w:t>Strategy Statement</w:t>
                            </w:r>
                          </w:p>
                        </w:txbxContent>
                      </wps:txbx>
                      <wps:bodyPr horzOverflow="overflow" vert="horz" lIns="0" tIns="0" rIns="0" bIns="0" rtlCol="0">
                        <a:noAutofit/>
                      </wps:bodyPr>
                    </wps:wsp>
                    <wps:wsp>
                      <wps:cNvPr id="18126" name="Rectangle 18126"/>
                      <wps:cNvSpPr/>
                      <wps:spPr>
                        <a:xfrm>
                          <a:off x="2437511" y="172212"/>
                          <a:ext cx="59219" cy="163963"/>
                        </a:xfrm>
                        <a:prstGeom prst="rect">
                          <a:avLst/>
                        </a:prstGeom>
                        <a:ln>
                          <a:noFill/>
                        </a:ln>
                      </wps:spPr>
                      <wps:txbx>
                        <w:txbxContent>
                          <w:p w:rsidR="004F1664" w:rsidRDefault="009F1B90">
                            <w:pPr>
                              <w:spacing w:after="160" w:line="259" w:lineRule="auto"/>
                              <w:ind w:left="0" w:firstLine="0"/>
                              <w:jc w:val="left"/>
                            </w:pPr>
                            <w:r>
                              <w:t xml:space="preserve"> </w:t>
                            </w:r>
                          </w:p>
                        </w:txbxContent>
                      </wps:txbx>
                      <wps:bodyPr horzOverflow="overflow" vert="horz" lIns="0" tIns="0" rIns="0" bIns="0" rtlCol="0">
                        <a:noAutofit/>
                      </wps:bodyPr>
                    </wps:wsp>
                    <wps:wsp>
                      <wps:cNvPr id="18127" name="Rectangle 18127"/>
                      <wps:cNvSpPr/>
                      <wps:spPr>
                        <a:xfrm>
                          <a:off x="0" y="0"/>
                          <a:ext cx="59219" cy="163963"/>
                        </a:xfrm>
                        <a:prstGeom prst="rect">
                          <a:avLst/>
                        </a:prstGeom>
                        <a:ln>
                          <a:noFill/>
                        </a:ln>
                      </wps:spPr>
                      <wps:txbx>
                        <w:txbxContent>
                          <w:p w:rsidR="004F1664" w:rsidRDefault="009F1B9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121" style="width:503.3pt;height:74.2959pt;position:absolute;mso-position-horizontal-relative:page;mso-position-horizontal:absolute;margin-left:51pt;mso-position-vertical-relative:page;margin-top:21.3041pt;" coordsize="63919,9435">
              <v:shape id="Picture 18122" style="position:absolute;width:11830;height:7524;left:51720;top:1910;" filled="f">
                <v:imagedata r:id="rId7"/>
              </v:shape>
              <v:shape id="Shape 18123" style="position:absolute;width:59772;height:0;left:4146;top:907;" coordsize="5977255,0" path="m0,0l5977255,0">
                <v:stroke weight="0.24pt" endcap="flat" joinstyle="round" on="true" color="#000080"/>
                <v:fill on="false" color="#000000" opacity="0"/>
              </v:shape>
              <v:rect id="Rectangle 18124" style="position:absolute;width:10294;height:1639;left:4011;top:1722;" filled="f" stroked="f">
                <v:textbox inset="0,0,0,0">
                  <w:txbxContent>
                    <w:p>
                      <w:pPr>
                        <w:spacing w:before="0" w:after="160" w:line="259" w:lineRule="auto"/>
                        <w:ind w:left="0" w:firstLine="0"/>
                        <w:jc w:val="left"/>
                      </w:pPr>
                      <w:r>
                        <w:rPr>
                          <w:color w:val="36447d"/>
                        </w:rPr>
                        <w:t xml:space="preserve">Investment </w:t>
                      </w:r>
                    </w:p>
                  </w:txbxContent>
                </v:textbox>
              </v:rect>
              <v:rect id="Rectangle 18125" style="position:absolute;width:16742;height:1639;left:11752;top:1722;" filled="f" stroked="f">
                <v:textbox inset="0,0,0,0">
                  <w:txbxContent>
                    <w:p>
                      <w:pPr>
                        <w:spacing w:before="0" w:after="160" w:line="259" w:lineRule="auto"/>
                        <w:ind w:left="0" w:firstLine="0"/>
                        <w:jc w:val="left"/>
                      </w:pPr>
                      <w:r>
                        <w:rPr>
                          <w:color w:val="36447d"/>
                        </w:rPr>
                        <w:t xml:space="preserve">Strategy Statement</w:t>
                      </w:r>
                    </w:p>
                  </w:txbxContent>
                </v:textbox>
              </v:rect>
              <v:rect id="Rectangle 18126" style="position:absolute;width:592;height:1639;left:24375;top:1722;" filled="f" stroked="f">
                <v:textbox inset="0,0,0,0">
                  <w:txbxContent>
                    <w:p>
                      <w:pPr>
                        <w:spacing w:before="0" w:after="160" w:line="259" w:lineRule="auto"/>
                        <w:ind w:left="0" w:firstLine="0"/>
                        <w:jc w:val="left"/>
                      </w:pPr>
                      <w:r>
                        <w:rPr/>
                        <w:t xml:space="preserve"> </w:t>
                      </w:r>
                    </w:p>
                  </w:txbxContent>
                </v:textbox>
              </v:rect>
              <v:rect id="Rectangle 18127" style="position:absolute;width:592;height:1639;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p>
  <w:p w:rsidR="004F1664" w:rsidRDefault="009F1B90">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1" cy="1"/>
              <wp:effectExtent l="0" t="0" r="0" b="0"/>
              <wp:wrapNone/>
              <wp:docPr id="18128" name="Group 1812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128" style="width:7.87402e-05pt;height:7.87402e-05pt;position:absolute;z-index:-2147483648;mso-position-horizontal-relative:page;mso-position-horizontal:absolute;margin-left:0pt;mso-position-vertical-relative:page;margin-top:0pt;" coordsize="0,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664" w:rsidRDefault="009F1B90">
    <w:pPr>
      <w:spacing w:after="0" w:line="259" w:lineRule="auto"/>
      <w:ind w:left="-1020" w:right="289"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647700</wp:posOffset>
              </wp:positionH>
              <wp:positionV relativeFrom="page">
                <wp:posOffset>270562</wp:posOffset>
              </wp:positionV>
              <wp:extent cx="6391910" cy="943558"/>
              <wp:effectExtent l="0" t="0" r="0" b="0"/>
              <wp:wrapSquare wrapText="bothSides"/>
              <wp:docPr id="18109" name="Group 18109"/>
              <wp:cNvGraphicFramePr/>
              <a:graphic xmlns:a="http://schemas.openxmlformats.org/drawingml/2006/main">
                <a:graphicData uri="http://schemas.microsoft.com/office/word/2010/wordprocessingGroup">
                  <wpg:wgp>
                    <wpg:cNvGrpSpPr/>
                    <wpg:grpSpPr>
                      <a:xfrm>
                        <a:off x="0" y="0"/>
                        <a:ext cx="6391910" cy="943558"/>
                        <a:chOff x="0" y="0"/>
                        <a:chExt cx="6391910" cy="943558"/>
                      </a:xfrm>
                    </wpg:grpSpPr>
                    <pic:pic xmlns:pic="http://schemas.openxmlformats.org/drawingml/2006/picture">
                      <pic:nvPicPr>
                        <pic:cNvPr id="18110" name="Picture 18110"/>
                        <pic:cNvPicPr/>
                      </pic:nvPicPr>
                      <pic:blipFill>
                        <a:blip r:embed="rId1"/>
                        <a:stretch>
                          <a:fillRect/>
                        </a:stretch>
                      </pic:blipFill>
                      <pic:spPr>
                        <a:xfrm>
                          <a:off x="5172075" y="191083"/>
                          <a:ext cx="1183005" cy="752475"/>
                        </a:xfrm>
                        <a:prstGeom prst="rect">
                          <a:avLst/>
                        </a:prstGeom>
                      </pic:spPr>
                    </pic:pic>
                    <wps:wsp>
                      <wps:cNvPr id="18111" name="Shape 18111"/>
                      <wps:cNvSpPr/>
                      <wps:spPr>
                        <a:xfrm>
                          <a:off x="414655" y="90753"/>
                          <a:ext cx="5977255" cy="0"/>
                        </a:xfrm>
                        <a:custGeom>
                          <a:avLst/>
                          <a:gdLst/>
                          <a:ahLst/>
                          <a:cxnLst/>
                          <a:rect l="0" t="0" r="0" b="0"/>
                          <a:pathLst>
                            <a:path w="5977255">
                              <a:moveTo>
                                <a:pt x="0" y="0"/>
                              </a:moveTo>
                              <a:lnTo>
                                <a:pt x="5977255" y="0"/>
                              </a:lnTo>
                            </a:path>
                          </a:pathLst>
                        </a:custGeom>
                        <a:ln w="3048" cap="flat">
                          <a:round/>
                        </a:ln>
                      </wps:spPr>
                      <wps:style>
                        <a:lnRef idx="1">
                          <a:srgbClr val="000080"/>
                        </a:lnRef>
                        <a:fillRef idx="0">
                          <a:srgbClr val="000000">
                            <a:alpha val="0"/>
                          </a:srgbClr>
                        </a:fillRef>
                        <a:effectRef idx="0">
                          <a:scrgbClr r="0" g="0" b="0"/>
                        </a:effectRef>
                        <a:fontRef idx="none"/>
                      </wps:style>
                      <wps:bodyPr/>
                    </wps:wsp>
                    <wps:wsp>
                      <wps:cNvPr id="18112" name="Rectangle 18112"/>
                      <wps:cNvSpPr/>
                      <wps:spPr>
                        <a:xfrm>
                          <a:off x="401117" y="172212"/>
                          <a:ext cx="1029426" cy="163963"/>
                        </a:xfrm>
                        <a:prstGeom prst="rect">
                          <a:avLst/>
                        </a:prstGeom>
                        <a:ln>
                          <a:noFill/>
                        </a:ln>
                      </wps:spPr>
                      <wps:txbx>
                        <w:txbxContent>
                          <w:p w:rsidR="004F1664" w:rsidRDefault="009F1B90">
                            <w:pPr>
                              <w:spacing w:after="160" w:line="259" w:lineRule="auto"/>
                              <w:ind w:left="0" w:firstLine="0"/>
                              <w:jc w:val="left"/>
                            </w:pPr>
                            <w:r>
                              <w:rPr>
                                <w:color w:val="36447D"/>
                              </w:rPr>
                              <w:t xml:space="preserve">Investment </w:t>
                            </w:r>
                          </w:p>
                        </w:txbxContent>
                      </wps:txbx>
                      <wps:bodyPr horzOverflow="overflow" vert="horz" lIns="0" tIns="0" rIns="0" bIns="0" rtlCol="0">
                        <a:noAutofit/>
                      </wps:bodyPr>
                    </wps:wsp>
                    <wps:wsp>
                      <wps:cNvPr id="18113" name="Rectangle 18113"/>
                      <wps:cNvSpPr/>
                      <wps:spPr>
                        <a:xfrm>
                          <a:off x="1175258" y="172212"/>
                          <a:ext cx="1674268" cy="163963"/>
                        </a:xfrm>
                        <a:prstGeom prst="rect">
                          <a:avLst/>
                        </a:prstGeom>
                        <a:ln>
                          <a:noFill/>
                        </a:ln>
                      </wps:spPr>
                      <wps:txbx>
                        <w:txbxContent>
                          <w:p w:rsidR="004F1664" w:rsidRDefault="009F1B90">
                            <w:pPr>
                              <w:spacing w:after="160" w:line="259" w:lineRule="auto"/>
                              <w:ind w:left="0" w:firstLine="0"/>
                              <w:jc w:val="left"/>
                            </w:pPr>
                            <w:r>
                              <w:rPr>
                                <w:color w:val="36447D"/>
                              </w:rPr>
                              <w:t>Strategy Statement</w:t>
                            </w:r>
                          </w:p>
                        </w:txbxContent>
                      </wps:txbx>
                      <wps:bodyPr horzOverflow="overflow" vert="horz" lIns="0" tIns="0" rIns="0" bIns="0" rtlCol="0">
                        <a:noAutofit/>
                      </wps:bodyPr>
                    </wps:wsp>
                    <wps:wsp>
                      <wps:cNvPr id="18114" name="Rectangle 18114"/>
                      <wps:cNvSpPr/>
                      <wps:spPr>
                        <a:xfrm>
                          <a:off x="2437511" y="172212"/>
                          <a:ext cx="59219" cy="163963"/>
                        </a:xfrm>
                        <a:prstGeom prst="rect">
                          <a:avLst/>
                        </a:prstGeom>
                        <a:ln>
                          <a:noFill/>
                        </a:ln>
                      </wps:spPr>
                      <wps:txbx>
                        <w:txbxContent>
                          <w:p w:rsidR="004F1664" w:rsidRDefault="009F1B90">
                            <w:pPr>
                              <w:spacing w:after="160" w:line="259" w:lineRule="auto"/>
                              <w:ind w:left="0" w:firstLine="0"/>
                              <w:jc w:val="left"/>
                            </w:pPr>
                            <w:r>
                              <w:t xml:space="preserve"> </w:t>
                            </w:r>
                          </w:p>
                        </w:txbxContent>
                      </wps:txbx>
                      <wps:bodyPr horzOverflow="overflow" vert="horz" lIns="0" tIns="0" rIns="0" bIns="0" rtlCol="0">
                        <a:noAutofit/>
                      </wps:bodyPr>
                    </wps:wsp>
                    <wps:wsp>
                      <wps:cNvPr id="18115" name="Rectangle 18115"/>
                      <wps:cNvSpPr/>
                      <wps:spPr>
                        <a:xfrm>
                          <a:off x="0" y="0"/>
                          <a:ext cx="59219" cy="163963"/>
                        </a:xfrm>
                        <a:prstGeom prst="rect">
                          <a:avLst/>
                        </a:prstGeom>
                        <a:ln>
                          <a:noFill/>
                        </a:ln>
                      </wps:spPr>
                      <wps:txbx>
                        <w:txbxContent>
                          <w:p w:rsidR="004F1664" w:rsidRDefault="009F1B9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109" style="width:503.3pt;height:74.2959pt;position:absolute;mso-position-horizontal-relative:page;mso-position-horizontal:absolute;margin-left:51pt;mso-position-vertical-relative:page;margin-top:21.3041pt;" coordsize="63919,9435">
              <v:shape id="Picture 18110" style="position:absolute;width:11830;height:7524;left:51720;top:1910;" filled="f">
                <v:imagedata r:id="rId7"/>
              </v:shape>
              <v:shape id="Shape 18111" style="position:absolute;width:59772;height:0;left:4146;top:907;" coordsize="5977255,0" path="m0,0l5977255,0">
                <v:stroke weight="0.24pt" endcap="flat" joinstyle="round" on="true" color="#000080"/>
                <v:fill on="false" color="#000000" opacity="0"/>
              </v:shape>
              <v:rect id="Rectangle 18112" style="position:absolute;width:10294;height:1639;left:4011;top:1722;" filled="f" stroked="f">
                <v:textbox inset="0,0,0,0">
                  <w:txbxContent>
                    <w:p>
                      <w:pPr>
                        <w:spacing w:before="0" w:after="160" w:line="259" w:lineRule="auto"/>
                        <w:ind w:left="0" w:firstLine="0"/>
                        <w:jc w:val="left"/>
                      </w:pPr>
                      <w:r>
                        <w:rPr>
                          <w:color w:val="36447d"/>
                        </w:rPr>
                        <w:t xml:space="preserve">Investment </w:t>
                      </w:r>
                    </w:p>
                  </w:txbxContent>
                </v:textbox>
              </v:rect>
              <v:rect id="Rectangle 18113" style="position:absolute;width:16742;height:1639;left:11752;top:1722;" filled="f" stroked="f">
                <v:textbox inset="0,0,0,0">
                  <w:txbxContent>
                    <w:p>
                      <w:pPr>
                        <w:spacing w:before="0" w:after="160" w:line="259" w:lineRule="auto"/>
                        <w:ind w:left="0" w:firstLine="0"/>
                        <w:jc w:val="left"/>
                      </w:pPr>
                      <w:r>
                        <w:rPr>
                          <w:color w:val="36447d"/>
                        </w:rPr>
                        <w:t xml:space="preserve">Strategy Statement</w:t>
                      </w:r>
                    </w:p>
                  </w:txbxContent>
                </v:textbox>
              </v:rect>
              <v:rect id="Rectangle 18114" style="position:absolute;width:592;height:1639;left:24375;top:1722;" filled="f" stroked="f">
                <v:textbox inset="0,0,0,0">
                  <w:txbxContent>
                    <w:p>
                      <w:pPr>
                        <w:spacing w:before="0" w:after="160" w:line="259" w:lineRule="auto"/>
                        <w:ind w:left="0" w:firstLine="0"/>
                        <w:jc w:val="left"/>
                      </w:pPr>
                      <w:r>
                        <w:rPr/>
                        <w:t xml:space="preserve"> </w:t>
                      </w:r>
                    </w:p>
                  </w:txbxContent>
                </v:textbox>
              </v:rect>
              <v:rect id="Rectangle 18115" style="position:absolute;width:592;height:1639;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p>
  <w:p w:rsidR="004F1664" w:rsidRDefault="009F1B90">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page">
                <wp:posOffset>0</wp:posOffset>
              </wp:positionH>
              <wp:positionV relativeFrom="page">
                <wp:posOffset>0</wp:posOffset>
              </wp:positionV>
              <wp:extent cx="1" cy="1"/>
              <wp:effectExtent l="0" t="0" r="0" b="0"/>
              <wp:wrapNone/>
              <wp:docPr id="18116" name="Group 181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116"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254F1"/>
    <w:multiLevelType w:val="hybridMultilevel"/>
    <w:tmpl w:val="DC9A9030"/>
    <w:lvl w:ilvl="0" w:tplc="2A5A37A0">
      <w:start w:val="1"/>
      <w:numFmt w:val="bullet"/>
      <w:lvlText w:val="-"/>
      <w:lvlJc w:val="left"/>
      <w:pPr>
        <w:ind w:left="13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488EEBCE">
      <w:start w:val="1"/>
      <w:numFmt w:val="bullet"/>
      <w:lvlText w:val="o"/>
      <w:lvlJc w:val="left"/>
      <w:pPr>
        <w:ind w:left="108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5A0201C">
      <w:start w:val="1"/>
      <w:numFmt w:val="bullet"/>
      <w:lvlText w:val="▪"/>
      <w:lvlJc w:val="left"/>
      <w:pPr>
        <w:ind w:left="180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33103938">
      <w:start w:val="1"/>
      <w:numFmt w:val="bullet"/>
      <w:lvlText w:val="•"/>
      <w:lvlJc w:val="left"/>
      <w:pPr>
        <w:ind w:left="252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9FF6201C">
      <w:start w:val="1"/>
      <w:numFmt w:val="bullet"/>
      <w:lvlText w:val="o"/>
      <w:lvlJc w:val="left"/>
      <w:pPr>
        <w:ind w:left="32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495EFACC">
      <w:start w:val="1"/>
      <w:numFmt w:val="bullet"/>
      <w:lvlText w:val="▪"/>
      <w:lvlJc w:val="left"/>
      <w:pPr>
        <w:ind w:left="396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08504E68">
      <w:start w:val="1"/>
      <w:numFmt w:val="bullet"/>
      <w:lvlText w:val="•"/>
      <w:lvlJc w:val="left"/>
      <w:pPr>
        <w:ind w:left="468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48E283B6">
      <w:start w:val="1"/>
      <w:numFmt w:val="bullet"/>
      <w:lvlText w:val="o"/>
      <w:lvlJc w:val="left"/>
      <w:pPr>
        <w:ind w:left="540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83443BBA">
      <w:start w:val="1"/>
      <w:numFmt w:val="bullet"/>
      <w:lvlText w:val="▪"/>
      <w:lvlJc w:val="left"/>
      <w:pPr>
        <w:ind w:left="612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9BB22B4"/>
    <w:multiLevelType w:val="hybridMultilevel"/>
    <w:tmpl w:val="2708AB32"/>
    <w:lvl w:ilvl="0" w:tplc="06A410D8">
      <w:start w:val="1"/>
      <w:numFmt w:val="bullet"/>
      <w:lvlText w:val="-"/>
      <w:lvlJc w:val="left"/>
      <w:pPr>
        <w:ind w:left="13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968C1CDE">
      <w:start w:val="1"/>
      <w:numFmt w:val="bullet"/>
      <w:lvlText w:val="o"/>
      <w:lvlJc w:val="left"/>
      <w:pPr>
        <w:ind w:left="108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D00880FC">
      <w:start w:val="1"/>
      <w:numFmt w:val="bullet"/>
      <w:lvlText w:val="▪"/>
      <w:lvlJc w:val="left"/>
      <w:pPr>
        <w:ind w:left="180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DB0C027C">
      <w:start w:val="1"/>
      <w:numFmt w:val="bullet"/>
      <w:lvlText w:val="•"/>
      <w:lvlJc w:val="left"/>
      <w:pPr>
        <w:ind w:left="252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BBBEF72A">
      <w:start w:val="1"/>
      <w:numFmt w:val="bullet"/>
      <w:lvlText w:val="o"/>
      <w:lvlJc w:val="left"/>
      <w:pPr>
        <w:ind w:left="32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77240E2">
      <w:start w:val="1"/>
      <w:numFmt w:val="bullet"/>
      <w:lvlText w:val="▪"/>
      <w:lvlJc w:val="left"/>
      <w:pPr>
        <w:ind w:left="396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8848C284">
      <w:start w:val="1"/>
      <w:numFmt w:val="bullet"/>
      <w:lvlText w:val="•"/>
      <w:lvlJc w:val="left"/>
      <w:pPr>
        <w:ind w:left="468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FC32D71C">
      <w:start w:val="1"/>
      <w:numFmt w:val="bullet"/>
      <w:lvlText w:val="o"/>
      <w:lvlJc w:val="left"/>
      <w:pPr>
        <w:ind w:left="540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D8667814">
      <w:start w:val="1"/>
      <w:numFmt w:val="bullet"/>
      <w:lvlText w:val="▪"/>
      <w:lvlJc w:val="left"/>
      <w:pPr>
        <w:ind w:left="612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90D7129"/>
    <w:multiLevelType w:val="hybridMultilevel"/>
    <w:tmpl w:val="0A7A3E04"/>
    <w:lvl w:ilvl="0" w:tplc="8F681E18">
      <w:start w:val="1"/>
      <w:numFmt w:val="bullet"/>
      <w:lvlText w:val="•"/>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429942">
      <w:start w:val="1"/>
      <w:numFmt w:val="bullet"/>
      <w:lvlText w:val="o"/>
      <w:lvlJc w:val="left"/>
      <w:pPr>
        <w:ind w:left="21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2007AA">
      <w:start w:val="1"/>
      <w:numFmt w:val="bullet"/>
      <w:lvlText w:val="▪"/>
      <w:lvlJc w:val="left"/>
      <w:pPr>
        <w:ind w:left="28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325B3C">
      <w:start w:val="1"/>
      <w:numFmt w:val="bullet"/>
      <w:lvlText w:val="•"/>
      <w:lvlJc w:val="left"/>
      <w:pPr>
        <w:ind w:left="3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D0BE56">
      <w:start w:val="1"/>
      <w:numFmt w:val="bullet"/>
      <w:lvlText w:val="o"/>
      <w:lvlJc w:val="left"/>
      <w:pPr>
        <w:ind w:left="42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5A07D2">
      <w:start w:val="1"/>
      <w:numFmt w:val="bullet"/>
      <w:lvlText w:val="▪"/>
      <w:lvlJc w:val="left"/>
      <w:pPr>
        <w:ind w:left="50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7E600C">
      <w:start w:val="1"/>
      <w:numFmt w:val="bullet"/>
      <w:lvlText w:val="•"/>
      <w:lvlJc w:val="left"/>
      <w:pPr>
        <w:ind w:left="5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38CF08">
      <w:start w:val="1"/>
      <w:numFmt w:val="bullet"/>
      <w:lvlText w:val="o"/>
      <w:lvlJc w:val="left"/>
      <w:pPr>
        <w:ind w:left="6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7EA1CC">
      <w:start w:val="1"/>
      <w:numFmt w:val="bullet"/>
      <w:lvlText w:val="▪"/>
      <w:lvlJc w:val="left"/>
      <w:pPr>
        <w:ind w:left="7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7955A88"/>
    <w:multiLevelType w:val="hybridMultilevel"/>
    <w:tmpl w:val="DA6288A2"/>
    <w:lvl w:ilvl="0" w:tplc="3864B864">
      <w:start w:val="1"/>
      <w:numFmt w:val="bullet"/>
      <w:lvlText w:val="•"/>
      <w:lvlJc w:val="left"/>
      <w:pPr>
        <w:ind w:left="1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3A39E2">
      <w:start w:val="1"/>
      <w:numFmt w:val="bullet"/>
      <w:lvlText w:val="o"/>
      <w:lvlJc w:val="left"/>
      <w:pPr>
        <w:ind w:left="21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CA15CC">
      <w:start w:val="1"/>
      <w:numFmt w:val="bullet"/>
      <w:lvlText w:val="▪"/>
      <w:lvlJc w:val="left"/>
      <w:pPr>
        <w:ind w:left="28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82785C">
      <w:start w:val="1"/>
      <w:numFmt w:val="bullet"/>
      <w:lvlText w:val="•"/>
      <w:lvlJc w:val="left"/>
      <w:pPr>
        <w:ind w:left="3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FE17D8">
      <w:start w:val="1"/>
      <w:numFmt w:val="bullet"/>
      <w:lvlText w:val="o"/>
      <w:lvlJc w:val="left"/>
      <w:pPr>
        <w:ind w:left="42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584DB6">
      <w:start w:val="1"/>
      <w:numFmt w:val="bullet"/>
      <w:lvlText w:val="▪"/>
      <w:lvlJc w:val="left"/>
      <w:pPr>
        <w:ind w:left="50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323410">
      <w:start w:val="1"/>
      <w:numFmt w:val="bullet"/>
      <w:lvlText w:val="•"/>
      <w:lvlJc w:val="left"/>
      <w:pPr>
        <w:ind w:left="5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34F450">
      <w:start w:val="1"/>
      <w:numFmt w:val="bullet"/>
      <w:lvlText w:val="o"/>
      <w:lvlJc w:val="left"/>
      <w:pPr>
        <w:ind w:left="6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1AB582">
      <w:start w:val="1"/>
      <w:numFmt w:val="bullet"/>
      <w:lvlText w:val="▪"/>
      <w:lvlJc w:val="left"/>
      <w:pPr>
        <w:ind w:left="7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F733320"/>
    <w:multiLevelType w:val="hybridMultilevel"/>
    <w:tmpl w:val="1CA662BC"/>
    <w:lvl w:ilvl="0" w:tplc="53FC582E">
      <w:start w:val="1"/>
      <w:numFmt w:val="decimal"/>
      <w:lvlText w:val="%1."/>
      <w:lvlJc w:val="left"/>
      <w:pPr>
        <w:ind w:left="13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79681B4">
      <w:start w:val="1"/>
      <w:numFmt w:val="lowerLetter"/>
      <w:lvlText w:val="%2"/>
      <w:lvlJc w:val="left"/>
      <w:pPr>
        <w:ind w:left="17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5EA2590">
      <w:start w:val="1"/>
      <w:numFmt w:val="lowerRoman"/>
      <w:lvlText w:val="%3"/>
      <w:lvlJc w:val="left"/>
      <w:pPr>
        <w:ind w:left="24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C84DE20">
      <w:start w:val="1"/>
      <w:numFmt w:val="decimal"/>
      <w:lvlText w:val="%4"/>
      <w:lvlJc w:val="left"/>
      <w:pPr>
        <w:ind w:left="32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4A6302E">
      <w:start w:val="1"/>
      <w:numFmt w:val="lowerLetter"/>
      <w:lvlText w:val="%5"/>
      <w:lvlJc w:val="left"/>
      <w:pPr>
        <w:ind w:left="39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FA23028">
      <w:start w:val="1"/>
      <w:numFmt w:val="lowerRoman"/>
      <w:lvlText w:val="%6"/>
      <w:lvlJc w:val="left"/>
      <w:pPr>
        <w:ind w:left="46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62A6B16">
      <w:start w:val="1"/>
      <w:numFmt w:val="decimal"/>
      <w:lvlText w:val="%7"/>
      <w:lvlJc w:val="left"/>
      <w:pPr>
        <w:ind w:left="53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95CAE96">
      <w:start w:val="1"/>
      <w:numFmt w:val="lowerLetter"/>
      <w:lvlText w:val="%8"/>
      <w:lvlJc w:val="left"/>
      <w:pPr>
        <w:ind w:left="60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F2EC9DE">
      <w:start w:val="1"/>
      <w:numFmt w:val="lowerRoman"/>
      <w:lvlText w:val="%9"/>
      <w:lvlJc w:val="left"/>
      <w:pPr>
        <w:ind w:left="68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087157B"/>
    <w:multiLevelType w:val="hybridMultilevel"/>
    <w:tmpl w:val="A7282A82"/>
    <w:lvl w:ilvl="0" w:tplc="306E3904">
      <w:start w:val="1"/>
      <w:numFmt w:val="bullet"/>
      <w:lvlText w:val="-"/>
      <w:lvlJc w:val="left"/>
      <w:pPr>
        <w:ind w:left="13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BB2E62C8">
      <w:start w:val="1"/>
      <w:numFmt w:val="bullet"/>
      <w:lvlText w:val="o"/>
      <w:lvlJc w:val="left"/>
      <w:pPr>
        <w:ind w:left="108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8388652">
      <w:start w:val="1"/>
      <w:numFmt w:val="bullet"/>
      <w:lvlText w:val="▪"/>
      <w:lvlJc w:val="left"/>
      <w:pPr>
        <w:ind w:left="180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9892B82E">
      <w:start w:val="1"/>
      <w:numFmt w:val="bullet"/>
      <w:lvlText w:val="•"/>
      <w:lvlJc w:val="left"/>
      <w:pPr>
        <w:ind w:left="252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72128BA4">
      <w:start w:val="1"/>
      <w:numFmt w:val="bullet"/>
      <w:lvlText w:val="o"/>
      <w:lvlJc w:val="left"/>
      <w:pPr>
        <w:ind w:left="32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A61AD4E6">
      <w:start w:val="1"/>
      <w:numFmt w:val="bullet"/>
      <w:lvlText w:val="▪"/>
      <w:lvlJc w:val="left"/>
      <w:pPr>
        <w:ind w:left="396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07A6B6A2">
      <w:start w:val="1"/>
      <w:numFmt w:val="bullet"/>
      <w:lvlText w:val="•"/>
      <w:lvlJc w:val="left"/>
      <w:pPr>
        <w:ind w:left="468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F94C6BA0">
      <w:start w:val="1"/>
      <w:numFmt w:val="bullet"/>
      <w:lvlText w:val="o"/>
      <w:lvlJc w:val="left"/>
      <w:pPr>
        <w:ind w:left="540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71486518">
      <w:start w:val="1"/>
      <w:numFmt w:val="bullet"/>
      <w:lvlText w:val="▪"/>
      <w:lvlJc w:val="left"/>
      <w:pPr>
        <w:ind w:left="612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602A6CDC"/>
    <w:multiLevelType w:val="hybridMultilevel"/>
    <w:tmpl w:val="0A966B3A"/>
    <w:lvl w:ilvl="0" w:tplc="1262896A">
      <w:start w:val="1"/>
      <w:numFmt w:val="bullet"/>
      <w:lvlText w:val="-"/>
      <w:lvlJc w:val="left"/>
      <w:pPr>
        <w:ind w:left="13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30162C28">
      <w:start w:val="1"/>
      <w:numFmt w:val="bullet"/>
      <w:lvlText w:val="o"/>
      <w:lvlJc w:val="left"/>
      <w:pPr>
        <w:ind w:left="108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71C6193E">
      <w:start w:val="1"/>
      <w:numFmt w:val="bullet"/>
      <w:lvlText w:val="▪"/>
      <w:lvlJc w:val="left"/>
      <w:pPr>
        <w:ind w:left="180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DDAEED8A">
      <w:start w:val="1"/>
      <w:numFmt w:val="bullet"/>
      <w:lvlText w:val="•"/>
      <w:lvlJc w:val="left"/>
      <w:pPr>
        <w:ind w:left="252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50263554">
      <w:start w:val="1"/>
      <w:numFmt w:val="bullet"/>
      <w:lvlText w:val="o"/>
      <w:lvlJc w:val="left"/>
      <w:pPr>
        <w:ind w:left="32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20444D3C">
      <w:start w:val="1"/>
      <w:numFmt w:val="bullet"/>
      <w:lvlText w:val="▪"/>
      <w:lvlJc w:val="left"/>
      <w:pPr>
        <w:ind w:left="396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892841B8">
      <w:start w:val="1"/>
      <w:numFmt w:val="bullet"/>
      <w:lvlText w:val="•"/>
      <w:lvlJc w:val="left"/>
      <w:pPr>
        <w:ind w:left="468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3047702">
      <w:start w:val="1"/>
      <w:numFmt w:val="bullet"/>
      <w:lvlText w:val="o"/>
      <w:lvlJc w:val="left"/>
      <w:pPr>
        <w:ind w:left="540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E5CAF962">
      <w:start w:val="1"/>
      <w:numFmt w:val="bullet"/>
      <w:lvlText w:val="▪"/>
      <w:lvlJc w:val="left"/>
      <w:pPr>
        <w:ind w:left="612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6CC636EB"/>
    <w:multiLevelType w:val="hybridMultilevel"/>
    <w:tmpl w:val="04E4159E"/>
    <w:lvl w:ilvl="0" w:tplc="A45AA8FE">
      <w:start w:val="1"/>
      <w:numFmt w:val="bullet"/>
      <w:lvlText w:val="-"/>
      <w:lvlJc w:val="left"/>
      <w:pPr>
        <w:ind w:left="13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B6C4F608">
      <w:start w:val="1"/>
      <w:numFmt w:val="bullet"/>
      <w:lvlText w:val="o"/>
      <w:lvlJc w:val="left"/>
      <w:pPr>
        <w:ind w:left="108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391C4902">
      <w:start w:val="1"/>
      <w:numFmt w:val="bullet"/>
      <w:lvlText w:val="▪"/>
      <w:lvlJc w:val="left"/>
      <w:pPr>
        <w:ind w:left="180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22186DE0">
      <w:start w:val="1"/>
      <w:numFmt w:val="bullet"/>
      <w:lvlText w:val="•"/>
      <w:lvlJc w:val="left"/>
      <w:pPr>
        <w:ind w:left="252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A49C64E2">
      <w:start w:val="1"/>
      <w:numFmt w:val="bullet"/>
      <w:lvlText w:val="o"/>
      <w:lvlJc w:val="left"/>
      <w:pPr>
        <w:ind w:left="32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A0CAE00">
      <w:start w:val="1"/>
      <w:numFmt w:val="bullet"/>
      <w:lvlText w:val="▪"/>
      <w:lvlJc w:val="left"/>
      <w:pPr>
        <w:ind w:left="396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A3322AE8">
      <w:start w:val="1"/>
      <w:numFmt w:val="bullet"/>
      <w:lvlText w:val="•"/>
      <w:lvlJc w:val="left"/>
      <w:pPr>
        <w:ind w:left="468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56405DAC">
      <w:start w:val="1"/>
      <w:numFmt w:val="bullet"/>
      <w:lvlText w:val="o"/>
      <w:lvlJc w:val="left"/>
      <w:pPr>
        <w:ind w:left="540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F4CCDE5E">
      <w:start w:val="1"/>
      <w:numFmt w:val="bullet"/>
      <w:lvlText w:val="▪"/>
      <w:lvlJc w:val="left"/>
      <w:pPr>
        <w:ind w:left="612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721552EA"/>
    <w:multiLevelType w:val="hybridMultilevel"/>
    <w:tmpl w:val="32567F50"/>
    <w:lvl w:ilvl="0" w:tplc="A4409A36">
      <w:start w:val="1"/>
      <w:numFmt w:val="bullet"/>
      <w:lvlText w:val="-"/>
      <w:lvlJc w:val="left"/>
      <w:pPr>
        <w:ind w:left="13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7A103188">
      <w:start w:val="1"/>
      <w:numFmt w:val="bullet"/>
      <w:lvlText w:val="o"/>
      <w:lvlJc w:val="left"/>
      <w:pPr>
        <w:ind w:left="108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A6626E80">
      <w:start w:val="1"/>
      <w:numFmt w:val="bullet"/>
      <w:lvlText w:val="▪"/>
      <w:lvlJc w:val="left"/>
      <w:pPr>
        <w:ind w:left="180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34C1E54">
      <w:start w:val="1"/>
      <w:numFmt w:val="bullet"/>
      <w:lvlText w:val="•"/>
      <w:lvlJc w:val="left"/>
      <w:pPr>
        <w:ind w:left="252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7767E34">
      <w:start w:val="1"/>
      <w:numFmt w:val="bullet"/>
      <w:lvlText w:val="o"/>
      <w:lvlJc w:val="left"/>
      <w:pPr>
        <w:ind w:left="32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FEEE7ABA">
      <w:start w:val="1"/>
      <w:numFmt w:val="bullet"/>
      <w:lvlText w:val="▪"/>
      <w:lvlJc w:val="left"/>
      <w:pPr>
        <w:ind w:left="396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BB846FD4">
      <w:start w:val="1"/>
      <w:numFmt w:val="bullet"/>
      <w:lvlText w:val="•"/>
      <w:lvlJc w:val="left"/>
      <w:pPr>
        <w:ind w:left="468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B1049590">
      <w:start w:val="1"/>
      <w:numFmt w:val="bullet"/>
      <w:lvlText w:val="o"/>
      <w:lvlJc w:val="left"/>
      <w:pPr>
        <w:ind w:left="540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4C88759C">
      <w:start w:val="1"/>
      <w:numFmt w:val="bullet"/>
      <w:lvlText w:val="▪"/>
      <w:lvlJc w:val="left"/>
      <w:pPr>
        <w:ind w:left="612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7E8D3362"/>
    <w:multiLevelType w:val="hybridMultilevel"/>
    <w:tmpl w:val="07B03588"/>
    <w:lvl w:ilvl="0" w:tplc="18CCA704">
      <w:start w:val="1"/>
      <w:numFmt w:val="bullet"/>
      <w:lvlText w:val="•"/>
      <w:lvlJc w:val="left"/>
      <w:pPr>
        <w:ind w:left="1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50A6F2">
      <w:start w:val="1"/>
      <w:numFmt w:val="bullet"/>
      <w:lvlText w:val="o"/>
      <w:lvlJc w:val="left"/>
      <w:pPr>
        <w:ind w:left="21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18E278">
      <w:start w:val="1"/>
      <w:numFmt w:val="bullet"/>
      <w:lvlText w:val="▪"/>
      <w:lvlJc w:val="left"/>
      <w:pPr>
        <w:ind w:left="28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48AD22">
      <w:start w:val="1"/>
      <w:numFmt w:val="bullet"/>
      <w:lvlText w:val="•"/>
      <w:lvlJc w:val="left"/>
      <w:pPr>
        <w:ind w:left="3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E077FA">
      <w:start w:val="1"/>
      <w:numFmt w:val="bullet"/>
      <w:lvlText w:val="o"/>
      <w:lvlJc w:val="left"/>
      <w:pPr>
        <w:ind w:left="42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20CB22">
      <w:start w:val="1"/>
      <w:numFmt w:val="bullet"/>
      <w:lvlText w:val="▪"/>
      <w:lvlJc w:val="left"/>
      <w:pPr>
        <w:ind w:left="50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E846EE">
      <w:start w:val="1"/>
      <w:numFmt w:val="bullet"/>
      <w:lvlText w:val="•"/>
      <w:lvlJc w:val="left"/>
      <w:pPr>
        <w:ind w:left="5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C04A1C">
      <w:start w:val="1"/>
      <w:numFmt w:val="bullet"/>
      <w:lvlText w:val="o"/>
      <w:lvlJc w:val="left"/>
      <w:pPr>
        <w:ind w:left="6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160EB4">
      <w:start w:val="1"/>
      <w:numFmt w:val="bullet"/>
      <w:lvlText w:val="▪"/>
      <w:lvlJc w:val="left"/>
      <w:pPr>
        <w:ind w:left="7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9"/>
  </w:num>
  <w:num w:numId="3">
    <w:abstractNumId w:val="2"/>
  </w:num>
  <w:num w:numId="4">
    <w:abstractNumId w:val="3"/>
  </w:num>
  <w:num w:numId="5">
    <w:abstractNumId w:val="6"/>
  </w:num>
  <w:num w:numId="6">
    <w:abstractNumId w:val="8"/>
  </w:num>
  <w:num w:numId="7">
    <w:abstractNumId w:val="1"/>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64"/>
    <w:rsid w:val="004F1664"/>
    <w:rsid w:val="009F1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24DFEA-7BD8-496A-932D-45019E1B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692" w:hanging="10"/>
      <w:jc w:val="both"/>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47"/>
      <w:ind w:left="682"/>
      <w:outlineLvl w:val="0"/>
    </w:pPr>
    <w:rPr>
      <w:rFonts w:ascii="Verdana" w:eastAsia="Verdana" w:hAnsi="Verdana" w:cs="Verdana"/>
      <w:color w:val="35437C"/>
      <w:sz w:val="60"/>
    </w:rPr>
  </w:style>
  <w:style w:type="paragraph" w:styleId="Heading2">
    <w:name w:val="heading 2"/>
    <w:next w:val="Normal"/>
    <w:link w:val="Heading2Char"/>
    <w:uiPriority w:val="9"/>
    <w:unhideWhenUsed/>
    <w:qFormat/>
    <w:pPr>
      <w:keepNext/>
      <w:keepLines/>
      <w:spacing w:after="4" w:line="250" w:lineRule="auto"/>
      <w:ind w:left="125" w:hanging="10"/>
      <w:outlineLvl w:val="1"/>
    </w:pPr>
    <w:rPr>
      <w:rFonts w:ascii="Verdana" w:eastAsia="Verdana" w:hAnsi="Verdana" w:cs="Verdana"/>
      <w:b/>
      <w:color w:val="1F487C"/>
      <w:sz w:val="20"/>
    </w:rPr>
  </w:style>
  <w:style w:type="paragraph" w:styleId="Heading3">
    <w:name w:val="heading 3"/>
    <w:next w:val="Normal"/>
    <w:link w:val="Heading3Char"/>
    <w:uiPriority w:val="9"/>
    <w:unhideWhenUsed/>
    <w:qFormat/>
    <w:pPr>
      <w:keepNext/>
      <w:keepLines/>
      <w:spacing w:after="0"/>
      <w:ind w:left="692" w:hanging="10"/>
      <w:outlineLvl w:val="2"/>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0000"/>
      <w:sz w:val="20"/>
    </w:rPr>
  </w:style>
  <w:style w:type="character" w:customStyle="1" w:styleId="Heading2Char">
    <w:name w:val="Heading 2 Char"/>
    <w:link w:val="Heading2"/>
    <w:rPr>
      <w:rFonts w:ascii="Verdana" w:eastAsia="Verdana" w:hAnsi="Verdana" w:cs="Verdana"/>
      <w:b/>
      <w:color w:val="1F487C"/>
      <w:sz w:val="20"/>
    </w:rPr>
  </w:style>
  <w:style w:type="character" w:customStyle="1" w:styleId="Heading1Char">
    <w:name w:val="Heading 1 Char"/>
    <w:link w:val="Heading1"/>
    <w:rPr>
      <w:rFonts w:ascii="Verdana" w:eastAsia="Verdana" w:hAnsi="Verdana" w:cs="Verdana"/>
      <w:color w:val="35437C"/>
      <w:sz w:val="6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449FBC84</Template>
  <TotalTime>0</TotalTime>
  <Pages>3</Pages>
  <Words>3514</Words>
  <Characters>20031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alex.hill</dc:creator>
  <cp:keywords/>
  <cp:lastModifiedBy>Stuart Brown</cp:lastModifiedBy>
  <cp:revision>2</cp:revision>
  <dcterms:created xsi:type="dcterms:W3CDTF">2018-11-23T12:25:00Z</dcterms:created>
  <dcterms:modified xsi:type="dcterms:W3CDTF">2018-11-23T12:25:00Z</dcterms:modified>
</cp:coreProperties>
</file>