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70E61" w14:textId="300C4684" w:rsidR="002111FB" w:rsidRPr="005657E1" w:rsidRDefault="00CC2EBB">
      <w:pPr>
        <w:rPr>
          <w:b/>
          <w:bCs/>
          <w:u w:val="single"/>
        </w:rPr>
      </w:pPr>
      <w:r w:rsidRPr="005657E1">
        <w:rPr>
          <w:b/>
          <w:bCs/>
          <w:u w:val="single"/>
        </w:rPr>
        <w:t xml:space="preserve">BATUK </w:t>
      </w:r>
      <w:r w:rsidR="008E33F7" w:rsidRPr="005657E1">
        <w:rPr>
          <w:b/>
          <w:bCs/>
          <w:u w:val="single"/>
        </w:rPr>
        <w:t>Safe Operating Environment KPIs</w:t>
      </w:r>
      <w:r w:rsidR="00C76B03">
        <w:rPr>
          <w:b/>
          <w:bCs/>
          <w:u w:val="single"/>
        </w:rPr>
        <w:t xml:space="preserve"> </w:t>
      </w:r>
    </w:p>
    <w:p w14:paraId="39636F01" w14:textId="221AD0D8" w:rsidR="005657E1" w:rsidRPr="005657E1" w:rsidRDefault="005657E1" w:rsidP="005657E1">
      <w:pPr>
        <w:pStyle w:val="ListParagraph"/>
        <w:numPr>
          <w:ilvl w:val="0"/>
          <w:numId w:val="5"/>
        </w:numPr>
        <w:ind w:left="567" w:hanging="567"/>
      </w:pPr>
      <w:r w:rsidRPr="005657E1">
        <w:t>KPI Table</w:t>
      </w:r>
    </w:p>
    <w:tbl>
      <w:tblPr>
        <w:tblStyle w:val="Style1"/>
        <w:tblW w:w="0" w:type="auto"/>
        <w:tblLook w:val="04A0" w:firstRow="1" w:lastRow="0" w:firstColumn="1" w:lastColumn="0" w:noHBand="0" w:noVBand="1"/>
      </w:tblPr>
      <w:tblGrid>
        <w:gridCol w:w="612"/>
        <w:gridCol w:w="2494"/>
        <w:gridCol w:w="1538"/>
        <w:gridCol w:w="2206"/>
        <w:gridCol w:w="963"/>
        <w:gridCol w:w="107"/>
        <w:gridCol w:w="1013"/>
        <w:gridCol w:w="967"/>
        <w:gridCol w:w="46"/>
        <w:gridCol w:w="1497"/>
        <w:gridCol w:w="1303"/>
        <w:gridCol w:w="40"/>
        <w:gridCol w:w="1091"/>
        <w:gridCol w:w="65"/>
      </w:tblGrid>
      <w:tr w:rsidR="008B0F29" w14:paraId="68DF4998" w14:textId="17ED6A00" w:rsidTr="0059222F">
        <w:trPr>
          <w:cnfStyle w:val="100000000000" w:firstRow="1" w:lastRow="0" w:firstColumn="0" w:lastColumn="0" w:oddVBand="0" w:evenVBand="0" w:oddHBand="0" w:evenHBand="0" w:firstRowFirstColumn="0" w:firstRowLastColumn="0" w:lastRowFirstColumn="0" w:lastRowLastColumn="0"/>
        </w:trPr>
        <w:tc>
          <w:tcPr>
            <w:tcW w:w="552" w:type="dxa"/>
            <w:shd w:val="clear" w:color="auto" w:fill="F2F2F2" w:themeFill="background1" w:themeFillShade="F2"/>
          </w:tcPr>
          <w:p w14:paraId="084DB7E5" w14:textId="6C05B0BF" w:rsidR="00C76B03" w:rsidRPr="00CC2EBB" w:rsidRDefault="00C76B03">
            <w:pPr>
              <w:rPr>
                <w:b/>
                <w:bCs/>
              </w:rPr>
            </w:pPr>
            <w:r w:rsidRPr="00CC2EBB">
              <w:rPr>
                <w:b/>
                <w:bCs/>
              </w:rPr>
              <w:t>KPI Ref</w:t>
            </w:r>
          </w:p>
        </w:tc>
        <w:tc>
          <w:tcPr>
            <w:tcW w:w="2454" w:type="dxa"/>
            <w:shd w:val="clear" w:color="auto" w:fill="F2F2F2" w:themeFill="background1" w:themeFillShade="F2"/>
          </w:tcPr>
          <w:p w14:paraId="289475C7" w14:textId="25FC0F23" w:rsidR="00C76B03" w:rsidRPr="00CC2EBB" w:rsidRDefault="00C76B03">
            <w:pPr>
              <w:rPr>
                <w:b/>
                <w:bCs/>
              </w:rPr>
            </w:pPr>
            <w:r w:rsidRPr="00CC2EBB">
              <w:rPr>
                <w:b/>
                <w:bCs/>
              </w:rPr>
              <w:t>Description</w:t>
            </w:r>
          </w:p>
        </w:tc>
        <w:tc>
          <w:tcPr>
            <w:tcW w:w="1498" w:type="dxa"/>
            <w:shd w:val="clear" w:color="auto" w:fill="F2F2F2" w:themeFill="background1" w:themeFillShade="F2"/>
          </w:tcPr>
          <w:p w14:paraId="627725DD" w14:textId="1F1CEA52" w:rsidR="00C76B03" w:rsidRPr="00CC2EBB" w:rsidRDefault="00C76B03">
            <w:pPr>
              <w:rPr>
                <w:b/>
                <w:bCs/>
              </w:rPr>
            </w:pPr>
            <w:r>
              <w:rPr>
                <w:b/>
                <w:bCs/>
              </w:rPr>
              <w:t>SOR Ref</w:t>
            </w:r>
          </w:p>
        </w:tc>
        <w:tc>
          <w:tcPr>
            <w:tcW w:w="2166" w:type="dxa"/>
            <w:shd w:val="clear" w:color="auto" w:fill="F2F2F2" w:themeFill="background1" w:themeFillShade="F2"/>
          </w:tcPr>
          <w:p w14:paraId="0FF46F92" w14:textId="1B578A48" w:rsidR="00C76B03" w:rsidRPr="00CC2EBB" w:rsidRDefault="00C76B03">
            <w:pPr>
              <w:rPr>
                <w:b/>
                <w:bCs/>
              </w:rPr>
            </w:pPr>
            <w:r w:rsidRPr="00CC2EBB">
              <w:rPr>
                <w:b/>
                <w:bCs/>
              </w:rPr>
              <w:t>Delivery Measure</w:t>
            </w:r>
          </w:p>
        </w:tc>
        <w:tc>
          <w:tcPr>
            <w:tcW w:w="923" w:type="dxa"/>
            <w:shd w:val="clear" w:color="auto" w:fill="F2F2F2" w:themeFill="background1" w:themeFillShade="F2"/>
          </w:tcPr>
          <w:p w14:paraId="2B9EBF5C" w14:textId="77777777" w:rsidR="00C76B03" w:rsidRDefault="00C76B03" w:rsidP="00CC2EBB">
            <w:pPr>
              <w:rPr>
                <w:b/>
                <w:bCs/>
              </w:rPr>
            </w:pPr>
          </w:p>
        </w:tc>
        <w:tc>
          <w:tcPr>
            <w:tcW w:w="2047" w:type="dxa"/>
            <w:gridSpan w:val="3"/>
            <w:shd w:val="clear" w:color="auto" w:fill="F2F2F2" w:themeFill="background1" w:themeFillShade="F2"/>
          </w:tcPr>
          <w:p w14:paraId="478E1DC6" w14:textId="0F9D9661" w:rsidR="00C76B03" w:rsidRDefault="00C76B03" w:rsidP="00CC2EBB">
            <w:pPr>
              <w:rPr>
                <w:b/>
                <w:bCs/>
              </w:rPr>
            </w:pPr>
            <w:r>
              <w:rPr>
                <w:b/>
                <w:bCs/>
              </w:rPr>
              <w:t xml:space="preserve">Performance </w:t>
            </w:r>
            <w:r w:rsidRPr="00CC2EBB">
              <w:rPr>
                <w:b/>
                <w:bCs/>
              </w:rPr>
              <w:t xml:space="preserve">Satisfaction </w:t>
            </w:r>
            <w:r>
              <w:rPr>
                <w:b/>
                <w:bCs/>
              </w:rPr>
              <w:t>Level</w:t>
            </w:r>
          </w:p>
          <w:p w14:paraId="12B57FC6" w14:textId="32190FE5" w:rsidR="00C76B03" w:rsidRPr="00CC2EBB" w:rsidRDefault="00C76B03">
            <w:pPr>
              <w:rPr>
                <w:b/>
                <w:bCs/>
              </w:rPr>
            </w:pPr>
            <w:r>
              <w:rPr>
                <w:b/>
                <w:bCs/>
              </w:rPr>
              <w:t>Required</w:t>
            </w:r>
          </w:p>
        </w:tc>
        <w:tc>
          <w:tcPr>
            <w:tcW w:w="1503" w:type="dxa"/>
            <w:gridSpan w:val="2"/>
            <w:shd w:val="clear" w:color="auto" w:fill="F2F2F2" w:themeFill="background1" w:themeFillShade="F2"/>
          </w:tcPr>
          <w:p w14:paraId="21D14030" w14:textId="14E7E73E" w:rsidR="00C76B03" w:rsidRPr="00CC2EBB" w:rsidRDefault="00C76B03">
            <w:pPr>
              <w:rPr>
                <w:b/>
                <w:bCs/>
              </w:rPr>
            </w:pPr>
            <w:r w:rsidRPr="00CC2EBB">
              <w:rPr>
                <w:b/>
                <w:bCs/>
              </w:rPr>
              <w:t>Evidence</w:t>
            </w:r>
          </w:p>
        </w:tc>
        <w:tc>
          <w:tcPr>
            <w:tcW w:w="1303" w:type="dxa"/>
            <w:gridSpan w:val="2"/>
            <w:shd w:val="clear" w:color="auto" w:fill="F2F2F2" w:themeFill="background1" w:themeFillShade="F2"/>
          </w:tcPr>
          <w:p w14:paraId="3639CD1E" w14:textId="1ACA77A1" w:rsidR="00C76B03" w:rsidRPr="00CC2EBB" w:rsidRDefault="00C76B03">
            <w:pPr>
              <w:rPr>
                <w:b/>
                <w:bCs/>
              </w:rPr>
            </w:pPr>
            <w:r w:rsidRPr="00CC2EBB">
              <w:rPr>
                <w:b/>
                <w:bCs/>
              </w:rPr>
              <w:t>Review Period</w:t>
            </w:r>
          </w:p>
        </w:tc>
        <w:tc>
          <w:tcPr>
            <w:tcW w:w="1096" w:type="dxa"/>
            <w:gridSpan w:val="2"/>
            <w:shd w:val="clear" w:color="auto" w:fill="F2F2F2" w:themeFill="background1" w:themeFillShade="F2"/>
          </w:tcPr>
          <w:p w14:paraId="0A0853AD" w14:textId="73B3F023" w:rsidR="00C76B03" w:rsidRPr="00CC2EBB" w:rsidRDefault="00C76B03">
            <w:pPr>
              <w:rPr>
                <w:b/>
                <w:bCs/>
              </w:rPr>
            </w:pPr>
            <w:r w:rsidRPr="00CC2EBB">
              <w:rPr>
                <w:b/>
                <w:bCs/>
              </w:rPr>
              <w:t>MOD Monitor</w:t>
            </w:r>
          </w:p>
        </w:tc>
      </w:tr>
      <w:tr w:rsidR="008B0F29" w14:paraId="177731C2" w14:textId="77777777" w:rsidTr="0059222F">
        <w:tc>
          <w:tcPr>
            <w:tcW w:w="552" w:type="dxa"/>
          </w:tcPr>
          <w:p w14:paraId="7FA90A28" w14:textId="77777777" w:rsidR="00C76B03" w:rsidRDefault="00C76B03"/>
        </w:tc>
        <w:tc>
          <w:tcPr>
            <w:tcW w:w="2454" w:type="dxa"/>
          </w:tcPr>
          <w:p w14:paraId="12F7AEC0" w14:textId="77777777" w:rsidR="00C76B03" w:rsidRDefault="00C76B03"/>
        </w:tc>
        <w:tc>
          <w:tcPr>
            <w:tcW w:w="1498" w:type="dxa"/>
          </w:tcPr>
          <w:p w14:paraId="42F7A5EF" w14:textId="77777777" w:rsidR="00C76B03" w:rsidRDefault="00C76B03"/>
        </w:tc>
        <w:tc>
          <w:tcPr>
            <w:tcW w:w="2166" w:type="dxa"/>
          </w:tcPr>
          <w:p w14:paraId="31A5A5C8" w14:textId="77777777" w:rsidR="00C76B03" w:rsidRDefault="00C76B03"/>
        </w:tc>
        <w:tc>
          <w:tcPr>
            <w:tcW w:w="1030" w:type="dxa"/>
            <w:gridSpan w:val="2"/>
            <w:shd w:val="clear" w:color="auto" w:fill="92D050"/>
          </w:tcPr>
          <w:p w14:paraId="012B390A" w14:textId="2A8A06A7" w:rsidR="00C76B03" w:rsidRDefault="00C76B03">
            <w:r>
              <w:t>GREEN</w:t>
            </w:r>
          </w:p>
        </w:tc>
        <w:tc>
          <w:tcPr>
            <w:tcW w:w="973" w:type="dxa"/>
            <w:shd w:val="clear" w:color="auto" w:fill="FFC000"/>
          </w:tcPr>
          <w:p w14:paraId="5BE4E6C7" w14:textId="601866B2" w:rsidR="00C76B03" w:rsidRDefault="00C76B03">
            <w:r>
              <w:t>AMBER</w:t>
            </w:r>
          </w:p>
        </w:tc>
        <w:tc>
          <w:tcPr>
            <w:tcW w:w="927" w:type="dxa"/>
            <w:shd w:val="clear" w:color="auto" w:fill="FF0000"/>
          </w:tcPr>
          <w:p w14:paraId="3AD5A8F9" w14:textId="04200823" w:rsidR="00C76B03" w:rsidRDefault="00C76B03">
            <w:r>
              <w:t>RED</w:t>
            </w:r>
          </w:p>
        </w:tc>
        <w:tc>
          <w:tcPr>
            <w:tcW w:w="1503" w:type="dxa"/>
            <w:gridSpan w:val="2"/>
          </w:tcPr>
          <w:p w14:paraId="31C01E97" w14:textId="77777777" w:rsidR="00C76B03" w:rsidRDefault="00C76B03"/>
        </w:tc>
        <w:tc>
          <w:tcPr>
            <w:tcW w:w="1303" w:type="dxa"/>
            <w:gridSpan w:val="2"/>
          </w:tcPr>
          <w:p w14:paraId="3262614C" w14:textId="77777777" w:rsidR="00C76B03" w:rsidRDefault="00C76B03"/>
        </w:tc>
        <w:tc>
          <w:tcPr>
            <w:tcW w:w="1096" w:type="dxa"/>
            <w:gridSpan w:val="2"/>
          </w:tcPr>
          <w:p w14:paraId="033B5D4E" w14:textId="77777777" w:rsidR="00C76B03" w:rsidRDefault="00C76B03"/>
        </w:tc>
      </w:tr>
      <w:tr w:rsidR="008B0F29" w14:paraId="4AC9142A" w14:textId="7C7EC6DF" w:rsidTr="0059222F">
        <w:trPr>
          <w:gridAfter w:val="1"/>
          <w:wAfter w:w="5" w:type="dxa"/>
        </w:trPr>
        <w:tc>
          <w:tcPr>
            <w:tcW w:w="552" w:type="dxa"/>
          </w:tcPr>
          <w:p w14:paraId="59173AA9" w14:textId="7C4A5DAB" w:rsidR="00C76B03" w:rsidRDefault="00C76B03">
            <w:r>
              <w:t>1</w:t>
            </w:r>
          </w:p>
        </w:tc>
        <w:tc>
          <w:tcPr>
            <w:tcW w:w="2454" w:type="dxa"/>
          </w:tcPr>
          <w:p w14:paraId="6CBEEBD4" w14:textId="185A8887" w:rsidR="00C76B03" w:rsidRDefault="00C76B03">
            <w:r>
              <w:t xml:space="preserve">Task lines 5 &amp; 6. </w:t>
            </w:r>
          </w:p>
          <w:p w14:paraId="61BE7BA8" w14:textId="68A11F71" w:rsidR="00C76B03" w:rsidRDefault="00C76B03">
            <w:r>
              <w:t>The Supplier shall provide 1 platform available to conduct RC/GAS/AFF</w:t>
            </w:r>
          </w:p>
          <w:p w14:paraId="3DB1E6C5" w14:textId="064E70BA" w:rsidR="00C76B03" w:rsidRDefault="00C76B03">
            <w:r>
              <w:t>In order to be deemed available the aircraft shall:</w:t>
            </w:r>
          </w:p>
          <w:p w14:paraId="3A0C066A" w14:textId="3E57AB91" w:rsidR="00C76B03" w:rsidRDefault="00C76B03">
            <w:r>
              <w:t>1. Comply with the readiness states (RS) defined in the SOR.</w:t>
            </w:r>
          </w:p>
          <w:p w14:paraId="445DA8F3" w14:textId="77777777" w:rsidR="00C76B03" w:rsidRDefault="00C76B03"/>
          <w:p w14:paraId="7DFA2FF7" w14:textId="014521FA" w:rsidR="00C76B03" w:rsidRDefault="00C76B03" w:rsidP="006908DB">
            <w:r>
              <w:t>2. Be crewed by current competent, qualified and experienced personnel.</w:t>
            </w:r>
          </w:p>
          <w:p w14:paraId="5435353B" w14:textId="77777777" w:rsidR="00C76B03" w:rsidRDefault="00C76B03" w:rsidP="006908DB"/>
          <w:p w14:paraId="59D50274" w14:textId="036FD52A" w:rsidR="00C76B03" w:rsidRDefault="00C76B03" w:rsidP="006908DB">
            <w:r>
              <w:t>3. Comply with KCAA regulations.</w:t>
            </w:r>
          </w:p>
          <w:p w14:paraId="74514FC5" w14:textId="77777777" w:rsidR="00C76B03" w:rsidRDefault="00C76B03" w:rsidP="006908DB"/>
          <w:p w14:paraId="62EC6014" w14:textId="7222E815" w:rsidR="00C76B03" w:rsidRDefault="00C76B03" w:rsidP="006908DB">
            <w:r>
              <w:lastRenderedPageBreak/>
              <w:t>4. Equipped with all safety equipment.</w:t>
            </w:r>
          </w:p>
          <w:p w14:paraId="402E6883" w14:textId="77777777" w:rsidR="00C76B03" w:rsidRDefault="00C76B03" w:rsidP="006908DB"/>
          <w:p w14:paraId="3A9C66C9" w14:textId="315F9A80" w:rsidR="00C76B03" w:rsidRDefault="00C76B03" w:rsidP="006908DB">
            <w:r>
              <w:t>5. Aircraft fuelled and refuels avail.</w:t>
            </w:r>
          </w:p>
          <w:p w14:paraId="6593CE49" w14:textId="5C500C56" w:rsidR="00C76B03" w:rsidRDefault="00C76B03" w:rsidP="006908DB">
            <w:r>
              <w:t xml:space="preserve">6. </w:t>
            </w:r>
            <w:r w:rsidRPr="00FA0B89">
              <w:t>Be fully maintained and serviced iaw KCAA Regulations.</w:t>
            </w:r>
          </w:p>
          <w:p w14:paraId="6B325B8E" w14:textId="666B4E90" w:rsidR="00C76B03" w:rsidRDefault="00C76B03" w:rsidP="009936E1"/>
        </w:tc>
        <w:tc>
          <w:tcPr>
            <w:tcW w:w="1498" w:type="dxa"/>
          </w:tcPr>
          <w:p w14:paraId="668618AE" w14:textId="77777777" w:rsidR="00C76B03" w:rsidRDefault="00C76B03" w:rsidP="00DC7CF0"/>
          <w:p w14:paraId="28056284" w14:textId="77777777" w:rsidR="00C76B03" w:rsidRDefault="00C76B03" w:rsidP="00DC7CF0"/>
          <w:p w14:paraId="4D805A75" w14:textId="77777777" w:rsidR="00C76B03" w:rsidRDefault="00C76B03" w:rsidP="00DC7CF0"/>
          <w:p w14:paraId="3B41361F" w14:textId="77777777" w:rsidR="00C76B03" w:rsidRDefault="00C76B03" w:rsidP="00DC7CF0"/>
          <w:p w14:paraId="7EE6F9A6" w14:textId="77777777" w:rsidR="00C76B03" w:rsidRDefault="00C76B03" w:rsidP="00DC7CF0"/>
          <w:p w14:paraId="051DC753" w14:textId="77777777" w:rsidR="00C76B03" w:rsidRDefault="00C76B03" w:rsidP="00DC7CF0"/>
          <w:p w14:paraId="29125929" w14:textId="77777777" w:rsidR="00C76B03" w:rsidRDefault="00C76B03" w:rsidP="00DC7CF0"/>
          <w:p w14:paraId="72288443" w14:textId="77777777" w:rsidR="00C76B03" w:rsidRDefault="00C76B03" w:rsidP="00DC7CF0"/>
          <w:p w14:paraId="6528ED47" w14:textId="77777777" w:rsidR="00C76B03" w:rsidRDefault="00C76B03" w:rsidP="00DC7CF0"/>
          <w:p w14:paraId="2D87F630" w14:textId="03F07F63" w:rsidR="00C76B03" w:rsidRDefault="00C76B03" w:rsidP="00DC7CF0">
            <w:pPr>
              <w:pStyle w:val="ListParagraph"/>
              <w:numPr>
                <w:ilvl w:val="1"/>
                <w:numId w:val="3"/>
              </w:numPr>
            </w:pPr>
            <w:r>
              <w:t>to 1.4</w:t>
            </w:r>
          </w:p>
          <w:p w14:paraId="7494355C" w14:textId="1803996B" w:rsidR="00C76B03" w:rsidRDefault="00C76B03" w:rsidP="007E373D"/>
          <w:p w14:paraId="1B330AF5" w14:textId="3EFF7DBB" w:rsidR="00C76B03" w:rsidRDefault="00C76B03" w:rsidP="007E373D"/>
          <w:p w14:paraId="6A8740D4" w14:textId="61CEF34F" w:rsidR="00C76B03" w:rsidRDefault="00C76B03" w:rsidP="007E373D"/>
          <w:p w14:paraId="5B5905EC" w14:textId="77777777" w:rsidR="00C76B03" w:rsidRDefault="00C76B03" w:rsidP="007E373D"/>
          <w:p w14:paraId="663CA1CD" w14:textId="1DBD1894" w:rsidR="00C76B03" w:rsidRDefault="00C76B03" w:rsidP="007E373D">
            <w:r>
              <w:t>12.1 to 12.2</w:t>
            </w:r>
          </w:p>
          <w:p w14:paraId="7A64B44A" w14:textId="04656283" w:rsidR="00C76B03" w:rsidRDefault="00C76B03" w:rsidP="007E373D"/>
          <w:p w14:paraId="63F37A69" w14:textId="2BD97EC4" w:rsidR="00C76B03" w:rsidRDefault="00C76B03" w:rsidP="007E373D"/>
          <w:p w14:paraId="51E0DCCD" w14:textId="77777777" w:rsidR="00C76B03" w:rsidRDefault="00C76B03" w:rsidP="007E373D"/>
          <w:p w14:paraId="78422E6D" w14:textId="6A6B37E6" w:rsidR="00C76B03" w:rsidRDefault="00C76B03" w:rsidP="007E373D">
            <w:r>
              <w:t>11.1 to 11.2</w:t>
            </w:r>
          </w:p>
          <w:p w14:paraId="40D72768" w14:textId="5923E425" w:rsidR="00C76B03" w:rsidRDefault="00C76B03" w:rsidP="007E373D"/>
          <w:p w14:paraId="50F43D67" w14:textId="44E469B7" w:rsidR="00C76B03" w:rsidRDefault="00C76B03" w:rsidP="007E373D"/>
          <w:p w14:paraId="09B86E65" w14:textId="77777777" w:rsidR="00C76B03" w:rsidRDefault="00C76B03" w:rsidP="007E373D"/>
          <w:p w14:paraId="047B10A8" w14:textId="5F6D586D" w:rsidR="00C76B03" w:rsidRDefault="00C76B03" w:rsidP="007E373D">
            <w:r>
              <w:t>6.1 to 6.6</w:t>
            </w:r>
          </w:p>
          <w:p w14:paraId="6633612A" w14:textId="77777777" w:rsidR="00C76B03" w:rsidRDefault="00C76B03" w:rsidP="007E373D"/>
          <w:p w14:paraId="5959518B" w14:textId="77777777" w:rsidR="00C76B03" w:rsidRDefault="00C76B03" w:rsidP="00072373">
            <w:pPr>
              <w:pStyle w:val="ListParagraph"/>
              <w:ind w:left="360"/>
            </w:pPr>
          </w:p>
          <w:p w14:paraId="0F113E33" w14:textId="77777777" w:rsidR="00C76B03" w:rsidRDefault="00C76B03" w:rsidP="00072373">
            <w:pPr>
              <w:pStyle w:val="ListParagraph"/>
              <w:ind w:left="360"/>
            </w:pPr>
          </w:p>
          <w:p w14:paraId="4923CEC6" w14:textId="77777777" w:rsidR="00C76B03" w:rsidRDefault="00C76B03" w:rsidP="00072373">
            <w:pPr>
              <w:pStyle w:val="ListParagraph"/>
              <w:ind w:left="360"/>
            </w:pPr>
          </w:p>
          <w:p w14:paraId="05EF4196" w14:textId="5C8FA149" w:rsidR="00C76B03" w:rsidRDefault="00C76B03" w:rsidP="00202E7D">
            <w:r>
              <w:t>5.1 to 5.3</w:t>
            </w:r>
          </w:p>
        </w:tc>
        <w:tc>
          <w:tcPr>
            <w:tcW w:w="2166" w:type="dxa"/>
          </w:tcPr>
          <w:p w14:paraId="6C2EB82D" w14:textId="781D2272" w:rsidR="00C76B03" w:rsidRDefault="00C76B03">
            <w:r>
              <w:lastRenderedPageBreak/>
              <w:t>Availability is reported by the Supplier in a phone call to the BATUK POC.</w:t>
            </w:r>
          </w:p>
          <w:p w14:paraId="155ED887" w14:textId="77777777" w:rsidR="00C76B03" w:rsidRDefault="00C76B03"/>
          <w:p w14:paraId="72A57307" w14:textId="77777777" w:rsidR="00C76B03" w:rsidRDefault="00C76B03" w:rsidP="00CC2EBB">
            <w:r>
              <w:t>Availability is not reported at the designated time; or</w:t>
            </w:r>
          </w:p>
          <w:p w14:paraId="46B3D9A7" w14:textId="6D2D86FE" w:rsidR="00C76B03" w:rsidRDefault="00C76B03" w:rsidP="00CC2EBB">
            <w:r>
              <w:t>One or more aspects of availability are not confirmed.</w:t>
            </w:r>
          </w:p>
        </w:tc>
        <w:tc>
          <w:tcPr>
            <w:tcW w:w="1030" w:type="dxa"/>
            <w:gridSpan w:val="2"/>
          </w:tcPr>
          <w:p w14:paraId="7CB1C46A" w14:textId="10BEE0C4" w:rsidR="00C76B03" w:rsidRDefault="00C76B03">
            <w:r>
              <w:t>100%</w:t>
            </w:r>
          </w:p>
        </w:tc>
        <w:tc>
          <w:tcPr>
            <w:tcW w:w="973" w:type="dxa"/>
          </w:tcPr>
          <w:p w14:paraId="0F5E87FB" w14:textId="6711EBA7" w:rsidR="00C76B03" w:rsidRDefault="00C76B03">
            <w:r>
              <w:t xml:space="preserve">0 to 60 minutes </w:t>
            </w:r>
            <w:r w:rsidRPr="00C76B03">
              <w:t>beyond RS for the task.</w:t>
            </w:r>
          </w:p>
        </w:tc>
        <w:tc>
          <w:tcPr>
            <w:tcW w:w="973" w:type="dxa"/>
            <w:gridSpan w:val="2"/>
          </w:tcPr>
          <w:p w14:paraId="2B224865" w14:textId="2DDA2511" w:rsidR="00C76B03" w:rsidRDefault="00C76B03">
            <w:r>
              <w:t xml:space="preserve">&gt;61 minutes </w:t>
            </w:r>
            <w:r w:rsidRPr="00C76B03">
              <w:t>beyond RS for the task</w:t>
            </w:r>
            <w:r>
              <w:t>.</w:t>
            </w:r>
          </w:p>
        </w:tc>
        <w:tc>
          <w:tcPr>
            <w:tcW w:w="1457" w:type="dxa"/>
          </w:tcPr>
          <w:p w14:paraId="3305C60E" w14:textId="3A6A5AEF" w:rsidR="00C76B03" w:rsidRDefault="00C76B03">
            <w:r>
              <w:t>The Supplier will confirm availability when tasked.</w:t>
            </w:r>
          </w:p>
        </w:tc>
        <w:tc>
          <w:tcPr>
            <w:tcW w:w="1263" w:type="dxa"/>
          </w:tcPr>
          <w:p w14:paraId="3338F440" w14:textId="2C481874" w:rsidR="00C76B03" w:rsidRDefault="00C76B03">
            <w:r>
              <w:t>Prior to tasking/ad hoc checks</w:t>
            </w:r>
          </w:p>
        </w:tc>
        <w:tc>
          <w:tcPr>
            <w:tcW w:w="1091" w:type="dxa"/>
            <w:gridSpan w:val="2"/>
          </w:tcPr>
          <w:p w14:paraId="26A04D9A" w14:textId="46F0E849" w:rsidR="00C76B03" w:rsidRDefault="00C76B03">
            <w:r>
              <w:t>BATUK</w:t>
            </w:r>
          </w:p>
        </w:tc>
      </w:tr>
      <w:tr w:rsidR="008B0F29" w14:paraId="307C2E36" w14:textId="77777777" w:rsidTr="0059222F">
        <w:trPr>
          <w:gridAfter w:val="1"/>
          <w:wAfter w:w="5" w:type="dxa"/>
        </w:trPr>
        <w:tc>
          <w:tcPr>
            <w:tcW w:w="552" w:type="dxa"/>
          </w:tcPr>
          <w:p w14:paraId="7C6E0965" w14:textId="1905B6ED" w:rsidR="00C76B03" w:rsidRDefault="00C76B03">
            <w:r>
              <w:t>2</w:t>
            </w:r>
          </w:p>
        </w:tc>
        <w:tc>
          <w:tcPr>
            <w:tcW w:w="2454" w:type="dxa"/>
          </w:tcPr>
          <w:p w14:paraId="03958B9A" w14:textId="214273EC" w:rsidR="00C76B03" w:rsidRDefault="00C76B03">
            <w:r>
              <w:t>Task lines 5 &amp; 6. The Supplier shall provide 1 platform in a reliable state to conduct RC/GAS/AFF.</w:t>
            </w:r>
          </w:p>
          <w:p w14:paraId="0D65F5A9" w14:textId="5D351091" w:rsidR="00C76B03" w:rsidRDefault="00C76B03">
            <w:r>
              <w:t>In order for the platform to be deemed reliable the aircraft shall:</w:t>
            </w:r>
          </w:p>
          <w:p w14:paraId="0AFF9B80" w14:textId="3FF16B89" w:rsidR="00C76B03" w:rsidRDefault="00C76B03" w:rsidP="00202E7D">
            <w:r>
              <w:t>1. Task is achieved.</w:t>
            </w:r>
          </w:p>
          <w:p w14:paraId="246B58E9" w14:textId="268E3AD1" w:rsidR="00C76B03" w:rsidRDefault="00C76B03"/>
        </w:tc>
        <w:tc>
          <w:tcPr>
            <w:tcW w:w="1498" w:type="dxa"/>
          </w:tcPr>
          <w:p w14:paraId="0CFCA69F" w14:textId="77777777" w:rsidR="00C76B03" w:rsidRDefault="00C76B03"/>
          <w:p w14:paraId="78A45C0F" w14:textId="77777777" w:rsidR="00C76B03" w:rsidRDefault="00C76B03"/>
          <w:p w14:paraId="6694E7C3" w14:textId="77777777" w:rsidR="00C76B03" w:rsidRDefault="00C76B03"/>
          <w:p w14:paraId="0E30441D" w14:textId="77777777" w:rsidR="00C76B03" w:rsidRDefault="00C76B03"/>
          <w:p w14:paraId="7BCF315C" w14:textId="77777777" w:rsidR="00C76B03" w:rsidRDefault="00C76B03"/>
          <w:p w14:paraId="28D85226" w14:textId="77777777" w:rsidR="00C76B03" w:rsidRDefault="00C76B03"/>
          <w:p w14:paraId="262889A4" w14:textId="77777777" w:rsidR="00C76B03" w:rsidRDefault="00C76B03"/>
          <w:p w14:paraId="1D16047D" w14:textId="77777777" w:rsidR="00C76B03" w:rsidRDefault="00C76B03"/>
          <w:p w14:paraId="453EA7CE" w14:textId="4CDA5BA0" w:rsidR="00C76B03" w:rsidRDefault="00C76B03">
            <w:r>
              <w:t>5.1 to 5.3</w:t>
            </w:r>
          </w:p>
        </w:tc>
        <w:tc>
          <w:tcPr>
            <w:tcW w:w="2166" w:type="dxa"/>
          </w:tcPr>
          <w:p w14:paraId="0FB8566A" w14:textId="771CE686" w:rsidR="00C76B03" w:rsidRDefault="00C76B03">
            <w:r>
              <w:t>F</w:t>
            </w:r>
            <w:r w:rsidRPr="00A67878">
              <w:t xml:space="preserve">ound to be </w:t>
            </w:r>
            <w:r>
              <w:t>unable to complete a task in accordance with the SOR</w:t>
            </w:r>
            <w:r w:rsidRPr="00A67878">
              <w:t>.</w:t>
            </w:r>
          </w:p>
        </w:tc>
        <w:tc>
          <w:tcPr>
            <w:tcW w:w="1030" w:type="dxa"/>
            <w:gridSpan w:val="2"/>
          </w:tcPr>
          <w:p w14:paraId="2DD7EC69" w14:textId="060760DB" w:rsidR="00C76B03" w:rsidRDefault="00C76B03">
            <w:r>
              <w:t>100%</w:t>
            </w:r>
          </w:p>
        </w:tc>
        <w:tc>
          <w:tcPr>
            <w:tcW w:w="973" w:type="dxa"/>
          </w:tcPr>
          <w:p w14:paraId="0A245D91" w14:textId="77875405" w:rsidR="00C76B03" w:rsidRDefault="00C76B03">
            <w:r w:rsidRPr="00C76B03">
              <w:t>0 to 60 minutes beyond RS for the task.</w:t>
            </w:r>
          </w:p>
        </w:tc>
        <w:tc>
          <w:tcPr>
            <w:tcW w:w="973" w:type="dxa"/>
            <w:gridSpan w:val="2"/>
          </w:tcPr>
          <w:p w14:paraId="6B1FFEE2" w14:textId="64FA065B" w:rsidR="00C76B03" w:rsidRDefault="00C76B03">
            <w:r>
              <w:t>&gt;61 minutes beyond RS for the task.</w:t>
            </w:r>
          </w:p>
        </w:tc>
        <w:tc>
          <w:tcPr>
            <w:tcW w:w="1457" w:type="dxa"/>
          </w:tcPr>
          <w:p w14:paraId="14E361A0" w14:textId="61F9FF62" w:rsidR="00C76B03" w:rsidRDefault="00C76B03"/>
        </w:tc>
        <w:tc>
          <w:tcPr>
            <w:tcW w:w="1263" w:type="dxa"/>
          </w:tcPr>
          <w:p w14:paraId="722505B9" w14:textId="1182C8D0" w:rsidR="00C76B03" w:rsidRDefault="00C76B03">
            <w:r>
              <w:t>Upon completion of task.</w:t>
            </w:r>
          </w:p>
        </w:tc>
        <w:tc>
          <w:tcPr>
            <w:tcW w:w="1091" w:type="dxa"/>
            <w:gridSpan w:val="2"/>
          </w:tcPr>
          <w:p w14:paraId="115978CE" w14:textId="6B4328BC" w:rsidR="00C76B03" w:rsidRDefault="00C76B03">
            <w:r>
              <w:t>BATUK</w:t>
            </w:r>
          </w:p>
        </w:tc>
      </w:tr>
      <w:tr w:rsidR="008B0F29" w14:paraId="06C5B5B0" w14:textId="77777777" w:rsidTr="0059222F">
        <w:trPr>
          <w:gridAfter w:val="1"/>
          <w:wAfter w:w="5" w:type="dxa"/>
        </w:trPr>
        <w:tc>
          <w:tcPr>
            <w:tcW w:w="552" w:type="dxa"/>
          </w:tcPr>
          <w:p w14:paraId="2F59EB3A" w14:textId="5FDE36E7" w:rsidR="00C76B03" w:rsidRDefault="00C76B03">
            <w:r>
              <w:t>3.</w:t>
            </w:r>
          </w:p>
        </w:tc>
        <w:tc>
          <w:tcPr>
            <w:tcW w:w="2454" w:type="dxa"/>
          </w:tcPr>
          <w:p w14:paraId="0DE942A6" w14:textId="0B1DBEF2" w:rsidR="00C76B03" w:rsidRDefault="00C76B03">
            <w:r>
              <w:t>The Supplier shall ensure the underslung aerial firefighting capability is reliable and serviceable.</w:t>
            </w:r>
          </w:p>
          <w:p w14:paraId="4391505C" w14:textId="77777777" w:rsidR="00C76B03" w:rsidRDefault="00C76B03">
            <w:r>
              <w:t>In order for the equipment to be deemed reliable and serviceable the system shall:</w:t>
            </w:r>
          </w:p>
          <w:p w14:paraId="5D3518FF" w14:textId="620FA156" w:rsidR="00C76B03" w:rsidRDefault="00C76B03">
            <w:r>
              <w:lastRenderedPageBreak/>
              <w:t xml:space="preserve">1. AFF system equipment to be maintained iaw manufacturer’s recommendations. </w:t>
            </w:r>
          </w:p>
          <w:p w14:paraId="27A1D109" w14:textId="333F3FC2" w:rsidR="00C76B03" w:rsidRDefault="00C76B03"/>
        </w:tc>
        <w:tc>
          <w:tcPr>
            <w:tcW w:w="1498" w:type="dxa"/>
          </w:tcPr>
          <w:p w14:paraId="5AF44449" w14:textId="77777777" w:rsidR="00C76B03" w:rsidRDefault="00C76B03"/>
          <w:p w14:paraId="79814105" w14:textId="77777777" w:rsidR="00C76B03" w:rsidRDefault="00C76B03"/>
          <w:p w14:paraId="484545C2" w14:textId="77777777" w:rsidR="00C76B03" w:rsidRDefault="00C76B03"/>
          <w:p w14:paraId="0FFA9ABD" w14:textId="77777777" w:rsidR="00C76B03" w:rsidRDefault="00C76B03"/>
          <w:p w14:paraId="06719B75" w14:textId="1EAA2914" w:rsidR="00C76B03" w:rsidRDefault="00C76B03">
            <w:r>
              <w:t>7.1 to 7.</w:t>
            </w:r>
            <w:r w:rsidR="008B0F29">
              <w:t>4</w:t>
            </w:r>
          </w:p>
          <w:p w14:paraId="06FBC090" w14:textId="77777777" w:rsidR="00C76B03" w:rsidRDefault="00C76B03"/>
          <w:p w14:paraId="282D840E" w14:textId="77777777" w:rsidR="00C76B03" w:rsidRDefault="00C76B03"/>
          <w:p w14:paraId="445CF897" w14:textId="77777777" w:rsidR="00C76B03" w:rsidRDefault="00C76B03"/>
          <w:p w14:paraId="13D3019D" w14:textId="77777777" w:rsidR="00C76B03" w:rsidRDefault="00C76B03"/>
          <w:p w14:paraId="719E739E" w14:textId="77777777" w:rsidR="00C76B03" w:rsidRDefault="00C76B03"/>
          <w:p w14:paraId="65A51300" w14:textId="77777777" w:rsidR="00C76B03" w:rsidRDefault="00C76B03"/>
          <w:p w14:paraId="0F5434E1" w14:textId="77777777" w:rsidR="00C76B03" w:rsidRDefault="00C76B03">
            <w:r>
              <w:t>5.4</w:t>
            </w:r>
          </w:p>
          <w:p w14:paraId="6211F796" w14:textId="4BE0B5F2" w:rsidR="00C76B03" w:rsidRDefault="00C76B03"/>
          <w:p w14:paraId="06B0D9BD" w14:textId="499DCC73" w:rsidR="00C76B03" w:rsidRDefault="00C76B03"/>
          <w:p w14:paraId="45B938BC" w14:textId="77777777" w:rsidR="00C76B03" w:rsidRDefault="00C76B03"/>
          <w:p w14:paraId="431C1332" w14:textId="77777777" w:rsidR="00C76B03" w:rsidRDefault="00C76B03"/>
          <w:p w14:paraId="05DD0C42" w14:textId="00F6A65B" w:rsidR="00C76B03" w:rsidRDefault="00C76B03"/>
        </w:tc>
        <w:tc>
          <w:tcPr>
            <w:tcW w:w="2166" w:type="dxa"/>
          </w:tcPr>
          <w:p w14:paraId="39D96809" w14:textId="77777777" w:rsidR="008B0F29" w:rsidRDefault="00C76B03">
            <w:r>
              <w:lastRenderedPageBreak/>
              <w:t xml:space="preserve">The underslung aerial </w:t>
            </w:r>
            <w:r w:rsidR="008B0F29">
              <w:t>firefighting</w:t>
            </w:r>
            <w:r>
              <w:t xml:space="preserve"> equipment is </w:t>
            </w:r>
            <w:r w:rsidR="008B0F29">
              <w:t>un</w:t>
            </w:r>
            <w:r>
              <w:t>serviceable</w:t>
            </w:r>
          </w:p>
          <w:p w14:paraId="0C2BE61E" w14:textId="0D9CF17F" w:rsidR="00C76B03" w:rsidRDefault="008B0F29">
            <w:r>
              <w:t>/unavailable.</w:t>
            </w:r>
          </w:p>
        </w:tc>
        <w:tc>
          <w:tcPr>
            <w:tcW w:w="1030" w:type="dxa"/>
            <w:gridSpan w:val="2"/>
          </w:tcPr>
          <w:p w14:paraId="0B27D1D6" w14:textId="489D4C25" w:rsidR="00C76B03" w:rsidRDefault="008B0F29">
            <w:r>
              <w:t>100%</w:t>
            </w:r>
          </w:p>
        </w:tc>
        <w:tc>
          <w:tcPr>
            <w:tcW w:w="973" w:type="dxa"/>
          </w:tcPr>
          <w:p w14:paraId="46D3912F" w14:textId="6A37944E" w:rsidR="00C76B03" w:rsidRDefault="008B0F29">
            <w:r>
              <w:t>NA</w:t>
            </w:r>
          </w:p>
        </w:tc>
        <w:tc>
          <w:tcPr>
            <w:tcW w:w="973" w:type="dxa"/>
            <w:gridSpan w:val="2"/>
          </w:tcPr>
          <w:p w14:paraId="5872650E" w14:textId="2CC4EEB1" w:rsidR="00C76B03" w:rsidRDefault="008B0F29">
            <w:r>
              <w:t>99%</w:t>
            </w:r>
          </w:p>
        </w:tc>
        <w:tc>
          <w:tcPr>
            <w:tcW w:w="1457" w:type="dxa"/>
          </w:tcPr>
          <w:p w14:paraId="6581FDAE" w14:textId="77777777" w:rsidR="00C76B03" w:rsidRDefault="00C76B03"/>
          <w:p w14:paraId="2FEB635C" w14:textId="77777777" w:rsidR="00C76B03" w:rsidRDefault="00C76B03"/>
          <w:p w14:paraId="284EC285" w14:textId="4D173FDB" w:rsidR="00C76B03" w:rsidRDefault="008B0F29">
            <w:r>
              <w:t>Confirmation of completion of a successful tasking.</w:t>
            </w:r>
          </w:p>
          <w:p w14:paraId="5A716496" w14:textId="77777777" w:rsidR="00C76B03" w:rsidRDefault="00C76B03"/>
          <w:p w14:paraId="0AB89CC3" w14:textId="77777777" w:rsidR="00C76B03" w:rsidRDefault="00C76B03"/>
          <w:p w14:paraId="011BCB13" w14:textId="77777777" w:rsidR="00C76B03" w:rsidRDefault="00C76B03"/>
          <w:p w14:paraId="160FA75D" w14:textId="77777777" w:rsidR="00C76B03" w:rsidRDefault="00C76B03"/>
          <w:p w14:paraId="6430238E" w14:textId="77777777" w:rsidR="00C76B03" w:rsidRDefault="00C76B03"/>
          <w:p w14:paraId="59255298" w14:textId="77777777" w:rsidR="00C76B03" w:rsidRDefault="00C76B03"/>
          <w:p w14:paraId="7D645199" w14:textId="77777777" w:rsidR="00C76B03" w:rsidRDefault="00C76B03"/>
          <w:p w14:paraId="3CDFFAD2" w14:textId="370F30B7" w:rsidR="00C76B03" w:rsidRDefault="00C76B03">
            <w:r>
              <w:t xml:space="preserve"> </w:t>
            </w:r>
          </w:p>
          <w:p w14:paraId="3CA22DB4" w14:textId="77777777" w:rsidR="00C76B03" w:rsidRDefault="00C76B03"/>
          <w:p w14:paraId="49CFB7BA" w14:textId="77777777" w:rsidR="00C76B03" w:rsidRDefault="00C76B03"/>
          <w:p w14:paraId="5E30138D" w14:textId="77777777" w:rsidR="00C76B03" w:rsidRDefault="00C76B03"/>
          <w:p w14:paraId="2BD3FCB9" w14:textId="7C5731FF" w:rsidR="00C76B03" w:rsidRDefault="00C76B03"/>
        </w:tc>
        <w:tc>
          <w:tcPr>
            <w:tcW w:w="1263" w:type="dxa"/>
          </w:tcPr>
          <w:p w14:paraId="7E93020C" w14:textId="77777777" w:rsidR="00C76B03" w:rsidRDefault="00C76B03"/>
        </w:tc>
        <w:tc>
          <w:tcPr>
            <w:tcW w:w="1091" w:type="dxa"/>
            <w:gridSpan w:val="2"/>
          </w:tcPr>
          <w:p w14:paraId="68C27314" w14:textId="5F8E5909" w:rsidR="00C76B03" w:rsidRDefault="00C76B03">
            <w:r>
              <w:t>BATUK</w:t>
            </w:r>
          </w:p>
        </w:tc>
      </w:tr>
    </w:tbl>
    <w:p w14:paraId="66982C96" w14:textId="1A6AEB66" w:rsidR="002111FB" w:rsidRDefault="002111FB"/>
    <w:p w14:paraId="5B5794FA" w14:textId="77777777" w:rsidR="0059222F" w:rsidRPr="00A54F25" w:rsidRDefault="0059222F" w:rsidP="0059222F">
      <w:pPr>
        <w:ind w:left="567" w:hanging="567"/>
      </w:pPr>
      <w:bookmarkStart w:id="0" w:name="_Hlk73624565"/>
      <w:r w:rsidRPr="00A54F25">
        <w:t>2.</w:t>
      </w:r>
      <w:r w:rsidRPr="00A54F25">
        <w:tab/>
        <w:t>The Authority will use a Red &amp; Green (RAG) system to monitor each KPI.</w:t>
      </w:r>
    </w:p>
    <w:tbl>
      <w:tblPr>
        <w:tblStyle w:val="TableGrid"/>
        <w:tblW w:w="0" w:type="auto"/>
        <w:tblInd w:w="567" w:type="dxa"/>
        <w:tblLook w:val="04A0" w:firstRow="1" w:lastRow="0" w:firstColumn="1" w:lastColumn="0" w:noHBand="0" w:noVBand="1"/>
      </w:tblPr>
      <w:tblGrid>
        <w:gridCol w:w="3539"/>
        <w:gridCol w:w="2977"/>
        <w:gridCol w:w="2977"/>
      </w:tblGrid>
      <w:tr w:rsidR="0059222F" w:rsidRPr="00A54F25" w14:paraId="6361F2B0" w14:textId="77777777" w:rsidTr="0059222F">
        <w:trPr>
          <w:trHeight w:val="1048"/>
        </w:trPr>
        <w:tc>
          <w:tcPr>
            <w:tcW w:w="3539" w:type="dxa"/>
            <w:shd w:val="clear" w:color="auto" w:fill="FF0000"/>
          </w:tcPr>
          <w:p w14:paraId="49FB1A34" w14:textId="5C2FA75A" w:rsidR="0059222F" w:rsidRPr="00A54F25" w:rsidRDefault="006828BE" w:rsidP="00137EFC">
            <w:r>
              <w:t>RED</w:t>
            </w:r>
          </w:p>
        </w:tc>
        <w:tc>
          <w:tcPr>
            <w:tcW w:w="2977" w:type="dxa"/>
            <w:shd w:val="clear" w:color="auto" w:fill="ED7D31" w:themeFill="accent2"/>
          </w:tcPr>
          <w:p w14:paraId="55DEACE5" w14:textId="0035DBE9" w:rsidR="0059222F" w:rsidRPr="00A54F25" w:rsidRDefault="006828BE" w:rsidP="00137EFC">
            <w:r>
              <w:t>AMBER</w:t>
            </w:r>
          </w:p>
        </w:tc>
        <w:tc>
          <w:tcPr>
            <w:tcW w:w="2977" w:type="dxa"/>
            <w:shd w:val="clear" w:color="auto" w:fill="92D050"/>
          </w:tcPr>
          <w:p w14:paraId="41292AF6" w14:textId="40F8D3EC" w:rsidR="0059222F" w:rsidRPr="00A54F25" w:rsidRDefault="006828BE" w:rsidP="00137EFC">
            <w:r>
              <w:t>GREEN</w:t>
            </w:r>
          </w:p>
        </w:tc>
      </w:tr>
    </w:tbl>
    <w:p w14:paraId="3FA8232D" w14:textId="77777777" w:rsidR="0059222F" w:rsidRPr="00A54F25" w:rsidRDefault="0059222F" w:rsidP="0059222F">
      <w:r w:rsidRPr="00A54F25">
        <w:t xml:space="preserve"> </w:t>
      </w:r>
      <w:r w:rsidRPr="00A54F25">
        <w:tab/>
        <w:t xml:space="preserve"> </w:t>
      </w:r>
    </w:p>
    <w:bookmarkEnd w:id="0"/>
    <w:p w14:paraId="521129E9" w14:textId="3571104E" w:rsidR="0081239A" w:rsidRPr="00A54F25" w:rsidRDefault="0081239A" w:rsidP="0081239A">
      <w:r w:rsidRPr="00A22C88">
        <w:t>2.1</w:t>
      </w:r>
      <w:r w:rsidRPr="00A22C88">
        <w:tab/>
        <w:t xml:space="preserve">If service levels drop below </w:t>
      </w:r>
      <w:r w:rsidR="00D01CB7" w:rsidRPr="00A22C88">
        <w:t xml:space="preserve">the threshold for GREEN, then the KPI will turn AMBER for that month. If in the </w:t>
      </w:r>
      <w:r w:rsidR="00A22C88" w:rsidRPr="00A22C88">
        <w:t xml:space="preserve">following month the </w:t>
      </w:r>
      <w:r w:rsidR="00A22C88">
        <w:t>service</w:t>
      </w:r>
      <w:r w:rsidR="00A22C88" w:rsidRPr="00A22C88">
        <w:t xml:space="preserve"> level has not improved sufficiently to move the KPI into GREE</w:t>
      </w:r>
      <w:r w:rsidR="00A22C88">
        <w:t>N</w:t>
      </w:r>
      <w:r w:rsidR="00A22C88" w:rsidRPr="00A22C88">
        <w:t xml:space="preserve"> the KPI will turn RED</w:t>
      </w:r>
      <w:r w:rsidR="00A22C88">
        <w:t xml:space="preserve"> and will be subject to Service Level Deductions as per the below. </w:t>
      </w:r>
    </w:p>
    <w:p w14:paraId="7781A07D" w14:textId="77777777" w:rsidR="0081239A" w:rsidRPr="00A54F25" w:rsidRDefault="0081239A" w:rsidP="0081239A">
      <w:r w:rsidRPr="00AF2151">
        <w:t>2.2</w:t>
      </w:r>
      <w:r w:rsidRPr="00AF2151">
        <w:tab/>
        <w:t>Service Level Deductions are applicable to all the KPIs.</w:t>
      </w:r>
    </w:p>
    <w:p w14:paraId="42F6DB3D" w14:textId="77777777" w:rsidR="0081239A" w:rsidRDefault="0081239A" w:rsidP="0081239A">
      <w:r w:rsidRPr="00A54F25">
        <w:t>2.3</w:t>
      </w:r>
      <w:r w:rsidRPr="00A54F25">
        <w:tab/>
        <w:t>Any KPI that is red will result in a Service Level Deduction deducted from the contractor’s invoice the following month</w:t>
      </w:r>
      <w:r>
        <w:t xml:space="preserve"> at t</w:t>
      </w:r>
      <w:r w:rsidRPr="00AF2151">
        <w:t xml:space="preserve">he rate of 10% deducted from the monthly management fee for the </w:t>
      </w:r>
      <w:r>
        <w:t>following</w:t>
      </w:r>
      <w:r w:rsidRPr="00AF2151">
        <w:t xml:space="preserve"> month</w:t>
      </w:r>
      <w:r>
        <w:t xml:space="preserve"> for </w:t>
      </w:r>
      <w:r w:rsidRPr="00AF2151">
        <w:rPr>
          <w:u w:val="single"/>
        </w:rPr>
        <w:t>each</w:t>
      </w:r>
      <w:r>
        <w:t xml:space="preserve"> KPI that has turned red the previous month</w:t>
      </w:r>
      <w:r w:rsidRPr="00AF2151">
        <w:t>.</w:t>
      </w:r>
    </w:p>
    <w:p w14:paraId="13458882" w14:textId="77777777" w:rsidR="0081239A" w:rsidRPr="00A54F25" w:rsidRDefault="0081239A" w:rsidP="0081239A">
      <w:r>
        <w:t>2.4</w:t>
      </w:r>
      <w:r>
        <w:tab/>
        <w:t xml:space="preserve">KPI’s will only </w:t>
      </w:r>
      <w:proofErr w:type="gramStart"/>
      <w:r>
        <w:t>revert back</w:t>
      </w:r>
      <w:proofErr w:type="gramEnd"/>
      <w:r>
        <w:t xml:space="preserve"> to GREEN once Performance Rectification Process (3) has been followed and necessary improvements have been made to the satisfaction of the Authority. If the Authority is not </w:t>
      </w:r>
      <w:proofErr w:type="gramStart"/>
      <w:r>
        <w:t>satisfied</w:t>
      </w:r>
      <w:proofErr w:type="gramEnd"/>
      <w:r>
        <w:t xml:space="preserve"> then the KPI will remain RED and a further deduction will be applicable to the following months invoice. This deduction will be as per 2.3 at a rate of 10% per KPI. </w:t>
      </w:r>
    </w:p>
    <w:p w14:paraId="6D92926E" w14:textId="77777777" w:rsidR="0081239A" w:rsidRPr="00A54F25" w:rsidRDefault="0081239A" w:rsidP="0081239A">
      <w:r w:rsidRPr="00A54F25">
        <w:lastRenderedPageBreak/>
        <w:t>2.5</w:t>
      </w:r>
      <w:r w:rsidRPr="00A54F25">
        <w:tab/>
        <w:t>Deductions will only be made for KPI’s that turn RED.</w:t>
      </w:r>
    </w:p>
    <w:p w14:paraId="2B087070" w14:textId="77777777" w:rsidR="0081239A" w:rsidRPr="00A54F25" w:rsidRDefault="0081239A" w:rsidP="0081239A">
      <w:pPr>
        <w:rPr>
          <w:b/>
          <w:bCs/>
        </w:rPr>
      </w:pPr>
      <w:r w:rsidRPr="00A54F25">
        <w:rPr>
          <w:b/>
          <w:bCs/>
        </w:rPr>
        <w:t xml:space="preserve">Performance Rectification Process </w:t>
      </w:r>
    </w:p>
    <w:p w14:paraId="7DCE3081" w14:textId="354AB46D" w:rsidR="0081239A" w:rsidRPr="00A54F25" w:rsidRDefault="0081239A" w:rsidP="0081239A">
      <w:r w:rsidRPr="00A54F25">
        <w:t>3.</w:t>
      </w:r>
      <w:r w:rsidRPr="00A54F25">
        <w:tab/>
        <w:t>This sets out the procedure to address any performance concerns</w:t>
      </w:r>
      <w:r>
        <w:t xml:space="preserve"> (including KPI’s that have not been met)</w:t>
      </w:r>
      <w:r w:rsidRPr="00A54F25">
        <w:t>, between</w:t>
      </w:r>
      <w:r w:rsidR="00DB389F">
        <w:t xml:space="preserve"> the</w:t>
      </w:r>
      <w:r w:rsidRPr="00A54F25">
        <w:t xml:space="preserve"> Authority and the Service Provider (SP).  Performance concerns are to be resolved at the lowest level and should avoid escalation where possible.  If the Designated Officer (DO) and SP are unable to settle a performance concerns the following process is to be followed: </w:t>
      </w:r>
    </w:p>
    <w:p w14:paraId="6A27D16D" w14:textId="77777777" w:rsidR="0081239A" w:rsidRPr="00A54F25" w:rsidRDefault="0081239A" w:rsidP="0081239A">
      <w:r w:rsidRPr="00A54F25">
        <w:t>3.1</w:t>
      </w:r>
      <w:r w:rsidRPr="00A54F25">
        <w:tab/>
        <w:t xml:space="preserve">The Authority shall raise a performance concern using a </w:t>
      </w:r>
      <w:r>
        <w:t>Performance Rectification Report</w:t>
      </w:r>
      <w:r w:rsidRPr="00A54F25">
        <w:t xml:space="preserve"> (an example is provided below).</w:t>
      </w:r>
      <w:r>
        <w:t xml:space="preserve"> A Performance Rectification Report will be generated for ALL occurrences where a KPI turns RED.</w:t>
      </w:r>
    </w:p>
    <w:p w14:paraId="149A3983" w14:textId="77777777" w:rsidR="0081239A" w:rsidRPr="00A54F25" w:rsidRDefault="0081239A" w:rsidP="0081239A">
      <w:r w:rsidRPr="00A54F25">
        <w:t>3.2</w:t>
      </w:r>
      <w:r w:rsidRPr="00A54F25">
        <w:tab/>
        <w:t xml:space="preserve">The SP shall record all performance concerns received in a register and shall hold a copy of each </w:t>
      </w:r>
      <w:r>
        <w:t>Performance Rectification Report</w:t>
      </w:r>
      <w:r w:rsidRPr="00A54F25">
        <w:t xml:space="preserve"> it receives from the Authority.</w:t>
      </w:r>
    </w:p>
    <w:p w14:paraId="7B9D142D" w14:textId="77777777" w:rsidR="0081239A" w:rsidRPr="00A54F25" w:rsidRDefault="0081239A" w:rsidP="0081239A">
      <w:r w:rsidRPr="00A54F25">
        <w:t>3.3</w:t>
      </w:r>
      <w:r w:rsidRPr="00A54F25">
        <w:tab/>
        <w:t xml:space="preserve">The SP shall maintain a record of all corrective and preventative actions taken in response to a </w:t>
      </w:r>
      <w:r>
        <w:t>concern</w:t>
      </w:r>
      <w:r w:rsidRPr="00A54F25">
        <w:t xml:space="preserve"> that is raised by the Authority. </w:t>
      </w:r>
    </w:p>
    <w:p w14:paraId="541C0E63" w14:textId="77777777" w:rsidR="0081239A" w:rsidRPr="00A54F25" w:rsidRDefault="0081239A" w:rsidP="0081239A">
      <w:r w:rsidRPr="00A54F25">
        <w:t>3.4</w:t>
      </w:r>
      <w:r w:rsidRPr="00A54F25">
        <w:tab/>
        <w:t xml:space="preserve">The SP shall resolve a performance concern, to the satisfaction of the </w:t>
      </w:r>
      <w:r>
        <w:t>Authority</w:t>
      </w:r>
      <w:r w:rsidRPr="00A54F25">
        <w:t xml:space="preserve">, within </w:t>
      </w:r>
      <w:r>
        <w:t>5</w:t>
      </w:r>
      <w:r w:rsidRPr="00A54F25">
        <w:t xml:space="preserve"> working days of the performance concern being raised by the Authority.</w:t>
      </w:r>
      <w:r>
        <w:t xml:space="preserve"> Failure to </w:t>
      </w:r>
      <w:r w:rsidRPr="00A54F25">
        <w:t xml:space="preserve">resolve a performance concern, to the satisfaction of the </w:t>
      </w:r>
      <w:r>
        <w:t xml:space="preserve">Authority for KPI’s that are RED will result in that KPI remaining RED until such time that it has been resolved to the </w:t>
      </w:r>
      <w:r w:rsidRPr="00A54F25">
        <w:t xml:space="preserve">satisfaction of the </w:t>
      </w:r>
      <w:r>
        <w:t>Authority, as per 2.4.</w:t>
      </w:r>
    </w:p>
    <w:p w14:paraId="79D753ED" w14:textId="1344D0F6" w:rsidR="00B97C20" w:rsidRDefault="00B97C20" w:rsidP="006828BE"/>
    <w:p w14:paraId="16B548D6" w14:textId="77777777" w:rsidR="006828BE" w:rsidRPr="00A54F25" w:rsidRDefault="006828BE" w:rsidP="006828BE">
      <w:pPr>
        <w:rPr>
          <w:b/>
          <w:bCs/>
        </w:rPr>
      </w:pPr>
      <w:r>
        <w:rPr>
          <w:b/>
          <w:bCs/>
        </w:rPr>
        <w:t>Performance Rectification</w:t>
      </w:r>
      <w:r w:rsidRPr="00A54F25">
        <w:rPr>
          <w:b/>
          <w:bCs/>
        </w:rPr>
        <w:t xml:space="preserve"> Report</w:t>
      </w:r>
      <w:r>
        <w:rPr>
          <w:b/>
          <w:bCs/>
        </w:rPr>
        <w:t>.</w:t>
      </w:r>
    </w:p>
    <w:p w14:paraId="43B7ED98" w14:textId="77777777" w:rsidR="006828BE" w:rsidRDefault="006828BE" w:rsidP="006828BE">
      <w:r>
        <w:t>4.</w:t>
      </w:r>
      <w:r>
        <w:tab/>
        <w:t xml:space="preserve"> Example of a Performance Rectification Report.</w:t>
      </w:r>
    </w:p>
    <w:tbl>
      <w:tblPr>
        <w:tblStyle w:val="TableGrid"/>
        <w:tblW w:w="0" w:type="auto"/>
        <w:tblLook w:val="04A0" w:firstRow="1" w:lastRow="0" w:firstColumn="1" w:lastColumn="0" w:noHBand="0" w:noVBand="1"/>
      </w:tblPr>
      <w:tblGrid>
        <w:gridCol w:w="1980"/>
        <w:gridCol w:w="11968"/>
      </w:tblGrid>
      <w:tr w:rsidR="006828BE" w14:paraId="0788374D" w14:textId="77777777" w:rsidTr="00C63798">
        <w:tc>
          <w:tcPr>
            <w:tcW w:w="13948" w:type="dxa"/>
            <w:gridSpan w:val="2"/>
          </w:tcPr>
          <w:p w14:paraId="0222AE60" w14:textId="77777777" w:rsidR="006828BE" w:rsidRDefault="006828BE" w:rsidP="00C63798">
            <w:pPr>
              <w:jc w:val="center"/>
            </w:pPr>
            <w:r>
              <w:t>Performance Rectification Report</w:t>
            </w:r>
          </w:p>
        </w:tc>
      </w:tr>
      <w:tr w:rsidR="006828BE" w14:paraId="02591CB5" w14:textId="77777777" w:rsidTr="00C63798">
        <w:tc>
          <w:tcPr>
            <w:tcW w:w="1980" w:type="dxa"/>
          </w:tcPr>
          <w:p w14:paraId="0FBE2EB7" w14:textId="77777777" w:rsidR="006828BE" w:rsidRDefault="006828BE" w:rsidP="00C63798">
            <w:r>
              <w:t>Date of Incident:</w:t>
            </w:r>
          </w:p>
        </w:tc>
        <w:tc>
          <w:tcPr>
            <w:tcW w:w="11968" w:type="dxa"/>
          </w:tcPr>
          <w:p w14:paraId="0E12CD42" w14:textId="77777777" w:rsidR="006828BE" w:rsidRDefault="006828BE" w:rsidP="00C63798"/>
        </w:tc>
      </w:tr>
      <w:tr w:rsidR="006828BE" w14:paraId="519E7E05" w14:textId="77777777" w:rsidTr="00C63798">
        <w:tc>
          <w:tcPr>
            <w:tcW w:w="1980" w:type="dxa"/>
          </w:tcPr>
          <w:p w14:paraId="2FAEFEAB" w14:textId="77777777" w:rsidR="006828BE" w:rsidRDefault="006828BE" w:rsidP="00C63798">
            <w:r>
              <w:t>Reported By:</w:t>
            </w:r>
          </w:p>
        </w:tc>
        <w:tc>
          <w:tcPr>
            <w:tcW w:w="11968" w:type="dxa"/>
          </w:tcPr>
          <w:p w14:paraId="676CBD13" w14:textId="77777777" w:rsidR="006828BE" w:rsidRDefault="006828BE" w:rsidP="00C63798"/>
        </w:tc>
      </w:tr>
      <w:tr w:rsidR="006828BE" w14:paraId="07900007" w14:textId="77777777" w:rsidTr="00C63798">
        <w:tc>
          <w:tcPr>
            <w:tcW w:w="1980" w:type="dxa"/>
          </w:tcPr>
          <w:p w14:paraId="48556E91" w14:textId="77777777" w:rsidR="006828BE" w:rsidRDefault="006828BE" w:rsidP="00C63798">
            <w:r>
              <w:t>Issue:</w:t>
            </w:r>
          </w:p>
        </w:tc>
        <w:tc>
          <w:tcPr>
            <w:tcW w:w="11968" w:type="dxa"/>
          </w:tcPr>
          <w:p w14:paraId="107F87F8" w14:textId="77777777" w:rsidR="006828BE" w:rsidRDefault="006828BE" w:rsidP="00C63798"/>
        </w:tc>
      </w:tr>
      <w:tr w:rsidR="006828BE" w14:paraId="7A52E5EA" w14:textId="77777777" w:rsidTr="00C63798">
        <w:tc>
          <w:tcPr>
            <w:tcW w:w="1980" w:type="dxa"/>
          </w:tcPr>
          <w:p w14:paraId="3A5DB23C" w14:textId="77777777" w:rsidR="006828BE" w:rsidRDefault="006828BE" w:rsidP="00C63798">
            <w:r>
              <w:lastRenderedPageBreak/>
              <w:t>Proposed Rectification Activity:</w:t>
            </w:r>
          </w:p>
        </w:tc>
        <w:tc>
          <w:tcPr>
            <w:tcW w:w="11968" w:type="dxa"/>
          </w:tcPr>
          <w:p w14:paraId="378B6949" w14:textId="77777777" w:rsidR="006828BE" w:rsidRDefault="006828BE" w:rsidP="00C63798"/>
        </w:tc>
      </w:tr>
      <w:tr w:rsidR="006828BE" w14:paraId="7E104ED8" w14:textId="77777777" w:rsidTr="00C63798">
        <w:tc>
          <w:tcPr>
            <w:tcW w:w="1980" w:type="dxa"/>
          </w:tcPr>
          <w:p w14:paraId="594B3E63" w14:textId="77777777" w:rsidR="006828BE" w:rsidRDefault="006828BE" w:rsidP="00C63798">
            <w:r>
              <w:t>Review Date:</w:t>
            </w:r>
          </w:p>
        </w:tc>
        <w:tc>
          <w:tcPr>
            <w:tcW w:w="11968" w:type="dxa"/>
          </w:tcPr>
          <w:p w14:paraId="36A549E3" w14:textId="77777777" w:rsidR="006828BE" w:rsidRDefault="006828BE" w:rsidP="00C63798"/>
        </w:tc>
      </w:tr>
    </w:tbl>
    <w:p w14:paraId="12D5741C" w14:textId="24E6E000" w:rsidR="004F7E0A" w:rsidRDefault="004F7E0A"/>
    <w:sectPr w:rsidR="004F7E0A" w:rsidSect="002111FB">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36720" w14:textId="77777777" w:rsidR="006D4FC4" w:rsidRDefault="006D4FC4" w:rsidP="006828BE">
      <w:pPr>
        <w:spacing w:after="0" w:line="240" w:lineRule="auto"/>
      </w:pPr>
      <w:r>
        <w:separator/>
      </w:r>
    </w:p>
  </w:endnote>
  <w:endnote w:type="continuationSeparator" w:id="0">
    <w:p w14:paraId="15A4DA87" w14:textId="77777777" w:rsidR="006D4FC4" w:rsidRDefault="006D4FC4" w:rsidP="00682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24996" w14:textId="77777777" w:rsidR="006D4FC4" w:rsidRDefault="006D4FC4" w:rsidP="006828BE">
      <w:pPr>
        <w:spacing w:after="0" w:line="240" w:lineRule="auto"/>
      </w:pPr>
      <w:r>
        <w:separator/>
      </w:r>
    </w:p>
  </w:footnote>
  <w:footnote w:type="continuationSeparator" w:id="0">
    <w:p w14:paraId="601C6072" w14:textId="77777777" w:rsidR="006D4FC4" w:rsidRDefault="006D4FC4" w:rsidP="00682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8D130" w14:textId="505207A5" w:rsidR="006828BE" w:rsidRPr="006828BE" w:rsidRDefault="006828BE" w:rsidP="006828BE">
    <w:pPr>
      <w:spacing w:before="120" w:after="240" w:line="240" w:lineRule="auto"/>
      <w:jc w:val="right"/>
      <w:rPr>
        <w:rFonts w:ascii="Arial" w:hAnsi="Arial" w:cs="Arial"/>
      </w:rPr>
    </w:pPr>
    <w:r w:rsidRPr="006828BE">
      <w:rPr>
        <w:rFonts w:ascii="Arial" w:hAnsi="Arial" w:cs="Arial"/>
      </w:rPr>
      <w:t>Annex C to Schedule 2 of SC2 – Key Performance Indicators</w:t>
    </w:r>
  </w:p>
  <w:p w14:paraId="75FC14E3" w14:textId="2CBE9D7F" w:rsidR="006828BE" w:rsidRPr="006828BE" w:rsidRDefault="006828BE" w:rsidP="006828BE">
    <w:pPr>
      <w:spacing w:before="120" w:after="240" w:line="240" w:lineRule="auto"/>
      <w:jc w:val="right"/>
      <w:rPr>
        <w:rFonts w:ascii="Arial" w:hAnsi="Arial" w:cs="Arial"/>
      </w:rPr>
    </w:pPr>
    <w:r w:rsidRPr="006828BE">
      <w:rPr>
        <w:rFonts w:ascii="Arial" w:hAnsi="Arial" w:cs="Arial"/>
      </w:rPr>
      <w:t>700322316 Lot 2</w:t>
    </w:r>
  </w:p>
  <w:p w14:paraId="7CC2162C" w14:textId="5E7058BC" w:rsidR="006828BE" w:rsidRDefault="006828BE">
    <w:pPr>
      <w:pStyle w:val="Header"/>
    </w:pPr>
  </w:p>
  <w:p w14:paraId="48D86D7E" w14:textId="77777777" w:rsidR="006828BE" w:rsidRDefault="00682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C17AE"/>
    <w:multiLevelType w:val="multilevel"/>
    <w:tmpl w:val="3B56C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C602745"/>
    <w:multiLevelType w:val="hybridMultilevel"/>
    <w:tmpl w:val="C2ACD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6717B9"/>
    <w:multiLevelType w:val="hybridMultilevel"/>
    <w:tmpl w:val="276EFD30"/>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C536EB1"/>
    <w:multiLevelType w:val="multilevel"/>
    <w:tmpl w:val="9F503C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0901478"/>
    <w:multiLevelType w:val="hybridMultilevel"/>
    <w:tmpl w:val="C5E68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551698"/>
    <w:multiLevelType w:val="hybridMultilevel"/>
    <w:tmpl w:val="A064C0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FB"/>
    <w:rsid w:val="000502B3"/>
    <w:rsid w:val="000605CA"/>
    <w:rsid w:val="00064D73"/>
    <w:rsid w:val="00072373"/>
    <w:rsid w:val="00096747"/>
    <w:rsid w:val="000B3C83"/>
    <w:rsid w:val="000E570E"/>
    <w:rsid w:val="001377E2"/>
    <w:rsid w:val="00143315"/>
    <w:rsid w:val="00180FDA"/>
    <w:rsid w:val="00191C7F"/>
    <w:rsid w:val="001957EB"/>
    <w:rsid w:val="001C6ADB"/>
    <w:rsid w:val="001D3ECA"/>
    <w:rsid w:val="00202E7D"/>
    <w:rsid w:val="002111FB"/>
    <w:rsid w:val="00226A82"/>
    <w:rsid w:val="00245BA9"/>
    <w:rsid w:val="002F6B0F"/>
    <w:rsid w:val="00317838"/>
    <w:rsid w:val="003569C4"/>
    <w:rsid w:val="00360953"/>
    <w:rsid w:val="00361029"/>
    <w:rsid w:val="003E08E7"/>
    <w:rsid w:val="00401B80"/>
    <w:rsid w:val="00407448"/>
    <w:rsid w:val="00445076"/>
    <w:rsid w:val="0044543D"/>
    <w:rsid w:val="00461D5F"/>
    <w:rsid w:val="004811D1"/>
    <w:rsid w:val="004A3C89"/>
    <w:rsid w:val="004D3452"/>
    <w:rsid w:val="004E150D"/>
    <w:rsid w:val="004F7E0A"/>
    <w:rsid w:val="0051404E"/>
    <w:rsid w:val="0055010E"/>
    <w:rsid w:val="005657E1"/>
    <w:rsid w:val="0059135C"/>
    <w:rsid w:val="0059222F"/>
    <w:rsid w:val="00593DF7"/>
    <w:rsid w:val="005B153F"/>
    <w:rsid w:val="005E47EF"/>
    <w:rsid w:val="005F694F"/>
    <w:rsid w:val="006074A7"/>
    <w:rsid w:val="0065146D"/>
    <w:rsid w:val="00662287"/>
    <w:rsid w:val="00673D9D"/>
    <w:rsid w:val="006828BE"/>
    <w:rsid w:val="006908DB"/>
    <w:rsid w:val="006A6F39"/>
    <w:rsid w:val="006B362C"/>
    <w:rsid w:val="006D4FC4"/>
    <w:rsid w:val="007271CD"/>
    <w:rsid w:val="007569FB"/>
    <w:rsid w:val="007579BB"/>
    <w:rsid w:val="00763697"/>
    <w:rsid w:val="00763AD3"/>
    <w:rsid w:val="00776606"/>
    <w:rsid w:val="007A2CEB"/>
    <w:rsid w:val="007C3994"/>
    <w:rsid w:val="007D441F"/>
    <w:rsid w:val="007E373D"/>
    <w:rsid w:val="0081098F"/>
    <w:rsid w:val="0081239A"/>
    <w:rsid w:val="00845DAC"/>
    <w:rsid w:val="00894F44"/>
    <w:rsid w:val="00895F0F"/>
    <w:rsid w:val="008B0F29"/>
    <w:rsid w:val="008E33F7"/>
    <w:rsid w:val="0091206D"/>
    <w:rsid w:val="00946787"/>
    <w:rsid w:val="009936E1"/>
    <w:rsid w:val="009B0244"/>
    <w:rsid w:val="009D7216"/>
    <w:rsid w:val="009F2BD5"/>
    <w:rsid w:val="00A22C88"/>
    <w:rsid w:val="00A46661"/>
    <w:rsid w:val="00A67878"/>
    <w:rsid w:val="00A81961"/>
    <w:rsid w:val="00A9057F"/>
    <w:rsid w:val="00AA13A7"/>
    <w:rsid w:val="00AB1E62"/>
    <w:rsid w:val="00AD6E76"/>
    <w:rsid w:val="00AE473A"/>
    <w:rsid w:val="00AF6349"/>
    <w:rsid w:val="00B16818"/>
    <w:rsid w:val="00B25A2F"/>
    <w:rsid w:val="00B97C20"/>
    <w:rsid w:val="00BB3F35"/>
    <w:rsid w:val="00BD1317"/>
    <w:rsid w:val="00BF1706"/>
    <w:rsid w:val="00BF7DCC"/>
    <w:rsid w:val="00C0227E"/>
    <w:rsid w:val="00C12BA2"/>
    <w:rsid w:val="00C76B03"/>
    <w:rsid w:val="00C82C30"/>
    <w:rsid w:val="00C95930"/>
    <w:rsid w:val="00CC2EBB"/>
    <w:rsid w:val="00D01CB7"/>
    <w:rsid w:val="00D120EB"/>
    <w:rsid w:val="00D13B56"/>
    <w:rsid w:val="00D661C0"/>
    <w:rsid w:val="00D96EC1"/>
    <w:rsid w:val="00DB31D1"/>
    <w:rsid w:val="00DB389F"/>
    <w:rsid w:val="00DC7CF0"/>
    <w:rsid w:val="00E95391"/>
    <w:rsid w:val="00EC59BA"/>
    <w:rsid w:val="00EE074D"/>
    <w:rsid w:val="00F05B6E"/>
    <w:rsid w:val="00F05D1D"/>
    <w:rsid w:val="00F33648"/>
    <w:rsid w:val="00F458CE"/>
    <w:rsid w:val="00FA0B89"/>
    <w:rsid w:val="00FC6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70DA"/>
  <w15:chartTrackingRefBased/>
  <w15:docId w15:val="{269ABB73-42B1-40D7-962D-42F274D5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1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1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11FB"/>
    <w:rPr>
      <w:sz w:val="16"/>
      <w:szCs w:val="16"/>
    </w:rPr>
  </w:style>
  <w:style w:type="paragraph" w:styleId="CommentText">
    <w:name w:val="annotation text"/>
    <w:basedOn w:val="Normal"/>
    <w:link w:val="CommentTextChar"/>
    <w:uiPriority w:val="99"/>
    <w:semiHidden/>
    <w:unhideWhenUsed/>
    <w:rsid w:val="002111FB"/>
    <w:pPr>
      <w:spacing w:line="240" w:lineRule="auto"/>
    </w:pPr>
    <w:rPr>
      <w:sz w:val="20"/>
      <w:szCs w:val="20"/>
    </w:rPr>
  </w:style>
  <w:style w:type="character" w:customStyle="1" w:styleId="CommentTextChar">
    <w:name w:val="Comment Text Char"/>
    <w:basedOn w:val="DefaultParagraphFont"/>
    <w:link w:val="CommentText"/>
    <w:uiPriority w:val="99"/>
    <w:semiHidden/>
    <w:rsid w:val="002111FB"/>
    <w:rPr>
      <w:sz w:val="20"/>
      <w:szCs w:val="20"/>
    </w:rPr>
  </w:style>
  <w:style w:type="paragraph" w:styleId="BalloonText">
    <w:name w:val="Balloon Text"/>
    <w:basedOn w:val="Normal"/>
    <w:link w:val="BalloonTextChar"/>
    <w:uiPriority w:val="99"/>
    <w:semiHidden/>
    <w:unhideWhenUsed/>
    <w:rsid w:val="002111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1FB"/>
    <w:rPr>
      <w:rFonts w:ascii="Segoe UI" w:hAnsi="Segoe UI" w:cs="Segoe UI"/>
      <w:sz w:val="18"/>
      <w:szCs w:val="18"/>
    </w:rPr>
  </w:style>
  <w:style w:type="table" w:customStyle="1" w:styleId="Style1">
    <w:name w:val="Style1"/>
    <w:basedOn w:val="TableWeb1"/>
    <w:uiPriority w:val="99"/>
    <w:rsid w:val="002111FB"/>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3569C4"/>
    <w:pPr>
      <w:ind w:left="720"/>
      <w:contextualSpacing/>
    </w:pPr>
  </w:style>
  <w:style w:type="table" w:styleId="TableWeb1">
    <w:name w:val="Table Web 1"/>
    <w:basedOn w:val="TableNormal"/>
    <w:uiPriority w:val="99"/>
    <w:semiHidden/>
    <w:unhideWhenUsed/>
    <w:rsid w:val="002111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682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8BE"/>
  </w:style>
  <w:style w:type="paragraph" w:styleId="Footer">
    <w:name w:val="footer"/>
    <w:basedOn w:val="Normal"/>
    <w:link w:val="FooterChar"/>
    <w:uiPriority w:val="99"/>
    <w:unhideWhenUsed/>
    <w:rsid w:val="00682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Mandy C1 (Army Comrcl-CM-TL)</dc:creator>
  <cp:keywords/>
  <dc:description/>
  <cp:lastModifiedBy>Ely, Ashleigh Miss (LWC-Comrcl-SO1B)</cp:lastModifiedBy>
  <cp:revision>2</cp:revision>
  <dcterms:created xsi:type="dcterms:W3CDTF">2021-07-02T08:41:00Z</dcterms:created>
  <dcterms:modified xsi:type="dcterms:W3CDTF">2021-07-02T08:41:00Z</dcterms:modified>
</cp:coreProperties>
</file>