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9E" w:rsidRDefault="008727BA">
      <w:pPr>
        <w:rPr>
          <w:rFonts w:ascii="Arial" w:eastAsia="Arial" w:hAnsi="Arial" w:cs="Arial"/>
          <w:b/>
          <w:smallCaps/>
          <w:sz w:val="24"/>
          <w:szCs w:val="24"/>
        </w:rPr>
        <w:sectPr w:rsidR="00684A9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1062038</wp:posOffset>
                </wp:positionV>
                <wp:extent cx="6286500" cy="760095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600950"/>
                          <a:chOff x="2202750" y="0"/>
                          <a:chExt cx="62865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2202750" y="0"/>
                            <a:chExt cx="6286525" cy="7560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202750" y="0"/>
                              <a:ext cx="628652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84A9E" w:rsidRDefault="00684A9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202750" y="0"/>
                              <a:ext cx="6286500" cy="7560000"/>
                              <a:chOff x="2202750" y="0"/>
                              <a:chExt cx="6286500" cy="75600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2202750" y="0"/>
                                <a:ext cx="62865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84A9E" w:rsidRDefault="00684A9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202750" y="0"/>
                                <a:ext cx="6286500" cy="7560000"/>
                                <a:chOff x="-133357" y="-2276513"/>
                                <a:chExt cx="6286835" cy="8320544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-133357" y="-2276513"/>
                                  <a:ext cx="6286825" cy="832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4A9E" w:rsidRDefault="00684A9E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980383" y="5629376"/>
                                  <a:ext cx="317309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4A9E" w:rsidRDefault="00684A9E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-133357" y="-2276513"/>
                                  <a:ext cx="5485128" cy="46151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4A9E" w:rsidRDefault="00684A9E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</w:p>
                                  <w:p w:rsidR="00684A9E" w:rsidRDefault="00684A9E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</w:p>
                                  <w:p w:rsidR="00684A9E" w:rsidRDefault="00684A9E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</w:p>
                                  <w:p w:rsidR="00684A9E" w:rsidRDefault="00684A9E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</w:p>
                                  <w:p w:rsidR="00684A9E" w:rsidRDefault="00684A9E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</w:p>
                                  <w:p w:rsidR="00684A9E" w:rsidRDefault="008727BA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1F497D"/>
                                        <w:sz w:val="72"/>
                                      </w:rPr>
                                      <w:t xml:space="preserve">Framework </w:t>
                                    </w:r>
                                  </w:p>
                                  <w:p w:rsidR="00684A9E" w:rsidRDefault="008727BA">
                                    <w:pPr>
                                      <w:spacing w:after="0"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1F497D"/>
                                        <w:sz w:val="72"/>
                                      </w:rPr>
                                      <w:t>Award Form</w:t>
                                    </w:r>
                                  </w:p>
                                  <w:p w:rsidR="00684A9E" w:rsidRDefault="00684A9E">
                                    <w:pPr>
                                      <w:spacing w:line="275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9.75pt;margin-top:83.65pt;width:495pt;height:598.5pt;z-index:251658240;mso-position-horizontal-relative:page;mso-position-vertical-relative:margin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">
                <v:group id="Group 1" o:spid="_x0000_s1027" style="position:absolute;left:22027;width:62865;height:75600" coordorigin="22027" coordsize="6286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2027;width:6286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84A9E" w:rsidRDefault="00684A9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2027;width:62865;height:75600" coordorigin="22027" coordsize="6286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22027;width:6286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84A9E" w:rsidRDefault="00684A9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684A9E" w:rsidRDefault="00684A9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684A9E" w:rsidRDefault="00684A9E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-1333;top:-22765;width:54850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" filled="f" stroked="f">
                        <v:textbox inset="2.53958mm,1.2694mm,2.53958mm,1.2694mm">
                          <w:txbxContent>
                            <w:p w:rsidR="00684A9E" w:rsidRDefault="00684A9E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  <w:p w:rsidR="00684A9E" w:rsidRDefault="00684A9E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  <w:p w:rsidR="00684A9E" w:rsidRDefault="00684A9E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  <w:p w:rsidR="00684A9E" w:rsidRDefault="00684A9E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  <w:p w:rsidR="00684A9E" w:rsidRDefault="00684A9E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  <w:p w:rsidR="00684A9E" w:rsidRDefault="008727BA">
                              <w:pPr>
                                <w:spacing w:after="0"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1F497D"/>
                                  <w:sz w:val="72"/>
                                </w:rPr>
                                <w:t xml:space="preserve">Framework </w:t>
                              </w:r>
                            </w:p>
                            <w:p w:rsidR="00684A9E" w:rsidRDefault="008727BA">
                              <w:pPr>
                                <w:spacing w:after="0"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1F497D"/>
                                  <w:sz w:val="72"/>
                                </w:rPr>
                                <w:t>Award Form</w:t>
                              </w:r>
                            </w:p>
                            <w:p w:rsidR="00684A9E" w:rsidRDefault="00684A9E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anchorx="page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96523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0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4A9E" w:rsidRDefault="00684A9E">
      <w:pPr>
        <w:rPr>
          <w:rFonts w:ascii="Arial" w:eastAsia="Arial" w:hAnsi="Arial" w:cs="Arial"/>
          <w:b/>
          <w:smallCaps/>
          <w:sz w:val="24"/>
          <w:szCs w:val="24"/>
        </w:rPr>
      </w:pPr>
    </w:p>
    <w:p w:rsidR="00684A9E" w:rsidRDefault="008727B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Framework Award Form creates the Framework Contract RM6265 - Vehicle Hire Solutions. It summarises the main features of the procurement and includes CCS and the Supplier’s contact details.</w:t>
      </w:r>
    </w:p>
    <w:tbl>
      <w:tblPr>
        <w:tblStyle w:val="a5"/>
        <w:tblW w:w="10531" w:type="dxa"/>
        <w:tblInd w:w="-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040"/>
        <w:gridCol w:w="8055"/>
      </w:tblGrid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Minister for the Cabinet Office represented by its executive agency the Crown Commercial Service (CCS). </w:t>
            </w:r>
          </w:p>
          <w:p w:rsidR="00684A9E" w:rsidRDefault="00684A9E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84A9E" w:rsidRDefault="008727BA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Its offices are on: 9th Floor, The Capital, Old Hall Street, Liverpool L3 9PP.</w:t>
            </w:r>
          </w:p>
          <w:p w:rsidR="00684A9E" w:rsidRDefault="00684A9E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684A9E" w:rsidTr="00684A9E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684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684A9E">
              <w:tc>
                <w:tcPr>
                  <w:tcW w:w="2296" w:type="dxa"/>
                  <w:shd w:val="clear" w:color="auto" w:fill="auto"/>
                </w:tcPr>
                <w:p w:rsidR="00684A9E" w:rsidRDefault="008727BA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:rsidR="00684A9E" w:rsidRDefault="008727BA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highlight w:val="yellow"/>
                    </w:rPr>
                    <w:t xml:space="preserve">[Insert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name (registered name if registered)]</w:t>
                  </w:r>
                </w:p>
              </w:tc>
            </w:tr>
            <w:tr w:rsidR="00684A9E">
              <w:tc>
                <w:tcPr>
                  <w:tcW w:w="2296" w:type="dxa"/>
                  <w:shd w:val="clear" w:color="auto" w:fill="auto"/>
                </w:tcPr>
                <w:p w:rsidR="00684A9E" w:rsidRDefault="008727BA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:rsidR="00684A9E" w:rsidRDefault="008727BA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highlight w:val="yellow"/>
                    </w:rPr>
                    <w:t xml:space="preserve">Insert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address registered address if registered]</w:t>
                  </w:r>
                </w:p>
              </w:tc>
            </w:tr>
            <w:tr w:rsidR="00684A9E">
              <w:tc>
                <w:tcPr>
                  <w:tcW w:w="2296" w:type="dxa"/>
                  <w:shd w:val="clear" w:color="auto" w:fill="auto"/>
                </w:tcPr>
                <w:p w:rsidR="00684A9E" w:rsidRDefault="008727BA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:rsidR="00684A9E" w:rsidRDefault="008727BA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registration number if registered]</w:t>
                  </w:r>
                </w:p>
              </w:tc>
            </w:tr>
            <w:tr w:rsidR="00684A9E">
              <w:tc>
                <w:tcPr>
                  <w:tcW w:w="2296" w:type="dxa"/>
                  <w:shd w:val="clear" w:color="auto" w:fill="auto"/>
                </w:tcPr>
                <w:p w:rsidR="00684A9E" w:rsidRDefault="008727BA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:rsidR="00684A9E" w:rsidRDefault="008727BA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SID4GOV ID if you have one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]</w:t>
                  </w:r>
                </w:p>
              </w:tc>
            </w:tr>
            <w:tr w:rsidR="00684A9E">
              <w:tc>
                <w:tcPr>
                  <w:tcW w:w="2296" w:type="dxa"/>
                  <w:shd w:val="clear" w:color="auto" w:fill="auto"/>
                </w:tcPr>
                <w:p w:rsidR="00684A9E" w:rsidRDefault="00684A9E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:rsidR="00684A9E" w:rsidRDefault="00684A9E">
                  <w:pPr>
                    <w:spacing w:after="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684A9E" w:rsidRDefault="00684A9E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contract between CCS and the Supplier allows the Supplier to be considered for Call-off Contracts to supply the Deliverables [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in Lot(s) [x, y]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You cannot deliver in any other Lot under this contract. Any references made to other Lots in this contract do not apply.]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opportunity is advertised in the Contract Notice in the Find a Tender Service reference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reference number] (FTS Contra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ct Notice).</w:t>
            </w:r>
          </w:p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84A9E" w:rsidTr="00684A9E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Framework Schedule 1 (Specification) for further details.</w:t>
            </w:r>
          </w:p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Day Month Year]</w:t>
            </w:r>
          </w:p>
        </w:tc>
      </w:tr>
      <w:tr w:rsidR="00684A9E" w:rsidTr="00684A9E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 Expiry Date</w:t>
            </w:r>
          </w:p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Day Month Year]</w:t>
            </w: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Optional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None</w:t>
            </w:r>
          </w:p>
        </w:tc>
      </w:tr>
      <w:tr w:rsidR="00684A9E" w:rsidTr="00684A9E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Order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 award</w:t>
            </w:r>
          </w:p>
          <w:p w:rsidR="00684A9E" w:rsidRDefault="00872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further competition</w:t>
            </w:r>
          </w:p>
          <w:p w:rsidR="00684A9E" w:rsidRDefault="00684A9E">
            <w:p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684A9E" w:rsidRDefault="008727BA">
            <w:p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Framework Schedule 7 (Call-off Award Procedure)</w:t>
            </w:r>
          </w:p>
          <w:p w:rsidR="00684A9E" w:rsidRDefault="00684A9E">
            <w:p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Incorporated Terms </w:t>
            </w: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8727B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(together these documents form the ‘the Framework Contract’)</w:t>
            </w: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684A9E" w:rsidRDefault="00684A9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following documents are incorporated into the Framework Contract. Where numbers are missing we are not using these schedules. If the documents conflict, the following order of precedence applies: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Award Form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Any Framework Special Terms (s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ee Section 10 ‘Framework Special Terms’ in this Framework Award Form)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 (Definitions)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RM6265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11 (Processing Data)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RM6265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following Schedules for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RM6265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(in equal order of precedence):</w:t>
            </w:r>
          </w:p>
          <w:p w:rsidR="00684A9E" w:rsidRDefault="008727B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1 (Specification) </w:t>
            </w:r>
          </w:p>
          <w:p w:rsidR="00684A9E" w:rsidRDefault="008727B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3 (Framework Prices)</w:t>
            </w:r>
          </w:p>
          <w:p w:rsidR="00684A9E" w:rsidRDefault="008727B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4 (Framework Management)</w:t>
            </w:r>
          </w:p>
          <w:p w:rsidR="00684A9E" w:rsidRDefault="008727B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5 (Management Charges and Information)</w:t>
            </w:r>
          </w:p>
          <w:p w:rsidR="00684A9E" w:rsidRDefault="008727B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6 (Order Form Template and Call-Off Schedules) including the following template Call-Off Schedu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les: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1 (Transparency Reports)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2 (Staff Transfer)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3 (Continuous Improvement)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4 (Call-Off Tender)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5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Pricing Details)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8 (Business Continuity and Disaster Recovery)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9 (Security)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10 (Exit Management)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12 (Clustering)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13 (Implementation Plan and Testing)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14 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Service Levels)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15 (Call-Off Contract Management)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16 (Benchmarking)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17 (MOD Terms)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18 (Background Checks)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19 (Scottish Law)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20 (Call-Off Specification)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21 (Northern Ireland Law)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22 (Vehicle Hire Terms)   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23 (HMRC Terms)                  </w:t>
            </w:r>
          </w:p>
          <w:p w:rsidR="00684A9E" w:rsidRDefault="008727B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24 (Car Share Hire Terms)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Framework Schedule 7 (Call-Off Award Procedure)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8 (Self Audit Certificate)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9 (Cyber Essentials Scheme) 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2 (Variation Form)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3 (Insurance Requirements)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4 (Commercially Sensiti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 Information)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6 (Key Subcontractors)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7 (Financial Difficulties)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8 (Guarantee)]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10 (Rectification Plan)</w:t>
            </w:r>
          </w:p>
          <w:p w:rsidR="00684A9E" w:rsidRDefault="008727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12 (Supply Chain Visibility)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Core Terms (version 3.0.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(Corporate Social Responsibility)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RM6265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84A9E" w:rsidRDefault="008727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2 (Framework Tender)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RM6265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long as any part of the Framework Tender that offers a better commercial position for CCS or Buyers (as decided by CCS) take precedence over the documents above </w:t>
            </w:r>
          </w:p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25836" w:rsidTr="00684A9E">
        <w:trPr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:rsidR="00925836" w:rsidRDefault="00925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925836" w:rsidRDefault="00925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 Special Terms</w:t>
            </w:r>
          </w:p>
          <w:p w:rsidR="00925836" w:rsidRDefault="00925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925836" w:rsidRDefault="00925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925836" w:rsidRDefault="00925836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Special Term 1. Core Terms Clause 3.1.2 does not apply to the Call-Off Contract;</w:t>
            </w:r>
          </w:p>
        </w:tc>
      </w:tr>
      <w:tr w:rsidR="00925836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925836" w:rsidRDefault="00925836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Special Term 2. Core Terms Clause 3.2 does not apply to the Call-Off Contract;</w:t>
            </w:r>
          </w:p>
        </w:tc>
      </w:tr>
      <w:tr w:rsidR="00925836" w:rsidTr="00684A9E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925836" w:rsidRDefault="00925836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Special Term 3. Core Terms Clause 8.7 does not apply to the Call-Off Contract;</w:t>
            </w:r>
          </w:p>
        </w:tc>
      </w:tr>
      <w:tr w:rsidR="00925836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925836" w:rsidRDefault="00925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 xml:space="preserve">Special Term 4. Core Terms Clause 11.4 shall be changed to read: </w:t>
            </w: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>In spite of Clause 11.1 and 11.2, neither Party limits or excludes any of the following:</w:t>
            </w: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 xml:space="preserve">(a) its liability, </w:t>
            </w:r>
            <w:r w:rsidRPr="00925836">
              <w:rPr>
                <w:rFonts w:ascii="Arial" w:eastAsia="Arial" w:hAnsi="Arial" w:cs="Arial"/>
                <w:b/>
                <w:color w:val="76923C" w:themeColor="accent3" w:themeShade="BF"/>
                <w:sz w:val="24"/>
                <w:szCs w:val="24"/>
                <w:lang w:eastAsia="en-GB"/>
              </w:rPr>
              <w:t>and any liability incurred by such other Party’s respective insurers, arising as a result of</w:t>
            </w:r>
            <w:r w:rsidRPr="0092583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 xml:space="preserve">death or personal injury caused by </w:t>
            </w:r>
            <w:r w:rsidRPr="00925836">
              <w:rPr>
                <w:rFonts w:ascii="Arial" w:eastAsia="Arial" w:hAnsi="Arial" w:cs="Arial"/>
                <w:b/>
                <w:color w:val="76923C" w:themeColor="accent3" w:themeShade="BF"/>
                <w:sz w:val="24"/>
                <w:szCs w:val="24"/>
                <w:lang w:eastAsia="en-GB"/>
              </w:rPr>
              <w:t>its breach of the terms of the Call-Off Contract or</w:t>
            </w:r>
            <w:r w:rsidRPr="0092583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>its negligence, or that of its employees, agents or Subcontractors;</w:t>
            </w: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>(b) its liability for bribery or fraud or fraudulent misrepresentation by it or its employees;</w:t>
            </w:r>
          </w:p>
          <w:p w:rsidR="00925836" w:rsidRPr="00925836" w:rsidRDefault="00925836" w:rsidP="00925836">
            <w:pPr>
              <w:tabs>
                <w:tab w:val="left" w:pos="2257"/>
              </w:tabs>
              <w:suppressAutoHyphens w:val="0"/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>(c) any liability that cannot be excluded or limited by Law;</w:t>
            </w:r>
          </w:p>
          <w:p w:rsidR="00925836" w:rsidRDefault="00925836" w:rsidP="00925836">
            <w:pPr>
              <w:tabs>
                <w:tab w:val="left" w:pos="2257"/>
              </w:tabs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25836">
              <w:rPr>
                <w:rFonts w:ascii="Arial" w:eastAsia="Arial" w:hAnsi="Arial" w:cs="Arial"/>
                <w:color w:val="auto"/>
                <w:sz w:val="24"/>
                <w:szCs w:val="24"/>
                <w:lang w:eastAsia="en-GB"/>
              </w:rPr>
              <w:t>(d) its obligation to pay the required Management Charge or Default Management Charge.</w:t>
            </w:r>
          </w:p>
        </w:tc>
      </w:tr>
      <w:tr w:rsidR="00684A9E" w:rsidTr="00684A9E">
        <w:trPr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684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Framework Schedule 3 (Framework Prices)</w:t>
            </w:r>
          </w:p>
          <w:p w:rsidR="00684A9E" w:rsidRDefault="00684A9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Joint Schedule 3 (Insurance Requirements).</w:t>
            </w:r>
          </w:p>
        </w:tc>
      </w:tr>
      <w:tr w:rsidR="00684A9E" w:rsidTr="00684A9E">
        <w:trPr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Cyber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Cyber Essentials Scheme Basic Certificate, or one of the following equivalents: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SO27001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PSN Compliance Certificate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CSA Star Certification level 2 or above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FedRAMP Certification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PCI-DSS Certification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SSAE Certification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GBEST/CBEST Certification</w:t>
            </w:r>
          </w:p>
          <w:p w:rsidR="00684A9E" w:rsidRDefault="008727BA">
            <w:pPr>
              <w:numPr>
                <w:ilvl w:val="0"/>
                <w:numId w:val="1"/>
              </w:numPr>
              <w:tabs>
                <w:tab w:val="left" w:pos="-576"/>
              </w:tabs>
              <w:spacing w:after="12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NIS CA Assurance Statement</w:t>
            </w: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will pay, excluding VAT,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% of all the Charges for the Deliverables invoiced to the Buyer under all Call-Off Contracts.</w:t>
            </w:r>
          </w:p>
        </w:tc>
      </w:tr>
      <w:tr w:rsidR="00684A9E" w:rsidTr="00684A9E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  <w:tr w:rsidR="00684A9E" w:rsidTr="00684A9E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Data Protection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  <w:tr w:rsidR="00684A9E" w:rsidTr="00684A9E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Protection Liability 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£10,000,000</w:t>
            </w:r>
          </w:p>
          <w:p w:rsidR="00684A9E" w:rsidRDefault="00684A9E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  <w:tr w:rsidR="00684A9E" w:rsidTr="00684A9E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684A9E" w:rsidRDefault="008727BA">
            <w:pPr>
              <w:spacing w:before="120" w:after="12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 1</w:t>
            </w:r>
          </w:p>
          <w:p w:rsidR="00684A9E" w:rsidRDefault="008727BA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(Registered name if registered) 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name]</w:t>
            </w:r>
          </w:p>
          <w:p w:rsidR="00684A9E" w:rsidRDefault="008727BA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Registration number (if registered) 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number]</w:t>
            </w:r>
          </w:p>
          <w:p w:rsidR="00684A9E" w:rsidRDefault="008727BA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 of Subcontractor 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role]</w:t>
            </w:r>
          </w:p>
          <w:p w:rsidR="00684A9E" w:rsidRDefault="008727BA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[Guidance: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copy above lines as needed]</w:t>
            </w: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684A9E" w:rsidRDefault="00684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  <w:p w:rsidR="00684A9E" w:rsidRDefault="0087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job title]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email address]</w:t>
            </w:r>
          </w:p>
          <w:p w:rsidR="00684A9E" w:rsidRDefault="008727B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phone number]</w:t>
            </w:r>
          </w:p>
        </w:tc>
      </w:tr>
    </w:tbl>
    <w:p w:rsidR="00684A9E" w:rsidRDefault="00684A9E">
      <w:pPr>
        <w:rPr>
          <w:rFonts w:ascii="Arial" w:eastAsia="Arial" w:hAnsi="Arial" w:cs="Arial"/>
          <w:sz w:val="24"/>
          <w:szCs w:val="24"/>
        </w:rPr>
      </w:pPr>
    </w:p>
    <w:p w:rsidR="00684A9E" w:rsidRDefault="00684A9E">
      <w:pPr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17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CCS:</w:t>
            </w:r>
          </w:p>
        </w:tc>
      </w:tr>
      <w:tr w:rsidR="00684A9E" w:rsidTr="00684A9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4A9E" w:rsidTr="0068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684A9E" w:rsidRDefault="00872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:rsidR="00684A9E" w:rsidRDefault="00684A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4A9E" w:rsidRDefault="00684A9E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i/>
          <w:color w:val="000000"/>
        </w:rPr>
      </w:pPr>
      <w:bookmarkStart w:id="2" w:name="bookmark=id.30j0zll" w:colFirst="0" w:colLast="0"/>
      <w:bookmarkEnd w:id="2"/>
    </w:p>
    <w:sectPr w:rsidR="00684A9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7BA" w:rsidRDefault="008727BA">
      <w:pPr>
        <w:spacing w:after="0" w:line="240" w:lineRule="auto"/>
      </w:pPr>
      <w:r>
        <w:separator/>
      </w:r>
    </w:p>
  </w:endnote>
  <w:endnote w:type="continuationSeparator" w:id="0">
    <w:p w:rsidR="008727BA" w:rsidRDefault="0087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9E" w:rsidRDefault="00684A9E">
    <w:pPr>
      <w:tabs>
        <w:tab w:val="center" w:pos="4513"/>
        <w:tab w:val="right" w:pos="9026"/>
      </w:tabs>
      <w:spacing w:after="0"/>
      <w:rPr>
        <w:color w:val="A6A6A6"/>
      </w:rPr>
    </w:pPr>
  </w:p>
  <w:p w:rsidR="00684A9E" w:rsidRDefault="008727B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RM6265 Vehicle Hire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925836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2583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684A9E" w:rsidRDefault="008727B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 w:rsidR="00925836"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9E" w:rsidRDefault="00684A9E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:rsidR="00684A9E" w:rsidRDefault="008727BA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:rsidR="00684A9E" w:rsidRDefault="008727BA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7BA" w:rsidRDefault="008727BA">
      <w:pPr>
        <w:spacing w:after="0" w:line="240" w:lineRule="auto"/>
      </w:pPr>
      <w:r>
        <w:separator/>
      </w:r>
    </w:p>
  </w:footnote>
  <w:footnote w:type="continuationSeparator" w:id="0">
    <w:p w:rsidR="008727BA" w:rsidRDefault="0087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Framework Award Form</w:t>
    </w:r>
  </w:p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 20</w:t>
    </w:r>
    <w: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Framework Award Form</w:t>
    </w:r>
  </w:p>
  <w:p w:rsidR="00684A9E" w:rsidRDefault="008727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:rsidR="00684A9E" w:rsidRDefault="00684A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2226"/>
    <w:multiLevelType w:val="multilevel"/>
    <w:tmpl w:val="6C300B3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36A2223F"/>
    <w:multiLevelType w:val="multilevel"/>
    <w:tmpl w:val="F5488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4821FF"/>
    <w:multiLevelType w:val="multilevel"/>
    <w:tmpl w:val="C7D82ABC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2C0AC4"/>
    <w:multiLevelType w:val="multilevel"/>
    <w:tmpl w:val="5894C308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97B25E3"/>
    <w:multiLevelType w:val="multilevel"/>
    <w:tmpl w:val="56F44228"/>
    <w:lvl w:ilvl="0">
      <w:start w:val="1"/>
      <w:numFmt w:val="bullet"/>
      <w:pStyle w:val="GPSL4boldheading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510B4902"/>
    <w:multiLevelType w:val="multilevel"/>
    <w:tmpl w:val="1E46A2E8"/>
    <w:lvl w:ilvl="0">
      <w:start w:val="1"/>
      <w:numFmt w:val="decimal"/>
      <w:lvlText w:val="%1."/>
      <w:lvlJc w:val="left"/>
      <w:pPr>
        <w:ind w:left="359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9E"/>
    <w:rsid w:val="00684A9E"/>
    <w:rsid w:val="008727BA"/>
    <w:rsid w:val="009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C471"/>
  <w15:docId w15:val="{0755E071-935E-4AA0-B1DE-F025DA8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rPr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"/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"/>
    <w:rPr>
      <w:color w:val="366091"/>
    </w:rPr>
    <w:tblPr>
      <w:tblStyleRowBandSize w:val="1"/>
      <w:tblStyleColBandSize w:val="1"/>
    </w:tblPr>
  </w:style>
  <w:style w:type="table" w:customStyle="1" w:styleId="a7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5obs4YtJY234FgNzHMdmjAuzg==">AMUW2mV+7d8ifqjwnChBtD2eDqWwT66uOVIJ/bgMt7098hk3UkYmh2wvY3DVV+HPQxSEDsnqN6uby3/gnqJ6hE6xDIdH5iul21NmurWRfI5vKIJ8Ootr6hU31X4RreB1KmU6rKi27FCCCmqU6MThURFW2h6a5dgrrg==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2</cp:revision>
  <dcterms:created xsi:type="dcterms:W3CDTF">2022-12-06T15:42:00Z</dcterms:created>
  <dcterms:modified xsi:type="dcterms:W3CDTF">2022-12-06T15:42:00Z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