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6C16A" w14:textId="77777777" w:rsidR="00D1352F" w:rsidRDefault="009B1F56">
      <w:pPr>
        <w:spacing w:after="146" w:line="259" w:lineRule="auto"/>
        <w:ind w:left="7" w:firstLine="0"/>
      </w:pPr>
      <w:r>
        <w:rPr>
          <w:noProof/>
        </w:rPr>
        <w:drawing>
          <wp:inline distT="0" distB="0" distL="0" distR="0" wp14:anchorId="095F1B0B" wp14:editId="209D28EC">
            <wp:extent cx="1864360" cy="1555750"/>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0"/>
                    <a:stretch>
                      <a:fillRect/>
                    </a:stretch>
                  </pic:blipFill>
                  <pic:spPr>
                    <a:xfrm>
                      <a:off x="0" y="0"/>
                      <a:ext cx="1864360" cy="1555750"/>
                    </a:xfrm>
                    <a:prstGeom prst="rect">
                      <a:avLst/>
                    </a:prstGeom>
                  </pic:spPr>
                </pic:pic>
              </a:graphicData>
            </a:graphic>
          </wp:inline>
        </w:drawing>
      </w:r>
      <w:r>
        <w:t xml:space="preserve"> </w:t>
      </w:r>
    </w:p>
    <w:p w14:paraId="5746F85E" w14:textId="77777777" w:rsidR="00D1352F" w:rsidRDefault="009B1F56">
      <w:pPr>
        <w:spacing w:after="218" w:line="259" w:lineRule="auto"/>
        <w:ind w:left="5" w:firstLine="0"/>
      </w:pPr>
      <w:r>
        <w:t xml:space="preserve"> </w:t>
      </w:r>
    </w:p>
    <w:p w14:paraId="58B30789" w14:textId="77777777" w:rsidR="00D1352F" w:rsidRDefault="009B1F56">
      <w:pPr>
        <w:spacing w:after="343" w:line="259" w:lineRule="auto"/>
        <w:ind w:left="5" w:firstLine="0"/>
      </w:pPr>
      <w:r>
        <w:t xml:space="preserve"> </w:t>
      </w:r>
    </w:p>
    <w:p w14:paraId="6735075B" w14:textId="77777777" w:rsidR="00D1352F" w:rsidRDefault="009B1F56">
      <w:pPr>
        <w:pStyle w:val="Heading1"/>
        <w:spacing w:after="61"/>
        <w:ind w:left="0" w:right="3067" w:firstLine="0"/>
        <w:jc w:val="right"/>
      </w:pPr>
      <w:bookmarkStart w:id="0" w:name="_Toc76709"/>
      <w:r>
        <w:rPr>
          <w:sz w:val="36"/>
        </w:rPr>
        <w:t xml:space="preserve">G-Cloud 11 Call-Off Contract </w:t>
      </w:r>
      <w:bookmarkEnd w:id="0"/>
    </w:p>
    <w:p w14:paraId="7868202C" w14:textId="77777777" w:rsidR="00D1352F" w:rsidRDefault="009B1F56">
      <w:pPr>
        <w:spacing w:after="279" w:line="259" w:lineRule="auto"/>
        <w:ind w:left="5" w:firstLine="0"/>
      </w:pPr>
      <w:r>
        <w:rPr>
          <w:rFonts w:ascii="Arial" w:eastAsia="Arial" w:hAnsi="Arial" w:cs="Arial"/>
        </w:rPr>
        <w:t xml:space="preserve"> </w:t>
      </w:r>
    </w:p>
    <w:p w14:paraId="4DA72A53" w14:textId="77777777" w:rsidR="00D1352F" w:rsidRDefault="009B1F56">
      <w:pPr>
        <w:spacing w:after="182" w:line="259" w:lineRule="auto"/>
        <w:ind w:left="13" w:firstLine="0"/>
        <w:jc w:val="center"/>
      </w:pPr>
      <w:r>
        <w:rPr>
          <w:sz w:val="28"/>
        </w:rPr>
        <w:t xml:space="preserve">Between </w:t>
      </w:r>
    </w:p>
    <w:p w14:paraId="210F9330" w14:textId="77777777" w:rsidR="00D1352F" w:rsidRDefault="009B1F56">
      <w:pPr>
        <w:spacing w:after="300" w:line="259" w:lineRule="auto"/>
        <w:ind w:left="70" w:firstLine="0"/>
        <w:jc w:val="center"/>
      </w:pPr>
      <w:r>
        <w:t xml:space="preserve"> </w:t>
      </w:r>
    </w:p>
    <w:p w14:paraId="6D8E5487" w14:textId="77777777" w:rsidR="00D1352F" w:rsidRDefault="009B1F56">
      <w:pPr>
        <w:spacing w:after="226" w:line="259" w:lineRule="auto"/>
        <w:ind w:left="10" w:right="3611"/>
        <w:jc w:val="right"/>
      </w:pPr>
      <w:r>
        <w:rPr>
          <w:sz w:val="32"/>
        </w:rPr>
        <w:t xml:space="preserve">The Secretary of State for </w:t>
      </w:r>
    </w:p>
    <w:p w14:paraId="084DB2D0" w14:textId="77777777" w:rsidR="00D1352F" w:rsidRDefault="009B1F56">
      <w:pPr>
        <w:spacing w:after="144" w:line="259" w:lineRule="auto"/>
        <w:ind w:left="10" w:right="3235"/>
        <w:jc w:val="right"/>
      </w:pPr>
      <w:r>
        <w:rPr>
          <w:sz w:val="32"/>
        </w:rPr>
        <w:t xml:space="preserve">The Department for Education </w:t>
      </w:r>
    </w:p>
    <w:p w14:paraId="27D17B1A" w14:textId="77777777" w:rsidR="00D1352F" w:rsidRDefault="009B1F56">
      <w:pPr>
        <w:spacing w:after="218" w:line="259" w:lineRule="auto"/>
        <w:ind w:left="70" w:firstLine="0"/>
        <w:jc w:val="center"/>
      </w:pPr>
      <w:r>
        <w:t xml:space="preserve"> </w:t>
      </w:r>
    </w:p>
    <w:p w14:paraId="2A6C6E5C" w14:textId="77777777" w:rsidR="00D1352F" w:rsidRDefault="009B1F56">
      <w:pPr>
        <w:spacing w:after="196" w:line="267" w:lineRule="auto"/>
        <w:jc w:val="center"/>
      </w:pPr>
      <w:r>
        <w:t xml:space="preserve">And  </w:t>
      </w:r>
    </w:p>
    <w:p w14:paraId="1CD29811" w14:textId="77777777" w:rsidR="00D1352F" w:rsidRDefault="009B1F56">
      <w:pPr>
        <w:spacing w:after="316" w:line="259" w:lineRule="auto"/>
        <w:ind w:left="5" w:firstLine="0"/>
      </w:pPr>
      <w:r>
        <w:rPr>
          <w:rFonts w:ascii="Arial" w:eastAsia="Arial" w:hAnsi="Arial" w:cs="Arial"/>
        </w:rPr>
        <w:t xml:space="preserve"> </w:t>
      </w:r>
    </w:p>
    <w:p w14:paraId="56207314" w14:textId="77777777" w:rsidR="00D1352F" w:rsidRDefault="009B1F56">
      <w:pPr>
        <w:spacing w:after="188" w:line="259" w:lineRule="auto"/>
        <w:ind w:left="4106"/>
      </w:pPr>
      <w:r>
        <w:rPr>
          <w:sz w:val="32"/>
        </w:rPr>
        <w:t xml:space="preserve">Capgemini UK plc </w:t>
      </w:r>
    </w:p>
    <w:p w14:paraId="35EBBB3B" w14:textId="77777777" w:rsidR="00D1352F" w:rsidRDefault="009B1F56">
      <w:pPr>
        <w:spacing w:after="226" w:line="259" w:lineRule="auto"/>
        <w:ind w:left="5" w:firstLine="0"/>
      </w:pPr>
      <w:r>
        <w:rPr>
          <w:sz w:val="28"/>
        </w:rPr>
        <w:t xml:space="preserve"> </w:t>
      </w:r>
    </w:p>
    <w:p w14:paraId="2F7A8EAA" w14:textId="77777777" w:rsidR="00D1352F" w:rsidRDefault="009B1F56">
      <w:pPr>
        <w:spacing w:after="226" w:line="259" w:lineRule="auto"/>
        <w:ind w:left="5" w:firstLine="0"/>
      </w:pPr>
      <w:r>
        <w:rPr>
          <w:sz w:val="28"/>
        </w:rPr>
        <w:t xml:space="preserve"> </w:t>
      </w:r>
    </w:p>
    <w:p w14:paraId="0BBFED7F" w14:textId="77777777" w:rsidR="00D1352F" w:rsidRDefault="009B1F56">
      <w:pPr>
        <w:spacing w:after="226" w:line="259" w:lineRule="auto"/>
        <w:ind w:left="5" w:firstLine="0"/>
      </w:pPr>
      <w:r>
        <w:rPr>
          <w:sz w:val="28"/>
        </w:rPr>
        <w:t xml:space="preserve"> </w:t>
      </w:r>
    </w:p>
    <w:p w14:paraId="5D06DD87" w14:textId="77777777" w:rsidR="00D1352F" w:rsidRDefault="009B1F56">
      <w:pPr>
        <w:spacing w:after="226" w:line="259" w:lineRule="auto"/>
        <w:ind w:left="5" w:firstLine="0"/>
      </w:pPr>
      <w:r>
        <w:rPr>
          <w:sz w:val="28"/>
        </w:rPr>
        <w:t xml:space="preserve"> </w:t>
      </w:r>
    </w:p>
    <w:p w14:paraId="6B6D6D51" w14:textId="77777777" w:rsidR="00D1352F" w:rsidRDefault="009B1F56">
      <w:pPr>
        <w:spacing w:after="226" w:line="259" w:lineRule="auto"/>
        <w:ind w:left="5" w:firstLine="0"/>
      </w:pPr>
      <w:r>
        <w:rPr>
          <w:sz w:val="28"/>
        </w:rPr>
        <w:t xml:space="preserve"> </w:t>
      </w:r>
    </w:p>
    <w:p w14:paraId="60079E21" w14:textId="77777777" w:rsidR="00D1352F" w:rsidRDefault="009B1F56">
      <w:pPr>
        <w:spacing w:after="225" w:line="259" w:lineRule="auto"/>
        <w:ind w:left="5" w:firstLine="0"/>
      </w:pPr>
      <w:r>
        <w:rPr>
          <w:sz w:val="28"/>
        </w:rPr>
        <w:t xml:space="preserve"> </w:t>
      </w:r>
    </w:p>
    <w:p w14:paraId="1F4A52CC" w14:textId="77777777" w:rsidR="00D1352F" w:rsidRDefault="009B1F56">
      <w:pPr>
        <w:spacing w:after="0" w:line="259" w:lineRule="auto"/>
        <w:ind w:left="5" w:firstLine="0"/>
      </w:pPr>
      <w:r>
        <w:rPr>
          <w:sz w:val="28"/>
        </w:rPr>
        <w:t xml:space="preserve"> </w:t>
      </w:r>
    </w:p>
    <w:p w14:paraId="01572ACA" w14:textId="77777777" w:rsidR="00D1352F" w:rsidRDefault="009B1F56">
      <w:pPr>
        <w:spacing w:after="226" w:line="259" w:lineRule="auto"/>
        <w:ind w:left="5" w:firstLine="0"/>
      </w:pPr>
      <w:r>
        <w:rPr>
          <w:sz w:val="28"/>
        </w:rPr>
        <w:t xml:space="preserve"> </w:t>
      </w:r>
    </w:p>
    <w:p w14:paraId="08113039" w14:textId="77777777" w:rsidR="00D1352F" w:rsidRDefault="009B1F56">
      <w:pPr>
        <w:spacing w:after="265" w:line="259" w:lineRule="auto"/>
        <w:ind w:left="5" w:firstLine="0"/>
      </w:pPr>
      <w:r>
        <w:rPr>
          <w:sz w:val="28"/>
        </w:rPr>
        <w:lastRenderedPageBreak/>
        <w:t xml:space="preserve"> </w:t>
      </w:r>
    </w:p>
    <w:sdt>
      <w:sdtPr>
        <w:id w:val="1419600200"/>
        <w:docPartObj>
          <w:docPartGallery w:val="Table of Contents"/>
        </w:docPartObj>
      </w:sdtPr>
      <w:sdtEndPr/>
      <w:sdtContent>
        <w:p w14:paraId="1673ADF6" w14:textId="77777777" w:rsidR="00D1352F" w:rsidRDefault="009B1F56">
          <w:pPr>
            <w:spacing w:after="50" w:line="259" w:lineRule="auto"/>
            <w:ind w:left="0"/>
          </w:pPr>
          <w:r>
            <w:rPr>
              <w:sz w:val="32"/>
            </w:rPr>
            <w:t xml:space="preserve">Contents </w:t>
          </w:r>
        </w:p>
        <w:p w14:paraId="6EE57EA2" w14:textId="77777777" w:rsidR="00D1352F" w:rsidRDefault="009B1F56">
          <w:pPr>
            <w:pStyle w:val="TOC1"/>
            <w:tabs>
              <w:tab w:val="right" w:leader="dot" w:pos="10631"/>
            </w:tabs>
          </w:pPr>
          <w:r>
            <w:fldChar w:fldCharType="begin"/>
          </w:r>
          <w:r>
            <w:instrText xml:space="preserve"> TOC \o "1-3" \h \z \u </w:instrText>
          </w:r>
          <w:r>
            <w:fldChar w:fldCharType="separate"/>
          </w:r>
          <w:hyperlink w:anchor="_Toc76709">
            <w:r>
              <w:rPr>
                <w:rFonts w:ascii="Sylfaen" w:eastAsia="Sylfaen" w:hAnsi="Sylfaen" w:cs="Sylfaen"/>
              </w:rPr>
              <w:t>G-Cloud 11 Call-Off Contract</w:t>
            </w:r>
            <w:r>
              <w:tab/>
            </w:r>
            <w:r>
              <w:fldChar w:fldCharType="begin"/>
            </w:r>
            <w:r>
              <w:instrText>PAGEREF _Toc76709 \h</w:instrText>
            </w:r>
            <w:r>
              <w:fldChar w:fldCharType="separate"/>
            </w:r>
            <w:r>
              <w:t xml:space="preserve">1 </w:t>
            </w:r>
            <w:r>
              <w:fldChar w:fldCharType="end"/>
            </w:r>
          </w:hyperlink>
        </w:p>
        <w:p w14:paraId="75380140" w14:textId="77777777" w:rsidR="00D1352F" w:rsidRDefault="00824C5E">
          <w:pPr>
            <w:pStyle w:val="TOC2"/>
            <w:tabs>
              <w:tab w:val="right" w:leader="dot" w:pos="10631"/>
            </w:tabs>
          </w:pPr>
          <w:hyperlink w:anchor="_Toc76710">
            <w:r w:rsidR="009B1F56">
              <w:rPr>
                <w:rFonts w:ascii="Sylfaen" w:eastAsia="Sylfaen" w:hAnsi="Sylfaen" w:cs="Sylfaen"/>
              </w:rPr>
              <w:t>Part A - Order Form</w:t>
            </w:r>
            <w:r w:rsidR="009B1F56">
              <w:tab/>
            </w:r>
            <w:r w:rsidR="009B1F56">
              <w:fldChar w:fldCharType="begin"/>
            </w:r>
            <w:r w:rsidR="009B1F56">
              <w:instrText>PAGEREF _Toc76710 \h</w:instrText>
            </w:r>
            <w:r w:rsidR="009B1F56">
              <w:fldChar w:fldCharType="separate"/>
            </w:r>
            <w:r w:rsidR="009B1F56">
              <w:t xml:space="preserve">4 </w:t>
            </w:r>
            <w:r w:rsidR="009B1F56">
              <w:fldChar w:fldCharType="end"/>
            </w:r>
          </w:hyperlink>
        </w:p>
        <w:p w14:paraId="0094E82B" w14:textId="77777777" w:rsidR="00D1352F" w:rsidRDefault="00824C5E">
          <w:pPr>
            <w:pStyle w:val="TOC3"/>
            <w:tabs>
              <w:tab w:val="right" w:leader="dot" w:pos="10631"/>
            </w:tabs>
          </w:pPr>
          <w:hyperlink w:anchor="_Toc76711">
            <w:r w:rsidR="009B1F56">
              <w:rPr>
                <w:rFonts w:ascii="Sylfaen" w:eastAsia="Sylfaen" w:hAnsi="Sylfaen" w:cs="Sylfaen"/>
              </w:rPr>
              <w:t>Principle contact details</w:t>
            </w:r>
            <w:r w:rsidR="009B1F56">
              <w:tab/>
            </w:r>
            <w:r w:rsidR="009B1F56">
              <w:fldChar w:fldCharType="begin"/>
            </w:r>
            <w:r w:rsidR="009B1F56">
              <w:instrText>PAGEREF _Toc76711 \h</w:instrText>
            </w:r>
            <w:r w:rsidR="009B1F56">
              <w:fldChar w:fldCharType="separate"/>
            </w:r>
            <w:r w:rsidR="009B1F56">
              <w:t xml:space="preserve">6 </w:t>
            </w:r>
            <w:r w:rsidR="009B1F56">
              <w:fldChar w:fldCharType="end"/>
            </w:r>
          </w:hyperlink>
        </w:p>
        <w:p w14:paraId="6B9B6D18" w14:textId="77777777" w:rsidR="00D1352F" w:rsidRDefault="00824C5E">
          <w:pPr>
            <w:pStyle w:val="TOC3"/>
            <w:tabs>
              <w:tab w:val="right" w:leader="dot" w:pos="10631"/>
            </w:tabs>
          </w:pPr>
          <w:hyperlink w:anchor="_Toc76712">
            <w:r w:rsidR="009B1F56">
              <w:rPr>
                <w:rFonts w:ascii="Sylfaen" w:eastAsia="Sylfaen" w:hAnsi="Sylfaen" w:cs="Sylfaen"/>
              </w:rPr>
              <w:t>Call-Off Contract term</w:t>
            </w:r>
            <w:r w:rsidR="009B1F56">
              <w:tab/>
            </w:r>
            <w:r w:rsidR="009B1F56">
              <w:fldChar w:fldCharType="begin"/>
            </w:r>
            <w:r w:rsidR="009B1F56">
              <w:instrText>PAGEREF _Toc76712 \h</w:instrText>
            </w:r>
            <w:r w:rsidR="009B1F56">
              <w:fldChar w:fldCharType="separate"/>
            </w:r>
            <w:r w:rsidR="009B1F56">
              <w:t xml:space="preserve">6 </w:t>
            </w:r>
            <w:r w:rsidR="009B1F56">
              <w:fldChar w:fldCharType="end"/>
            </w:r>
          </w:hyperlink>
        </w:p>
        <w:p w14:paraId="44B529C1" w14:textId="77777777" w:rsidR="00D1352F" w:rsidRDefault="00824C5E">
          <w:pPr>
            <w:pStyle w:val="TOC3"/>
            <w:tabs>
              <w:tab w:val="right" w:leader="dot" w:pos="10631"/>
            </w:tabs>
          </w:pPr>
          <w:hyperlink w:anchor="_Toc76713">
            <w:r w:rsidR="009B1F56">
              <w:rPr>
                <w:rFonts w:ascii="Sylfaen" w:eastAsia="Sylfaen" w:hAnsi="Sylfaen" w:cs="Sylfaen"/>
              </w:rPr>
              <w:t>Buyer contractual details</w:t>
            </w:r>
            <w:r w:rsidR="009B1F56">
              <w:tab/>
            </w:r>
            <w:r w:rsidR="009B1F56">
              <w:fldChar w:fldCharType="begin"/>
            </w:r>
            <w:r w:rsidR="009B1F56">
              <w:instrText>PAGEREF _Toc76713 \h</w:instrText>
            </w:r>
            <w:r w:rsidR="009B1F56">
              <w:fldChar w:fldCharType="separate"/>
            </w:r>
            <w:r w:rsidR="009B1F56">
              <w:t xml:space="preserve">7 </w:t>
            </w:r>
            <w:r w:rsidR="009B1F56">
              <w:fldChar w:fldCharType="end"/>
            </w:r>
          </w:hyperlink>
        </w:p>
        <w:p w14:paraId="750FB60A" w14:textId="77777777" w:rsidR="00D1352F" w:rsidRDefault="00824C5E">
          <w:pPr>
            <w:pStyle w:val="TOC3"/>
            <w:tabs>
              <w:tab w:val="right" w:leader="dot" w:pos="10631"/>
            </w:tabs>
          </w:pPr>
          <w:hyperlink w:anchor="_Toc76714">
            <w:r w:rsidR="009B1F56">
              <w:rPr>
                <w:rFonts w:ascii="Sylfaen" w:eastAsia="Sylfaen" w:hAnsi="Sylfaen" w:cs="Sylfaen"/>
              </w:rPr>
              <w:t>Supplier’s information</w:t>
            </w:r>
            <w:r w:rsidR="009B1F56">
              <w:tab/>
            </w:r>
            <w:r w:rsidR="009B1F56">
              <w:fldChar w:fldCharType="begin"/>
            </w:r>
            <w:r w:rsidR="009B1F56">
              <w:instrText>PAGEREF _Toc76714 \h</w:instrText>
            </w:r>
            <w:r w:rsidR="009B1F56">
              <w:fldChar w:fldCharType="separate"/>
            </w:r>
            <w:r w:rsidR="009B1F56">
              <w:t xml:space="preserve">12 </w:t>
            </w:r>
            <w:r w:rsidR="009B1F56">
              <w:fldChar w:fldCharType="end"/>
            </w:r>
          </w:hyperlink>
        </w:p>
        <w:p w14:paraId="76C7912B" w14:textId="77777777" w:rsidR="00D1352F" w:rsidRDefault="00824C5E">
          <w:pPr>
            <w:pStyle w:val="TOC3"/>
            <w:tabs>
              <w:tab w:val="right" w:leader="dot" w:pos="10631"/>
            </w:tabs>
          </w:pPr>
          <w:hyperlink w:anchor="_Toc76715">
            <w:r w:rsidR="009B1F56">
              <w:rPr>
                <w:rFonts w:ascii="Sylfaen" w:eastAsia="Sylfaen" w:hAnsi="Sylfaen" w:cs="Sylfaen"/>
              </w:rPr>
              <w:t>Call-Off Contract charges and payment</w:t>
            </w:r>
            <w:r w:rsidR="009B1F56">
              <w:tab/>
            </w:r>
            <w:r w:rsidR="009B1F56">
              <w:fldChar w:fldCharType="begin"/>
            </w:r>
            <w:r w:rsidR="009B1F56">
              <w:instrText>PAGEREF _Toc76715 \h</w:instrText>
            </w:r>
            <w:r w:rsidR="009B1F56">
              <w:fldChar w:fldCharType="separate"/>
            </w:r>
            <w:r w:rsidR="009B1F56">
              <w:t xml:space="preserve">13 </w:t>
            </w:r>
            <w:r w:rsidR="009B1F56">
              <w:fldChar w:fldCharType="end"/>
            </w:r>
          </w:hyperlink>
        </w:p>
        <w:p w14:paraId="6119226B" w14:textId="77777777" w:rsidR="00D1352F" w:rsidRDefault="00824C5E">
          <w:pPr>
            <w:pStyle w:val="TOC3"/>
            <w:tabs>
              <w:tab w:val="right" w:leader="dot" w:pos="10631"/>
            </w:tabs>
          </w:pPr>
          <w:hyperlink w:anchor="_Toc76716">
            <w:r w:rsidR="009B1F56">
              <w:rPr>
                <w:rFonts w:ascii="Sylfaen" w:eastAsia="Sylfaen" w:hAnsi="Sylfaen" w:cs="Sylfaen"/>
              </w:rPr>
              <w:t>Additional Buyer terms</w:t>
            </w:r>
            <w:r w:rsidR="009B1F56">
              <w:tab/>
            </w:r>
            <w:r w:rsidR="009B1F56">
              <w:fldChar w:fldCharType="begin"/>
            </w:r>
            <w:r w:rsidR="009B1F56">
              <w:instrText>PAGEREF _Toc76716 \h</w:instrText>
            </w:r>
            <w:r w:rsidR="009B1F56">
              <w:fldChar w:fldCharType="separate"/>
            </w:r>
            <w:r w:rsidR="009B1F56">
              <w:t xml:space="preserve">14 </w:t>
            </w:r>
            <w:r w:rsidR="009B1F56">
              <w:fldChar w:fldCharType="end"/>
            </w:r>
          </w:hyperlink>
        </w:p>
        <w:p w14:paraId="1C4A5032" w14:textId="77777777" w:rsidR="00D1352F" w:rsidRDefault="00824C5E">
          <w:pPr>
            <w:pStyle w:val="TOC2"/>
            <w:tabs>
              <w:tab w:val="right" w:leader="dot" w:pos="10631"/>
            </w:tabs>
          </w:pPr>
          <w:hyperlink w:anchor="_Toc76717">
            <w:r w:rsidR="009B1F56">
              <w:rPr>
                <w:rFonts w:ascii="Sylfaen" w:eastAsia="Sylfaen" w:hAnsi="Sylfaen" w:cs="Sylfaen"/>
              </w:rPr>
              <w:t>Schedule 1 - Services</w:t>
            </w:r>
            <w:r w:rsidR="009B1F56">
              <w:tab/>
            </w:r>
            <w:r w:rsidR="009B1F56">
              <w:fldChar w:fldCharType="begin"/>
            </w:r>
            <w:r w:rsidR="009B1F56">
              <w:instrText>PAGEREF _Toc76717 \h</w:instrText>
            </w:r>
            <w:r w:rsidR="009B1F56">
              <w:fldChar w:fldCharType="separate"/>
            </w:r>
            <w:r w:rsidR="009B1F56">
              <w:t xml:space="preserve">17 </w:t>
            </w:r>
            <w:r w:rsidR="009B1F56">
              <w:fldChar w:fldCharType="end"/>
            </w:r>
          </w:hyperlink>
        </w:p>
        <w:p w14:paraId="69F34229" w14:textId="77777777" w:rsidR="00D1352F" w:rsidRDefault="00824C5E">
          <w:pPr>
            <w:pStyle w:val="TOC2"/>
            <w:tabs>
              <w:tab w:val="right" w:leader="dot" w:pos="10631"/>
            </w:tabs>
          </w:pPr>
          <w:hyperlink w:anchor="_Toc76718">
            <w:r w:rsidR="009B1F56">
              <w:rPr>
                <w:rFonts w:ascii="Sylfaen" w:eastAsia="Sylfaen" w:hAnsi="Sylfaen" w:cs="Sylfaen"/>
              </w:rPr>
              <w:t>Schedule 2 - Call-Off Contract charges</w:t>
            </w:r>
            <w:r w:rsidR="009B1F56">
              <w:tab/>
            </w:r>
            <w:r w:rsidR="009B1F56">
              <w:fldChar w:fldCharType="begin"/>
            </w:r>
            <w:r w:rsidR="009B1F56">
              <w:instrText>PAGEREF _Toc76718 \h</w:instrText>
            </w:r>
            <w:r w:rsidR="009B1F56">
              <w:fldChar w:fldCharType="separate"/>
            </w:r>
            <w:r w:rsidR="009B1F56">
              <w:t xml:space="preserve">17 </w:t>
            </w:r>
            <w:r w:rsidR="009B1F56">
              <w:fldChar w:fldCharType="end"/>
            </w:r>
          </w:hyperlink>
        </w:p>
        <w:p w14:paraId="343E2159" w14:textId="77777777" w:rsidR="00D1352F" w:rsidRDefault="00824C5E">
          <w:pPr>
            <w:pStyle w:val="TOC2"/>
            <w:tabs>
              <w:tab w:val="right" w:leader="dot" w:pos="10631"/>
            </w:tabs>
          </w:pPr>
          <w:hyperlink w:anchor="_Toc76719">
            <w:r w:rsidR="009B1F56">
              <w:rPr>
                <w:rFonts w:ascii="Sylfaen" w:eastAsia="Sylfaen" w:hAnsi="Sylfaen" w:cs="Sylfaen"/>
              </w:rPr>
              <w:t>Part B - Terms and conditions</w:t>
            </w:r>
            <w:r w:rsidR="009B1F56">
              <w:tab/>
            </w:r>
            <w:r w:rsidR="009B1F56">
              <w:fldChar w:fldCharType="begin"/>
            </w:r>
            <w:r w:rsidR="009B1F56">
              <w:instrText>PAGEREF _Toc76719 \h</w:instrText>
            </w:r>
            <w:r w:rsidR="009B1F56">
              <w:fldChar w:fldCharType="separate"/>
            </w:r>
            <w:r w:rsidR="009B1F56">
              <w:t xml:space="preserve">18 </w:t>
            </w:r>
            <w:r w:rsidR="009B1F56">
              <w:fldChar w:fldCharType="end"/>
            </w:r>
          </w:hyperlink>
        </w:p>
        <w:p w14:paraId="4E920FE0" w14:textId="77777777" w:rsidR="00D1352F" w:rsidRDefault="00824C5E">
          <w:pPr>
            <w:pStyle w:val="TOC3"/>
            <w:tabs>
              <w:tab w:val="right" w:leader="dot" w:pos="10631"/>
            </w:tabs>
          </w:pPr>
          <w:hyperlink w:anchor="_Toc76720">
            <w:r w:rsidR="009B1F56">
              <w:rPr>
                <w:rFonts w:ascii="Sylfaen" w:eastAsia="Sylfaen" w:hAnsi="Sylfaen" w:cs="Sylfaen"/>
              </w:rPr>
              <w:t>1. Call-Off Contract start date and length</w:t>
            </w:r>
            <w:r w:rsidR="009B1F56">
              <w:tab/>
            </w:r>
            <w:r w:rsidR="009B1F56">
              <w:fldChar w:fldCharType="begin"/>
            </w:r>
            <w:r w:rsidR="009B1F56">
              <w:instrText>PAGEREF _Toc76720 \h</w:instrText>
            </w:r>
            <w:r w:rsidR="009B1F56">
              <w:fldChar w:fldCharType="separate"/>
            </w:r>
            <w:r w:rsidR="009B1F56">
              <w:t xml:space="preserve">18 </w:t>
            </w:r>
            <w:r w:rsidR="009B1F56">
              <w:fldChar w:fldCharType="end"/>
            </w:r>
          </w:hyperlink>
        </w:p>
        <w:p w14:paraId="5477D539" w14:textId="77777777" w:rsidR="00D1352F" w:rsidRDefault="00824C5E">
          <w:pPr>
            <w:pStyle w:val="TOC3"/>
            <w:tabs>
              <w:tab w:val="right" w:leader="dot" w:pos="10631"/>
            </w:tabs>
          </w:pPr>
          <w:hyperlink w:anchor="_Toc76721">
            <w:r w:rsidR="009B1F56">
              <w:rPr>
                <w:rFonts w:ascii="Sylfaen" w:eastAsia="Sylfaen" w:hAnsi="Sylfaen" w:cs="Sylfaen"/>
              </w:rPr>
              <w:t>2. Incorporation of terms</w:t>
            </w:r>
            <w:r w:rsidR="009B1F56">
              <w:tab/>
            </w:r>
            <w:r w:rsidR="009B1F56">
              <w:fldChar w:fldCharType="begin"/>
            </w:r>
            <w:r w:rsidR="009B1F56">
              <w:instrText>PAGEREF _Toc76721 \h</w:instrText>
            </w:r>
            <w:r w:rsidR="009B1F56">
              <w:fldChar w:fldCharType="separate"/>
            </w:r>
            <w:r w:rsidR="009B1F56">
              <w:t xml:space="preserve">18 </w:t>
            </w:r>
            <w:r w:rsidR="009B1F56">
              <w:fldChar w:fldCharType="end"/>
            </w:r>
          </w:hyperlink>
        </w:p>
        <w:p w14:paraId="143BC52D" w14:textId="77777777" w:rsidR="00D1352F" w:rsidRDefault="00824C5E">
          <w:pPr>
            <w:pStyle w:val="TOC3"/>
            <w:tabs>
              <w:tab w:val="right" w:leader="dot" w:pos="10631"/>
            </w:tabs>
          </w:pPr>
          <w:hyperlink w:anchor="_Toc76722">
            <w:r w:rsidR="009B1F56">
              <w:rPr>
                <w:rFonts w:ascii="Sylfaen" w:eastAsia="Sylfaen" w:hAnsi="Sylfaen" w:cs="Sylfaen"/>
              </w:rPr>
              <w:t>3. Supply of services</w:t>
            </w:r>
            <w:r w:rsidR="009B1F56">
              <w:tab/>
            </w:r>
            <w:r w:rsidR="009B1F56">
              <w:fldChar w:fldCharType="begin"/>
            </w:r>
            <w:r w:rsidR="009B1F56">
              <w:instrText>PAGEREF _Toc76722 \h</w:instrText>
            </w:r>
            <w:r w:rsidR="009B1F56">
              <w:fldChar w:fldCharType="separate"/>
            </w:r>
            <w:r w:rsidR="009B1F56">
              <w:t xml:space="preserve">20 </w:t>
            </w:r>
            <w:r w:rsidR="009B1F56">
              <w:fldChar w:fldCharType="end"/>
            </w:r>
          </w:hyperlink>
        </w:p>
        <w:p w14:paraId="5407FE2D" w14:textId="77777777" w:rsidR="00D1352F" w:rsidRDefault="00824C5E">
          <w:pPr>
            <w:pStyle w:val="TOC3"/>
            <w:tabs>
              <w:tab w:val="right" w:leader="dot" w:pos="10631"/>
            </w:tabs>
          </w:pPr>
          <w:hyperlink w:anchor="_Toc76723">
            <w:r w:rsidR="009B1F56">
              <w:rPr>
                <w:rFonts w:ascii="Sylfaen" w:eastAsia="Sylfaen" w:hAnsi="Sylfaen" w:cs="Sylfaen"/>
              </w:rPr>
              <w:t>4. Supplier staff</w:t>
            </w:r>
            <w:r w:rsidR="009B1F56">
              <w:tab/>
            </w:r>
            <w:r w:rsidR="009B1F56">
              <w:fldChar w:fldCharType="begin"/>
            </w:r>
            <w:r w:rsidR="009B1F56">
              <w:instrText>PAGEREF _Toc76723 \h</w:instrText>
            </w:r>
            <w:r w:rsidR="009B1F56">
              <w:fldChar w:fldCharType="separate"/>
            </w:r>
            <w:r w:rsidR="009B1F56">
              <w:t xml:space="preserve">20 </w:t>
            </w:r>
            <w:r w:rsidR="009B1F56">
              <w:fldChar w:fldCharType="end"/>
            </w:r>
          </w:hyperlink>
        </w:p>
        <w:p w14:paraId="51AEF257" w14:textId="77777777" w:rsidR="00D1352F" w:rsidRDefault="00824C5E">
          <w:pPr>
            <w:pStyle w:val="TOC3"/>
            <w:tabs>
              <w:tab w:val="right" w:leader="dot" w:pos="10631"/>
            </w:tabs>
          </w:pPr>
          <w:hyperlink w:anchor="_Toc76724">
            <w:r w:rsidR="009B1F56">
              <w:rPr>
                <w:rFonts w:ascii="Sylfaen" w:eastAsia="Sylfaen" w:hAnsi="Sylfaen" w:cs="Sylfaen"/>
              </w:rPr>
              <w:t>5. Due diligence</w:t>
            </w:r>
            <w:r w:rsidR="009B1F56">
              <w:tab/>
            </w:r>
            <w:r w:rsidR="009B1F56">
              <w:fldChar w:fldCharType="begin"/>
            </w:r>
            <w:r w:rsidR="009B1F56">
              <w:instrText>PAGEREF _Toc76724 \h</w:instrText>
            </w:r>
            <w:r w:rsidR="009B1F56">
              <w:fldChar w:fldCharType="separate"/>
            </w:r>
            <w:r w:rsidR="009B1F56">
              <w:t xml:space="preserve">21 </w:t>
            </w:r>
            <w:r w:rsidR="009B1F56">
              <w:fldChar w:fldCharType="end"/>
            </w:r>
          </w:hyperlink>
        </w:p>
        <w:p w14:paraId="3F93E652" w14:textId="77777777" w:rsidR="00D1352F" w:rsidRDefault="00824C5E">
          <w:pPr>
            <w:pStyle w:val="TOC3"/>
            <w:tabs>
              <w:tab w:val="right" w:leader="dot" w:pos="10631"/>
            </w:tabs>
          </w:pPr>
          <w:hyperlink w:anchor="_Toc76725">
            <w:r w:rsidR="009B1F56">
              <w:rPr>
                <w:rFonts w:ascii="Sylfaen" w:eastAsia="Sylfaen" w:hAnsi="Sylfaen" w:cs="Sylfaen"/>
              </w:rPr>
              <w:t>6. Business continuity and disaster recovery</w:t>
            </w:r>
            <w:r w:rsidR="009B1F56">
              <w:tab/>
            </w:r>
            <w:r w:rsidR="009B1F56">
              <w:fldChar w:fldCharType="begin"/>
            </w:r>
            <w:r w:rsidR="009B1F56">
              <w:instrText>PAGEREF _Toc76725 \h</w:instrText>
            </w:r>
            <w:r w:rsidR="009B1F56">
              <w:fldChar w:fldCharType="separate"/>
            </w:r>
            <w:r w:rsidR="009B1F56">
              <w:t xml:space="preserve">21 </w:t>
            </w:r>
            <w:r w:rsidR="009B1F56">
              <w:fldChar w:fldCharType="end"/>
            </w:r>
          </w:hyperlink>
        </w:p>
        <w:p w14:paraId="27F7B527" w14:textId="77777777" w:rsidR="00D1352F" w:rsidRDefault="00824C5E">
          <w:pPr>
            <w:pStyle w:val="TOC3"/>
            <w:tabs>
              <w:tab w:val="right" w:leader="dot" w:pos="10631"/>
            </w:tabs>
          </w:pPr>
          <w:hyperlink w:anchor="_Toc76726">
            <w:r w:rsidR="009B1F56">
              <w:rPr>
                <w:rFonts w:ascii="Sylfaen" w:eastAsia="Sylfaen" w:hAnsi="Sylfaen" w:cs="Sylfaen"/>
              </w:rPr>
              <w:t>7. Payment, VAT and Call-Off Contract charges</w:t>
            </w:r>
            <w:r w:rsidR="009B1F56">
              <w:tab/>
            </w:r>
            <w:r w:rsidR="009B1F56">
              <w:fldChar w:fldCharType="begin"/>
            </w:r>
            <w:r w:rsidR="009B1F56">
              <w:instrText>PAGEREF _Toc76726 \h</w:instrText>
            </w:r>
            <w:r w:rsidR="009B1F56">
              <w:fldChar w:fldCharType="separate"/>
            </w:r>
            <w:r w:rsidR="009B1F56">
              <w:t xml:space="preserve">21 </w:t>
            </w:r>
            <w:r w:rsidR="009B1F56">
              <w:fldChar w:fldCharType="end"/>
            </w:r>
          </w:hyperlink>
        </w:p>
        <w:p w14:paraId="64ED5914" w14:textId="77777777" w:rsidR="00D1352F" w:rsidRDefault="00824C5E">
          <w:pPr>
            <w:pStyle w:val="TOC3"/>
            <w:tabs>
              <w:tab w:val="right" w:leader="dot" w:pos="10631"/>
            </w:tabs>
          </w:pPr>
          <w:hyperlink w:anchor="_Toc76727">
            <w:r w:rsidR="009B1F56">
              <w:rPr>
                <w:rFonts w:ascii="Sylfaen" w:eastAsia="Sylfaen" w:hAnsi="Sylfaen" w:cs="Sylfaen"/>
              </w:rPr>
              <w:t>8. Recovery of sums due and right of set-off</w:t>
            </w:r>
            <w:r w:rsidR="009B1F56">
              <w:tab/>
            </w:r>
            <w:r w:rsidR="009B1F56">
              <w:fldChar w:fldCharType="begin"/>
            </w:r>
            <w:r w:rsidR="009B1F56">
              <w:instrText>PAGEREF _Toc76727 \h</w:instrText>
            </w:r>
            <w:r w:rsidR="009B1F56">
              <w:fldChar w:fldCharType="separate"/>
            </w:r>
            <w:r w:rsidR="009B1F56">
              <w:t xml:space="preserve">23 </w:t>
            </w:r>
            <w:r w:rsidR="009B1F56">
              <w:fldChar w:fldCharType="end"/>
            </w:r>
          </w:hyperlink>
        </w:p>
        <w:p w14:paraId="007F5226" w14:textId="77777777" w:rsidR="00D1352F" w:rsidRDefault="00824C5E">
          <w:pPr>
            <w:pStyle w:val="TOC3"/>
            <w:tabs>
              <w:tab w:val="right" w:leader="dot" w:pos="10631"/>
            </w:tabs>
          </w:pPr>
          <w:hyperlink w:anchor="_Toc76728">
            <w:r w:rsidR="009B1F56">
              <w:rPr>
                <w:rFonts w:ascii="Sylfaen" w:eastAsia="Sylfaen" w:hAnsi="Sylfaen" w:cs="Sylfaen"/>
              </w:rPr>
              <w:t>9. Insurance</w:t>
            </w:r>
            <w:r w:rsidR="009B1F56">
              <w:tab/>
            </w:r>
            <w:r w:rsidR="009B1F56">
              <w:fldChar w:fldCharType="begin"/>
            </w:r>
            <w:r w:rsidR="009B1F56">
              <w:instrText>PAGEREF _Toc76728 \h</w:instrText>
            </w:r>
            <w:r w:rsidR="009B1F56">
              <w:fldChar w:fldCharType="separate"/>
            </w:r>
            <w:r w:rsidR="009B1F56">
              <w:t xml:space="preserve">23 </w:t>
            </w:r>
            <w:r w:rsidR="009B1F56">
              <w:fldChar w:fldCharType="end"/>
            </w:r>
          </w:hyperlink>
        </w:p>
        <w:p w14:paraId="2F7F3547" w14:textId="77777777" w:rsidR="00D1352F" w:rsidRDefault="00824C5E">
          <w:pPr>
            <w:pStyle w:val="TOC3"/>
            <w:tabs>
              <w:tab w:val="right" w:leader="dot" w:pos="10631"/>
            </w:tabs>
          </w:pPr>
          <w:hyperlink w:anchor="_Toc76729">
            <w:r w:rsidR="009B1F56">
              <w:rPr>
                <w:rFonts w:ascii="Sylfaen" w:eastAsia="Sylfaen" w:hAnsi="Sylfaen" w:cs="Sylfaen"/>
              </w:rPr>
              <w:t>10. Confidentiality</w:t>
            </w:r>
            <w:r w:rsidR="009B1F56">
              <w:tab/>
            </w:r>
            <w:r w:rsidR="009B1F56">
              <w:fldChar w:fldCharType="begin"/>
            </w:r>
            <w:r w:rsidR="009B1F56">
              <w:instrText>PAGEREF _Toc76729 \h</w:instrText>
            </w:r>
            <w:r w:rsidR="009B1F56">
              <w:fldChar w:fldCharType="separate"/>
            </w:r>
            <w:r w:rsidR="009B1F56">
              <w:t xml:space="preserve">24 </w:t>
            </w:r>
            <w:r w:rsidR="009B1F56">
              <w:fldChar w:fldCharType="end"/>
            </w:r>
          </w:hyperlink>
        </w:p>
        <w:p w14:paraId="3E2BA47C" w14:textId="77777777" w:rsidR="00D1352F" w:rsidRDefault="00824C5E">
          <w:pPr>
            <w:pStyle w:val="TOC3"/>
            <w:tabs>
              <w:tab w:val="right" w:leader="dot" w:pos="10631"/>
            </w:tabs>
          </w:pPr>
          <w:hyperlink w:anchor="_Toc76730">
            <w:r w:rsidR="009B1F56">
              <w:rPr>
                <w:rFonts w:ascii="Sylfaen" w:eastAsia="Sylfaen" w:hAnsi="Sylfaen" w:cs="Sylfaen"/>
              </w:rPr>
              <w:t>11. Intellectual Property Rights</w:t>
            </w:r>
            <w:r w:rsidR="009B1F56">
              <w:tab/>
            </w:r>
            <w:r w:rsidR="009B1F56">
              <w:fldChar w:fldCharType="begin"/>
            </w:r>
            <w:r w:rsidR="009B1F56">
              <w:instrText>PAGEREF _Toc76730 \h</w:instrText>
            </w:r>
            <w:r w:rsidR="009B1F56">
              <w:fldChar w:fldCharType="separate"/>
            </w:r>
            <w:r w:rsidR="009B1F56">
              <w:t xml:space="preserve">24 </w:t>
            </w:r>
            <w:r w:rsidR="009B1F56">
              <w:fldChar w:fldCharType="end"/>
            </w:r>
          </w:hyperlink>
        </w:p>
        <w:p w14:paraId="2B51F729" w14:textId="77777777" w:rsidR="00D1352F" w:rsidRDefault="00824C5E">
          <w:pPr>
            <w:pStyle w:val="TOC3"/>
            <w:tabs>
              <w:tab w:val="right" w:leader="dot" w:pos="10631"/>
            </w:tabs>
          </w:pPr>
          <w:hyperlink w:anchor="_Toc76731">
            <w:r w:rsidR="009B1F56">
              <w:rPr>
                <w:rFonts w:ascii="Sylfaen" w:eastAsia="Sylfaen" w:hAnsi="Sylfaen" w:cs="Sylfaen"/>
              </w:rPr>
              <w:t>12. Protection of information</w:t>
            </w:r>
            <w:r w:rsidR="009B1F56">
              <w:tab/>
            </w:r>
            <w:r w:rsidR="009B1F56">
              <w:fldChar w:fldCharType="begin"/>
            </w:r>
            <w:r w:rsidR="009B1F56">
              <w:instrText>PAGEREF _Toc76731 \h</w:instrText>
            </w:r>
            <w:r w:rsidR="009B1F56">
              <w:fldChar w:fldCharType="separate"/>
            </w:r>
            <w:r w:rsidR="009B1F56">
              <w:t xml:space="preserve">25 </w:t>
            </w:r>
            <w:r w:rsidR="009B1F56">
              <w:fldChar w:fldCharType="end"/>
            </w:r>
          </w:hyperlink>
        </w:p>
        <w:p w14:paraId="0283B46B" w14:textId="77777777" w:rsidR="00D1352F" w:rsidRDefault="00824C5E">
          <w:pPr>
            <w:pStyle w:val="TOC3"/>
            <w:tabs>
              <w:tab w:val="right" w:leader="dot" w:pos="10631"/>
            </w:tabs>
          </w:pPr>
          <w:hyperlink w:anchor="_Toc76732">
            <w:r w:rsidR="009B1F56">
              <w:rPr>
                <w:rFonts w:ascii="Sylfaen" w:eastAsia="Sylfaen" w:hAnsi="Sylfaen" w:cs="Sylfaen"/>
              </w:rPr>
              <w:t>13. Buyer data</w:t>
            </w:r>
            <w:r w:rsidR="009B1F56">
              <w:tab/>
            </w:r>
            <w:r w:rsidR="009B1F56">
              <w:fldChar w:fldCharType="begin"/>
            </w:r>
            <w:r w:rsidR="009B1F56">
              <w:instrText>PAGEREF _Toc76732 \h</w:instrText>
            </w:r>
            <w:r w:rsidR="009B1F56">
              <w:fldChar w:fldCharType="separate"/>
            </w:r>
            <w:r w:rsidR="009B1F56">
              <w:t xml:space="preserve">26 </w:t>
            </w:r>
            <w:r w:rsidR="009B1F56">
              <w:fldChar w:fldCharType="end"/>
            </w:r>
          </w:hyperlink>
        </w:p>
        <w:p w14:paraId="11AD1C27" w14:textId="77777777" w:rsidR="00D1352F" w:rsidRDefault="00824C5E">
          <w:pPr>
            <w:pStyle w:val="TOC3"/>
            <w:tabs>
              <w:tab w:val="right" w:leader="dot" w:pos="10631"/>
            </w:tabs>
          </w:pPr>
          <w:hyperlink w:anchor="_Toc76733">
            <w:r w:rsidR="009B1F56">
              <w:rPr>
                <w:rFonts w:ascii="Sylfaen" w:eastAsia="Sylfaen" w:hAnsi="Sylfaen" w:cs="Sylfaen"/>
              </w:rPr>
              <w:t>14. Standards and quality</w:t>
            </w:r>
            <w:r w:rsidR="009B1F56">
              <w:tab/>
            </w:r>
            <w:r w:rsidR="009B1F56">
              <w:fldChar w:fldCharType="begin"/>
            </w:r>
            <w:r w:rsidR="009B1F56">
              <w:instrText>PAGEREF _Toc76733 \h</w:instrText>
            </w:r>
            <w:r w:rsidR="009B1F56">
              <w:fldChar w:fldCharType="separate"/>
            </w:r>
            <w:r w:rsidR="009B1F56">
              <w:t xml:space="preserve">27 </w:t>
            </w:r>
            <w:r w:rsidR="009B1F56">
              <w:fldChar w:fldCharType="end"/>
            </w:r>
          </w:hyperlink>
        </w:p>
        <w:p w14:paraId="391DCF40" w14:textId="77777777" w:rsidR="00D1352F" w:rsidRDefault="00824C5E">
          <w:pPr>
            <w:pStyle w:val="TOC3"/>
            <w:tabs>
              <w:tab w:val="right" w:leader="dot" w:pos="10631"/>
            </w:tabs>
          </w:pPr>
          <w:hyperlink w:anchor="_Toc76734">
            <w:r w:rsidR="009B1F56">
              <w:rPr>
                <w:rFonts w:ascii="Sylfaen" w:eastAsia="Sylfaen" w:hAnsi="Sylfaen" w:cs="Sylfaen"/>
              </w:rPr>
              <w:t>15. Open source</w:t>
            </w:r>
            <w:r w:rsidR="009B1F56">
              <w:tab/>
            </w:r>
            <w:r w:rsidR="009B1F56">
              <w:fldChar w:fldCharType="begin"/>
            </w:r>
            <w:r w:rsidR="009B1F56">
              <w:instrText>PAGEREF _Toc76734 \h</w:instrText>
            </w:r>
            <w:r w:rsidR="009B1F56">
              <w:fldChar w:fldCharType="separate"/>
            </w:r>
            <w:r w:rsidR="009B1F56">
              <w:t xml:space="preserve">28 </w:t>
            </w:r>
            <w:r w:rsidR="009B1F56">
              <w:fldChar w:fldCharType="end"/>
            </w:r>
          </w:hyperlink>
        </w:p>
        <w:p w14:paraId="47A494E1" w14:textId="77777777" w:rsidR="00D1352F" w:rsidRDefault="00824C5E">
          <w:pPr>
            <w:pStyle w:val="TOC3"/>
            <w:tabs>
              <w:tab w:val="right" w:leader="dot" w:pos="10631"/>
            </w:tabs>
          </w:pPr>
          <w:hyperlink w:anchor="_Toc76735">
            <w:r w:rsidR="009B1F56">
              <w:rPr>
                <w:rFonts w:ascii="Sylfaen" w:eastAsia="Sylfaen" w:hAnsi="Sylfaen" w:cs="Sylfaen"/>
              </w:rPr>
              <w:t>16. Security</w:t>
            </w:r>
            <w:r w:rsidR="009B1F56">
              <w:tab/>
            </w:r>
            <w:r w:rsidR="009B1F56">
              <w:fldChar w:fldCharType="begin"/>
            </w:r>
            <w:r w:rsidR="009B1F56">
              <w:instrText>PAGEREF _Toc76735 \h</w:instrText>
            </w:r>
            <w:r w:rsidR="009B1F56">
              <w:fldChar w:fldCharType="separate"/>
            </w:r>
            <w:r w:rsidR="009B1F56">
              <w:t xml:space="preserve">28 </w:t>
            </w:r>
            <w:r w:rsidR="009B1F56">
              <w:fldChar w:fldCharType="end"/>
            </w:r>
          </w:hyperlink>
        </w:p>
        <w:p w14:paraId="0FF05249" w14:textId="77777777" w:rsidR="00D1352F" w:rsidRDefault="00824C5E">
          <w:pPr>
            <w:pStyle w:val="TOC2"/>
            <w:tabs>
              <w:tab w:val="right" w:leader="dot" w:pos="10631"/>
            </w:tabs>
          </w:pPr>
          <w:hyperlink w:anchor="_Toc76736">
            <w:r w:rsidR="009B1F56">
              <w:rPr>
                <w:rFonts w:ascii="Sylfaen" w:eastAsia="Sylfaen" w:hAnsi="Sylfaen" w:cs="Sylfaen"/>
              </w:rPr>
              <w:t>17. Guarantee</w:t>
            </w:r>
            <w:r w:rsidR="009B1F56">
              <w:tab/>
            </w:r>
            <w:r w:rsidR="009B1F56">
              <w:fldChar w:fldCharType="begin"/>
            </w:r>
            <w:r w:rsidR="009B1F56">
              <w:instrText>PAGEREF _Toc76736 \h</w:instrText>
            </w:r>
            <w:r w:rsidR="009B1F56">
              <w:fldChar w:fldCharType="separate"/>
            </w:r>
            <w:r w:rsidR="009B1F56">
              <w:t xml:space="preserve">29 </w:t>
            </w:r>
            <w:r w:rsidR="009B1F56">
              <w:fldChar w:fldCharType="end"/>
            </w:r>
          </w:hyperlink>
        </w:p>
        <w:p w14:paraId="11916622" w14:textId="77777777" w:rsidR="00D1352F" w:rsidRDefault="00824C5E">
          <w:pPr>
            <w:pStyle w:val="TOC2"/>
            <w:tabs>
              <w:tab w:val="right" w:leader="dot" w:pos="10631"/>
            </w:tabs>
          </w:pPr>
          <w:hyperlink w:anchor="_Toc76737">
            <w:r w:rsidR="009B1F56">
              <w:rPr>
                <w:rFonts w:ascii="Sylfaen" w:eastAsia="Sylfaen" w:hAnsi="Sylfaen" w:cs="Sylfaen"/>
              </w:rPr>
              <w:t>18. Ending the Call-Off Contract</w:t>
            </w:r>
            <w:r w:rsidR="009B1F56">
              <w:tab/>
            </w:r>
            <w:r w:rsidR="009B1F56">
              <w:fldChar w:fldCharType="begin"/>
            </w:r>
            <w:r w:rsidR="009B1F56">
              <w:instrText>PAGEREF _Toc76737 \h</w:instrText>
            </w:r>
            <w:r w:rsidR="009B1F56">
              <w:fldChar w:fldCharType="separate"/>
            </w:r>
            <w:r w:rsidR="009B1F56">
              <w:t xml:space="preserve">29 </w:t>
            </w:r>
            <w:r w:rsidR="009B1F56">
              <w:fldChar w:fldCharType="end"/>
            </w:r>
          </w:hyperlink>
        </w:p>
        <w:p w14:paraId="1207CEE4" w14:textId="77777777" w:rsidR="00D1352F" w:rsidRDefault="00824C5E">
          <w:pPr>
            <w:pStyle w:val="TOC2"/>
            <w:tabs>
              <w:tab w:val="right" w:leader="dot" w:pos="10631"/>
            </w:tabs>
          </w:pPr>
          <w:hyperlink w:anchor="_Toc76738">
            <w:r w:rsidR="009B1F56">
              <w:rPr>
                <w:rFonts w:ascii="Sylfaen" w:eastAsia="Sylfaen" w:hAnsi="Sylfaen" w:cs="Sylfaen"/>
              </w:rPr>
              <w:t>19. Consequences of suspension, ending and expiry</w:t>
            </w:r>
            <w:r w:rsidR="009B1F56">
              <w:tab/>
            </w:r>
            <w:r w:rsidR="009B1F56">
              <w:fldChar w:fldCharType="begin"/>
            </w:r>
            <w:r w:rsidR="009B1F56">
              <w:instrText>PAGEREF _Toc76738 \h</w:instrText>
            </w:r>
            <w:r w:rsidR="009B1F56">
              <w:fldChar w:fldCharType="separate"/>
            </w:r>
            <w:r w:rsidR="009B1F56">
              <w:t xml:space="preserve">30 </w:t>
            </w:r>
            <w:r w:rsidR="009B1F56">
              <w:fldChar w:fldCharType="end"/>
            </w:r>
          </w:hyperlink>
        </w:p>
        <w:p w14:paraId="5098BE91" w14:textId="77777777" w:rsidR="00D1352F" w:rsidRDefault="00824C5E">
          <w:pPr>
            <w:pStyle w:val="TOC2"/>
            <w:tabs>
              <w:tab w:val="right" w:leader="dot" w:pos="10631"/>
            </w:tabs>
          </w:pPr>
          <w:hyperlink w:anchor="_Toc76739">
            <w:r w:rsidR="009B1F56">
              <w:rPr>
                <w:rFonts w:ascii="Sylfaen" w:eastAsia="Sylfaen" w:hAnsi="Sylfaen" w:cs="Sylfaen"/>
              </w:rPr>
              <w:t>20. Notices</w:t>
            </w:r>
            <w:r w:rsidR="009B1F56">
              <w:tab/>
            </w:r>
            <w:r w:rsidR="009B1F56">
              <w:fldChar w:fldCharType="begin"/>
            </w:r>
            <w:r w:rsidR="009B1F56">
              <w:instrText>PAGEREF _Toc76739 \h</w:instrText>
            </w:r>
            <w:r w:rsidR="009B1F56">
              <w:fldChar w:fldCharType="separate"/>
            </w:r>
            <w:r w:rsidR="009B1F56">
              <w:t xml:space="preserve">31 </w:t>
            </w:r>
            <w:r w:rsidR="009B1F56">
              <w:fldChar w:fldCharType="end"/>
            </w:r>
          </w:hyperlink>
        </w:p>
        <w:p w14:paraId="0ED3B44B" w14:textId="77777777" w:rsidR="00D1352F" w:rsidRDefault="00824C5E">
          <w:pPr>
            <w:pStyle w:val="TOC2"/>
            <w:tabs>
              <w:tab w:val="right" w:leader="dot" w:pos="10631"/>
            </w:tabs>
          </w:pPr>
          <w:hyperlink w:anchor="_Toc76740">
            <w:r w:rsidR="009B1F56">
              <w:rPr>
                <w:rFonts w:ascii="Sylfaen" w:eastAsia="Sylfaen" w:hAnsi="Sylfaen" w:cs="Sylfaen"/>
              </w:rPr>
              <w:t>21. Exit plan</w:t>
            </w:r>
            <w:r w:rsidR="009B1F56">
              <w:tab/>
            </w:r>
            <w:r w:rsidR="009B1F56">
              <w:fldChar w:fldCharType="begin"/>
            </w:r>
            <w:r w:rsidR="009B1F56">
              <w:instrText>PAGEREF _Toc76740 \h</w:instrText>
            </w:r>
            <w:r w:rsidR="009B1F56">
              <w:fldChar w:fldCharType="separate"/>
            </w:r>
            <w:r w:rsidR="009B1F56">
              <w:t xml:space="preserve">32 </w:t>
            </w:r>
            <w:r w:rsidR="009B1F56">
              <w:fldChar w:fldCharType="end"/>
            </w:r>
          </w:hyperlink>
        </w:p>
        <w:p w14:paraId="6AB85F22" w14:textId="77777777" w:rsidR="00D1352F" w:rsidRDefault="00824C5E">
          <w:pPr>
            <w:pStyle w:val="TOC2"/>
            <w:tabs>
              <w:tab w:val="right" w:leader="dot" w:pos="10631"/>
            </w:tabs>
          </w:pPr>
          <w:hyperlink w:anchor="_Toc76741">
            <w:r w:rsidR="009B1F56">
              <w:rPr>
                <w:rFonts w:ascii="Sylfaen" w:eastAsia="Sylfaen" w:hAnsi="Sylfaen" w:cs="Sylfaen"/>
              </w:rPr>
              <w:t>22. Handover to replacement supplier</w:t>
            </w:r>
            <w:r w:rsidR="009B1F56">
              <w:tab/>
            </w:r>
            <w:r w:rsidR="009B1F56">
              <w:fldChar w:fldCharType="begin"/>
            </w:r>
            <w:r w:rsidR="009B1F56">
              <w:instrText>PAGEREF _Toc76741 \h</w:instrText>
            </w:r>
            <w:r w:rsidR="009B1F56">
              <w:fldChar w:fldCharType="separate"/>
            </w:r>
            <w:r w:rsidR="009B1F56">
              <w:t xml:space="preserve">33 </w:t>
            </w:r>
            <w:r w:rsidR="009B1F56">
              <w:fldChar w:fldCharType="end"/>
            </w:r>
          </w:hyperlink>
        </w:p>
        <w:p w14:paraId="3E269CE7" w14:textId="77777777" w:rsidR="00D1352F" w:rsidRDefault="00824C5E">
          <w:pPr>
            <w:pStyle w:val="TOC2"/>
            <w:tabs>
              <w:tab w:val="right" w:leader="dot" w:pos="10631"/>
            </w:tabs>
          </w:pPr>
          <w:hyperlink w:anchor="_Toc76742">
            <w:r w:rsidR="009B1F56">
              <w:rPr>
                <w:rFonts w:ascii="Sylfaen" w:eastAsia="Sylfaen" w:hAnsi="Sylfaen" w:cs="Sylfaen"/>
              </w:rPr>
              <w:t>23. Force majeure</w:t>
            </w:r>
            <w:r w:rsidR="009B1F56">
              <w:tab/>
            </w:r>
            <w:r w:rsidR="009B1F56">
              <w:fldChar w:fldCharType="begin"/>
            </w:r>
            <w:r w:rsidR="009B1F56">
              <w:instrText>PAGEREF _Toc76742 \h</w:instrText>
            </w:r>
            <w:r w:rsidR="009B1F56">
              <w:fldChar w:fldCharType="separate"/>
            </w:r>
            <w:r w:rsidR="009B1F56">
              <w:t xml:space="preserve">33 </w:t>
            </w:r>
            <w:r w:rsidR="009B1F56">
              <w:fldChar w:fldCharType="end"/>
            </w:r>
          </w:hyperlink>
        </w:p>
        <w:p w14:paraId="6A5E25ED" w14:textId="77777777" w:rsidR="00D1352F" w:rsidRDefault="00824C5E">
          <w:pPr>
            <w:pStyle w:val="TOC2"/>
            <w:tabs>
              <w:tab w:val="right" w:leader="dot" w:pos="10631"/>
            </w:tabs>
          </w:pPr>
          <w:hyperlink w:anchor="_Toc76743">
            <w:r w:rsidR="009B1F56">
              <w:rPr>
                <w:rFonts w:ascii="Sylfaen" w:eastAsia="Sylfaen" w:hAnsi="Sylfaen" w:cs="Sylfaen"/>
              </w:rPr>
              <w:t>24. Liability</w:t>
            </w:r>
            <w:r w:rsidR="009B1F56">
              <w:tab/>
            </w:r>
            <w:r w:rsidR="009B1F56">
              <w:fldChar w:fldCharType="begin"/>
            </w:r>
            <w:r w:rsidR="009B1F56">
              <w:instrText>PAGEREF _Toc76743 \h</w:instrText>
            </w:r>
            <w:r w:rsidR="009B1F56">
              <w:fldChar w:fldCharType="separate"/>
            </w:r>
            <w:r w:rsidR="009B1F56">
              <w:t xml:space="preserve">34 </w:t>
            </w:r>
            <w:r w:rsidR="009B1F56">
              <w:fldChar w:fldCharType="end"/>
            </w:r>
          </w:hyperlink>
        </w:p>
        <w:p w14:paraId="38E1F766" w14:textId="77777777" w:rsidR="00D1352F" w:rsidRDefault="00824C5E">
          <w:pPr>
            <w:pStyle w:val="TOC2"/>
            <w:tabs>
              <w:tab w:val="right" w:leader="dot" w:pos="10631"/>
            </w:tabs>
          </w:pPr>
          <w:hyperlink w:anchor="_Toc76744">
            <w:r w:rsidR="009B1F56">
              <w:rPr>
                <w:rFonts w:ascii="Sylfaen" w:eastAsia="Sylfaen" w:hAnsi="Sylfaen" w:cs="Sylfaen"/>
              </w:rPr>
              <w:t>25. Premises</w:t>
            </w:r>
            <w:r w:rsidR="009B1F56">
              <w:tab/>
            </w:r>
            <w:r w:rsidR="009B1F56">
              <w:fldChar w:fldCharType="begin"/>
            </w:r>
            <w:r w:rsidR="009B1F56">
              <w:instrText>PAGEREF _Toc76744 \h</w:instrText>
            </w:r>
            <w:r w:rsidR="009B1F56">
              <w:fldChar w:fldCharType="separate"/>
            </w:r>
            <w:r w:rsidR="009B1F56">
              <w:t xml:space="preserve">34 </w:t>
            </w:r>
            <w:r w:rsidR="009B1F56">
              <w:fldChar w:fldCharType="end"/>
            </w:r>
          </w:hyperlink>
        </w:p>
        <w:p w14:paraId="4FDCD906" w14:textId="77777777" w:rsidR="00D1352F" w:rsidRDefault="00824C5E">
          <w:pPr>
            <w:pStyle w:val="TOC2"/>
            <w:tabs>
              <w:tab w:val="right" w:leader="dot" w:pos="10631"/>
            </w:tabs>
          </w:pPr>
          <w:hyperlink w:anchor="_Toc76745">
            <w:r w:rsidR="009B1F56">
              <w:rPr>
                <w:rFonts w:ascii="Sylfaen" w:eastAsia="Sylfaen" w:hAnsi="Sylfaen" w:cs="Sylfaen"/>
              </w:rPr>
              <w:t>26. Equipment</w:t>
            </w:r>
            <w:r w:rsidR="009B1F56">
              <w:tab/>
            </w:r>
            <w:r w:rsidR="009B1F56">
              <w:fldChar w:fldCharType="begin"/>
            </w:r>
            <w:r w:rsidR="009B1F56">
              <w:instrText>PAGEREF _Toc76745 \h</w:instrText>
            </w:r>
            <w:r w:rsidR="009B1F56">
              <w:fldChar w:fldCharType="separate"/>
            </w:r>
            <w:r w:rsidR="009B1F56">
              <w:t xml:space="preserve">35 </w:t>
            </w:r>
            <w:r w:rsidR="009B1F56">
              <w:fldChar w:fldCharType="end"/>
            </w:r>
          </w:hyperlink>
        </w:p>
        <w:p w14:paraId="667E9444" w14:textId="77777777" w:rsidR="00D1352F" w:rsidRDefault="00824C5E">
          <w:pPr>
            <w:pStyle w:val="TOC2"/>
            <w:tabs>
              <w:tab w:val="right" w:leader="dot" w:pos="10631"/>
            </w:tabs>
          </w:pPr>
          <w:hyperlink w:anchor="_Toc76746">
            <w:r w:rsidR="009B1F56">
              <w:rPr>
                <w:rFonts w:ascii="Sylfaen" w:eastAsia="Sylfaen" w:hAnsi="Sylfaen" w:cs="Sylfaen"/>
              </w:rPr>
              <w:t>27. The Contracts (Rights of Third Parties) Act 1999</w:t>
            </w:r>
            <w:r w:rsidR="009B1F56">
              <w:tab/>
            </w:r>
            <w:r w:rsidR="009B1F56">
              <w:fldChar w:fldCharType="begin"/>
            </w:r>
            <w:r w:rsidR="009B1F56">
              <w:instrText>PAGEREF _Toc76746 \h</w:instrText>
            </w:r>
            <w:r w:rsidR="009B1F56">
              <w:fldChar w:fldCharType="separate"/>
            </w:r>
            <w:r w:rsidR="009B1F56">
              <w:t xml:space="preserve">35 </w:t>
            </w:r>
            <w:r w:rsidR="009B1F56">
              <w:fldChar w:fldCharType="end"/>
            </w:r>
          </w:hyperlink>
        </w:p>
        <w:p w14:paraId="210AF3C9" w14:textId="77777777" w:rsidR="00D1352F" w:rsidRDefault="00824C5E">
          <w:pPr>
            <w:pStyle w:val="TOC2"/>
            <w:tabs>
              <w:tab w:val="right" w:leader="dot" w:pos="10631"/>
            </w:tabs>
          </w:pPr>
          <w:hyperlink w:anchor="_Toc76747">
            <w:r w:rsidR="009B1F56">
              <w:rPr>
                <w:rFonts w:ascii="Sylfaen" w:eastAsia="Sylfaen" w:hAnsi="Sylfaen" w:cs="Sylfaen"/>
              </w:rPr>
              <w:t>28. Environmental requirements</w:t>
            </w:r>
            <w:r w:rsidR="009B1F56">
              <w:tab/>
            </w:r>
            <w:r w:rsidR="009B1F56">
              <w:fldChar w:fldCharType="begin"/>
            </w:r>
            <w:r w:rsidR="009B1F56">
              <w:instrText>PAGEREF _Toc76747 \h</w:instrText>
            </w:r>
            <w:r w:rsidR="009B1F56">
              <w:fldChar w:fldCharType="separate"/>
            </w:r>
            <w:r w:rsidR="009B1F56">
              <w:t xml:space="preserve">35 </w:t>
            </w:r>
            <w:r w:rsidR="009B1F56">
              <w:fldChar w:fldCharType="end"/>
            </w:r>
          </w:hyperlink>
        </w:p>
        <w:p w14:paraId="3C371BE5" w14:textId="77777777" w:rsidR="00D1352F" w:rsidRDefault="00824C5E">
          <w:pPr>
            <w:pStyle w:val="TOC2"/>
            <w:tabs>
              <w:tab w:val="right" w:leader="dot" w:pos="10631"/>
            </w:tabs>
          </w:pPr>
          <w:hyperlink w:anchor="_Toc76748">
            <w:r w:rsidR="009B1F56">
              <w:rPr>
                <w:rFonts w:ascii="Sylfaen" w:eastAsia="Sylfaen" w:hAnsi="Sylfaen" w:cs="Sylfaen"/>
              </w:rPr>
              <w:t>29. The Employment Regulations (TUPE)</w:t>
            </w:r>
            <w:r w:rsidR="009B1F56">
              <w:tab/>
            </w:r>
            <w:r w:rsidR="009B1F56">
              <w:fldChar w:fldCharType="begin"/>
            </w:r>
            <w:r w:rsidR="009B1F56">
              <w:instrText>PAGEREF _Toc76748 \h</w:instrText>
            </w:r>
            <w:r w:rsidR="009B1F56">
              <w:fldChar w:fldCharType="separate"/>
            </w:r>
            <w:r w:rsidR="009B1F56">
              <w:t xml:space="preserve">35 </w:t>
            </w:r>
            <w:r w:rsidR="009B1F56">
              <w:fldChar w:fldCharType="end"/>
            </w:r>
          </w:hyperlink>
        </w:p>
        <w:p w14:paraId="2935EAAC" w14:textId="77777777" w:rsidR="00D1352F" w:rsidRDefault="00824C5E">
          <w:pPr>
            <w:pStyle w:val="TOC2"/>
            <w:tabs>
              <w:tab w:val="right" w:leader="dot" w:pos="10631"/>
            </w:tabs>
          </w:pPr>
          <w:hyperlink w:anchor="_Toc76749">
            <w:r w:rsidR="009B1F56">
              <w:rPr>
                <w:rFonts w:ascii="Sylfaen" w:eastAsia="Sylfaen" w:hAnsi="Sylfaen" w:cs="Sylfaen"/>
              </w:rPr>
              <w:t>30. Additional G-Cloud services</w:t>
            </w:r>
            <w:r w:rsidR="009B1F56">
              <w:tab/>
            </w:r>
            <w:r w:rsidR="009B1F56">
              <w:fldChar w:fldCharType="begin"/>
            </w:r>
            <w:r w:rsidR="009B1F56">
              <w:instrText>PAGEREF _Toc76749 \h</w:instrText>
            </w:r>
            <w:r w:rsidR="009B1F56">
              <w:fldChar w:fldCharType="separate"/>
            </w:r>
            <w:r w:rsidR="009B1F56">
              <w:t xml:space="preserve">37 </w:t>
            </w:r>
            <w:r w:rsidR="009B1F56">
              <w:fldChar w:fldCharType="end"/>
            </w:r>
          </w:hyperlink>
        </w:p>
        <w:p w14:paraId="14789118" w14:textId="77777777" w:rsidR="00D1352F" w:rsidRDefault="00824C5E">
          <w:pPr>
            <w:pStyle w:val="TOC2"/>
            <w:tabs>
              <w:tab w:val="right" w:leader="dot" w:pos="10631"/>
            </w:tabs>
          </w:pPr>
          <w:hyperlink w:anchor="_Toc76750">
            <w:r w:rsidR="009B1F56">
              <w:rPr>
                <w:rFonts w:ascii="Sylfaen" w:eastAsia="Sylfaen" w:hAnsi="Sylfaen" w:cs="Sylfaen"/>
              </w:rPr>
              <w:t>31. Collaboration</w:t>
            </w:r>
            <w:r w:rsidR="009B1F56">
              <w:tab/>
            </w:r>
            <w:r w:rsidR="009B1F56">
              <w:fldChar w:fldCharType="begin"/>
            </w:r>
            <w:r w:rsidR="009B1F56">
              <w:instrText>PAGEREF _Toc76750 \h</w:instrText>
            </w:r>
            <w:r w:rsidR="009B1F56">
              <w:fldChar w:fldCharType="separate"/>
            </w:r>
            <w:r w:rsidR="009B1F56">
              <w:t xml:space="preserve">37 </w:t>
            </w:r>
            <w:r w:rsidR="009B1F56">
              <w:fldChar w:fldCharType="end"/>
            </w:r>
          </w:hyperlink>
        </w:p>
        <w:p w14:paraId="7062F991" w14:textId="77777777" w:rsidR="00D1352F" w:rsidRDefault="00824C5E">
          <w:pPr>
            <w:pStyle w:val="TOC2"/>
            <w:tabs>
              <w:tab w:val="right" w:leader="dot" w:pos="10631"/>
            </w:tabs>
          </w:pPr>
          <w:hyperlink w:anchor="_Toc76751">
            <w:r w:rsidR="009B1F56">
              <w:rPr>
                <w:rFonts w:ascii="Sylfaen" w:eastAsia="Sylfaen" w:hAnsi="Sylfaen" w:cs="Sylfaen"/>
              </w:rPr>
              <w:t>32. Variation process</w:t>
            </w:r>
            <w:r w:rsidR="009B1F56">
              <w:tab/>
            </w:r>
            <w:r w:rsidR="009B1F56">
              <w:fldChar w:fldCharType="begin"/>
            </w:r>
            <w:r w:rsidR="009B1F56">
              <w:instrText>PAGEREF _Toc76751 \h</w:instrText>
            </w:r>
            <w:r w:rsidR="009B1F56">
              <w:fldChar w:fldCharType="separate"/>
            </w:r>
            <w:r w:rsidR="009B1F56">
              <w:t xml:space="preserve">37 </w:t>
            </w:r>
            <w:r w:rsidR="009B1F56">
              <w:fldChar w:fldCharType="end"/>
            </w:r>
          </w:hyperlink>
        </w:p>
        <w:p w14:paraId="200D2431" w14:textId="77777777" w:rsidR="00D1352F" w:rsidRDefault="00824C5E">
          <w:pPr>
            <w:pStyle w:val="TOC2"/>
            <w:tabs>
              <w:tab w:val="right" w:leader="dot" w:pos="10631"/>
            </w:tabs>
          </w:pPr>
          <w:hyperlink w:anchor="_Toc76752">
            <w:r w:rsidR="009B1F56">
              <w:rPr>
                <w:rFonts w:ascii="Sylfaen" w:eastAsia="Sylfaen" w:hAnsi="Sylfaen" w:cs="Sylfaen"/>
              </w:rPr>
              <w:t>33. Data Protection Legislation (GDPR)</w:t>
            </w:r>
            <w:r w:rsidR="009B1F56">
              <w:tab/>
            </w:r>
            <w:r w:rsidR="009B1F56">
              <w:fldChar w:fldCharType="begin"/>
            </w:r>
            <w:r w:rsidR="009B1F56">
              <w:instrText>PAGEREF _Toc76752 \h</w:instrText>
            </w:r>
            <w:r w:rsidR="009B1F56">
              <w:fldChar w:fldCharType="separate"/>
            </w:r>
            <w:r w:rsidR="009B1F56">
              <w:t xml:space="preserve">38 </w:t>
            </w:r>
            <w:r w:rsidR="009B1F56">
              <w:fldChar w:fldCharType="end"/>
            </w:r>
          </w:hyperlink>
        </w:p>
        <w:p w14:paraId="333230A9" w14:textId="77777777" w:rsidR="00D1352F" w:rsidRDefault="00824C5E">
          <w:pPr>
            <w:pStyle w:val="TOC1"/>
            <w:tabs>
              <w:tab w:val="right" w:leader="dot" w:pos="10631"/>
            </w:tabs>
          </w:pPr>
          <w:hyperlink w:anchor="_Toc76753">
            <w:r w:rsidR="009B1F56">
              <w:rPr>
                <w:rFonts w:ascii="Sylfaen" w:eastAsia="Sylfaen" w:hAnsi="Sylfaen" w:cs="Sylfaen"/>
              </w:rPr>
              <w:t>Schedule 3 - Collaboration agreement</w:t>
            </w:r>
            <w:r w:rsidR="009B1F56">
              <w:tab/>
            </w:r>
            <w:r w:rsidR="009B1F56">
              <w:fldChar w:fldCharType="begin"/>
            </w:r>
            <w:r w:rsidR="009B1F56">
              <w:instrText>PAGEREF _Toc76753 \h</w:instrText>
            </w:r>
            <w:r w:rsidR="009B1F56">
              <w:fldChar w:fldCharType="separate"/>
            </w:r>
            <w:r w:rsidR="009B1F56">
              <w:t xml:space="preserve">38 </w:t>
            </w:r>
            <w:r w:rsidR="009B1F56">
              <w:fldChar w:fldCharType="end"/>
            </w:r>
          </w:hyperlink>
        </w:p>
        <w:p w14:paraId="27819A77" w14:textId="77777777" w:rsidR="00D1352F" w:rsidRDefault="00824C5E">
          <w:pPr>
            <w:pStyle w:val="TOC1"/>
            <w:tabs>
              <w:tab w:val="right" w:leader="dot" w:pos="10631"/>
            </w:tabs>
          </w:pPr>
          <w:hyperlink w:anchor="_Toc76754">
            <w:r w:rsidR="009B1F56">
              <w:rPr>
                <w:rFonts w:ascii="Sylfaen" w:eastAsia="Sylfaen" w:hAnsi="Sylfaen" w:cs="Sylfaen"/>
              </w:rPr>
              <w:t>Schedule 4 - Alternative clauses</w:t>
            </w:r>
            <w:r w:rsidR="009B1F56">
              <w:tab/>
            </w:r>
            <w:r w:rsidR="009B1F56">
              <w:fldChar w:fldCharType="begin"/>
            </w:r>
            <w:r w:rsidR="009B1F56">
              <w:instrText>PAGEREF _Toc76754 \h</w:instrText>
            </w:r>
            <w:r w:rsidR="009B1F56">
              <w:fldChar w:fldCharType="separate"/>
            </w:r>
            <w:r w:rsidR="009B1F56">
              <w:t xml:space="preserve">38 </w:t>
            </w:r>
            <w:r w:rsidR="009B1F56">
              <w:fldChar w:fldCharType="end"/>
            </w:r>
          </w:hyperlink>
        </w:p>
        <w:p w14:paraId="320F7D41" w14:textId="77777777" w:rsidR="00D1352F" w:rsidRDefault="00824C5E">
          <w:pPr>
            <w:pStyle w:val="TOC1"/>
            <w:tabs>
              <w:tab w:val="right" w:leader="dot" w:pos="10631"/>
            </w:tabs>
          </w:pPr>
          <w:hyperlink w:anchor="_Toc76755">
            <w:r w:rsidR="009B1F56">
              <w:rPr>
                <w:rFonts w:ascii="Sylfaen" w:eastAsia="Sylfaen" w:hAnsi="Sylfaen" w:cs="Sylfaen"/>
              </w:rPr>
              <w:t>Schedule 5 - Guarantee</w:t>
            </w:r>
            <w:r w:rsidR="009B1F56">
              <w:tab/>
            </w:r>
            <w:r w:rsidR="009B1F56">
              <w:fldChar w:fldCharType="begin"/>
            </w:r>
            <w:r w:rsidR="009B1F56">
              <w:instrText>PAGEREF _Toc76755 \h</w:instrText>
            </w:r>
            <w:r w:rsidR="009B1F56">
              <w:fldChar w:fldCharType="separate"/>
            </w:r>
            <w:r w:rsidR="009B1F56">
              <w:t xml:space="preserve">38 </w:t>
            </w:r>
            <w:r w:rsidR="009B1F56">
              <w:fldChar w:fldCharType="end"/>
            </w:r>
          </w:hyperlink>
        </w:p>
        <w:p w14:paraId="1744FF08" w14:textId="77777777" w:rsidR="00D1352F" w:rsidRDefault="00824C5E">
          <w:pPr>
            <w:pStyle w:val="TOC1"/>
            <w:tabs>
              <w:tab w:val="right" w:leader="dot" w:pos="10631"/>
            </w:tabs>
          </w:pPr>
          <w:hyperlink w:anchor="_Toc76756">
            <w:r w:rsidR="009B1F56">
              <w:rPr>
                <w:rFonts w:ascii="Sylfaen" w:eastAsia="Sylfaen" w:hAnsi="Sylfaen" w:cs="Sylfaen"/>
              </w:rPr>
              <w:t>Schedule 6 - Glossary and interpretations</w:t>
            </w:r>
            <w:r w:rsidR="009B1F56">
              <w:tab/>
            </w:r>
            <w:r w:rsidR="009B1F56">
              <w:fldChar w:fldCharType="begin"/>
            </w:r>
            <w:r w:rsidR="009B1F56">
              <w:instrText>PAGEREF _Toc76756 \h</w:instrText>
            </w:r>
            <w:r w:rsidR="009B1F56">
              <w:fldChar w:fldCharType="separate"/>
            </w:r>
            <w:r w:rsidR="009B1F56">
              <w:t xml:space="preserve">38 </w:t>
            </w:r>
            <w:r w:rsidR="009B1F56">
              <w:fldChar w:fldCharType="end"/>
            </w:r>
          </w:hyperlink>
        </w:p>
        <w:p w14:paraId="4CF89645" w14:textId="77777777" w:rsidR="00D1352F" w:rsidRDefault="00824C5E">
          <w:pPr>
            <w:pStyle w:val="TOC1"/>
            <w:tabs>
              <w:tab w:val="right" w:leader="dot" w:pos="10631"/>
            </w:tabs>
          </w:pPr>
          <w:hyperlink w:anchor="_Toc76757">
            <w:r w:rsidR="009B1F56">
              <w:rPr>
                <w:rFonts w:ascii="Sylfaen" w:eastAsia="Sylfaen" w:hAnsi="Sylfaen" w:cs="Sylfaen"/>
              </w:rPr>
              <w:t>Annex A – DfE Supplemental Clauses</w:t>
            </w:r>
            <w:r w:rsidR="009B1F56">
              <w:tab/>
            </w:r>
            <w:r w:rsidR="009B1F56">
              <w:fldChar w:fldCharType="begin"/>
            </w:r>
            <w:r w:rsidR="009B1F56">
              <w:instrText>PAGEREF _Toc76757 \h</w:instrText>
            </w:r>
            <w:r w:rsidR="009B1F56">
              <w:fldChar w:fldCharType="separate"/>
            </w:r>
            <w:r w:rsidR="009B1F56">
              <w:t xml:space="preserve">46 </w:t>
            </w:r>
            <w:r w:rsidR="009B1F56">
              <w:fldChar w:fldCharType="end"/>
            </w:r>
          </w:hyperlink>
        </w:p>
        <w:p w14:paraId="77A9B007" w14:textId="77777777" w:rsidR="00D1352F" w:rsidRDefault="00824C5E">
          <w:pPr>
            <w:pStyle w:val="TOC1"/>
            <w:tabs>
              <w:tab w:val="right" w:leader="dot" w:pos="10631"/>
            </w:tabs>
          </w:pPr>
          <w:hyperlink w:anchor="_Toc76758">
            <w:r w:rsidR="009B1F56">
              <w:rPr>
                <w:rFonts w:ascii="Sylfaen" w:eastAsia="Sylfaen" w:hAnsi="Sylfaen" w:cs="Sylfaen"/>
              </w:rPr>
              <w:t>Annex B – RFQ Template</w:t>
            </w:r>
            <w:r w:rsidR="009B1F56">
              <w:tab/>
            </w:r>
            <w:r w:rsidR="009B1F56">
              <w:fldChar w:fldCharType="begin"/>
            </w:r>
            <w:r w:rsidR="009B1F56">
              <w:instrText>PAGEREF _Toc76758 \h</w:instrText>
            </w:r>
            <w:r w:rsidR="009B1F56">
              <w:fldChar w:fldCharType="separate"/>
            </w:r>
            <w:r w:rsidR="009B1F56">
              <w:t xml:space="preserve">46 </w:t>
            </w:r>
            <w:r w:rsidR="009B1F56">
              <w:fldChar w:fldCharType="end"/>
            </w:r>
          </w:hyperlink>
        </w:p>
        <w:p w14:paraId="43D2EA03" w14:textId="77777777" w:rsidR="00D1352F" w:rsidRDefault="00824C5E">
          <w:pPr>
            <w:pStyle w:val="TOC1"/>
            <w:tabs>
              <w:tab w:val="right" w:leader="dot" w:pos="10631"/>
            </w:tabs>
          </w:pPr>
          <w:hyperlink w:anchor="_Toc76759">
            <w:r w:rsidR="009B1F56">
              <w:rPr>
                <w:rFonts w:ascii="Sylfaen" w:eastAsia="Sylfaen" w:hAnsi="Sylfaen" w:cs="Sylfaen"/>
              </w:rPr>
              <w:t>Annex C – Monthly Service Report</w:t>
            </w:r>
            <w:r w:rsidR="009B1F56">
              <w:tab/>
            </w:r>
            <w:r w:rsidR="009B1F56">
              <w:fldChar w:fldCharType="begin"/>
            </w:r>
            <w:r w:rsidR="009B1F56">
              <w:instrText>PAGEREF _Toc76759 \h</w:instrText>
            </w:r>
            <w:r w:rsidR="009B1F56">
              <w:fldChar w:fldCharType="separate"/>
            </w:r>
            <w:r w:rsidR="009B1F56">
              <w:t xml:space="preserve">47 </w:t>
            </w:r>
            <w:r w:rsidR="009B1F56">
              <w:fldChar w:fldCharType="end"/>
            </w:r>
          </w:hyperlink>
        </w:p>
        <w:p w14:paraId="0D685D78" w14:textId="77777777" w:rsidR="00D1352F" w:rsidRDefault="00824C5E">
          <w:pPr>
            <w:pStyle w:val="TOC1"/>
            <w:tabs>
              <w:tab w:val="right" w:leader="dot" w:pos="10631"/>
            </w:tabs>
          </w:pPr>
          <w:hyperlink w:anchor="_Toc76760">
            <w:r w:rsidR="009B1F56">
              <w:rPr>
                <w:rFonts w:ascii="Sylfaen" w:eastAsia="Sylfaen" w:hAnsi="Sylfaen" w:cs="Sylfaen"/>
              </w:rPr>
              <w:t>Annex D - Requirement document</w:t>
            </w:r>
            <w:r w:rsidR="009B1F56">
              <w:tab/>
            </w:r>
            <w:r w:rsidR="009B1F56">
              <w:fldChar w:fldCharType="begin"/>
            </w:r>
            <w:r w:rsidR="009B1F56">
              <w:instrText>PAGEREF _Toc76760 \h</w:instrText>
            </w:r>
            <w:r w:rsidR="009B1F56">
              <w:fldChar w:fldCharType="separate"/>
            </w:r>
            <w:r w:rsidR="009B1F56">
              <w:t xml:space="preserve">47 </w:t>
            </w:r>
            <w:r w:rsidR="009B1F56">
              <w:fldChar w:fldCharType="end"/>
            </w:r>
          </w:hyperlink>
        </w:p>
        <w:p w14:paraId="77D6790A" w14:textId="77777777" w:rsidR="00D1352F" w:rsidRDefault="00824C5E">
          <w:pPr>
            <w:pStyle w:val="TOC1"/>
            <w:tabs>
              <w:tab w:val="right" w:leader="dot" w:pos="10631"/>
            </w:tabs>
          </w:pPr>
          <w:hyperlink w:anchor="_Toc76761">
            <w:r w:rsidR="009B1F56">
              <w:rPr>
                <w:rFonts w:ascii="Sylfaen" w:eastAsia="Sylfaen" w:hAnsi="Sylfaen" w:cs="Sylfaen"/>
              </w:rPr>
              <w:t>Annex E - Framework Agreement</w:t>
            </w:r>
            <w:r w:rsidR="009B1F56">
              <w:tab/>
            </w:r>
            <w:r w:rsidR="009B1F56">
              <w:fldChar w:fldCharType="begin"/>
            </w:r>
            <w:r w:rsidR="009B1F56">
              <w:instrText>PAGEREF _Toc76761 \h</w:instrText>
            </w:r>
            <w:r w:rsidR="009B1F56">
              <w:fldChar w:fldCharType="separate"/>
            </w:r>
            <w:r w:rsidR="009B1F56">
              <w:t xml:space="preserve">47 </w:t>
            </w:r>
            <w:r w:rsidR="009B1F56">
              <w:fldChar w:fldCharType="end"/>
            </w:r>
          </w:hyperlink>
        </w:p>
        <w:p w14:paraId="79EE7A87" w14:textId="77777777" w:rsidR="00D1352F" w:rsidRDefault="00824C5E">
          <w:pPr>
            <w:pStyle w:val="TOC1"/>
            <w:tabs>
              <w:tab w:val="right" w:leader="dot" w:pos="10631"/>
            </w:tabs>
          </w:pPr>
          <w:hyperlink w:anchor="_Toc76762">
            <w:r w:rsidR="009B1F56">
              <w:rPr>
                <w:rFonts w:ascii="Sylfaen" w:eastAsia="Sylfaen" w:hAnsi="Sylfaen" w:cs="Sylfaen"/>
              </w:rPr>
              <w:t>Schedule 7 - GDPR Information</w:t>
            </w:r>
            <w:r w:rsidR="009B1F56">
              <w:tab/>
            </w:r>
            <w:r w:rsidR="009B1F56">
              <w:fldChar w:fldCharType="begin"/>
            </w:r>
            <w:r w:rsidR="009B1F56">
              <w:instrText>PAGEREF _Toc76762 \h</w:instrText>
            </w:r>
            <w:r w:rsidR="009B1F56">
              <w:fldChar w:fldCharType="separate"/>
            </w:r>
            <w:r w:rsidR="009B1F56">
              <w:t xml:space="preserve">48 </w:t>
            </w:r>
            <w:r w:rsidR="009B1F56">
              <w:fldChar w:fldCharType="end"/>
            </w:r>
          </w:hyperlink>
        </w:p>
        <w:p w14:paraId="4CDF7DA9" w14:textId="77777777" w:rsidR="00D1352F" w:rsidRDefault="00824C5E">
          <w:pPr>
            <w:pStyle w:val="TOC1"/>
            <w:tabs>
              <w:tab w:val="right" w:leader="dot" w:pos="10631"/>
            </w:tabs>
          </w:pPr>
          <w:hyperlink w:anchor="_Toc76763">
            <w:r w:rsidR="009B1F56">
              <w:rPr>
                <w:rFonts w:ascii="Sylfaen" w:eastAsia="Sylfaen" w:hAnsi="Sylfaen" w:cs="Sylfaen"/>
              </w:rPr>
              <w:t>Annex 1 - Processing Personal Data</w:t>
            </w:r>
            <w:r w:rsidR="009B1F56">
              <w:tab/>
            </w:r>
            <w:r w:rsidR="009B1F56">
              <w:fldChar w:fldCharType="begin"/>
            </w:r>
            <w:r w:rsidR="009B1F56">
              <w:instrText>PAGEREF _Toc76763 \h</w:instrText>
            </w:r>
            <w:r w:rsidR="009B1F56">
              <w:fldChar w:fldCharType="separate"/>
            </w:r>
            <w:r w:rsidR="009B1F56">
              <w:t xml:space="preserve">48 </w:t>
            </w:r>
            <w:r w:rsidR="009B1F56">
              <w:fldChar w:fldCharType="end"/>
            </w:r>
          </w:hyperlink>
        </w:p>
        <w:p w14:paraId="34E49689" w14:textId="77777777" w:rsidR="00D1352F" w:rsidRDefault="009B1F56">
          <w:r>
            <w:fldChar w:fldCharType="end"/>
          </w:r>
        </w:p>
      </w:sdtContent>
    </w:sdt>
    <w:p w14:paraId="406FCCF4" w14:textId="77777777" w:rsidR="00D1352F" w:rsidRDefault="009B1F56">
      <w:pPr>
        <w:spacing w:after="223" w:line="259" w:lineRule="auto"/>
        <w:ind w:left="5" w:firstLine="0"/>
      </w:pPr>
      <w:r>
        <w:lastRenderedPageBreak/>
        <w:t xml:space="preserve"> </w:t>
      </w:r>
    </w:p>
    <w:p w14:paraId="1C16758C" w14:textId="77777777" w:rsidR="00D1352F" w:rsidRDefault="009B1F56">
      <w:pPr>
        <w:spacing w:after="218" w:line="259" w:lineRule="auto"/>
        <w:ind w:left="5" w:firstLine="0"/>
      </w:pPr>
      <w:r>
        <w:t xml:space="preserve"> </w:t>
      </w:r>
    </w:p>
    <w:p w14:paraId="24A84B96" w14:textId="77777777" w:rsidR="00D1352F" w:rsidRDefault="009B1F56">
      <w:pPr>
        <w:spacing w:after="0" w:line="259" w:lineRule="auto"/>
        <w:ind w:left="5" w:firstLine="0"/>
      </w:pPr>
      <w:r>
        <w:t xml:space="preserve"> </w:t>
      </w:r>
    </w:p>
    <w:p w14:paraId="67687728" w14:textId="77777777" w:rsidR="00D1352F" w:rsidRDefault="009B1F56">
      <w:pPr>
        <w:spacing w:after="218" w:line="259" w:lineRule="auto"/>
        <w:ind w:left="5" w:firstLine="0"/>
      </w:pPr>
      <w:r>
        <w:t xml:space="preserve"> </w:t>
      </w:r>
    </w:p>
    <w:p w14:paraId="2DB0262E" w14:textId="77777777" w:rsidR="00D1352F" w:rsidRDefault="009B1F56">
      <w:pPr>
        <w:spacing w:after="218" w:line="259" w:lineRule="auto"/>
        <w:ind w:left="5" w:firstLine="0"/>
      </w:pPr>
      <w:r>
        <w:t xml:space="preserve"> </w:t>
      </w:r>
    </w:p>
    <w:p w14:paraId="59B574B9" w14:textId="77777777" w:rsidR="00D1352F" w:rsidRDefault="009B1F56">
      <w:pPr>
        <w:spacing w:after="223" w:line="259" w:lineRule="auto"/>
        <w:ind w:left="5" w:firstLine="0"/>
      </w:pPr>
      <w:r>
        <w:t xml:space="preserve"> </w:t>
      </w:r>
    </w:p>
    <w:p w14:paraId="214BB806" w14:textId="77777777" w:rsidR="00D1352F" w:rsidRDefault="009B1F56">
      <w:pPr>
        <w:spacing w:after="218" w:line="259" w:lineRule="auto"/>
        <w:ind w:left="5" w:firstLine="0"/>
      </w:pPr>
      <w:r>
        <w:t xml:space="preserve"> </w:t>
      </w:r>
    </w:p>
    <w:p w14:paraId="70DF7759" w14:textId="77777777" w:rsidR="00D1352F" w:rsidRDefault="009B1F56">
      <w:pPr>
        <w:spacing w:after="223" w:line="259" w:lineRule="auto"/>
        <w:ind w:left="5" w:firstLine="0"/>
      </w:pPr>
      <w:r>
        <w:t xml:space="preserve"> </w:t>
      </w:r>
    </w:p>
    <w:p w14:paraId="47F281E0" w14:textId="77777777" w:rsidR="00D1352F" w:rsidRDefault="009B1F56">
      <w:pPr>
        <w:spacing w:after="218" w:line="259" w:lineRule="auto"/>
        <w:ind w:left="5" w:firstLine="0"/>
      </w:pPr>
      <w:r>
        <w:t xml:space="preserve"> </w:t>
      </w:r>
    </w:p>
    <w:p w14:paraId="3D6D419F" w14:textId="77777777" w:rsidR="00D1352F" w:rsidRDefault="009B1F56">
      <w:pPr>
        <w:spacing w:after="300" w:line="259" w:lineRule="auto"/>
        <w:ind w:left="5" w:firstLine="0"/>
      </w:pPr>
      <w:r>
        <w:t xml:space="preserve"> </w:t>
      </w:r>
    </w:p>
    <w:p w14:paraId="237B4309" w14:textId="77777777" w:rsidR="00D1352F" w:rsidRDefault="009B1F56">
      <w:pPr>
        <w:pStyle w:val="Heading2"/>
        <w:spacing w:after="111"/>
        <w:ind w:left="0"/>
      </w:pPr>
      <w:bookmarkStart w:id="1" w:name="_Toc76710"/>
      <w:r>
        <w:rPr>
          <w:sz w:val="32"/>
        </w:rPr>
        <w:t xml:space="preserve">Part A - Order Form  </w:t>
      </w:r>
      <w:bookmarkEnd w:id="1"/>
    </w:p>
    <w:p w14:paraId="4AC774AE" w14:textId="77777777" w:rsidR="00D1352F" w:rsidRDefault="009B1F56">
      <w:pPr>
        <w:spacing w:after="0" w:line="259" w:lineRule="auto"/>
        <w:ind w:left="5" w:firstLine="0"/>
      </w:pPr>
      <w:r>
        <w:t xml:space="preserve"> </w:t>
      </w:r>
    </w:p>
    <w:tbl>
      <w:tblPr>
        <w:tblStyle w:val="TableGrid"/>
        <w:tblW w:w="10636" w:type="dxa"/>
        <w:tblInd w:w="14" w:type="dxa"/>
        <w:tblCellMar>
          <w:top w:w="173" w:type="dxa"/>
          <w:left w:w="101" w:type="dxa"/>
          <w:right w:w="62" w:type="dxa"/>
        </w:tblCellMar>
        <w:tblLook w:val="04A0" w:firstRow="1" w:lastRow="0" w:firstColumn="1" w:lastColumn="0" w:noHBand="0" w:noVBand="1"/>
      </w:tblPr>
      <w:tblGrid>
        <w:gridCol w:w="5315"/>
        <w:gridCol w:w="5321"/>
      </w:tblGrid>
      <w:tr w:rsidR="00D1352F" w14:paraId="25CB3428" w14:textId="77777777">
        <w:trPr>
          <w:trHeight w:val="581"/>
        </w:trPr>
        <w:tc>
          <w:tcPr>
            <w:tcW w:w="5316" w:type="dxa"/>
            <w:tcBorders>
              <w:top w:val="single" w:sz="8" w:space="0" w:color="000000"/>
              <w:left w:val="single" w:sz="8" w:space="0" w:color="000000"/>
              <w:bottom w:val="single" w:sz="8" w:space="0" w:color="000000"/>
              <w:right w:val="single" w:sz="8" w:space="0" w:color="000000"/>
            </w:tcBorders>
            <w:vAlign w:val="center"/>
          </w:tcPr>
          <w:p w14:paraId="60D40AD4" w14:textId="77777777" w:rsidR="00D1352F" w:rsidRDefault="009B1F56">
            <w:pPr>
              <w:spacing w:after="0" w:line="259" w:lineRule="auto"/>
              <w:ind w:left="0" w:firstLine="0"/>
            </w:pPr>
            <w:r>
              <w:t xml:space="preserve">Digital Marketplace service ID number: </w:t>
            </w:r>
          </w:p>
        </w:tc>
        <w:tc>
          <w:tcPr>
            <w:tcW w:w="5321" w:type="dxa"/>
            <w:tcBorders>
              <w:top w:val="single" w:sz="8" w:space="0" w:color="000000"/>
              <w:left w:val="single" w:sz="8" w:space="0" w:color="000000"/>
              <w:bottom w:val="single" w:sz="8" w:space="0" w:color="000000"/>
              <w:right w:val="single" w:sz="8" w:space="0" w:color="000000"/>
            </w:tcBorders>
            <w:vAlign w:val="center"/>
          </w:tcPr>
          <w:p w14:paraId="41B05C21" w14:textId="77777777" w:rsidR="00D1352F" w:rsidRDefault="009B1F56">
            <w:pPr>
              <w:spacing w:after="0" w:line="259" w:lineRule="auto"/>
              <w:ind w:left="5" w:firstLine="0"/>
            </w:pPr>
            <w:r>
              <w:t xml:space="preserve">886529756679219 </w:t>
            </w:r>
          </w:p>
        </w:tc>
      </w:tr>
      <w:tr w:rsidR="00D1352F" w14:paraId="28E398CF" w14:textId="77777777">
        <w:trPr>
          <w:trHeight w:val="586"/>
        </w:trPr>
        <w:tc>
          <w:tcPr>
            <w:tcW w:w="5316" w:type="dxa"/>
            <w:tcBorders>
              <w:top w:val="single" w:sz="8" w:space="0" w:color="000000"/>
              <w:left w:val="single" w:sz="8" w:space="0" w:color="000000"/>
              <w:bottom w:val="single" w:sz="8" w:space="0" w:color="000000"/>
              <w:right w:val="single" w:sz="8" w:space="0" w:color="000000"/>
            </w:tcBorders>
            <w:vAlign w:val="center"/>
          </w:tcPr>
          <w:p w14:paraId="7F9CB805" w14:textId="77777777" w:rsidR="00D1352F" w:rsidRDefault="009B1F56">
            <w:pPr>
              <w:spacing w:after="0" w:line="259" w:lineRule="auto"/>
              <w:ind w:left="0" w:firstLine="0"/>
            </w:pPr>
            <w:r>
              <w:t xml:space="preserve">Call-Off Contract reference: </w:t>
            </w:r>
          </w:p>
        </w:tc>
        <w:tc>
          <w:tcPr>
            <w:tcW w:w="5321" w:type="dxa"/>
            <w:tcBorders>
              <w:top w:val="single" w:sz="8" w:space="0" w:color="000000"/>
              <w:left w:val="single" w:sz="8" w:space="0" w:color="000000"/>
              <w:bottom w:val="single" w:sz="8" w:space="0" w:color="000000"/>
              <w:right w:val="single" w:sz="8" w:space="0" w:color="000000"/>
            </w:tcBorders>
            <w:vAlign w:val="center"/>
          </w:tcPr>
          <w:p w14:paraId="3A4CA1AF" w14:textId="77777777" w:rsidR="00D1352F" w:rsidRDefault="009B1F56">
            <w:pPr>
              <w:spacing w:after="0" w:line="259" w:lineRule="auto"/>
              <w:ind w:left="5" w:firstLine="0"/>
            </w:pPr>
            <w:r>
              <w:t xml:space="preserve">ICT2020/005 </w:t>
            </w:r>
          </w:p>
        </w:tc>
      </w:tr>
      <w:tr w:rsidR="00D1352F" w14:paraId="5C32F461" w14:textId="77777777">
        <w:trPr>
          <w:trHeight w:val="581"/>
        </w:trPr>
        <w:tc>
          <w:tcPr>
            <w:tcW w:w="5316" w:type="dxa"/>
            <w:tcBorders>
              <w:top w:val="single" w:sz="8" w:space="0" w:color="000000"/>
              <w:left w:val="single" w:sz="8" w:space="0" w:color="000000"/>
              <w:bottom w:val="single" w:sz="8" w:space="0" w:color="000000"/>
              <w:right w:val="single" w:sz="8" w:space="0" w:color="000000"/>
            </w:tcBorders>
            <w:vAlign w:val="center"/>
          </w:tcPr>
          <w:p w14:paraId="3E69F5B2" w14:textId="77777777" w:rsidR="00D1352F" w:rsidRDefault="009B1F56">
            <w:pPr>
              <w:spacing w:after="0" w:line="259" w:lineRule="auto"/>
              <w:ind w:left="0" w:firstLine="0"/>
            </w:pPr>
            <w:r>
              <w:t xml:space="preserve">Call-Off Contract title: </w:t>
            </w:r>
          </w:p>
        </w:tc>
        <w:tc>
          <w:tcPr>
            <w:tcW w:w="5321" w:type="dxa"/>
            <w:tcBorders>
              <w:top w:val="single" w:sz="8" w:space="0" w:color="000000"/>
              <w:left w:val="single" w:sz="8" w:space="0" w:color="000000"/>
              <w:bottom w:val="single" w:sz="8" w:space="0" w:color="000000"/>
              <w:right w:val="single" w:sz="8" w:space="0" w:color="000000"/>
            </w:tcBorders>
            <w:vAlign w:val="center"/>
          </w:tcPr>
          <w:p w14:paraId="020385DC" w14:textId="77777777" w:rsidR="00D1352F" w:rsidRDefault="009B1F56">
            <w:pPr>
              <w:spacing w:after="0" w:line="259" w:lineRule="auto"/>
              <w:ind w:left="5" w:firstLine="0"/>
            </w:pPr>
            <w:r>
              <w:t xml:space="preserve">DevOps Service </w:t>
            </w:r>
          </w:p>
        </w:tc>
      </w:tr>
      <w:tr w:rsidR="00D1352F" w14:paraId="32785FEC" w14:textId="77777777">
        <w:trPr>
          <w:trHeight w:val="3495"/>
        </w:trPr>
        <w:tc>
          <w:tcPr>
            <w:tcW w:w="5316" w:type="dxa"/>
            <w:tcBorders>
              <w:top w:val="single" w:sz="8" w:space="0" w:color="000000"/>
              <w:left w:val="single" w:sz="8" w:space="0" w:color="000000"/>
              <w:bottom w:val="single" w:sz="8" w:space="0" w:color="000000"/>
              <w:right w:val="single" w:sz="8" w:space="0" w:color="000000"/>
            </w:tcBorders>
          </w:tcPr>
          <w:p w14:paraId="29D61492" w14:textId="77777777" w:rsidR="00D1352F" w:rsidRDefault="009B1F56">
            <w:pPr>
              <w:spacing w:after="0" w:line="259" w:lineRule="auto"/>
              <w:ind w:left="0" w:firstLine="0"/>
            </w:pPr>
            <w:r>
              <w:t xml:space="preserve">Call-Off Contract description: </w:t>
            </w:r>
          </w:p>
        </w:tc>
        <w:tc>
          <w:tcPr>
            <w:tcW w:w="5321" w:type="dxa"/>
            <w:tcBorders>
              <w:top w:val="single" w:sz="8" w:space="0" w:color="000000"/>
              <w:left w:val="single" w:sz="8" w:space="0" w:color="000000"/>
              <w:bottom w:val="single" w:sz="8" w:space="0" w:color="000000"/>
              <w:right w:val="single" w:sz="8" w:space="0" w:color="000000"/>
            </w:tcBorders>
            <w:vAlign w:val="center"/>
          </w:tcPr>
          <w:p w14:paraId="14DFDBAA" w14:textId="77777777" w:rsidR="00D1352F" w:rsidRDefault="009B1F56">
            <w:pPr>
              <w:spacing w:after="1" w:line="274" w:lineRule="auto"/>
              <w:ind w:left="5" w:right="20" w:firstLine="0"/>
            </w:pPr>
            <w:r>
              <w:t xml:space="preserve">Can provide DevOps maturity assessment, strategy, delivery/operation using </w:t>
            </w:r>
            <w:proofErr w:type="spellStart"/>
            <w:r>
              <w:t>WebOps</w:t>
            </w:r>
            <w:proofErr w:type="spellEnd"/>
            <w:r>
              <w:t xml:space="preserve">, </w:t>
            </w:r>
            <w:proofErr w:type="spellStart"/>
            <w:r>
              <w:t>NoOps</w:t>
            </w:r>
            <w:proofErr w:type="spellEnd"/>
            <w:r>
              <w:t xml:space="preserve">, </w:t>
            </w:r>
            <w:proofErr w:type="spellStart"/>
            <w:r>
              <w:t>GitOps</w:t>
            </w:r>
            <w:proofErr w:type="spellEnd"/>
            <w:r>
              <w:t xml:space="preserve">, Site Reliability Engineering, Platform Engineering/Cloud Native Engineering services for greenfield and traditional </w:t>
            </w:r>
          </w:p>
          <w:p w14:paraId="6AFACC31" w14:textId="77777777" w:rsidR="00D1352F" w:rsidRDefault="009B1F56">
            <w:pPr>
              <w:spacing w:after="0" w:line="259" w:lineRule="auto"/>
              <w:ind w:left="5" w:firstLine="0"/>
            </w:pPr>
            <w:r>
              <w:t xml:space="preserve">environments. Can operate DevOps at scale using Lean and Agile; realising value quickly through continuous delivery, amplified feedback loops, observability and metric based decision making. </w:t>
            </w:r>
          </w:p>
        </w:tc>
      </w:tr>
      <w:tr w:rsidR="00D1352F" w14:paraId="105DBB2C" w14:textId="77777777">
        <w:trPr>
          <w:trHeight w:val="581"/>
        </w:trPr>
        <w:tc>
          <w:tcPr>
            <w:tcW w:w="5316" w:type="dxa"/>
            <w:tcBorders>
              <w:top w:val="single" w:sz="8" w:space="0" w:color="000000"/>
              <w:left w:val="single" w:sz="8" w:space="0" w:color="000000"/>
              <w:bottom w:val="single" w:sz="8" w:space="0" w:color="000000"/>
              <w:right w:val="single" w:sz="8" w:space="0" w:color="000000"/>
            </w:tcBorders>
            <w:vAlign w:val="center"/>
          </w:tcPr>
          <w:p w14:paraId="4F04BEC5" w14:textId="77777777" w:rsidR="00D1352F" w:rsidRDefault="009B1F56">
            <w:pPr>
              <w:spacing w:after="0" w:line="259" w:lineRule="auto"/>
              <w:ind w:left="0" w:firstLine="0"/>
            </w:pPr>
            <w:r>
              <w:t xml:space="preserve">Start date:  </w:t>
            </w:r>
          </w:p>
        </w:tc>
        <w:tc>
          <w:tcPr>
            <w:tcW w:w="5321" w:type="dxa"/>
            <w:tcBorders>
              <w:top w:val="single" w:sz="8" w:space="0" w:color="000000"/>
              <w:left w:val="single" w:sz="8" w:space="0" w:color="000000"/>
              <w:bottom w:val="single" w:sz="8" w:space="0" w:color="000000"/>
              <w:right w:val="single" w:sz="8" w:space="0" w:color="000000"/>
            </w:tcBorders>
            <w:vAlign w:val="center"/>
          </w:tcPr>
          <w:p w14:paraId="041763D6" w14:textId="77777777" w:rsidR="00D1352F" w:rsidRDefault="009B1F56">
            <w:pPr>
              <w:spacing w:after="0" w:line="259" w:lineRule="auto"/>
              <w:ind w:left="5" w:firstLine="0"/>
            </w:pPr>
            <w:r>
              <w:t xml:space="preserve">1st March 2020 </w:t>
            </w:r>
          </w:p>
        </w:tc>
      </w:tr>
      <w:tr w:rsidR="00D1352F" w14:paraId="770945ED" w14:textId="77777777">
        <w:trPr>
          <w:trHeight w:val="586"/>
        </w:trPr>
        <w:tc>
          <w:tcPr>
            <w:tcW w:w="5316" w:type="dxa"/>
            <w:tcBorders>
              <w:top w:val="single" w:sz="8" w:space="0" w:color="000000"/>
              <w:left w:val="single" w:sz="8" w:space="0" w:color="000000"/>
              <w:bottom w:val="single" w:sz="8" w:space="0" w:color="000000"/>
              <w:right w:val="single" w:sz="8" w:space="0" w:color="000000"/>
            </w:tcBorders>
            <w:vAlign w:val="center"/>
          </w:tcPr>
          <w:p w14:paraId="76E243D3" w14:textId="77777777" w:rsidR="00D1352F" w:rsidRDefault="009B1F56">
            <w:pPr>
              <w:spacing w:after="0" w:line="259" w:lineRule="auto"/>
              <w:ind w:left="0" w:firstLine="0"/>
            </w:pPr>
            <w:r>
              <w:t xml:space="preserve">Expiry date: </w:t>
            </w:r>
          </w:p>
        </w:tc>
        <w:tc>
          <w:tcPr>
            <w:tcW w:w="5321" w:type="dxa"/>
            <w:tcBorders>
              <w:top w:val="single" w:sz="8" w:space="0" w:color="000000"/>
              <w:left w:val="single" w:sz="8" w:space="0" w:color="000000"/>
              <w:bottom w:val="single" w:sz="8" w:space="0" w:color="000000"/>
              <w:right w:val="single" w:sz="8" w:space="0" w:color="000000"/>
            </w:tcBorders>
            <w:vAlign w:val="center"/>
          </w:tcPr>
          <w:p w14:paraId="6150E25F" w14:textId="77777777" w:rsidR="00D1352F" w:rsidRDefault="009B1F56">
            <w:pPr>
              <w:spacing w:after="0" w:line="259" w:lineRule="auto"/>
              <w:ind w:left="5" w:firstLine="0"/>
            </w:pPr>
            <w:r>
              <w:t xml:space="preserve">28th February 2022 </w:t>
            </w:r>
          </w:p>
        </w:tc>
      </w:tr>
      <w:tr w:rsidR="00D1352F" w14:paraId="01357588" w14:textId="77777777">
        <w:trPr>
          <w:trHeight w:val="2765"/>
        </w:trPr>
        <w:tc>
          <w:tcPr>
            <w:tcW w:w="5316" w:type="dxa"/>
            <w:tcBorders>
              <w:top w:val="single" w:sz="8" w:space="0" w:color="000000"/>
              <w:left w:val="single" w:sz="8" w:space="0" w:color="000000"/>
              <w:bottom w:val="single" w:sz="8" w:space="0" w:color="000000"/>
              <w:right w:val="single" w:sz="8" w:space="0" w:color="000000"/>
            </w:tcBorders>
          </w:tcPr>
          <w:p w14:paraId="39CC991F" w14:textId="77777777" w:rsidR="00D1352F" w:rsidRDefault="009B1F56">
            <w:pPr>
              <w:spacing w:after="0" w:line="259" w:lineRule="auto"/>
              <w:ind w:left="0" w:firstLine="0"/>
            </w:pPr>
            <w:r>
              <w:lastRenderedPageBreak/>
              <w:t xml:space="preserve">Call-Off Contract value: </w:t>
            </w:r>
          </w:p>
        </w:tc>
        <w:tc>
          <w:tcPr>
            <w:tcW w:w="5321" w:type="dxa"/>
            <w:tcBorders>
              <w:top w:val="single" w:sz="8" w:space="0" w:color="000000"/>
              <w:left w:val="single" w:sz="8" w:space="0" w:color="000000"/>
              <w:bottom w:val="single" w:sz="8" w:space="0" w:color="000000"/>
              <w:right w:val="single" w:sz="8" w:space="0" w:color="000000"/>
            </w:tcBorders>
            <w:vAlign w:val="center"/>
          </w:tcPr>
          <w:p w14:paraId="791B1632" w14:textId="77777777" w:rsidR="00D1352F" w:rsidRDefault="009B1F56">
            <w:pPr>
              <w:spacing w:after="16" w:line="259" w:lineRule="auto"/>
              <w:ind w:left="5" w:firstLine="0"/>
            </w:pPr>
            <w:r>
              <w:t xml:space="preserve">Up to a maximum £3,500,000 inclusive of expenses </w:t>
            </w:r>
          </w:p>
          <w:p w14:paraId="1F2F7780" w14:textId="77777777" w:rsidR="00D1352F" w:rsidRDefault="009B1F56">
            <w:pPr>
              <w:spacing w:after="0" w:line="275" w:lineRule="auto"/>
              <w:ind w:left="5" w:firstLine="0"/>
            </w:pPr>
            <w:r>
              <w:t xml:space="preserve">(Excluding VAT) over the entire term of the </w:t>
            </w:r>
            <w:proofErr w:type="spellStart"/>
            <w:r>
              <w:t>CallOff</w:t>
            </w:r>
            <w:proofErr w:type="spellEnd"/>
            <w:r>
              <w:t xml:space="preserve"> Contract. The contract will be used via a call off arrangement so there is no guarantee of this level of spend. </w:t>
            </w:r>
          </w:p>
          <w:p w14:paraId="7B081C5F" w14:textId="77777777" w:rsidR="00D1352F" w:rsidRDefault="009B1F56">
            <w:pPr>
              <w:spacing w:after="0" w:line="259" w:lineRule="auto"/>
              <w:ind w:left="5" w:firstLine="0"/>
            </w:pPr>
            <w:r>
              <w:t xml:space="preserve">All requests for work, within scope of the agreement, shall be initiated by an authorised </w:t>
            </w:r>
          </w:p>
        </w:tc>
      </w:tr>
      <w:tr w:rsidR="00D1352F" w14:paraId="2A3395B0" w14:textId="77777777">
        <w:trPr>
          <w:trHeight w:val="6760"/>
        </w:trPr>
        <w:tc>
          <w:tcPr>
            <w:tcW w:w="5316" w:type="dxa"/>
            <w:tcBorders>
              <w:top w:val="single" w:sz="8" w:space="0" w:color="000000"/>
              <w:left w:val="single" w:sz="8" w:space="0" w:color="000000"/>
              <w:bottom w:val="single" w:sz="8" w:space="0" w:color="000000"/>
              <w:right w:val="single" w:sz="8" w:space="0" w:color="000000"/>
            </w:tcBorders>
          </w:tcPr>
          <w:p w14:paraId="7AEA902F" w14:textId="77777777" w:rsidR="00D1352F" w:rsidRDefault="00D1352F">
            <w:pPr>
              <w:spacing w:after="160" w:line="259" w:lineRule="auto"/>
              <w:ind w:left="0" w:firstLine="0"/>
            </w:pPr>
          </w:p>
        </w:tc>
        <w:tc>
          <w:tcPr>
            <w:tcW w:w="5321" w:type="dxa"/>
            <w:tcBorders>
              <w:top w:val="single" w:sz="8" w:space="0" w:color="000000"/>
              <w:left w:val="single" w:sz="8" w:space="0" w:color="000000"/>
              <w:bottom w:val="single" w:sz="8" w:space="0" w:color="000000"/>
              <w:right w:val="single" w:sz="8" w:space="0" w:color="000000"/>
            </w:tcBorders>
            <w:vAlign w:val="center"/>
          </w:tcPr>
          <w:p w14:paraId="13AA5A9B" w14:textId="77777777" w:rsidR="00D1352F" w:rsidRDefault="009B1F56">
            <w:pPr>
              <w:spacing w:after="1" w:line="274" w:lineRule="auto"/>
              <w:ind w:left="5" w:right="98" w:firstLine="0"/>
            </w:pPr>
            <w:r>
              <w:t xml:space="preserve">employee of the Buyer by means of a ‘Request for Quote’ (RFQ) that must be agreed and signed off by the DfE with budget approval for the spend. This </w:t>
            </w:r>
            <w:proofErr w:type="spellStart"/>
            <w:r>
              <w:t>RfQ</w:t>
            </w:r>
            <w:proofErr w:type="spellEnd"/>
            <w:r>
              <w:t xml:space="preserve"> will be emailed to the Supplier’s nominated representative by a member of the Buyer’s Contracts and Commercial Team.  The work will be in the form of individual work packages, detailing the specific requirement and timescales needed. The payment profile for each work package will be linked where appropriate, to the milestones and outputs agreed between the Buyer and Supplier before work initiation. A purchase order must be in place before any work can commence.   </w:t>
            </w:r>
          </w:p>
          <w:p w14:paraId="0962B12C" w14:textId="77777777" w:rsidR="00D1352F" w:rsidRDefault="009B1F56">
            <w:pPr>
              <w:spacing w:after="0" w:line="259" w:lineRule="auto"/>
              <w:ind w:left="5" w:firstLine="0"/>
            </w:pPr>
            <w:r>
              <w:t xml:space="preserve">The Buyer will not be liable for any work the Supplier undertakes outside of the agreed commissioning process unless formally commissioned via an agreed Work Package.  </w:t>
            </w:r>
          </w:p>
        </w:tc>
      </w:tr>
      <w:tr w:rsidR="00D1352F" w14:paraId="2F85CE67" w14:textId="77777777">
        <w:trPr>
          <w:trHeight w:val="2405"/>
        </w:trPr>
        <w:tc>
          <w:tcPr>
            <w:tcW w:w="5316" w:type="dxa"/>
            <w:tcBorders>
              <w:top w:val="single" w:sz="8" w:space="0" w:color="000000"/>
              <w:left w:val="single" w:sz="8" w:space="0" w:color="000000"/>
              <w:bottom w:val="single" w:sz="8" w:space="0" w:color="000000"/>
              <w:right w:val="single" w:sz="8" w:space="0" w:color="000000"/>
            </w:tcBorders>
          </w:tcPr>
          <w:p w14:paraId="18025D54" w14:textId="77777777" w:rsidR="00D1352F" w:rsidRDefault="009B1F56">
            <w:pPr>
              <w:spacing w:after="0" w:line="259" w:lineRule="auto"/>
              <w:ind w:left="0" w:firstLine="0"/>
            </w:pPr>
            <w:r>
              <w:t xml:space="preserve">Charging method: </w:t>
            </w:r>
          </w:p>
        </w:tc>
        <w:tc>
          <w:tcPr>
            <w:tcW w:w="5321" w:type="dxa"/>
            <w:tcBorders>
              <w:top w:val="single" w:sz="8" w:space="0" w:color="000000"/>
              <w:left w:val="single" w:sz="8" w:space="0" w:color="000000"/>
              <w:bottom w:val="single" w:sz="8" w:space="0" w:color="000000"/>
              <w:right w:val="single" w:sz="8" w:space="0" w:color="000000"/>
            </w:tcBorders>
            <w:vAlign w:val="center"/>
          </w:tcPr>
          <w:p w14:paraId="2DC31192" w14:textId="77777777" w:rsidR="00D1352F" w:rsidRDefault="009B1F56">
            <w:pPr>
              <w:spacing w:after="0" w:line="259" w:lineRule="auto"/>
              <w:ind w:left="5" w:firstLine="0"/>
            </w:pPr>
            <w:r>
              <w:t xml:space="preserve">The Supplier shall issue electronic invoices based on the Rate Card at Schedule 2. The primary charging models are fixed price for each work package commissioned or T&amp;M Capped. The Parties will also consider T&amp;M cost models where we consider it appropriate. </w:t>
            </w:r>
          </w:p>
        </w:tc>
      </w:tr>
      <w:tr w:rsidR="00D1352F" w14:paraId="2A0B060E" w14:textId="77777777">
        <w:trPr>
          <w:trHeight w:val="946"/>
        </w:trPr>
        <w:tc>
          <w:tcPr>
            <w:tcW w:w="5316" w:type="dxa"/>
            <w:tcBorders>
              <w:top w:val="single" w:sz="8" w:space="0" w:color="000000"/>
              <w:left w:val="single" w:sz="8" w:space="0" w:color="000000"/>
              <w:bottom w:val="single" w:sz="8" w:space="0" w:color="000000"/>
              <w:right w:val="single" w:sz="8" w:space="0" w:color="000000"/>
            </w:tcBorders>
          </w:tcPr>
          <w:p w14:paraId="3B4C2062" w14:textId="77777777" w:rsidR="00D1352F" w:rsidRDefault="009B1F56">
            <w:pPr>
              <w:spacing w:after="0" w:line="259" w:lineRule="auto"/>
              <w:ind w:left="0" w:firstLine="0"/>
            </w:pPr>
            <w:r>
              <w:t xml:space="preserve">Purchase order number: </w:t>
            </w:r>
          </w:p>
        </w:tc>
        <w:tc>
          <w:tcPr>
            <w:tcW w:w="5321" w:type="dxa"/>
            <w:tcBorders>
              <w:top w:val="single" w:sz="8" w:space="0" w:color="000000"/>
              <w:left w:val="single" w:sz="8" w:space="0" w:color="000000"/>
              <w:bottom w:val="single" w:sz="8" w:space="0" w:color="000000"/>
              <w:right w:val="single" w:sz="8" w:space="0" w:color="000000"/>
            </w:tcBorders>
            <w:vAlign w:val="center"/>
          </w:tcPr>
          <w:p w14:paraId="728316B5" w14:textId="77777777" w:rsidR="00D1352F" w:rsidRDefault="009B1F56">
            <w:pPr>
              <w:spacing w:after="0" w:line="259" w:lineRule="auto"/>
              <w:ind w:left="5" w:firstLine="0"/>
            </w:pPr>
            <w:r>
              <w:t>TBA, no work must be undertaken until you are in receipt of an official purchase order.</w:t>
            </w:r>
            <w:r>
              <w:rPr>
                <w:rFonts w:ascii="Arial" w:eastAsia="Arial" w:hAnsi="Arial" w:cs="Arial"/>
              </w:rPr>
              <w:t xml:space="preserve"> </w:t>
            </w:r>
          </w:p>
        </w:tc>
      </w:tr>
    </w:tbl>
    <w:p w14:paraId="03F41AEF" w14:textId="77777777" w:rsidR="00D1352F" w:rsidRDefault="009B1F56">
      <w:pPr>
        <w:spacing w:after="218" w:line="259" w:lineRule="auto"/>
        <w:ind w:left="5" w:firstLine="0"/>
      </w:pPr>
      <w:r>
        <w:t xml:space="preserve"> </w:t>
      </w:r>
    </w:p>
    <w:p w14:paraId="46BA001E" w14:textId="77777777" w:rsidR="00D1352F" w:rsidRDefault="009B1F56">
      <w:pPr>
        <w:spacing w:after="213"/>
        <w:ind w:left="0"/>
      </w:pPr>
      <w:r>
        <w:lastRenderedPageBreak/>
        <w:t xml:space="preserve">This Order Form is issued under the G-Cloud 11 Framework Agreement (RM1557.11).  </w:t>
      </w:r>
    </w:p>
    <w:p w14:paraId="68A348B3" w14:textId="77777777" w:rsidR="00D1352F" w:rsidRDefault="009B1F56">
      <w:pPr>
        <w:spacing w:after="208"/>
        <w:ind w:left="0"/>
      </w:pPr>
      <w:r>
        <w:t xml:space="preserve">Buyers can use this Order Form to specify their G-Cloud service requirements when placing an Order. </w:t>
      </w:r>
    </w:p>
    <w:p w14:paraId="5B28F802" w14:textId="77777777" w:rsidR="00D1352F" w:rsidRDefault="009B1F56">
      <w:pPr>
        <w:spacing w:after="202"/>
        <w:ind w:left="0"/>
      </w:pPr>
      <w:r>
        <w:t xml:space="preserve">The Order Form cannot be used to alter existing terms or add any extra terms that materially change the Deliverables offered by the Supplier and defined in the Application. </w:t>
      </w:r>
    </w:p>
    <w:p w14:paraId="4DBF3DAA" w14:textId="77777777" w:rsidR="00D1352F" w:rsidRDefault="009B1F56">
      <w:pPr>
        <w:ind w:left="0"/>
      </w:pPr>
      <w:r>
        <w:t xml:space="preserve">There are terms in the Call-Off Contract that may be defined in the Order Form. These are identified in the contract with square brackets. </w:t>
      </w:r>
    </w:p>
    <w:tbl>
      <w:tblPr>
        <w:tblStyle w:val="TableGrid"/>
        <w:tblW w:w="10656" w:type="dxa"/>
        <w:tblInd w:w="10" w:type="dxa"/>
        <w:tblCellMar>
          <w:top w:w="173" w:type="dxa"/>
          <w:left w:w="101" w:type="dxa"/>
          <w:right w:w="115" w:type="dxa"/>
        </w:tblCellMar>
        <w:tblLook w:val="04A0" w:firstRow="1" w:lastRow="0" w:firstColumn="1" w:lastColumn="0" w:noHBand="0" w:noVBand="1"/>
      </w:tblPr>
      <w:tblGrid>
        <w:gridCol w:w="2147"/>
        <w:gridCol w:w="8509"/>
      </w:tblGrid>
      <w:tr w:rsidR="00D1352F" w14:paraId="29FC3CFC" w14:textId="77777777">
        <w:trPr>
          <w:trHeight w:val="2036"/>
        </w:trPr>
        <w:tc>
          <w:tcPr>
            <w:tcW w:w="2147" w:type="dxa"/>
            <w:tcBorders>
              <w:top w:val="single" w:sz="8" w:space="0" w:color="000000"/>
              <w:left w:val="single" w:sz="8" w:space="0" w:color="000000"/>
              <w:bottom w:val="single" w:sz="8" w:space="0" w:color="000000"/>
              <w:right w:val="single" w:sz="8" w:space="0" w:color="000000"/>
            </w:tcBorders>
          </w:tcPr>
          <w:p w14:paraId="3CAD93E6" w14:textId="77777777" w:rsidR="00D1352F" w:rsidRDefault="009B1F56">
            <w:pPr>
              <w:spacing w:after="0" w:line="259" w:lineRule="auto"/>
              <w:ind w:left="0" w:firstLine="0"/>
            </w:pPr>
            <w:r>
              <w:t xml:space="preserve">From: </w:t>
            </w:r>
            <w:proofErr w:type="gramStart"/>
            <w:r>
              <w:t>the</w:t>
            </w:r>
            <w:proofErr w:type="gramEnd"/>
            <w:r>
              <w:t xml:space="preserve"> Buyer </w:t>
            </w:r>
          </w:p>
        </w:tc>
        <w:tc>
          <w:tcPr>
            <w:tcW w:w="8509" w:type="dxa"/>
            <w:tcBorders>
              <w:top w:val="single" w:sz="8" w:space="0" w:color="000000"/>
              <w:left w:val="single" w:sz="8" w:space="0" w:color="000000"/>
              <w:bottom w:val="single" w:sz="8" w:space="0" w:color="000000"/>
              <w:right w:val="single" w:sz="8" w:space="0" w:color="000000"/>
            </w:tcBorders>
            <w:vAlign w:val="center"/>
          </w:tcPr>
          <w:p w14:paraId="6A0FC308" w14:textId="77777777" w:rsidR="00D1352F" w:rsidRDefault="009B1F56">
            <w:pPr>
              <w:spacing w:after="16" w:line="259" w:lineRule="auto"/>
              <w:ind w:left="5" w:firstLine="0"/>
            </w:pPr>
            <w:r>
              <w:t xml:space="preserve">The Secretary of State for the Department for Education </w:t>
            </w:r>
          </w:p>
          <w:p w14:paraId="79B9F9FF" w14:textId="77777777" w:rsidR="00D1352F" w:rsidRDefault="009B1F56">
            <w:pPr>
              <w:spacing w:after="21" w:line="259" w:lineRule="auto"/>
              <w:ind w:left="5" w:firstLine="0"/>
            </w:pPr>
            <w:r>
              <w:t xml:space="preserve">Sanctuary Buildings </w:t>
            </w:r>
          </w:p>
          <w:p w14:paraId="6EB8A1A5" w14:textId="77777777" w:rsidR="00D1352F" w:rsidRDefault="009B1F56">
            <w:pPr>
              <w:spacing w:after="21" w:line="259" w:lineRule="auto"/>
              <w:ind w:left="5" w:firstLine="0"/>
            </w:pPr>
            <w:r>
              <w:t xml:space="preserve">London </w:t>
            </w:r>
          </w:p>
          <w:p w14:paraId="3C1E3A71" w14:textId="77777777" w:rsidR="00D1352F" w:rsidRDefault="009B1F56">
            <w:pPr>
              <w:spacing w:after="22" w:line="259" w:lineRule="auto"/>
              <w:ind w:left="5" w:firstLine="0"/>
            </w:pPr>
            <w:r>
              <w:t xml:space="preserve">SW1P 3BT </w:t>
            </w:r>
          </w:p>
          <w:p w14:paraId="6EB4D27F" w14:textId="77777777" w:rsidR="00D1352F" w:rsidRDefault="009B1F56">
            <w:pPr>
              <w:spacing w:after="0" w:line="259" w:lineRule="auto"/>
              <w:ind w:left="5" w:firstLine="0"/>
            </w:pPr>
            <w:r>
              <w:t xml:space="preserve">Great Smith Street </w:t>
            </w:r>
          </w:p>
        </w:tc>
      </w:tr>
      <w:tr w:rsidR="00D1352F" w14:paraId="4A93E7E0" w14:textId="77777777">
        <w:trPr>
          <w:trHeight w:val="2400"/>
        </w:trPr>
        <w:tc>
          <w:tcPr>
            <w:tcW w:w="2147" w:type="dxa"/>
            <w:tcBorders>
              <w:top w:val="single" w:sz="8" w:space="0" w:color="000000"/>
              <w:left w:val="single" w:sz="8" w:space="0" w:color="000000"/>
              <w:bottom w:val="single" w:sz="8" w:space="0" w:color="000000"/>
              <w:right w:val="single" w:sz="8" w:space="0" w:color="000000"/>
            </w:tcBorders>
          </w:tcPr>
          <w:p w14:paraId="4CBC6A49" w14:textId="77777777" w:rsidR="00D1352F" w:rsidRDefault="009B1F56">
            <w:pPr>
              <w:spacing w:after="21" w:line="259" w:lineRule="auto"/>
              <w:ind w:left="0" w:firstLine="0"/>
            </w:pPr>
            <w:r>
              <w:t xml:space="preserve">To: </w:t>
            </w:r>
            <w:proofErr w:type="gramStart"/>
            <w:r>
              <w:t>the</w:t>
            </w:r>
            <w:proofErr w:type="gramEnd"/>
            <w:r>
              <w:t xml:space="preserve"> Supplier </w:t>
            </w:r>
          </w:p>
          <w:p w14:paraId="73464B15" w14:textId="77777777" w:rsidR="00D1352F" w:rsidRDefault="009B1F56">
            <w:pPr>
              <w:spacing w:after="21" w:line="259" w:lineRule="auto"/>
              <w:ind w:left="0" w:firstLine="0"/>
            </w:pPr>
            <w:r>
              <w:t xml:space="preserve"> </w:t>
            </w:r>
          </w:p>
          <w:p w14:paraId="6ABB594A" w14:textId="77777777" w:rsidR="00D1352F" w:rsidRDefault="009B1F56">
            <w:pPr>
              <w:spacing w:after="17" w:line="259" w:lineRule="auto"/>
              <w:ind w:left="0" w:firstLine="0"/>
            </w:pPr>
            <w:r>
              <w:t xml:space="preserve"> </w:t>
            </w:r>
          </w:p>
          <w:p w14:paraId="305D650B" w14:textId="77777777" w:rsidR="00D1352F" w:rsidRDefault="009B1F56">
            <w:pPr>
              <w:spacing w:after="0" w:line="259" w:lineRule="auto"/>
              <w:ind w:left="0" w:firstLine="0"/>
            </w:pPr>
            <w:r>
              <w:t xml:space="preserve"> </w:t>
            </w:r>
          </w:p>
        </w:tc>
        <w:tc>
          <w:tcPr>
            <w:tcW w:w="8509" w:type="dxa"/>
            <w:tcBorders>
              <w:top w:val="single" w:sz="8" w:space="0" w:color="000000"/>
              <w:left w:val="single" w:sz="8" w:space="0" w:color="000000"/>
              <w:bottom w:val="single" w:sz="8" w:space="0" w:color="000000"/>
              <w:right w:val="single" w:sz="8" w:space="0" w:color="000000"/>
            </w:tcBorders>
            <w:vAlign w:val="center"/>
          </w:tcPr>
          <w:p w14:paraId="09FA25D3" w14:textId="77777777" w:rsidR="00D1352F" w:rsidRDefault="009B1F56">
            <w:pPr>
              <w:spacing w:after="21" w:line="259" w:lineRule="auto"/>
              <w:ind w:left="5" w:firstLine="0"/>
            </w:pPr>
            <w:r>
              <w:t xml:space="preserve"> </w:t>
            </w:r>
          </w:p>
          <w:p w14:paraId="5C89C66C" w14:textId="77777777" w:rsidR="00D1352F" w:rsidRDefault="009B1F56">
            <w:pPr>
              <w:spacing w:after="21" w:line="259" w:lineRule="auto"/>
              <w:ind w:left="5" w:firstLine="0"/>
            </w:pPr>
            <w:r>
              <w:t xml:space="preserve">Capgemini UK plc </w:t>
            </w:r>
          </w:p>
          <w:p w14:paraId="2C8E14F9" w14:textId="77777777" w:rsidR="00D1352F" w:rsidRDefault="009B1F56">
            <w:pPr>
              <w:spacing w:after="17" w:line="259" w:lineRule="auto"/>
              <w:ind w:left="5" w:firstLine="0"/>
            </w:pPr>
            <w:r>
              <w:t xml:space="preserve">Supplier’s address: </w:t>
            </w:r>
          </w:p>
          <w:p w14:paraId="61C751F9" w14:textId="77777777" w:rsidR="00D1352F" w:rsidRDefault="009B1F56">
            <w:pPr>
              <w:spacing w:after="0" w:line="275" w:lineRule="auto"/>
              <w:ind w:left="5" w:right="3197" w:firstLine="0"/>
            </w:pPr>
            <w:r>
              <w:t xml:space="preserve">1 Forge End, Woking, Surrey GU21 6DB Company number:  </w:t>
            </w:r>
          </w:p>
          <w:p w14:paraId="36A09C2B" w14:textId="77777777" w:rsidR="00D1352F" w:rsidRDefault="009B1F56">
            <w:pPr>
              <w:spacing w:after="0" w:line="259" w:lineRule="auto"/>
              <w:ind w:left="5" w:firstLine="0"/>
            </w:pPr>
            <w:r>
              <w:t xml:space="preserve">00943935 </w:t>
            </w:r>
          </w:p>
        </w:tc>
      </w:tr>
      <w:tr w:rsidR="00D1352F" w14:paraId="7787ED43" w14:textId="77777777">
        <w:trPr>
          <w:trHeight w:val="788"/>
        </w:trPr>
        <w:tc>
          <w:tcPr>
            <w:tcW w:w="10656" w:type="dxa"/>
            <w:gridSpan w:val="2"/>
            <w:tcBorders>
              <w:top w:val="single" w:sz="8" w:space="0" w:color="000000"/>
              <w:left w:val="single" w:sz="8" w:space="0" w:color="000000"/>
              <w:bottom w:val="single" w:sz="8" w:space="0" w:color="000000"/>
              <w:right w:val="single" w:sz="8" w:space="0" w:color="000000"/>
            </w:tcBorders>
          </w:tcPr>
          <w:p w14:paraId="27335671" w14:textId="77777777" w:rsidR="00D1352F" w:rsidRDefault="009B1F56">
            <w:pPr>
              <w:spacing w:after="0" w:line="259" w:lineRule="auto"/>
              <w:ind w:left="0" w:firstLine="0"/>
            </w:pPr>
            <w:r>
              <w:t xml:space="preserve">Together: the ‘Parties’ </w:t>
            </w:r>
          </w:p>
        </w:tc>
      </w:tr>
    </w:tbl>
    <w:p w14:paraId="34A616BB" w14:textId="77777777" w:rsidR="00D1352F" w:rsidRDefault="009B1F56">
      <w:pPr>
        <w:spacing w:after="261" w:line="259" w:lineRule="auto"/>
        <w:ind w:left="5" w:firstLine="0"/>
      </w:pPr>
      <w:r>
        <w:t xml:space="preserve"> </w:t>
      </w:r>
    </w:p>
    <w:p w14:paraId="62C2D348" w14:textId="77777777" w:rsidR="00D1352F" w:rsidRDefault="009B1F56">
      <w:pPr>
        <w:pStyle w:val="Heading3"/>
        <w:ind w:left="0"/>
      </w:pPr>
      <w:bookmarkStart w:id="2" w:name="_Toc76711"/>
      <w:r>
        <w:t xml:space="preserve">Principle contact details  </w:t>
      </w:r>
      <w:bookmarkEnd w:id="2"/>
    </w:p>
    <w:tbl>
      <w:tblPr>
        <w:tblStyle w:val="TableGrid"/>
        <w:tblW w:w="10593" w:type="dxa"/>
        <w:tblInd w:w="14" w:type="dxa"/>
        <w:tblCellMar>
          <w:top w:w="174" w:type="dxa"/>
          <w:left w:w="101" w:type="dxa"/>
          <w:right w:w="115" w:type="dxa"/>
        </w:tblCellMar>
        <w:tblLook w:val="04A0" w:firstRow="1" w:lastRow="0" w:firstColumn="1" w:lastColumn="0" w:noHBand="0" w:noVBand="1"/>
      </w:tblPr>
      <w:tblGrid>
        <w:gridCol w:w="2147"/>
        <w:gridCol w:w="8446"/>
      </w:tblGrid>
      <w:tr w:rsidR="00D1352F" w14:paraId="36BFA241" w14:textId="77777777">
        <w:trPr>
          <w:trHeight w:val="1676"/>
        </w:trPr>
        <w:tc>
          <w:tcPr>
            <w:tcW w:w="2147" w:type="dxa"/>
            <w:tcBorders>
              <w:top w:val="single" w:sz="8" w:space="0" w:color="000000"/>
              <w:left w:val="single" w:sz="8" w:space="0" w:color="000000"/>
              <w:bottom w:val="single" w:sz="8" w:space="0" w:color="000000"/>
              <w:right w:val="single" w:sz="8" w:space="0" w:color="000000"/>
            </w:tcBorders>
          </w:tcPr>
          <w:p w14:paraId="673058B5" w14:textId="77777777" w:rsidR="00D1352F" w:rsidRDefault="009B1F56">
            <w:pPr>
              <w:spacing w:after="21" w:line="259" w:lineRule="auto"/>
              <w:ind w:left="0" w:firstLine="0"/>
            </w:pPr>
            <w:r>
              <w:t xml:space="preserve">For the Buyer: </w:t>
            </w:r>
          </w:p>
          <w:p w14:paraId="44C7F2A4" w14:textId="77777777" w:rsidR="00D1352F" w:rsidRDefault="009B1F56">
            <w:pPr>
              <w:spacing w:after="21" w:line="259" w:lineRule="auto"/>
              <w:ind w:left="0" w:firstLine="0"/>
            </w:pPr>
            <w:r>
              <w:t xml:space="preserve"> </w:t>
            </w:r>
          </w:p>
          <w:p w14:paraId="45B46414" w14:textId="77777777" w:rsidR="00D1352F" w:rsidRDefault="009B1F56">
            <w:pPr>
              <w:spacing w:after="0" w:line="259" w:lineRule="auto"/>
              <w:ind w:left="0" w:firstLine="0"/>
            </w:pPr>
            <w:r>
              <w:t xml:space="preserve"> </w:t>
            </w:r>
          </w:p>
        </w:tc>
        <w:tc>
          <w:tcPr>
            <w:tcW w:w="8447" w:type="dxa"/>
            <w:tcBorders>
              <w:top w:val="single" w:sz="8" w:space="0" w:color="000000"/>
              <w:left w:val="single" w:sz="8" w:space="0" w:color="000000"/>
              <w:bottom w:val="single" w:sz="8" w:space="0" w:color="000000"/>
              <w:right w:val="single" w:sz="8" w:space="0" w:color="000000"/>
            </w:tcBorders>
            <w:vAlign w:val="center"/>
          </w:tcPr>
          <w:p w14:paraId="34703FB0" w14:textId="7C662D7C" w:rsidR="00D1352F" w:rsidRDefault="009B1F56">
            <w:pPr>
              <w:spacing w:after="21" w:line="259" w:lineRule="auto"/>
              <w:ind w:left="0" w:firstLine="0"/>
            </w:pPr>
            <w:r>
              <w:t xml:space="preserve">Title: </w:t>
            </w:r>
            <w:r>
              <w:rPr>
                <w:highlight w:val="black"/>
              </w:rPr>
              <w:t>&lt;REDACTED&gt;</w:t>
            </w:r>
          </w:p>
          <w:p w14:paraId="467D46CA" w14:textId="77777777" w:rsidR="009B1F56" w:rsidRDefault="009B1F56" w:rsidP="009B1F56">
            <w:pPr>
              <w:spacing w:after="21" w:line="259" w:lineRule="auto"/>
              <w:ind w:left="0" w:firstLine="0"/>
            </w:pPr>
            <w:r>
              <w:t xml:space="preserve">Name: </w:t>
            </w:r>
            <w:r>
              <w:rPr>
                <w:highlight w:val="black"/>
              </w:rPr>
              <w:t>&lt;REDACTED&gt;</w:t>
            </w:r>
            <w:r>
              <w:t xml:space="preserve"> </w:t>
            </w:r>
          </w:p>
          <w:p w14:paraId="70242CB6" w14:textId="77777777" w:rsidR="009B1F56" w:rsidRDefault="009B1F56" w:rsidP="009B1F56">
            <w:pPr>
              <w:spacing w:after="21" w:line="259" w:lineRule="auto"/>
              <w:ind w:left="0" w:firstLine="0"/>
            </w:pPr>
            <w:r>
              <w:t xml:space="preserve">Email: </w:t>
            </w:r>
            <w:r>
              <w:rPr>
                <w:highlight w:val="black"/>
              </w:rPr>
              <w:t>&lt;REDACTED&gt;</w:t>
            </w:r>
            <w:r>
              <w:t xml:space="preserve"> </w:t>
            </w:r>
          </w:p>
          <w:p w14:paraId="22C9E76A" w14:textId="4543A55C" w:rsidR="00D1352F" w:rsidRDefault="009B1F56" w:rsidP="009B1F56">
            <w:pPr>
              <w:spacing w:after="21" w:line="259" w:lineRule="auto"/>
              <w:ind w:left="0" w:firstLine="0"/>
            </w:pPr>
            <w:r>
              <w:t xml:space="preserve">Phone: </w:t>
            </w:r>
            <w:r>
              <w:rPr>
                <w:highlight w:val="black"/>
              </w:rPr>
              <w:t>&lt;REDACTED&gt;</w:t>
            </w:r>
          </w:p>
        </w:tc>
      </w:tr>
      <w:tr w:rsidR="00D1352F" w14:paraId="6B88F5A2" w14:textId="77777777">
        <w:trPr>
          <w:trHeight w:val="1676"/>
        </w:trPr>
        <w:tc>
          <w:tcPr>
            <w:tcW w:w="2147" w:type="dxa"/>
            <w:tcBorders>
              <w:top w:val="single" w:sz="8" w:space="0" w:color="000000"/>
              <w:left w:val="single" w:sz="8" w:space="0" w:color="000000"/>
              <w:bottom w:val="single" w:sz="8" w:space="0" w:color="000000"/>
              <w:right w:val="single" w:sz="8" w:space="0" w:color="000000"/>
            </w:tcBorders>
          </w:tcPr>
          <w:p w14:paraId="70C05BCC" w14:textId="77777777" w:rsidR="00D1352F" w:rsidRDefault="009B1F56">
            <w:pPr>
              <w:spacing w:after="0" w:line="259" w:lineRule="auto"/>
              <w:ind w:left="0" w:firstLine="0"/>
            </w:pPr>
            <w:r>
              <w:t xml:space="preserve">For the Supplier: </w:t>
            </w:r>
          </w:p>
        </w:tc>
        <w:tc>
          <w:tcPr>
            <w:tcW w:w="8447" w:type="dxa"/>
            <w:tcBorders>
              <w:top w:val="single" w:sz="8" w:space="0" w:color="000000"/>
              <w:left w:val="single" w:sz="8" w:space="0" w:color="000000"/>
              <w:bottom w:val="single" w:sz="8" w:space="0" w:color="000000"/>
              <w:right w:val="single" w:sz="8" w:space="0" w:color="000000"/>
            </w:tcBorders>
            <w:vAlign w:val="center"/>
          </w:tcPr>
          <w:p w14:paraId="1E8E8631" w14:textId="7D479BB8" w:rsidR="00D1352F" w:rsidRDefault="009B1F56">
            <w:pPr>
              <w:spacing w:after="21" w:line="259" w:lineRule="auto"/>
              <w:ind w:left="0" w:firstLine="0"/>
            </w:pPr>
            <w:r>
              <w:t xml:space="preserve">Title: </w:t>
            </w:r>
            <w:r>
              <w:rPr>
                <w:highlight w:val="black"/>
              </w:rPr>
              <w:t>&lt;REDACTED&gt;</w:t>
            </w:r>
            <w:r>
              <w:t xml:space="preserve">  </w:t>
            </w:r>
          </w:p>
          <w:p w14:paraId="22F30F44" w14:textId="619D6C75" w:rsidR="009B1F56" w:rsidRDefault="009B1F56">
            <w:pPr>
              <w:spacing w:after="21" w:line="259" w:lineRule="auto"/>
              <w:ind w:left="0" w:firstLine="0"/>
            </w:pPr>
            <w:r>
              <w:t xml:space="preserve">Name: </w:t>
            </w:r>
            <w:r>
              <w:rPr>
                <w:highlight w:val="black"/>
              </w:rPr>
              <w:t>&lt;REDACTED&gt;</w:t>
            </w:r>
            <w:r>
              <w:t xml:space="preserve"> </w:t>
            </w:r>
          </w:p>
          <w:p w14:paraId="658784BA" w14:textId="77777777" w:rsidR="009B1F56" w:rsidRDefault="009B1F56" w:rsidP="009B1F56">
            <w:pPr>
              <w:spacing w:after="16" w:line="259" w:lineRule="auto"/>
              <w:ind w:left="0" w:firstLine="0"/>
            </w:pPr>
            <w:r>
              <w:t xml:space="preserve">Email: </w:t>
            </w:r>
            <w:r>
              <w:rPr>
                <w:highlight w:val="black"/>
              </w:rPr>
              <w:t>&lt;REDACTED&gt;</w:t>
            </w:r>
            <w:r>
              <w:t xml:space="preserve">  </w:t>
            </w:r>
          </w:p>
          <w:p w14:paraId="5649E2A7" w14:textId="56241927" w:rsidR="00D1352F" w:rsidRDefault="009B1F56" w:rsidP="009B1F56">
            <w:pPr>
              <w:spacing w:after="16" w:line="259" w:lineRule="auto"/>
              <w:ind w:left="0" w:firstLine="0"/>
            </w:pPr>
            <w:r>
              <w:t xml:space="preserve">Phone: </w:t>
            </w:r>
            <w:r>
              <w:rPr>
                <w:highlight w:val="black"/>
              </w:rPr>
              <w:t>&lt;REDACTED&gt;</w:t>
            </w:r>
          </w:p>
        </w:tc>
      </w:tr>
    </w:tbl>
    <w:p w14:paraId="0044474F" w14:textId="77777777" w:rsidR="00D1352F" w:rsidRDefault="009B1F56">
      <w:pPr>
        <w:spacing w:after="218" w:line="259" w:lineRule="auto"/>
        <w:ind w:left="5" w:firstLine="0"/>
      </w:pPr>
      <w:r>
        <w:t xml:space="preserve"> </w:t>
      </w:r>
    </w:p>
    <w:p w14:paraId="56705420" w14:textId="77777777" w:rsidR="00D1352F" w:rsidRDefault="009B1F56">
      <w:pPr>
        <w:pStyle w:val="Heading3"/>
        <w:spacing w:line="270" w:lineRule="auto"/>
        <w:ind w:left="0"/>
      </w:pPr>
      <w:bookmarkStart w:id="3" w:name="_Toc76712"/>
      <w:r>
        <w:rPr>
          <w:sz w:val="24"/>
        </w:rPr>
        <w:lastRenderedPageBreak/>
        <w:t xml:space="preserve">Call-Off Contract term </w:t>
      </w:r>
      <w:bookmarkEnd w:id="3"/>
    </w:p>
    <w:tbl>
      <w:tblPr>
        <w:tblStyle w:val="TableGrid"/>
        <w:tblW w:w="10636" w:type="dxa"/>
        <w:tblInd w:w="14" w:type="dxa"/>
        <w:tblCellMar>
          <w:top w:w="73" w:type="dxa"/>
          <w:left w:w="115" w:type="dxa"/>
          <w:right w:w="115" w:type="dxa"/>
        </w:tblCellMar>
        <w:tblLook w:val="04A0" w:firstRow="1" w:lastRow="0" w:firstColumn="1" w:lastColumn="0" w:noHBand="0" w:noVBand="1"/>
      </w:tblPr>
      <w:tblGrid>
        <w:gridCol w:w="2660"/>
        <w:gridCol w:w="7976"/>
      </w:tblGrid>
      <w:tr w:rsidR="00D1352F" w14:paraId="30729747" w14:textId="77777777">
        <w:trPr>
          <w:trHeight w:val="749"/>
        </w:trPr>
        <w:tc>
          <w:tcPr>
            <w:tcW w:w="2660" w:type="dxa"/>
            <w:tcBorders>
              <w:top w:val="single" w:sz="8" w:space="0" w:color="000000"/>
              <w:left w:val="single" w:sz="8" w:space="0" w:color="000000"/>
              <w:bottom w:val="single" w:sz="8" w:space="0" w:color="000000"/>
              <w:right w:val="single" w:sz="8" w:space="0" w:color="000000"/>
            </w:tcBorders>
          </w:tcPr>
          <w:p w14:paraId="2E5832D5" w14:textId="77777777" w:rsidR="00D1352F" w:rsidRDefault="009B1F56">
            <w:pPr>
              <w:spacing w:after="21" w:line="259" w:lineRule="auto"/>
              <w:ind w:left="5" w:firstLine="0"/>
            </w:pPr>
            <w:r>
              <w:t xml:space="preserve">Start date: </w:t>
            </w:r>
          </w:p>
          <w:p w14:paraId="08A2EA20" w14:textId="77777777" w:rsidR="00D1352F" w:rsidRDefault="009B1F56">
            <w:pPr>
              <w:spacing w:after="0" w:line="259" w:lineRule="auto"/>
              <w:ind w:left="5" w:firstLine="0"/>
            </w:pPr>
            <w:r>
              <w:t xml:space="preserve"> </w:t>
            </w:r>
          </w:p>
        </w:tc>
        <w:tc>
          <w:tcPr>
            <w:tcW w:w="7976" w:type="dxa"/>
            <w:tcBorders>
              <w:top w:val="single" w:sz="8" w:space="0" w:color="000000"/>
              <w:left w:val="single" w:sz="8" w:space="0" w:color="000000"/>
              <w:bottom w:val="single" w:sz="8" w:space="0" w:color="000000"/>
              <w:right w:val="single" w:sz="8" w:space="0" w:color="000000"/>
            </w:tcBorders>
          </w:tcPr>
          <w:p w14:paraId="6CFC91CF" w14:textId="77777777" w:rsidR="00D1352F" w:rsidRDefault="009B1F56">
            <w:pPr>
              <w:spacing w:after="0" w:line="259" w:lineRule="auto"/>
              <w:ind w:left="0" w:firstLine="0"/>
            </w:pPr>
            <w:r>
              <w:t>This Call-Off Contract Starts on 1</w:t>
            </w:r>
            <w:r>
              <w:rPr>
                <w:sz w:val="21"/>
                <w:vertAlign w:val="superscript"/>
              </w:rPr>
              <w:t>st</w:t>
            </w:r>
            <w:r>
              <w:t xml:space="preserve"> April 2020 and is valid for 24 months with an option to extend for 2 periods of up to 12 months each </w:t>
            </w:r>
          </w:p>
        </w:tc>
      </w:tr>
      <w:tr w:rsidR="00D1352F" w14:paraId="188BAF4D" w14:textId="77777777">
        <w:trPr>
          <w:trHeight w:val="2929"/>
        </w:trPr>
        <w:tc>
          <w:tcPr>
            <w:tcW w:w="2660" w:type="dxa"/>
            <w:tcBorders>
              <w:top w:val="single" w:sz="8" w:space="0" w:color="000000"/>
              <w:left w:val="single" w:sz="8" w:space="0" w:color="000000"/>
              <w:bottom w:val="single" w:sz="8" w:space="0" w:color="000000"/>
              <w:right w:val="single" w:sz="8" w:space="0" w:color="000000"/>
            </w:tcBorders>
          </w:tcPr>
          <w:p w14:paraId="372259FB" w14:textId="77777777" w:rsidR="00D1352F" w:rsidRDefault="009B1F56">
            <w:pPr>
              <w:spacing w:after="16" w:line="259" w:lineRule="auto"/>
              <w:ind w:left="5" w:firstLine="0"/>
            </w:pPr>
            <w:r>
              <w:t xml:space="preserve">Ending </w:t>
            </w:r>
          </w:p>
          <w:p w14:paraId="3BE2CE32" w14:textId="77777777" w:rsidR="00D1352F" w:rsidRDefault="009B1F56">
            <w:pPr>
              <w:spacing w:after="0" w:line="259" w:lineRule="auto"/>
              <w:ind w:left="5" w:firstLine="0"/>
            </w:pPr>
            <w:r>
              <w:t xml:space="preserve">(termination):  </w:t>
            </w:r>
          </w:p>
        </w:tc>
        <w:tc>
          <w:tcPr>
            <w:tcW w:w="7976" w:type="dxa"/>
            <w:tcBorders>
              <w:top w:val="single" w:sz="8" w:space="0" w:color="000000"/>
              <w:left w:val="single" w:sz="8" w:space="0" w:color="000000"/>
              <w:bottom w:val="single" w:sz="8" w:space="0" w:color="000000"/>
              <w:right w:val="single" w:sz="8" w:space="0" w:color="000000"/>
            </w:tcBorders>
          </w:tcPr>
          <w:p w14:paraId="070D301B" w14:textId="77777777" w:rsidR="00D1352F" w:rsidRDefault="009B1F56">
            <w:pPr>
              <w:spacing w:after="2" w:line="273" w:lineRule="auto"/>
              <w:ind w:left="0" w:firstLine="0"/>
            </w:pPr>
            <w:r>
              <w:t xml:space="preserve">The notice period needed for Ending the Call-Off Contract is at least 90 Working Days from the date of written notice for disputed sums or at least 30 days from the date of written notice for Ending without cause.  </w:t>
            </w:r>
          </w:p>
          <w:p w14:paraId="1FFB2A6B" w14:textId="77777777" w:rsidR="00D1352F" w:rsidRDefault="009B1F56">
            <w:pPr>
              <w:spacing w:after="21" w:line="259" w:lineRule="auto"/>
              <w:ind w:left="0" w:firstLine="0"/>
            </w:pPr>
            <w:r>
              <w:t xml:space="preserve"> </w:t>
            </w:r>
          </w:p>
          <w:p w14:paraId="0196FD9A" w14:textId="77777777" w:rsidR="00D1352F" w:rsidRDefault="009B1F56">
            <w:pPr>
              <w:spacing w:after="0" w:line="259" w:lineRule="auto"/>
              <w:ind w:left="0" w:firstLine="0"/>
            </w:pPr>
            <w:r>
              <w:t xml:space="preserve">Termination of Agreed Work Packages will default to a minimum of 5 Working Days or a period agreed between the Parties on a case by case basis per Agreed Work Package (notice of termination to be in writing between the nominated representatives stated above in the Buyer and Supplier </w:t>
            </w:r>
          </w:p>
        </w:tc>
      </w:tr>
      <w:tr w:rsidR="00D1352F" w14:paraId="3C0096C8" w14:textId="77777777">
        <w:trPr>
          <w:trHeight w:val="384"/>
        </w:trPr>
        <w:tc>
          <w:tcPr>
            <w:tcW w:w="2660" w:type="dxa"/>
            <w:tcBorders>
              <w:top w:val="single" w:sz="8" w:space="0" w:color="000000"/>
              <w:left w:val="single" w:sz="8" w:space="0" w:color="000000"/>
              <w:bottom w:val="single" w:sz="8" w:space="0" w:color="000000"/>
              <w:right w:val="single" w:sz="8" w:space="0" w:color="000000"/>
            </w:tcBorders>
          </w:tcPr>
          <w:p w14:paraId="41D0D2D9" w14:textId="77777777" w:rsidR="00D1352F" w:rsidRDefault="00D1352F">
            <w:pPr>
              <w:spacing w:after="160" w:line="259" w:lineRule="auto"/>
              <w:ind w:left="0" w:firstLine="0"/>
            </w:pPr>
          </w:p>
        </w:tc>
        <w:tc>
          <w:tcPr>
            <w:tcW w:w="7976" w:type="dxa"/>
            <w:tcBorders>
              <w:top w:val="single" w:sz="8" w:space="0" w:color="000000"/>
              <w:left w:val="single" w:sz="8" w:space="0" w:color="000000"/>
              <w:bottom w:val="single" w:sz="8" w:space="0" w:color="000000"/>
              <w:right w:val="single" w:sz="8" w:space="0" w:color="000000"/>
            </w:tcBorders>
          </w:tcPr>
          <w:p w14:paraId="0335A4D1" w14:textId="77777777" w:rsidR="00D1352F" w:rsidRDefault="009B1F56">
            <w:pPr>
              <w:spacing w:after="0" w:line="259" w:lineRule="auto"/>
              <w:ind w:left="0" w:firstLine="0"/>
            </w:pPr>
            <w:r>
              <w:t xml:space="preserve">Principle Contact Details section). </w:t>
            </w:r>
          </w:p>
        </w:tc>
      </w:tr>
      <w:tr w:rsidR="00D1352F" w14:paraId="4AEFC216" w14:textId="77777777">
        <w:trPr>
          <w:trHeight w:val="5474"/>
        </w:trPr>
        <w:tc>
          <w:tcPr>
            <w:tcW w:w="2660" w:type="dxa"/>
            <w:tcBorders>
              <w:top w:val="single" w:sz="8" w:space="0" w:color="000000"/>
              <w:left w:val="single" w:sz="8" w:space="0" w:color="000000"/>
              <w:bottom w:val="single" w:sz="8" w:space="0" w:color="000000"/>
              <w:right w:val="single" w:sz="8" w:space="0" w:color="000000"/>
            </w:tcBorders>
          </w:tcPr>
          <w:p w14:paraId="7DA53A9D" w14:textId="77777777" w:rsidR="00D1352F" w:rsidRDefault="009B1F56">
            <w:pPr>
              <w:spacing w:after="0" w:line="259" w:lineRule="auto"/>
              <w:ind w:left="5" w:firstLine="0"/>
            </w:pPr>
            <w:r>
              <w:t xml:space="preserve">Extension period: </w:t>
            </w:r>
          </w:p>
        </w:tc>
        <w:tc>
          <w:tcPr>
            <w:tcW w:w="7976" w:type="dxa"/>
            <w:tcBorders>
              <w:top w:val="single" w:sz="8" w:space="0" w:color="000000"/>
              <w:left w:val="single" w:sz="8" w:space="0" w:color="000000"/>
              <w:bottom w:val="single" w:sz="8" w:space="0" w:color="000000"/>
              <w:right w:val="single" w:sz="8" w:space="0" w:color="000000"/>
            </w:tcBorders>
          </w:tcPr>
          <w:p w14:paraId="46C6A693" w14:textId="77777777" w:rsidR="00D1352F" w:rsidRDefault="009B1F56">
            <w:pPr>
              <w:spacing w:after="3" w:line="273" w:lineRule="auto"/>
              <w:ind w:left="0" w:firstLine="0"/>
            </w:pPr>
            <w:r>
              <w:t xml:space="preserve">This Call-Off Contract can be extended by the Buyer for 2 periods of 12 months each, by giving the Supplier 1 month written notice before its expiry. </w:t>
            </w:r>
          </w:p>
          <w:p w14:paraId="4DF133E3" w14:textId="77777777" w:rsidR="00D1352F" w:rsidRDefault="009B1F56">
            <w:pPr>
              <w:spacing w:after="21" w:line="259" w:lineRule="auto"/>
              <w:ind w:left="0" w:firstLine="0"/>
            </w:pPr>
            <w:r>
              <w:t xml:space="preserve"> </w:t>
            </w:r>
          </w:p>
          <w:p w14:paraId="3960672E" w14:textId="77777777" w:rsidR="00D1352F" w:rsidRDefault="009B1F56">
            <w:pPr>
              <w:spacing w:after="5" w:line="272" w:lineRule="auto"/>
              <w:ind w:left="0" w:firstLine="0"/>
            </w:pPr>
            <w:r>
              <w:t xml:space="preserve">Extensions which extend the Term beyond 24 months are only permitted if the Supplier complies with the additional exit plan requirements at clauses </w:t>
            </w:r>
          </w:p>
          <w:p w14:paraId="42630FC6" w14:textId="77777777" w:rsidR="00D1352F" w:rsidRDefault="009B1F56">
            <w:pPr>
              <w:spacing w:after="22" w:line="259" w:lineRule="auto"/>
              <w:ind w:left="0" w:firstLine="0"/>
            </w:pPr>
            <w:r>
              <w:t xml:space="preserve">21.3 to 21.8. </w:t>
            </w:r>
          </w:p>
          <w:p w14:paraId="6D610461" w14:textId="77777777" w:rsidR="00D1352F" w:rsidRDefault="009B1F56">
            <w:pPr>
              <w:spacing w:after="16" w:line="259" w:lineRule="auto"/>
              <w:ind w:left="0" w:firstLine="0"/>
            </w:pPr>
            <w:r>
              <w:t xml:space="preserve"> </w:t>
            </w:r>
          </w:p>
          <w:p w14:paraId="3DF1FB31" w14:textId="77777777" w:rsidR="00D1352F" w:rsidRDefault="009B1F56">
            <w:pPr>
              <w:spacing w:after="0" w:line="275" w:lineRule="auto"/>
              <w:ind w:left="0" w:firstLine="0"/>
            </w:pPr>
            <w:r>
              <w:t xml:space="preserve">The extension period after 24 months should not exceed the maximum permitted under the Framework Agreement which is 2 periods of up to 12 months each.  </w:t>
            </w:r>
          </w:p>
          <w:p w14:paraId="073E6DAE" w14:textId="77777777" w:rsidR="00D1352F" w:rsidRDefault="009B1F56">
            <w:pPr>
              <w:spacing w:after="44" w:line="272" w:lineRule="auto"/>
              <w:ind w:left="0" w:firstLine="0"/>
            </w:pPr>
            <w:r>
              <w:t xml:space="preserve">Under the Spend Controls process, prior approval must be obtained from the Government Digital Service (GDS) if the: </w:t>
            </w:r>
          </w:p>
          <w:p w14:paraId="01026EC0" w14:textId="77777777" w:rsidR="00D1352F" w:rsidRDefault="009B1F56">
            <w:pPr>
              <w:numPr>
                <w:ilvl w:val="0"/>
                <w:numId w:val="35"/>
              </w:numPr>
              <w:spacing w:after="61" w:line="259" w:lineRule="auto"/>
              <w:ind w:hanging="361"/>
            </w:pPr>
            <w:r>
              <w:t xml:space="preserve">Buyer is a central government department  </w:t>
            </w:r>
          </w:p>
          <w:p w14:paraId="555F7A9D" w14:textId="77777777" w:rsidR="00D1352F" w:rsidRDefault="009B1F56">
            <w:pPr>
              <w:numPr>
                <w:ilvl w:val="0"/>
                <w:numId w:val="35"/>
              </w:numPr>
              <w:spacing w:after="0" w:line="259" w:lineRule="auto"/>
              <w:ind w:hanging="361"/>
            </w:pPr>
            <w:r>
              <w:t xml:space="preserve">contract Term is intended to exceed 24 months </w:t>
            </w:r>
          </w:p>
        </w:tc>
      </w:tr>
    </w:tbl>
    <w:p w14:paraId="6AF59E41" w14:textId="77777777" w:rsidR="00D1352F" w:rsidRDefault="009B1F56">
      <w:pPr>
        <w:spacing w:after="262" w:line="259" w:lineRule="auto"/>
        <w:ind w:left="5" w:firstLine="0"/>
      </w:pPr>
      <w:r>
        <w:t xml:space="preserve"> </w:t>
      </w:r>
    </w:p>
    <w:p w14:paraId="6BC522C4" w14:textId="77777777" w:rsidR="00D1352F" w:rsidRDefault="009B1F56">
      <w:pPr>
        <w:pStyle w:val="Heading3"/>
        <w:ind w:left="0"/>
      </w:pPr>
      <w:bookmarkStart w:id="4" w:name="_Toc76713"/>
      <w:r>
        <w:t xml:space="preserve">Buyer contractual details </w:t>
      </w:r>
      <w:bookmarkEnd w:id="4"/>
    </w:p>
    <w:p w14:paraId="04D39C7D" w14:textId="77777777" w:rsidR="00D1352F" w:rsidRDefault="009B1F56">
      <w:pPr>
        <w:spacing w:after="0"/>
        <w:ind w:left="0"/>
      </w:pPr>
      <w:r>
        <w:t xml:space="preserve">This Order is for the G-Cloud Services outlined below. It is acknowledged by the Parties that the volume of the G-Cloud Services used by the Buyer may vary during this Call-Off Contract. </w:t>
      </w:r>
    </w:p>
    <w:tbl>
      <w:tblPr>
        <w:tblStyle w:val="TableGrid"/>
        <w:tblW w:w="10636" w:type="dxa"/>
        <w:tblInd w:w="14" w:type="dxa"/>
        <w:tblCellMar>
          <w:top w:w="73" w:type="dxa"/>
          <w:left w:w="115" w:type="dxa"/>
          <w:right w:w="85" w:type="dxa"/>
        </w:tblCellMar>
        <w:tblLook w:val="04A0" w:firstRow="1" w:lastRow="0" w:firstColumn="1" w:lastColumn="0" w:noHBand="0" w:noVBand="1"/>
      </w:tblPr>
      <w:tblGrid>
        <w:gridCol w:w="2660"/>
        <w:gridCol w:w="7976"/>
      </w:tblGrid>
      <w:tr w:rsidR="00D1352F" w14:paraId="668F185F" w14:textId="77777777">
        <w:trPr>
          <w:trHeight w:val="744"/>
        </w:trPr>
        <w:tc>
          <w:tcPr>
            <w:tcW w:w="2660" w:type="dxa"/>
            <w:tcBorders>
              <w:top w:val="single" w:sz="8" w:space="0" w:color="000000"/>
              <w:left w:val="single" w:sz="8" w:space="0" w:color="000000"/>
              <w:bottom w:val="single" w:sz="8" w:space="0" w:color="000000"/>
              <w:right w:val="single" w:sz="8" w:space="0" w:color="000000"/>
            </w:tcBorders>
          </w:tcPr>
          <w:p w14:paraId="45270E73" w14:textId="77777777" w:rsidR="00D1352F" w:rsidRDefault="009B1F56">
            <w:pPr>
              <w:spacing w:after="0" w:line="259" w:lineRule="auto"/>
              <w:ind w:left="5" w:firstLine="0"/>
            </w:pPr>
            <w:r>
              <w:t xml:space="preserve">G-Cloud lot: </w:t>
            </w:r>
          </w:p>
        </w:tc>
        <w:tc>
          <w:tcPr>
            <w:tcW w:w="7976" w:type="dxa"/>
            <w:tcBorders>
              <w:top w:val="single" w:sz="8" w:space="0" w:color="000000"/>
              <w:left w:val="single" w:sz="8" w:space="0" w:color="000000"/>
              <w:bottom w:val="single" w:sz="8" w:space="0" w:color="000000"/>
              <w:right w:val="single" w:sz="8" w:space="0" w:color="000000"/>
            </w:tcBorders>
          </w:tcPr>
          <w:p w14:paraId="06621D9C" w14:textId="77777777" w:rsidR="00D1352F" w:rsidRDefault="009B1F56">
            <w:pPr>
              <w:spacing w:after="17" w:line="259" w:lineRule="auto"/>
              <w:ind w:left="0" w:firstLine="0"/>
            </w:pPr>
            <w:r>
              <w:t xml:space="preserve">This Call-Off Contract is for the provision of Services under:  </w:t>
            </w:r>
          </w:p>
          <w:p w14:paraId="7D169640" w14:textId="77777777" w:rsidR="00D1352F" w:rsidRDefault="009B1F56">
            <w:pPr>
              <w:spacing w:after="0" w:line="259" w:lineRule="auto"/>
              <w:ind w:left="0" w:firstLine="0"/>
            </w:pPr>
            <w:r>
              <w:t xml:space="preserve"> Lot 3 - Cloud support  </w:t>
            </w:r>
          </w:p>
        </w:tc>
      </w:tr>
      <w:tr w:rsidR="00D1352F" w14:paraId="0141E17D" w14:textId="77777777">
        <w:trPr>
          <w:trHeight w:val="4019"/>
        </w:trPr>
        <w:tc>
          <w:tcPr>
            <w:tcW w:w="2660" w:type="dxa"/>
            <w:tcBorders>
              <w:top w:val="single" w:sz="8" w:space="0" w:color="000000"/>
              <w:left w:val="single" w:sz="8" w:space="0" w:color="000000"/>
              <w:bottom w:val="single" w:sz="8" w:space="0" w:color="000000"/>
              <w:right w:val="single" w:sz="8" w:space="0" w:color="000000"/>
            </w:tcBorders>
          </w:tcPr>
          <w:p w14:paraId="1AA6EFEC" w14:textId="77777777" w:rsidR="00D1352F" w:rsidRDefault="009B1F56">
            <w:pPr>
              <w:spacing w:after="0" w:line="259" w:lineRule="auto"/>
              <w:ind w:left="5" w:firstLine="0"/>
            </w:pPr>
            <w:r>
              <w:lastRenderedPageBreak/>
              <w:t xml:space="preserve">G-Cloud services required: </w:t>
            </w:r>
          </w:p>
        </w:tc>
        <w:tc>
          <w:tcPr>
            <w:tcW w:w="7976" w:type="dxa"/>
            <w:tcBorders>
              <w:top w:val="single" w:sz="8" w:space="0" w:color="000000"/>
              <w:left w:val="single" w:sz="8" w:space="0" w:color="000000"/>
              <w:bottom w:val="single" w:sz="8" w:space="0" w:color="000000"/>
              <w:right w:val="single" w:sz="8" w:space="0" w:color="000000"/>
            </w:tcBorders>
          </w:tcPr>
          <w:p w14:paraId="114EEA6F" w14:textId="77777777" w:rsidR="00D1352F" w:rsidRDefault="009B1F56">
            <w:pPr>
              <w:spacing w:after="0" w:line="275" w:lineRule="auto"/>
              <w:ind w:left="0" w:firstLine="0"/>
            </w:pPr>
            <w:r>
              <w:t xml:space="preserve">The Services to be provided by the Supplier under the above Lot are DevOps and the actual Services will be agreed within work packages. </w:t>
            </w:r>
          </w:p>
          <w:p w14:paraId="1B84528F" w14:textId="77777777" w:rsidR="00D1352F" w:rsidRDefault="009B1F56">
            <w:pPr>
              <w:spacing w:after="17" w:line="259" w:lineRule="auto"/>
              <w:ind w:left="0" w:firstLine="0"/>
            </w:pPr>
            <w:r>
              <w:t xml:space="preserve"> </w:t>
            </w:r>
          </w:p>
          <w:p w14:paraId="3E5FEE33" w14:textId="77777777" w:rsidR="00D1352F" w:rsidRDefault="009B1F56">
            <w:pPr>
              <w:spacing w:after="0" w:line="259" w:lineRule="auto"/>
              <w:ind w:left="0" w:firstLine="0"/>
            </w:pPr>
            <w:r>
              <w:t xml:space="preserve">The Buyer agrees that the implications of the current </w:t>
            </w:r>
            <w:proofErr w:type="spellStart"/>
            <w:r>
              <w:t>Covid</w:t>
            </w:r>
            <w:proofErr w:type="spellEnd"/>
            <w:r>
              <w:t xml:space="preserve"> 19 pandemic (“the Pandemic”) are, at the date of signature of this Call-Off Contract, unforeseeable.  To the extent that the Pandemic or any consequences related to the Pandemic impacts the Supplier’s ability to deliver the Services or to meet the Milestones/ Delivery Dates, the Buyer] agrees that the Supplier shall be excused from performing the Services or meeting the Milestones / Delivery Dates.  The Supplier shall use reasonable endeavours to mitigate the impact of the Pandemic. </w:t>
            </w:r>
          </w:p>
        </w:tc>
      </w:tr>
      <w:tr w:rsidR="00D1352F" w14:paraId="36A26CAB" w14:textId="77777777">
        <w:trPr>
          <w:trHeight w:val="749"/>
        </w:trPr>
        <w:tc>
          <w:tcPr>
            <w:tcW w:w="2660" w:type="dxa"/>
            <w:tcBorders>
              <w:top w:val="single" w:sz="8" w:space="0" w:color="000000"/>
              <w:left w:val="single" w:sz="8" w:space="0" w:color="000000"/>
              <w:bottom w:val="single" w:sz="8" w:space="0" w:color="000000"/>
              <w:right w:val="single" w:sz="8" w:space="0" w:color="000000"/>
            </w:tcBorders>
          </w:tcPr>
          <w:p w14:paraId="57742C69" w14:textId="77777777" w:rsidR="00D1352F" w:rsidRDefault="009B1F56">
            <w:pPr>
              <w:spacing w:after="0" w:line="259" w:lineRule="auto"/>
              <w:ind w:left="5" w:firstLine="0"/>
            </w:pPr>
            <w:r>
              <w:t xml:space="preserve">Additional Services: </w:t>
            </w:r>
          </w:p>
        </w:tc>
        <w:tc>
          <w:tcPr>
            <w:tcW w:w="7976" w:type="dxa"/>
            <w:tcBorders>
              <w:top w:val="single" w:sz="8" w:space="0" w:color="000000"/>
              <w:left w:val="single" w:sz="8" w:space="0" w:color="000000"/>
              <w:bottom w:val="single" w:sz="8" w:space="0" w:color="000000"/>
              <w:right w:val="single" w:sz="8" w:space="0" w:color="000000"/>
            </w:tcBorders>
          </w:tcPr>
          <w:p w14:paraId="1ED8943C" w14:textId="77777777" w:rsidR="00D1352F" w:rsidRDefault="009B1F56">
            <w:pPr>
              <w:spacing w:after="22" w:line="259" w:lineRule="auto"/>
              <w:ind w:left="0" w:firstLine="0"/>
            </w:pPr>
            <w:r>
              <w:t xml:space="preserve">Not Applicable </w:t>
            </w:r>
          </w:p>
          <w:p w14:paraId="75BB89CD" w14:textId="77777777" w:rsidR="00D1352F" w:rsidRDefault="009B1F56">
            <w:pPr>
              <w:spacing w:after="0" w:line="259" w:lineRule="auto"/>
              <w:ind w:left="0" w:firstLine="0"/>
            </w:pPr>
            <w:r>
              <w:t xml:space="preserve"> </w:t>
            </w:r>
          </w:p>
        </w:tc>
      </w:tr>
      <w:tr w:rsidR="00D1352F" w14:paraId="1E74B9F4" w14:textId="77777777">
        <w:trPr>
          <w:trHeight w:val="970"/>
        </w:trPr>
        <w:tc>
          <w:tcPr>
            <w:tcW w:w="2660" w:type="dxa"/>
            <w:tcBorders>
              <w:top w:val="single" w:sz="8" w:space="0" w:color="000000"/>
              <w:left w:val="single" w:sz="8" w:space="0" w:color="000000"/>
              <w:bottom w:val="single" w:sz="8" w:space="0" w:color="000000"/>
              <w:right w:val="single" w:sz="8" w:space="0" w:color="000000"/>
            </w:tcBorders>
          </w:tcPr>
          <w:p w14:paraId="102FA4E1" w14:textId="77777777" w:rsidR="00D1352F" w:rsidRDefault="009B1F56">
            <w:pPr>
              <w:spacing w:after="0" w:line="259" w:lineRule="auto"/>
              <w:ind w:left="5" w:firstLine="0"/>
            </w:pPr>
            <w:r>
              <w:t xml:space="preserve">Location: </w:t>
            </w:r>
          </w:p>
        </w:tc>
        <w:tc>
          <w:tcPr>
            <w:tcW w:w="7976" w:type="dxa"/>
            <w:tcBorders>
              <w:top w:val="single" w:sz="8" w:space="0" w:color="000000"/>
              <w:left w:val="single" w:sz="8" w:space="0" w:color="000000"/>
              <w:bottom w:val="single" w:sz="8" w:space="0" w:color="000000"/>
              <w:right w:val="single" w:sz="8" w:space="0" w:color="000000"/>
            </w:tcBorders>
          </w:tcPr>
          <w:p w14:paraId="0ED50D87" w14:textId="77777777" w:rsidR="00D1352F" w:rsidRDefault="009B1F56">
            <w:pPr>
              <w:spacing w:after="0" w:line="259" w:lineRule="auto"/>
              <w:ind w:left="0" w:firstLine="0"/>
            </w:pPr>
            <w:r>
              <w:t xml:space="preserve">The Services will be delivered primarily to the Department for Education’s offices in </w:t>
            </w:r>
            <w:proofErr w:type="gramStart"/>
            <w:r>
              <w:t>Coventry,</w:t>
            </w:r>
            <w:proofErr w:type="gramEnd"/>
            <w:r>
              <w:t xml:space="preserve"> however the Supplier may be required to travel to or be located in, other Buyer offices in the UK or work remotely where deemed </w:t>
            </w:r>
          </w:p>
        </w:tc>
      </w:tr>
    </w:tbl>
    <w:p w14:paraId="7F0E8B2C" w14:textId="77777777" w:rsidR="00D1352F" w:rsidRDefault="00D1352F">
      <w:pPr>
        <w:spacing w:after="0" w:line="259" w:lineRule="auto"/>
        <w:ind w:left="-701" w:right="11332" w:firstLine="0"/>
      </w:pPr>
    </w:p>
    <w:tbl>
      <w:tblPr>
        <w:tblStyle w:val="TableGrid"/>
        <w:tblW w:w="10636" w:type="dxa"/>
        <w:tblInd w:w="14" w:type="dxa"/>
        <w:tblCellMar>
          <w:top w:w="18" w:type="dxa"/>
          <w:left w:w="115" w:type="dxa"/>
          <w:right w:w="56" w:type="dxa"/>
        </w:tblCellMar>
        <w:tblLook w:val="04A0" w:firstRow="1" w:lastRow="0" w:firstColumn="1" w:lastColumn="0" w:noHBand="0" w:noVBand="1"/>
      </w:tblPr>
      <w:tblGrid>
        <w:gridCol w:w="2660"/>
        <w:gridCol w:w="7976"/>
      </w:tblGrid>
      <w:tr w:rsidR="00D1352F" w14:paraId="5C544BE1" w14:textId="77777777">
        <w:trPr>
          <w:trHeight w:val="648"/>
        </w:trPr>
        <w:tc>
          <w:tcPr>
            <w:tcW w:w="2660" w:type="dxa"/>
            <w:tcBorders>
              <w:top w:val="single" w:sz="8" w:space="0" w:color="000000"/>
              <w:left w:val="single" w:sz="8" w:space="0" w:color="000000"/>
              <w:bottom w:val="single" w:sz="8" w:space="0" w:color="000000"/>
              <w:right w:val="single" w:sz="8" w:space="0" w:color="000000"/>
            </w:tcBorders>
          </w:tcPr>
          <w:p w14:paraId="6BFE0667" w14:textId="77777777" w:rsidR="00D1352F" w:rsidRDefault="00D1352F">
            <w:pPr>
              <w:spacing w:after="160" w:line="259" w:lineRule="auto"/>
              <w:ind w:left="0" w:firstLine="0"/>
            </w:pPr>
          </w:p>
        </w:tc>
        <w:tc>
          <w:tcPr>
            <w:tcW w:w="7976" w:type="dxa"/>
            <w:tcBorders>
              <w:top w:val="single" w:sz="8" w:space="0" w:color="000000"/>
              <w:left w:val="single" w:sz="8" w:space="0" w:color="000000"/>
              <w:bottom w:val="single" w:sz="8" w:space="0" w:color="000000"/>
              <w:right w:val="single" w:sz="8" w:space="0" w:color="000000"/>
            </w:tcBorders>
          </w:tcPr>
          <w:p w14:paraId="0B487B28" w14:textId="77777777" w:rsidR="00D1352F" w:rsidRDefault="009B1F56">
            <w:pPr>
              <w:spacing w:after="0" w:line="259" w:lineRule="auto"/>
              <w:ind w:left="0" w:firstLine="0"/>
            </w:pPr>
            <w:r>
              <w:t xml:space="preserve">reasonably necessary by the Supplier. </w:t>
            </w:r>
          </w:p>
          <w:p w14:paraId="76A969FF" w14:textId="77777777" w:rsidR="00D1352F" w:rsidRDefault="009B1F56">
            <w:pPr>
              <w:spacing w:after="0" w:line="259" w:lineRule="auto"/>
              <w:ind w:left="0" w:firstLine="0"/>
            </w:pPr>
            <w:r>
              <w:t xml:space="preserve"> </w:t>
            </w:r>
          </w:p>
        </w:tc>
      </w:tr>
      <w:tr w:rsidR="00D1352F" w14:paraId="1E34E2B7" w14:textId="77777777">
        <w:trPr>
          <w:trHeight w:val="2867"/>
        </w:trPr>
        <w:tc>
          <w:tcPr>
            <w:tcW w:w="2660" w:type="dxa"/>
            <w:tcBorders>
              <w:top w:val="single" w:sz="8" w:space="0" w:color="000000"/>
              <w:left w:val="single" w:sz="8" w:space="0" w:color="000000"/>
              <w:bottom w:val="single" w:sz="8" w:space="0" w:color="000000"/>
              <w:right w:val="single" w:sz="8" w:space="0" w:color="000000"/>
            </w:tcBorders>
          </w:tcPr>
          <w:p w14:paraId="28EFD47A" w14:textId="77777777" w:rsidR="00D1352F" w:rsidRDefault="009B1F56">
            <w:pPr>
              <w:spacing w:after="0" w:line="259" w:lineRule="auto"/>
              <w:ind w:left="5" w:firstLine="0"/>
            </w:pPr>
            <w:r>
              <w:t xml:space="preserve">Quality standards: </w:t>
            </w:r>
          </w:p>
        </w:tc>
        <w:tc>
          <w:tcPr>
            <w:tcW w:w="7976" w:type="dxa"/>
            <w:tcBorders>
              <w:top w:val="single" w:sz="8" w:space="0" w:color="000000"/>
              <w:left w:val="single" w:sz="8" w:space="0" w:color="000000"/>
              <w:bottom w:val="single" w:sz="8" w:space="0" w:color="000000"/>
              <w:right w:val="single" w:sz="8" w:space="0" w:color="000000"/>
            </w:tcBorders>
          </w:tcPr>
          <w:p w14:paraId="13B708B7" w14:textId="77777777" w:rsidR="00D1352F" w:rsidRDefault="009B1F56">
            <w:pPr>
              <w:spacing w:after="0" w:line="239" w:lineRule="auto"/>
              <w:ind w:left="0" w:firstLine="0"/>
            </w:pPr>
            <w:r>
              <w:t xml:space="preserve">The quality standards required for this Call-Off Contract are: The Supplier warrants that it will carry out the services with reasonable care and skill and that all services supplied hereunder shall be of satisfactory quality and fit for the particular purpose for which they are supplied with reference to the Buyer’s requirements and in line with G-Cloud 11 offerings and in accordance with ISO 9001: 2013, IS027001   </w:t>
            </w:r>
          </w:p>
          <w:p w14:paraId="6FD61764" w14:textId="77777777" w:rsidR="00D1352F" w:rsidRDefault="009B1F56">
            <w:pPr>
              <w:spacing w:after="0" w:line="259" w:lineRule="auto"/>
              <w:ind w:left="0" w:firstLine="0"/>
            </w:pPr>
            <w:r>
              <w:t xml:space="preserve"> </w:t>
            </w:r>
          </w:p>
          <w:p w14:paraId="034C390A" w14:textId="77777777" w:rsidR="00D1352F" w:rsidRDefault="009B1F56">
            <w:pPr>
              <w:spacing w:after="0" w:line="259" w:lineRule="auto"/>
              <w:ind w:left="0" w:firstLine="0"/>
            </w:pPr>
            <w:r>
              <w:t xml:space="preserve">The Supplier is expected to work in an 'agile' way to support the Buyer </w:t>
            </w:r>
            <w:proofErr w:type="gramStart"/>
            <w:r>
              <w:t>and also</w:t>
            </w:r>
            <w:proofErr w:type="gramEnd"/>
            <w:r>
              <w:t xml:space="preserve"> to any clauses at Annex A. </w:t>
            </w:r>
          </w:p>
        </w:tc>
      </w:tr>
      <w:tr w:rsidR="00D1352F" w14:paraId="779B8DD7" w14:textId="77777777">
        <w:trPr>
          <w:trHeight w:val="970"/>
        </w:trPr>
        <w:tc>
          <w:tcPr>
            <w:tcW w:w="2660" w:type="dxa"/>
            <w:tcBorders>
              <w:top w:val="single" w:sz="8" w:space="0" w:color="000000"/>
              <w:left w:val="single" w:sz="8" w:space="0" w:color="000000"/>
              <w:bottom w:val="single" w:sz="8" w:space="0" w:color="000000"/>
              <w:right w:val="single" w:sz="8" w:space="0" w:color="000000"/>
            </w:tcBorders>
          </w:tcPr>
          <w:p w14:paraId="6DEA5528" w14:textId="77777777" w:rsidR="00D1352F" w:rsidRDefault="009B1F56">
            <w:pPr>
              <w:spacing w:after="0" w:line="259" w:lineRule="auto"/>
              <w:ind w:left="5" w:firstLine="0"/>
            </w:pPr>
            <w:r>
              <w:t xml:space="preserve">Technical standards:  </w:t>
            </w:r>
          </w:p>
        </w:tc>
        <w:tc>
          <w:tcPr>
            <w:tcW w:w="7976" w:type="dxa"/>
            <w:tcBorders>
              <w:top w:val="single" w:sz="8" w:space="0" w:color="000000"/>
              <w:left w:val="single" w:sz="8" w:space="0" w:color="000000"/>
              <w:bottom w:val="single" w:sz="8" w:space="0" w:color="000000"/>
              <w:right w:val="single" w:sz="8" w:space="0" w:color="000000"/>
            </w:tcBorders>
          </w:tcPr>
          <w:p w14:paraId="51D1C5BC" w14:textId="77777777" w:rsidR="00D1352F" w:rsidRDefault="009B1F56">
            <w:pPr>
              <w:spacing w:after="0" w:line="259" w:lineRule="auto"/>
              <w:ind w:left="0" w:firstLine="0"/>
            </w:pPr>
            <w:r>
              <w:t xml:space="preserve">The technical standards required for this Call-Off Contract are as set-out in the Supplier’s published service definition under the Service reference stated at the head of this Order Form. </w:t>
            </w:r>
          </w:p>
        </w:tc>
      </w:tr>
      <w:tr w:rsidR="00D1352F" w14:paraId="5FC26AAF" w14:textId="77777777">
        <w:trPr>
          <w:trHeight w:val="3736"/>
        </w:trPr>
        <w:tc>
          <w:tcPr>
            <w:tcW w:w="2660" w:type="dxa"/>
            <w:tcBorders>
              <w:top w:val="single" w:sz="8" w:space="0" w:color="000000"/>
              <w:left w:val="single" w:sz="8" w:space="0" w:color="000000"/>
              <w:bottom w:val="single" w:sz="8" w:space="0" w:color="000000"/>
              <w:right w:val="single" w:sz="8" w:space="0" w:color="000000"/>
            </w:tcBorders>
          </w:tcPr>
          <w:p w14:paraId="259D7B6D" w14:textId="77777777" w:rsidR="00D1352F" w:rsidRDefault="009B1F56">
            <w:pPr>
              <w:spacing w:after="0" w:line="259" w:lineRule="auto"/>
              <w:ind w:left="5" w:right="42" w:firstLine="0"/>
            </w:pPr>
            <w:r>
              <w:lastRenderedPageBreak/>
              <w:t xml:space="preserve">Service level agreement: </w:t>
            </w:r>
          </w:p>
        </w:tc>
        <w:tc>
          <w:tcPr>
            <w:tcW w:w="7976" w:type="dxa"/>
            <w:tcBorders>
              <w:top w:val="single" w:sz="8" w:space="0" w:color="000000"/>
              <w:left w:val="single" w:sz="8" w:space="0" w:color="000000"/>
              <w:bottom w:val="single" w:sz="8" w:space="0" w:color="000000"/>
              <w:right w:val="single" w:sz="8" w:space="0" w:color="000000"/>
            </w:tcBorders>
          </w:tcPr>
          <w:p w14:paraId="2594C410" w14:textId="77777777" w:rsidR="00D1352F" w:rsidRDefault="009B1F56">
            <w:pPr>
              <w:spacing w:after="0" w:line="259" w:lineRule="auto"/>
              <w:ind w:left="0" w:firstLine="0"/>
            </w:pPr>
            <w:r>
              <w:rPr>
                <w:rFonts w:ascii="Arial" w:eastAsia="Arial" w:hAnsi="Arial" w:cs="Arial"/>
              </w:rPr>
              <w:t xml:space="preserve"> </w:t>
            </w:r>
          </w:p>
          <w:p w14:paraId="57326DE2" w14:textId="77777777" w:rsidR="00D1352F" w:rsidRDefault="009B1F56">
            <w:pPr>
              <w:spacing w:after="0" w:line="239" w:lineRule="auto"/>
              <w:ind w:left="0" w:firstLine="0"/>
            </w:pPr>
            <w:r>
              <w:t xml:space="preserve">On receipt of an </w:t>
            </w:r>
            <w:proofErr w:type="spellStart"/>
            <w:r>
              <w:t>RfQ</w:t>
            </w:r>
            <w:proofErr w:type="spellEnd"/>
            <w:r>
              <w:t xml:space="preserve"> Supplier to provide their response within 6.25 Working Days (50 working hours) or as otherwise agreed between the Parties. </w:t>
            </w:r>
          </w:p>
          <w:p w14:paraId="44AE494C" w14:textId="77777777" w:rsidR="00D1352F" w:rsidRDefault="009B1F56">
            <w:pPr>
              <w:spacing w:after="0" w:line="259" w:lineRule="auto"/>
              <w:ind w:left="0" w:firstLine="0"/>
            </w:pPr>
            <w:r>
              <w:rPr>
                <w:rFonts w:ascii="Arial" w:eastAsia="Arial" w:hAnsi="Arial" w:cs="Arial"/>
              </w:rPr>
              <w:t xml:space="preserve"> </w:t>
            </w:r>
          </w:p>
          <w:p w14:paraId="6D3ECC69" w14:textId="77777777" w:rsidR="00D1352F" w:rsidRDefault="009B1F56">
            <w:pPr>
              <w:spacing w:after="1" w:line="238" w:lineRule="auto"/>
              <w:ind w:left="0" w:firstLine="0"/>
            </w:pPr>
            <w:r>
              <w:t>Supplier to provide a service report using the agreed template in ANNEX C by the 5</w:t>
            </w:r>
            <w:r>
              <w:rPr>
                <w:sz w:val="21"/>
                <w:vertAlign w:val="superscript"/>
              </w:rPr>
              <w:t>th</w:t>
            </w:r>
            <w:r>
              <w:t xml:space="preserve"> Working Day of the month reporting on the previous month’s activity and financials.    </w:t>
            </w:r>
          </w:p>
          <w:p w14:paraId="1D34D640" w14:textId="77777777" w:rsidR="00D1352F" w:rsidRDefault="009B1F56">
            <w:pPr>
              <w:spacing w:after="0" w:line="259" w:lineRule="auto"/>
              <w:ind w:left="0" w:firstLine="0"/>
            </w:pPr>
            <w:r>
              <w:t xml:space="preserve"> </w:t>
            </w:r>
          </w:p>
          <w:p w14:paraId="0F0C23B4" w14:textId="77777777" w:rsidR="00D1352F" w:rsidRDefault="009B1F56">
            <w:pPr>
              <w:spacing w:after="0" w:line="259" w:lineRule="auto"/>
              <w:ind w:left="0" w:firstLine="0"/>
            </w:pPr>
            <w:r>
              <w:t xml:space="preserve">The Buyer and the Supplier shall meet to discuss the above service report on a monthly basis and the Supplier will minute any items requiring action by the Buyer and/or the Supplier within the set Action Log (in Annex C) within 3 Working Days of this review taking place.  </w:t>
            </w:r>
          </w:p>
        </w:tc>
      </w:tr>
      <w:tr w:rsidR="00D1352F" w14:paraId="77192163" w14:textId="77777777">
        <w:trPr>
          <w:trHeight w:val="744"/>
        </w:trPr>
        <w:tc>
          <w:tcPr>
            <w:tcW w:w="2660" w:type="dxa"/>
            <w:tcBorders>
              <w:top w:val="single" w:sz="8" w:space="0" w:color="000000"/>
              <w:left w:val="single" w:sz="8" w:space="0" w:color="000000"/>
              <w:bottom w:val="single" w:sz="8" w:space="0" w:color="000000"/>
              <w:right w:val="single" w:sz="8" w:space="0" w:color="000000"/>
            </w:tcBorders>
          </w:tcPr>
          <w:p w14:paraId="4083A18D" w14:textId="77777777" w:rsidR="00D1352F" w:rsidRDefault="009B1F56">
            <w:pPr>
              <w:spacing w:after="0" w:line="259" w:lineRule="auto"/>
              <w:ind w:left="5" w:firstLine="0"/>
            </w:pPr>
            <w:r>
              <w:t xml:space="preserve">Onboarding:  </w:t>
            </w:r>
          </w:p>
        </w:tc>
        <w:tc>
          <w:tcPr>
            <w:tcW w:w="7976" w:type="dxa"/>
            <w:tcBorders>
              <w:top w:val="single" w:sz="8" w:space="0" w:color="000000"/>
              <w:left w:val="single" w:sz="8" w:space="0" w:color="000000"/>
              <w:bottom w:val="single" w:sz="8" w:space="0" w:color="000000"/>
              <w:right w:val="single" w:sz="8" w:space="0" w:color="000000"/>
            </w:tcBorders>
          </w:tcPr>
          <w:p w14:paraId="14D9803B" w14:textId="77777777" w:rsidR="00D1352F" w:rsidRDefault="009B1F56">
            <w:pPr>
              <w:spacing w:after="0" w:line="259" w:lineRule="auto"/>
              <w:ind w:left="0" w:firstLine="0"/>
            </w:pPr>
            <w:r>
              <w:t xml:space="preserve">The Supplier shall ensure that any personnel on boarded shall be security cleared to BPSS </w:t>
            </w:r>
          </w:p>
        </w:tc>
      </w:tr>
      <w:tr w:rsidR="00D1352F" w14:paraId="01AF36BA" w14:textId="77777777">
        <w:trPr>
          <w:trHeight w:val="1109"/>
        </w:trPr>
        <w:tc>
          <w:tcPr>
            <w:tcW w:w="2660" w:type="dxa"/>
            <w:tcBorders>
              <w:top w:val="single" w:sz="8" w:space="0" w:color="000000"/>
              <w:left w:val="single" w:sz="8" w:space="0" w:color="000000"/>
              <w:bottom w:val="single" w:sz="8" w:space="0" w:color="000000"/>
              <w:right w:val="single" w:sz="8" w:space="0" w:color="000000"/>
            </w:tcBorders>
          </w:tcPr>
          <w:p w14:paraId="1A22B785" w14:textId="77777777" w:rsidR="00D1352F" w:rsidRDefault="009B1F56">
            <w:pPr>
              <w:spacing w:after="0" w:line="259" w:lineRule="auto"/>
              <w:ind w:left="5" w:firstLine="0"/>
            </w:pPr>
            <w:r>
              <w:t xml:space="preserve">Offboarding:  </w:t>
            </w:r>
          </w:p>
        </w:tc>
        <w:tc>
          <w:tcPr>
            <w:tcW w:w="7976" w:type="dxa"/>
            <w:tcBorders>
              <w:top w:val="single" w:sz="8" w:space="0" w:color="000000"/>
              <w:left w:val="single" w:sz="8" w:space="0" w:color="000000"/>
              <w:bottom w:val="single" w:sz="8" w:space="0" w:color="000000"/>
              <w:right w:val="single" w:sz="8" w:space="0" w:color="000000"/>
            </w:tcBorders>
          </w:tcPr>
          <w:p w14:paraId="40E73A2A" w14:textId="77777777" w:rsidR="00D1352F" w:rsidRDefault="009B1F56">
            <w:pPr>
              <w:spacing w:after="0" w:line="259" w:lineRule="auto"/>
              <w:ind w:left="0" w:firstLine="0"/>
            </w:pPr>
            <w:r>
              <w:t xml:space="preserve">The off-boarding plan for this Call-Off Contract shall be agreed between the Parties no later than three (3) months from the expiry date of the Call-Off Contract, in the form of an agreed exit plan.   </w:t>
            </w:r>
          </w:p>
        </w:tc>
      </w:tr>
      <w:tr w:rsidR="00D1352F" w14:paraId="46C25D14" w14:textId="77777777">
        <w:trPr>
          <w:trHeight w:val="749"/>
        </w:trPr>
        <w:tc>
          <w:tcPr>
            <w:tcW w:w="2660" w:type="dxa"/>
            <w:tcBorders>
              <w:top w:val="single" w:sz="8" w:space="0" w:color="000000"/>
              <w:left w:val="single" w:sz="8" w:space="0" w:color="000000"/>
              <w:bottom w:val="single" w:sz="8" w:space="0" w:color="000000"/>
              <w:right w:val="single" w:sz="8" w:space="0" w:color="000000"/>
            </w:tcBorders>
          </w:tcPr>
          <w:p w14:paraId="39D32C67" w14:textId="77777777" w:rsidR="00D1352F" w:rsidRDefault="009B1F56">
            <w:pPr>
              <w:spacing w:after="0" w:line="259" w:lineRule="auto"/>
              <w:ind w:left="5" w:firstLine="0"/>
            </w:pPr>
            <w:r>
              <w:t xml:space="preserve">Collaboration agreement: </w:t>
            </w:r>
          </w:p>
        </w:tc>
        <w:tc>
          <w:tcPr>
            <w:tcW w:w="7976" w:type="dxa"/>
            <w:tcBorders>
              <w:top w:val="single" w:sz="8" w:space="0" w:color="000000"/>
              <w:left w:val="single" w:sz="8" w:space="0" w:color="000000"/>
              <w:bottom w:val="single" w:sz="8" w:space="0" w:color="000000"/>
              <w:right w:val="single" w:sz="8" w:space="0" w:color="000000"/>
            </w:tcBorders>
          </w:tcPr>
          <w:p w14:paraId="755B330D" w14:textId="77777777" w:rsidR="00D1352F" w:rsidRDefault="009B1F56">
            <w:pPr>
              <w:spacing w:after="0" w:line="259" w:lineRule="auto"/>
              <w:ind w:left="0" w:firstLine="0"/>
            </w:pPr>
            <w:r>
              <w:t xml:space="preserve">Not Applicable </w:t>
            </w:r>
          </w:p>
        </w:tc>
      </w:tr>
      <w:tr w:rsidR="00D1352F" w14:paraId="429A0ABD" w14:textId="77777777">
        <w:trPr>
          <w:trHeight w:val="3294"/>
        </w:trPr>
        <w:tc>
          <w:tcPr>
            <w:tcW w:w="2660" w:type="dxa"/>
            <w:tcBorders>
              <w:top w:val="single" w:sz="8" w:space="0" w:color="000000"/>
              <w:left w:val="single" w:sz="8" w:space="0" w:color="000000"/>
              <w:bottom w:val="single" w:sz="8" w:space="0" w:color="000000"/>
              <w:right w:val="single" w:sz="8" w:space="0" w:color="000000"/>
            </w:tcBorders>
          </w:tcPr>
          <w:p w14:paraId="29799CB6" w14:textId="77777777" w:rsidR="00D1352F" w:rsidRDefault="009B1F56">
            <w:pPr>
              <w:spacing w:after="0" w:line="259" w:lineRule="auto"/>
              <w:ind w:left="5" w:firstLine="0"/>
            </w:pPr>
            <w:r>
              <w:t xml:space="preserve">Limit on Parties’ liability: </w:t>
            </w:r>
          </w:p>
        </w:tc>
        <w:tc>
          <w:tcPr>
            <w:tcW w:w="7976" w:type="dxa"/>
            <w:tcBorders>
              <w:top w:val="single" w:sz="8" w:space="0" w:color="000000"/>
              <w:left w:val="single" w:sz="8" w:space="0" w:color="000000"/>
              <w:bottom w:val="single" w:sz="8" w:space="0" w:color="000000"/>
              <w:right w:val="single" w:sz="8" w:space="0" w:color="000000"/>
            </w:tcBorders>
          </w:tcPr>
          <w:p w14:paraId="397DC0CB" w14:textId="77777777" w:rsidR="00D1352F" w:rsidRDefault="009B1F56">
            <w:pPr>
              <w:spacing w:after="0" w:line="276" w:lineRule="auto"/>
              <w:ind w:left="0" w:firstLine="0"/>
            </w:pPr>
            <w:r>
              <w:t xml:space="preserve">The annual total liability of either Party for all Property defaults will not exceed £1 Million.    </w:t>
            </w:r>
          </w:p>
          <w:p w14:paraId="2859FAF2" w14:textId="77777777" w:rsidR="00D1352F" w:rsidRDefault="009B1F56">
            <w:pPr>
              <w:spacing w:after="16" w:line="259" w:lineRule="auto"/>
              <w:ind w:left="0" w:firstLine="0"/>
            </w:pPr>
            <w:r>
              <w:t xml:space="preserve"> </w:t>
            </w:r>
          </w:p>
          <w:p w14:paraId="1EFCEF88" w14:textId="76BBF541" w:rsidR="00D1352F" w:rsidRPr="004A06EF" w:rsidRDefault="009B1F56">
            <w:pPr>
              <w:spacing w:after="1" w:line="275" w:lineRule="auto"/>
              <w:ind w:left="0" w:firstLine="0"/>
            </w:pPr>
            <w:r w:rsidRPr="004A06EF">
              <w:t>The annual total liability for Buyer Data defaults will not exceed &lt;REDACTED&gt; or &lt;REDACTED</w:t>
            </w:r>
            <w:proofErr w:type="gramStart"/>
            <w:r w:rsidRPr="004A06EF">
              <w:t>&gt;  of</w:t>
            </w:r>
            <w:proofErr w:type="gramEnd"/>
            <w:r w:rsidRPr="004A06EF">
              <w:t xml:space="preserve"> the Charges payable by the Buyer to the Supplier during the </w:t>
            </w:r>
            <w:proofErr w:type="spellStart"/>
            <w:r w:rsidRPr="004A06EF">
              <w:t>CallOff</w:t>
            </w:r>
            <w:proofErr w:type="spellEnd"/>
            <w:r w:rsidRPr="004A06EF">
              <w:t xml:space="preserve"> Contract Term (whichever is the greater). </w:t>
            </w:r>
          </w:p>
          <w:p w14:paraId="687DF12C" w14:textId="0DCBD9D0" w:rsidR="00D1352F" w:rsidRDefault="009B1F56">
            <w:pPr>
              <w:spacing w:after="0" w:line="259" w:lineRule="auto"/>
              <w:ind w:left="0" w:firstLine="0"/>
            </w:pPr>
            <w:r w:rsidRPr="004A06EF">
              <w:t>The annual total liability for all other defaults will not exceed the greater of &lt;REDACTED&gt; or &lt;REDACTED</w:t>
            </w:r>
            <w:proofErr w:type="gramStart"/>
            <w:r w:rsidRPr="004A06EF">
              <w:t>&gt;</w:t>
            </w:r>
            <w:r>
              <w:t xml:space="preserve">  of</w:t>
            </w:r>
            <w:proofErr w:type="gramEnd"/>
            <w:r>
              <w:t xml:space="preserve"> the Charges payable by the Buyer to the Supplier during the Call-Off Contract Term (whichever is the greater).  </w:t>
            </w:r>
          </w:p>
        </w:tc>
      </w:tr>
      <w:tr w:rsidR="00D1352F" w14:paraId="6A92DDF5" w14:textId="77777777">
        <w:trPr>
          <w:trHeight w:val="336"/>
        </w:trPr>
        <w:tc>
          <w:tcPr>
            <w:tcW w:w="2660" w:type="dxa"/>
            <w:tcBorders>
              <w:top w:val="single" w:sz="8" w:space="0" w:color="000000"/>
              <w:left w:val="single" w:sz="8" w:space="0" w:color="000000"/>
              <w:bottom w:val="single" w:sz="8" w:space="0" w:color="000000"/>
              <w:right w:val="single" w:sz="8" w:space="0" w:color="000000"/>
            </w:tcBorders>
          </w:tcPr>
          <w:p w14:paraId="2A9AC1C3" w14:textId="77777777" w:rsidR="00D1352F" w:rsidRDefault="009B1F56">
            <w:pPr>
              <w:spacing w:after="0" w:line="259" w:lineRule="auto"/>
              <w:ind w:left="5" w:firstLine="0"/>
            </w:pPr>
            <w:r>
              <w:t xml:space="preserve">Insurance: </w:t>
            </w:r>
          </w:p>
        </w:tc>
        <w:tc>
          <w:tcPr>
            <w:tcW w:w="7976" w:type="dxa"/>
            <w:tcBorders>
              <w:top w:val="single" w:sz="8" w:space="0" w:color="000000"/>
              <w:left w:val="single" w:sz="8" w:space="0" w:color="000000"/>
              <w:bottom w:val="single" w:sz="8" w:space="0" w:color="000000"/>
              <w:right w:val="single" w:sz="8" w:space="0" w:color="000000"/>
            </w:tcBorders>
          </w:tcPr>
          <w:p w14:paraId="0E082C29" w14:textId="77777777" w:rsidR="00D1352F" w:rsidRDefault="009B1F56">
            <w:pPr>
              <w:spacing w:after="0" w:line="259" w:lineRule="auto"/>
              <w:ind w:left="0" w:firstLine="0"/>
            </w:pPr>
            <w:r>
              <w:t xml:space="preserve">The insurance(s) required will be: </w:t>
            </w:r>
          </w:p>
        </w:tc>
      </w:tr>
    </w:tbl>
    <w:p w14:paraId="1F5A01A2" w14:textId="77777777" w:rsidR="00D1352F" w:rsidRDefault="00D1352F">
      <w:pPr>
        <w:spacing w:after="0" w:line="259" w:lineRule="auto"/>
        <w:ind w:left="-701" w:right="11332" w:firstLine="0"/>
      </w:pPr>
    </w:p>
    <w:tbl>
      <w:tblPr>
        <w:tblStyle w:val="TableGrid"/>
        <w:tblW w:w="10636" w:type="dxa"/>
        <w:tblInd w:w="14" w:type="dxa"/>
        <w:tblCellMar>
          <w:top w:w="72" w:type="dxa"/>
          <w:left w:w="115" w:type="dxa"/>
          <w:right w:w="79" w:type="dxa"/>
        </w:tblCellMar>
        <w:tblLook w:val="04A0" w:firstRow="1" w:lastRow="0" w:firstColumn="1" w:lastColumn="0" w:noHBand="0" w:noVBand="1"/>
      </w:tblPr>
      <w:tblGrid>
        <w:gridCol w:w="2660"/>
        <w:gridCol w:w="7976"/>
      </w:tblGrid>
      <w:tr w:rsidR="00D1352F" w14:paraId="7472094A" w14:textId="77777777">
        <w:trPr>
          <w:trHeight w:val="3179"/>
        </w:trPr>
        <w:tc>
          <w:tcPr>
            <w:tcW w:w="2660" w:type="dxa"/>
            <w:tcBorders>
              <w:top w:val="single" w:sz="8" w:space="0" w:color="000000"/>
              <w:left w:val="single" w:sz="8" w:space="0" w:color="000000"/>
              <w:bottom w:val="single" w:sz="8" w:space="0" w:color="000000"/>
              <w:right w:val="single" w:sz="8" w:space="0" w:color="000000"/>
            </w:tcBorders>
          </w:tcPr>
          <w:p w14:paraId="5AFD6078" w14:textId="77777777" w:rsidR="00D1352F" w:rsidRDefault="00D1352F">
            <w:pPr>
              <w:spacing w:after="160" w:line="259" w:lineRule="auto"/>
              <w:ind w:left="0" w:firstLine="0"/>
            </w:pPr>
          </w:p>
        </w:tc>
        <w:tc>
          <w:tcPr>
            <w:tcW w:w="7976" w:type="dxa"/>
            <w:tcBorders>
              <w:top w:val="single" w:sz="8" w:space="0" w:color="000000"/>
              <w:left w:val="single" w:sz="8" w:space="0" w:color="000000"/>
              <w:bottom w:val="single" w:sz="8" w:space="0" w:color="000000"/>
              <w:right w:val="single" w:sz="8" w:space="0" w:color="000000"/>
            </w:tcBorders>
          </w:tcPr>
          <w:p w14:paraId="456AB369" w14:textId="77777777" w:rsidR="00D1352F" w:rsidRDefault="009B1F56">
            <w:pPr>
              <w:numPr>
                <w:ilvl w:val="0"/>
                <w:numId w:val="36"/>
              </w:numPr>
              <w:spacing w:after="44" w:line="236" w:lineRule="auto"/>
              <w:ind w:hanging="361"/>
            </w:pPr>
            <w:r>
              <w:t xml:space="preserve">a minimum insurance period of (6 years) following the expiration or Ending of this Call-Off Contract </w:t>
            </w:r>
          </w:p>
          <w:p w14:paraId="2971987D" w14:textId="69633136" w:rsidR="00D1352F" w:rsidRDefault="009B1F56">
            <w:pPr>
              <w:numPr>
                <w:ilvl w:val="0"/>
                <w:numId w:val="36"/>
              </w:numPr>
              <w:spacing w:after="35" w:line="239" w:lineRule="auto"/>
              <w:ind w:hanging="361"/>
            </w:pPr>
            <w:r>
              <w:t xml:space="preserve">Professional indemnity insurance cover to be held by the Supplier and by any agent, Subcontractor or consultant involved in the supply of the G-Cloud Services. This professional indemnity insurance cover will have a minimum limit of indemnity of </w:t>
            </w:r>
            <w:r>
              <w:rPr>
                <w:highlight w:val="black"/>
              </w:rPr>
              <w:t>&lt;REDACTED&gt;</w:t>
            </w:r>
            <w:r>
              <w:t xml:space="preserve"> for each individual claim or any higher limit the Buyer requires (and as required by Law) </w:t>
            </w:r>
          </w:p>
          <w:p w14:paraId="05F3C8FB" w14:textId="1D0DD396" w:rsidR="00D1352F" w:rsidRDefault="009B1F56">
            <w:pPr>
              <w:numPr>
                <w:ilvl w:val="0"/>
                <w:numId w:val="36"/>
              </w:numPr>
              <w:spacing w:after="0" w:line="259" w:lineRule="auto"/>
              <w:ind w:hanging="361"/>
            </w:pPr>
            <w:r>
              <w:t xml:space="preserve">employers' liability insurance with a minimum limit of </w:t>
            </w:r>
            <w:r>
              <w:rPr>
                <w:highlight w:val="black"/>
              </w:rPr>
              <w:t>&lt;REDACTED&gt;</w:t>
            </w:r>
            <w:r>
              <w:t xml:space="preserve"> or any higher minimum limit required by Law </w:t>
            </w:r>
          </w:p>
        </w:tc>
      </w:tr>
      <w:tr w:rsidR="00D1352F" w14:paraId="6223ABEA" w14:textId="77777777">
        <w:trPr>
          <w:trHeight w:val="653"/>
        </w:trPr>
        <w:tc>
          <w:tcPr>
            <w:tcW w:w="2660" w:type="dxa"/>
            <w:tcBorders>
              <w:top w:val="single" w:sz="8" w:space="0" w:color="000000"/>
              <w:left w:val="single" w:sz="8" w:space="0" w:color="000000"/>
              <w:bottom w:val="single" w:sz="8" w:space="0" w:color="000000"/>
              <w:right w:val="single" w:sz="8" w:space="0" w:color="000000"/>
            </w:tcBorders>
          </w:tcPr>
          <w:p w14:paraId="55DB605B" w14:textId="77777777" w:rsidR="00D1352F" w:rsidRDefault="009B1F56">
            <w:pPr>
              <w:spacing w:after="0" w:line="259" w:lineRule="auto"/>
              <w:ind w:left="5" w:firstLine="0"/>
            </w:pPr>
            <w:r>
              <w:lastRenderedPageBreak/>
              <w:t xml:space="preserve">Force majeure: </w:t>
            </w:r>
          </w:p>
        </w:tc>
        <w:tc>
          <w:tcPr>
            <w:tcW w:w="7976" w:type="dxa"/>
            <w:tcBorders>
              <w:top w:val="single" w:sz="8" w:space="0" w:color="000000"/>
              <w:left w:val="single" w:sz="8" w:space="0" w:color="000000"/>
              <w:bottom w:val="single" w:sz="8" w:space="0" w:color="000000"/>
              <w:right w:val="single" w:sz="8" w:space="0" w:color="000000"/>
            </w:tcBorders>
          </w:tcPr>
          <w:p w14:paraId="5C0C624B" w14:textId="77777777" w:rsidR="00D1352F" w:rsidRDefault="009B1F56">
            <w:pPr>
              <w:spacing w:after="0" w:line="259" w:lineRule="auto"/>
              <w:ind w:left="0" w:firstLine="0"/>
            </w:pPr>
            <w:r>
              <w:t xml:space="preserve">A Party may End this Call-Off Contract if the Other Party is affected by a Force Majeure Event that lasts for more than 5 consecutive days. </w:t>
            </w:r>
          </w:p>
        </w:tc>
      </w:tr>
      <w:tr w:rsidR="00D1352F" w14:paraId="144C154D" w14:textId="77777777">
        <w:trPr>
          <w:trHeight w:val="10453"/>
        </w:trPr>
        <w:tc>
          <w:tcPr>
            <w:tcW w:w="2660" w:type="dxa"/>
            <w:tcBorders>
              <w:top w:val="single" w:sz="8" w:space="0" w:color="000000"/>
              <w:left w:val="single" w:sz="8" w:space="0" w:color="000000"/>
              <w:bottom w:val="single" w:sz="8" w:space="0" w:color="000000"/>
              <w:right w:val="single" w:sz="8" w:space="0" w:color="000000"/>
            </w:tcBorders>
          </w:tcPr>
          <w:p w14:paraId="0D871397" w14:textId="77777777" w:rsidR="00D1352F" w:rsidRDefault="009B1F56">
            <w:pPr>
              <w:spacing w:after="0" w:line="259" w:lineRule="auto"/>
              <w:ind w:left="5" w:firstLine="0"/>
            </w:pPr>
            <w:r>
              <w:t xml:space="preserve">Audit: </w:t>
            </w:r>
          </w:p>
        </w:tc>
        <w:tc>
          <w:tcPr>
            <w:tcW w:w="7976" w:type="dxa"/>
            <w:tcBorders>
              <w:top w:val="single" w:sz="8" w:space="0" w:color="000000"/>
              <w:left w:val="single" w:sz="8" w:space="0" w:color="000000"/>
              <w:bottom w:val="single" w:sz="8" w:space="0" w:color="000000"/>
              <w:right w:val="single" w:sz="8" w:space="0" w:color="000000"/>
            </w:tcBorders>
          </w:tcPr>
          <w:p w14:paraId="12074AB2" w14:textId="77777777" w:rsidR="00D1352F" w:rsidRDefault="009B1F56">
            <w:pPr>
              <w:spacing w:after="1" w:line="239" w:lineRule="auto"/>
              <w:ind w:left="0" w:firstLine="0"/>
            </w:pPr>
            <w:r>
              <w:t xml:space="preserve">The following Framework Agreement audit provisions will be incorporated under clause 2.1 of this Call-Off Contract to enable the Buyer to carry out audits.  </w:t>
            </w:r>
          </w:p>
          <w:p w14:paraId="3CC9430A" w14:textId="77777777" w:rsidR="00D1352F" w:rsidRDefault="009B1F56">
            <w:pPr>
              <w:spacing w:after="0" w:line="259" w:lineRule="auto"/>
              <w:ind w:left="0" w:firstLine="0"/>
            </w:pPr>
            <w:r>
              <w:t xml:space="preserve"> </w:t>
            </w:r>
          </w:p>
          <w:p w14:paraId="101DAF34" w14:textId="77777777" w:rsidR="00D1352F" w:rsidRDefault="009B1F56">
            <w:pPr>
              <w:spacing w:after="0" w:line="239" w:lineRule="auto"/>
              <w:ind w:left="0" w:firstLine="0"/>
            </w:pPr>
            <w:r>
              <w:t xml:space="preserve">List of the required audit provisions from clauses 7.4 to 7.13 of the Framework Agreement: </w:t>
            </w:r>
          </w:p>
          <w:p w14:paraId="5DD705D3" w14:textId="77777777" w:rsidR="00D1352F" w:rsidRDefault="009B1F56">
            <w:pPr>
              <w:spacing w:after="0" w:line="259" w:lineRule="auto"/>
              <w:ind w:left="0" w:firstLine="0"/>
            </w:pPr>
            <w:r>
              <w:t xml:space="preserve"> </w:t>
            </w:r>
          </w:p>
          <w:p w14:paraId="1D0768BD" w14:textId="77777777" w:rsidR="00D1352F" w:rsidRDefault="009B1F56">
            <w:pPr>
              <w:spacing w:after="0" w:line="259" w:lineRule="auto"/>
              <w:ind w:left="0" w:firstLine="0"/>
            </w:pPr>
            <w:r>
              <w:t xml:space="preserve">What will happen during the Framework Agreement’s </w:t>
            </w:r>
            <w:proofErr w:type="gramStart"/>
            <w:r>
              <w:t>Term</w:t>
            </w:r>
            <w:proofErr w:type="gramEnd"/>
            <w:r>
              <w:t xml:space="preserve">  </w:t>
            </w:r>
          </w:p>
          <w:p w14:paraId="4049E284" w14:textId="77777777" w:rsidR="00D1352F" w:rsidRDefault="009B1F56">
            <w:pPr>
              <w:spacing w:after="0" w:line="259" w:lineRule="auto"/>
              <w:ind w:left="0" w:firstLine="0"/>
            </w:pPr>
            <w:r>
              <w:t xml:space="preserve"> </w:t>
            </w:r>
          </w:p>
          <w:p w14:paraId="6D83C335" w14:textId="77777777" w:rsidR="00D1352F" w:rsidRDefault="009B1F56">
            <w:pPr>
              <w:spacing w:after="0" w:line="239" w:lineRule="auto"/>
              <w:ind w:left="0" w:firstLine="0"/>
              <w:jc w:val="both"/>
            </w:pPr>
            <w:r>
              <w:t xml:space="preserve">7.4 The Supplier will maintain full and accurate records and accounts, using Good Industry Practice and generally accepted accounting principles, of the:  </w:t>
            </w:r>
          </w:p>
          <w:p w14:paraId="72E4BF9D" w14:textId="77777777" w:rsidR="00D1352F" w:rsidRDefault="009B1F56">
            <w:pPr>
              <w:spacing w:after="13" w:line="259" w:lineRule="auto"/>
              <w:ind w:left="0" w:firstLine="0"/>
            </w:pPr>
            <w:r>
              <w:t xml:space="preserve"> </w:t>
            </w:r>
          </w:p>
          <w:p w14:paraId="4C97D183" w14:textId="77777777" w:rsidR="00D1352F" w:rsidRDefault="009B1F56">
            <w:pPr>
              <w:numPr>
                <w:ilvl w:val="0"/>
                <w:numId w:val="37"/>
              </w:numPr>
              <w:spacing w:after="39" w:line="240" w:lineRule="auto"/>
              <w:ind w:hanging="361"/>
            </w:pPr>
            <w:r>
              <w:t xml:space="preserve">operation of the Framework Agreement and the Call-Off Contracts </w:t>
            </w:r>
            <w:proofErr w:type="gramStart"/>
            <w:r>
              <w:t>entered into</w:t>
            </w:r>
            <w:proofErr w:type="gramEnd"/>
            <w:r>
              <w:t xml:space="preserve"> with Buyers  </w:t>
            </w:r>
          </w:p>
          <w:p w14:paraId="774D6295" w14:textId="77777777" w:rsidR="00D1352F" w:rsidRDefault="009B1F56">
            <w:pPr>
              <w:numPr>
                <w:ilvl w:val="0"/>
                <w:numId w:val="37"/>
              </w:numPr>
              <w:spacing w:after="39" w:line="240" w:lineRule="auto"/>
              <w:ind w:hanging="361"/>
            </w:pPr>
            <w:r>
              <w:t xml:space="preserve">Services provided under any Call-Off Contracts (including any Subcontracts)  </w:t>
            </w:r>
          </w:p>
          <w:p w14:paraId="6ECBDFB8" w14:textId="77777777" w:rsidR="00D1352F" w:rsidRDefault="009B1F56">
            <w:pPr>
              <w:numPr>
                <w:ilvl w:val="0"/>
                <w:numId w:val="37"/>
              </w:numPr>
              <w:spacing w:after="0" w:line="259" w:lineRule="auto"/>
              <w:ind w:hanging="361"/>
            </w:pPr>
            <w:r>
              <w:t xml:space="preserve">amounts paid by each Buyer under the Call-Off Contracts  </w:t>
            </w:r>
          </w:p>
          <w:p w14:paraId="1E527DC6" w14:textId="77777777" w:rsidR="00D1352F" w:rsidRDefault="009B1F56">
            <w:pPr>
              <w:spacing w:after="0" w:line="259" w:lineRule="auto"/>
              <w:ind w:left="0" w:firstLine="0"/>
            </w:pPr>
            <w:r>
              <w:t xml:space="preserve"> </w:t>
            </w:r>
          </w:p>
          <w:p w14:paraId="5DAFC602" w14:textId="77777777" w:rsidR="00D1352F" w:rsidRDefault="009B1F56">
            <w:pPr>
              <w:spacing w:after="0" w:line="259" w:lineRule="auto"/>
              <w:ind w:left="0" w:firstLine="0"/>
            </w:pPr>
            <w:r>
              <w:t xml:space="preserve">What will happen when the Framework Agreement Ends  </w:t>
            </w:r>
          </w:p>
          <w:p w14:paraId="3B4C1398" w14:textId="77777777" w:rsidR="00D1352F" w:rsidRDefault="009B1F56">
            <w:pPr>
              <w:spacing w:after="0" w:line="259" w:lineRule="auto"/>
              <w:ind w:left="0" w:firstLine="0"/>
            </w:pPr>
            <w:r>
              <w:t xml:space="preserve"> </w:t>
            </w:r>
          </w:p>
          <w:p w14:paraId="70987207" w14:textId="77777777" w:rsidR="00D1352F" w:rsidRDefault="009B1F56">
            <w:pPr>
              <w:numPr>
                <w:ilvl w:val="1"/>
                <w:numId w:val="38"/>
              </w:numPr>
              <w:spacing w:after="0" w:line="239" w:lineRule="auto"/>
              <w:ind w:firstLine="0"/>
            </w:pPr>
            <w:r>
              <w:t xml:space="preserve">The Supplier will provide a completed </w:t>
            </w:r>
            <w:proofErr w:type="spellStart"/>
            <w:r>
              <w:t>self audit</w:t>
            </w:r>
            <w:proofErr w:type="spellEnd"/>
            <w:r>
              <w:t xml:space="preserve"> certificate (Schedule 2) to CCS within 3 months of the expiry or Ending of this Framework Agreement.  </w:t>
            </w:r>
          </w:p>
          <w:p w14:paraId="235B5F25" w14:textId="77777777" w:rsidR="00D1352F" w:rsidRDefault="009B1F56">
            <w:pPr>
              <w:spacing w:after="0" w:line="259" w:lineRule="auto"/>
              <w:ind w:left="0" w:firstLine="0"/>
            </w:pPr>
            <w:r>
              <w:t xml:space="preserve"> </w:t>
            </w:r>
          </w:p>
          <w:p w14:paraId="035DD7CD" w14:textId="77777777" w:rsidR="00D1352F" w:rsidRDefault="009B1F56">
            <w:pPr>
              <w:numPr>
                <w:ilvl w:val="1"/>
                <w:numId w:val="38"/>
              </w:numPr>
              <w:spacing w:after="0" w:line="239" w:lineRule="auto"/>
              <w:ind w:firstLine="0"/>
            </w:pPr>
            <w:r>
              <w:t xml:space="preserve">The Supplier’s records and accounts will be kept until the latest of the following dates:  </w:t>
            </w:r>
          </w:p>
          <w:p w14:paraId="422C8048" w14:textId="77777777" w:rsidR="00D1352F" w:rsidRDefault="009B1F56">
            <w:pPr>
              <w:spacing w:after="13" w:line="259" w:lineRule="auto"/>
              <w:ind w:left="0" w:firstLine="0"/>
            </w:pPr>
            <w:r>
              <w:t xml:space="preserve"> </w:t>
            </w:r>
          </w:p>
          <w:p w14:paraId="40421576" w14:textId="77777777" w:rsidR="00D1352F" w:rsidRDefault="009B1F56">
            <w:pPr>
              <w:numPr>
                <w:ilvl w:val="0"/>
                <w:numId w:val="37"/>
              </w:numPr>
              <w:spacing w:after="40" w:line="240" w:lineRule="auto"/>
              <w:ind w:hanging="361"/>
            </w:pPr>
            <w:r>
              <w:t xml:space="preserve">7 years after the date of Ending or expiry of this Framework Agreement  </w:t>
            </w:r>
          </w:p>
          <w:p w14:paraId="423E1866" w14:textId="77777777" w:rsidR="00D1352F" w:rsidRDefault="009B1F56">
            <w:pPr>
              <w:numPr>
                <w:ilvl w:val="0"/>
                <w:numId w:val="37"/>
              </w:numPr>
              <w:spacing w:after="44" w:line="236" w:lineRule="auto"/>
              <w:ind w:hanging="361"/>
            </w:pPr>
            <w:r>
              <w:t xml:space="preserve">7 years after the date of Ending or expiry of the last Call-Off Contract to expire or End  </w:t>
            </w:r>
          </w:p>
          <w:p w14:paraId="633AD44C" w14:textId="77777777" w:rsidR="00D1352F" w:rsidRDefault="009B1F56">
            <w:pPr>
              <w:numPr>
                <w:ilvl w:val="0"/>
                <w:numId w:val="37"/>
              </w:numPr>
              <w:spacing w:after="0" w:line="259" w:lineRule="auto"/>
              <w:ind w:hanging="361"/>
            </w:pPr>
            <w:r>
              <w:t xml:space="preserve">another date agreed between the Parties  </w:t>
            </w:r>
          </w:p>
          <w:p w14:paraId="62EF603E" w14:textId="77777777" w:rsidR="00D1352F" w:rsidRDefault="009B1F56">
            <w:pPr>
              <w:spacing w:after="0" w:line="259" w:lineRule="auto"/>
              <w:ind w:left="360" w:firstLine="0"/>
            </w:pPr>
            <w:r>
              <w:t xml:space="preserve"> </w:t>
            </w:r>
          </w:p>
        </w:tc>
      </w:tr>
    </w:tbl>
    <w:p w14:paraId="45D9D83B" w14:textId="77777777" w:rsidR="00D1352F" w:rsidRDefault="00D1352F">
      <w:pPr>
        <w:spacing w:after="0" w:line="259" w:lineRule="auto"/>
        <w:ind w:left="-701" w:right="11332" w:firstLine="0"/>
      </w:pPr>
    </w:p>
    <w:tbl>
      <w:tblPr>
        <w:tblStyle w:val="TableGrid"/>
        <w:tblW w:w="10636" w:type="dxa"/>
        <w:tblInd w:w="14" w:type="dxa"/>
        <w:tblCellMar>
          <w:top w:w="73" w:type="dxa"/>
          <w:left w:w="115" w:type="dxa"/>
          <w:right w:w="115" w:type="dxa"/>
        </w:tblCellMar>
        <w:tblLook w:val="04A0" w:firstRow="1" w:lastRow="0" w:firstColumn="1" w:lastColumn="0" w:noHBand="0" w:noVBand="1"/>
      </w:tblPr>
      <w:tblGrid>
        <w:gridCol w:w="2660"/>
        <w:gridCol w:w="7976"/>
      </w:tblGrid>
      <w:tr w:rsidR="00D1352F" w14:paraId="6680D06A" w14:textId="77777777">
        <w:trPr>
          <w:trHeight w:val="14246"/>
        </w:trPr>
        <w:tc>
          <w:tcPr>
            <w:tcW w:w="2660" w:type="dxa"/>
            <w:tcBorders>
              <w:top w:val="single" w:sz="8" w:space="0" w:color="000000"/>
              <w:left w:val="single" w:sz="8" w:space="0" w:color="000000"/>
              <w:bottom w:val="single" w:sz="8" w:space="0" w:color="000000"/>
              <w:right w:val="single" w:sz="8" w:space="0" w:color="000000"/>
            </w:tcBorders>
          </w:tcPr>
          <w:p w14:paraId="51491E2F" w14:textId="77777777" w:rsidR="00D1352F" w:rsidRDefault="00D1352F">
            <w:pPr>
              <w:spacing w:after="160" w:line="259" w:lineRule="auto"/>
              <w:ind w:left="0" w:firstLine="0"/>
            </w:pPr>
          </w:p>
        </w:tc>
        <w:tc>
          <w:tcPr>
            <w:tcW w:w="7976" w:type="dxa"/>
            <w:tcBorders>
              <w:top w:val="single" w:sz="8" w:space="0" w:color="000000"/>
              <w:left w:val="single" w:sz="8" w:space="0" w:color="000000"/>
              <w:bottom w:val="single" w:sz="8" w:space="0" w:color="000000"/>
              <w:right w:val="single" w:sz="8" w:space="0" w:color="000000"/>
            </w:tcBorders>
          </w:tcPr>
          <w:p w14:paraId="7D17C73D" w14:textId="77777777" w:rsidR="00D1352F" w:rsidRDefault="009B1F56">
            <w:pPr>
              <w:spacing w:after="5" w:line="235" w:lineRule="auto"/>
              <w:ind w:left="0" w:firstLine="0"/>
            </w:pPr>
            <w:r>
              <w:t xml:space="preserve">7.7 During the timeframes highlighted in clause 7.6, the Supplier will maintain:  </w:t>
            </w:r>
          </w:p>
          <w:p w14:paraId="14436B05" w14:textId="77777777" w:rsidR="00D1352F" w:rsidRDefault="009B1F56">
            <w:pPr>
              <w:spacing w:after="13" w:line="259" w:lineRule="auto"/>
              <w:ind w:left="721" w:firstLine="0"/>
            </w:pPr>
            <w:r>
              <w:t xml:space="preserve"> </w:t>
            </w:r>
          </w:p>
          <w:p w14:paraId="796D5C08" w14:textId="77777777" w:rsidR="00D1352F" w:rsidRDefault="009B1F56">
            <w:pPr>
              <w:numPr>
                <w:ilvl w:val="0"/>
                <w:numId w:val="39"/>
              </w:numPr>
              <w:spacing w:after="0" w:line="259" w:lineRule="auto"/>
              <w:ind w:hanging="361"/>
            </w:pPr>
            <w:r>
              <w:t xml:space="preserve">commercial records of the Charges and costs (including </w:t>
            </w:r>
          </w:p>
          <w:p w14:paraId="7370881A" w14:textId="77777777" w:rsidR="00D1352F" w:rsidRDefault="009B1F56">
            <w:pPr>
              <w:spacing w:after="40" w:line="239" w:lineRule="auto"/>
              <w:ind w:left="721" w:firstLine="0"/>
            </w:pPr>
            <w:r>
              <w:t xml:space="preserve">Subcontractors’ costs) and any variations to them, including proposed variations  </w:t>
            </w:r>
          </w:p>
          <w:p w14:paraId="3F224E8C" w14:textId="77777777" w:rsidR="00D1352F" w:rsidRDefault="009B1F56">
            <w:pPr>
              <w:numPr>
                <w:ilvl w:val="0"/>
                <w:numId w:val="39"/>
              </w:numPr>
              <w:spacing w:after="34" w:line="239" w:lineRule="auto"/>
              <w:ind w:hanging="361"/>
            </w:pPr>
            <w:r>
              <w:t xml:space="preserve">books of accounts for this Framework Agreement and all Call-Off Contracts  </w:t>
            </w:r>
          </w:p>
          <w:p w14:paraId="222C2980" w14:textId="77777777" w:rsidR="00D1352F" w:rsidRDefault="009B1F56">
            <w:pPr>
              <w:numPr>
                <w:ilvl w:val="0"/>
                <w:numId w:val="39"/>
              </w:numPr>
              <w:spacing w:after="15" w:line="259" w:lineRule="auto"/>
              <w:ind w:hanging="361"/>
            </w:pPr>
            <w:r>
              <w:t xml:space="preserve">MI Reports  </w:t>
            </w:r>
          </w:p>
          <w:p w14:paraId="1340E8C5" w14:textId="77777777" w:rsidR="00D1352F" w:rsidRDefault="009B1F56">
            <w:pPr>
              <w:numPr>
                <w:ilvl w:val="0"/>
                <w:numId w:val="39"/>
              </w:numPr>
              <w:spacing w:after="13" w:line="259" w:lineRule="auto"/>
              <w:ind w:hanging="361"/>
            </w:pPr>
            <w:r>
              <w:t xml:space="preserve">access to its published accounts and trading entity information  </w:t>
            </w:r>
          </w:p>
          <w:p w14:paraId="3C2E9C2B" w14:textId="77777777" w:rsidR="00D1352F" w:rsidRDefault="009B1F56">
            <w:pPr>
              <w:numPr>
                <w:ilvl w:val="0"/>
                <w:numId w:val="39"/>
              </w:numPr>
              <w:spacing w:after="40" w:line="239" w:lineRule="auto"/>
              <w:ind w:hanging="361"/>
            </w:pPr>
            <w:r>
              <w:t xml:space="preserve">proof of its compliance with its obligations under the Data Protection Legislation and the Transparency provisions under this Framework Agreement  </w:t>
            </w:r>
          </w:p>
          <w:p w14:paraId="6329E5DA" w14:textId="77777777" w:rsidR="00D1352F" w:rsidRDefault="009B1F56">
            <w:pPr>
              <w:numPr>
                <w:ilvl w:val="0"/>
                <w:numId w:val="39"/>
              </w:numPr>
              <w:spacing w:after="5" w:line="236" w:lineRule="auto"/>
              <w:ind w:hanging="361"/>
            </w:pPr>
            <w:r>
              <w:t xml:space="preserve">records of its delivery performance under each Call-Off Contract, including that of its Subcontractors  </w:t>
            </w:r>
          </w:p>
          <w:p w14:paraId="5963B9EE" w14:textId="77777777" w:rsidR="00D1352F" w:rsidRDefault="009B1F56">
            <w:pPr>
              <w:spacing w:after="0" w:line="259" w:lineRule="auto"/>
              <w:ind w:left="0" w:firstLine="0"/>
            </w:pPr>
            <w:r>
              <w:t xml:space="preserve"> </w:t>
            </w:r>
          </w:p>
          <w:p w14:paraId="61E0C237" w14:textId="77777777" w:rsidR="00D1352F" w:rsidRDefault="009B1F56">
            <w:pPr>
              <w:spacing w:after="0" w:line="259" w:lineRule="auto"/>
              <w:ind w:left="0" w:firstLine="0"/>
            </w:pPr>
            <w:r>
              <w:t xml:space="preserve">What will happen during an audit or </w:t>
            </w:r>
            <w:proofErr w:type="gramStart"/>
            <w:r>
              <w:t>inspection</w:t>
            </w:r>
            <w:proofErr w:type="gramEnd"/>
            <w:r>
              <w:t xml:space="preserve">  </w:t>
            </w:r>
          </w:p>
          <w:p w14:paraId="0687A142" w14:textId="77777777" w:rsidR="00D1352F" w:rsidRDefault="009B1F56">
            <w:pPr>
              <w:spacing w:after="0" w:line="259" w:lineRule="auto"/>
              <w:ind w:left="0" w:firstLine="0"/>
            </w:pPr>
            <w:r>
              <w:t xml:space="preserve"> </w:t>
            </w:r>
          </w:p>
          <w:p w14:paraId="1C421C53" w14:textId="77777777" w:rsidR="00D1352F" w:rsidRDefault="009B1F56">
            <w:pPr>
              <w:numPr>
                <w:ilvl w:val="1"/>
                <w:numId w:val="40"/>
              </w:numPr>
              <w:spacing w:after="0" w:line="239" w:lineRule="auto"/>
              <w:ind w:firstLine="0"/>
            </w:pPr>
            <w:r>
              <w:t xml:space="preserve">CCS will use reasonable endeavours to ensure that the Audit does not unreasonably disrupt the Supplier, but the Supplier accepts that control over the conduct of Audits carried out by the auditors is outside of CCS’s control.  </w:t>
            </w:r>
          </w:p>
          <w:p w14:paraId="2F454A3C" w14:textId="77777777" w:rsidR="00D1352F" w:rsidRDefault="009B1F56">
            <w:pPr>
              <w:spacing w:after="0" w:line="259" w:lineRule="auto"/>
              <w:ind w:left="0" w:firstLine="0"/>
            </w:pPr>
            <w:r>
              <w:t xml:space="preserve"> </w:t>
            </w:r>
          </w:p>
          <w:p w14:paraId="103DAE7A" w14:textId="77777777" w:rsidR="00D1352F" w:rsidRDefault="009B1F56">
            <w:pPr>
              <w:numPr>
                <w:ilvl w:val="1"/>
                <w:numId w:val="40"/>
              </w:numPr>
              <w:spacing w:after="0" w:line="239" w:lineRule="auto"/>
              <w:ind w:firstLine="0"/>
            </w:pPr>
            <w:r>
              <w:t xml:space="preserve">Subject to any Confidentiality obligations, the Supplier will use reasonable endeavours to:  </w:t>
            </w:r>
          </w:p>
          <w:p w14:paraId="295B2728" w14:textId="77777777" w:rsidR="00D1352F" w:rsidRDefault="009B1F56">
            <w:pPr>
              <w:spacing w:after="14" w:line="259" w:lineRule="auto"/>
              <w:ind w:left="0" w:firstLine="0"/>
            </w:pPr>
            <w:r>
              <w:t xml:space="preserve"> </w:t>
            </w:r>
          </w:p>
          <w:p w14:paraId="28FA0326" w14:textId="77777777" w:rsidR="00D1352F" w:rsidRDefault="009B1F56">
            <w:pPr>
              <w:numPr>
                <w:ilvl w:val="0"/>
                <w:numId w:val="39"/>
              </w:numPr>
              <w:spacing w:after="13" w:line="259" w:lineRule="auto"/>
              <w:ind w:hanging="361"/>
            </w:pPr>
            <w:r>
              <w:t xml:space="preserve">provide audit information without delay  </w:t>
            </w:r>
          </w:p>
          <w:p w14:paraId="1A578593" w14:textId="77777777" w:rsidR="00D1352F" w:rsidRDefault="009B1F56">
            <w:pPr>
              <w:numPr>
                <w:ilvl w:val="0"/>
                <w:numId w:val="39"/>
              </w:numPr>
              <w:spacing w:after="4" w:line="236" w:lineRule="auto"/>
              <w:ind w:hanging="361"/>
            </w:pPr>
            <w:r>
              <w:t xml:space="preserve">provide all audit information within scope and give auditors access to Supplier Staff  </w:t>
            </w:r>
          </w:p>
          <w:p w14:paraId="2AAC17CB" w14:textId="77777777" w:rsidR="00D1352F" w:rsidRDefault="009B1F56">
            <w:pPr>
              <w:spacing w:after="0" w:line="259" w:lineRule="auto"/>
              <w:ind w:left="0" w:firstLine="0"/>
            </w:pPr>
            <w:r>
              <w:t xml:space="preserve"> </w:t>
            </w:r>
          </w:p>
          <w:p w14:paraId="271993D9" w14:textId="77777777" w:rsidR="00D1352F" w:rsidRDefault="009B1F56">
            <w:pPr>
              <w:spacing w:after="1" w:line="239" w:lineRule="auto"/>
              <w:ind w:left="0" w:firstLine="0"/>
            </w:pPr>
            <w:r>
              <w:t xml:space="preserve">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 7.7 (including at the Supplier’s premises), as may be required by them, and subject to reasonable and appropriate confidentiality undertakings, to verify and review:  </w:t>
            </w:r>
          </w:p>
          <w:p w14:paraId="1B49C227" w14:textId="77777777" w:rsidR="00D1352F" w:rsidRDefault="009B1F56">
            <w:pPr>
              <w:spacing w:after="13" w:line="259" w:lineRule="auto"/>
              <w:ind w:left="0" w:firstLine="0"/>
            </w:pPr>
            <w:r>
              <w:t xml:space="preserve"> </w:t>
            </w:r>
          </w:p>
          <w:p w14:paraId="77AA0F3B" w14:textId="77777777" w:rsidR="00D1352F" w:rsidRDefault="009B1F56">
            <w:pPr>
              <w:numPr>
                <w:ilvl w:val="0"/>
                <w:numId w:val="39"/>
              </w:numPr>
              <w:spacing w:after="35" w:line="239" w:lineRule="auto"/>
              <w:ind w:hanging="361"/>
            </w:pPr>
            <w:r>
              <w:t xml:space="preserve">the accuracy of Charges (and proposed or actual variations to them under this Framework Agreement)  </w:t>
            </w:r>
          </w:p>
          <w:p w14:paraId="52174C0F" w14:textId="77777777" w:rsidR="00D1352F" w:rsidRDefault="009B1F56">
            <w:pPr>
              <w:numPr>
                <w:ilvl w:val="0"/>
                <w:numId w:val="39"/>
              </w:numPr>
              <w:spacing w:after="0" w:line="240" w:lineRule="auto"/>
              <w:ind w:hanging="361"/>
            </w:pPr>
            <w:r>
              <w:t xml:space="preserve">any books of accounts kept by the Supplier in connection with the provision of the G-Cloud Services for the purposes of auditing the </w:t>
            </w:r>
          </w:p>
          <w:p w14:paraId="62CDBE94" w14:textId="77777777" w:rsidR="00D1352F" w:rsidRDefault="009B1F56">
            <w:pPr>
              <w:spacing w:after="40" w:line="239" w:lineRule="auto"/>
              <w:ind w:left="721" w:firstLine="0"/>
            </w:pPr>
            <w:r>
              <w:lastRenderedPageBreak/>
              <w:t xml:space="preserve">Charges and Management Charges under the Framework Agreement and Call-Off Contract only  </w:t>
            </w:r>
          </w:p>
          <w:p w14:paraId="0A151986" w14:textId="77777777" w:rsidR="00D1352F" w:rsidRDefault="009B1F56">
            <w:pPr>
              <w:numPr>
                <w:ilvl w:val="0"/>
                <w:numId w:val="39"/>
              </w:numPr>
              <w:spacing w:after="0" w:line="259" w:lineRule="auto"/>
              <w:ind w:hanging="361"/>
            </w:pPr>
            <w:r>
              <w:t xml:space="preserve">the integrity, </w:t>
            </w:r>
            <w:proofErr w:type="gramStart"/>
            <w:r>
              <w:t>Confidentiality</w:t>
            </w:r>
            <w:proofErr w:type="gramEnd"/>
            <w:r>
              <w:t xml:space="preserve"> and security of the CCS Personal Data </w:t>
            </w:r>
          </w:p>
        </w:tc>
      </w:tr>
    </w:tbl>
    <w:p w14:paraId="76C86F2F" w14:textId="77777777" w:rsidR="00D1352F" w:rsidRDefault="00D1352F">
      <w:pPr>
        <w:spacing w:after="0" w:line="259" w:lineRule="auto"/>
        <w:ind w:left="-701" w:right="11332" w:firstLine="0"/>
      </w:pPr>
    </w:p>
    <w:tbl>
      <w:tblPr>
        <w:tblStyle w:val="TableGrid"/>
        <w:tblW w:w="10636" w:type="dxa"/>
        <w:tblInd w:w="14" w:type="dxa"/>
        <w:tblCellMar>
          <w:top w:w="73" w:type="dxa"/>
          <w:left w:w="115" w:type="dxa"/>
          <w:right w:w="56" w:type="dxa"/>
        </w:tblCellMar>
        <w:tblLook w:val="04A0" w:firstRow="1" w:lastRow="0" w:firstColumn="1" w:lastColumn="0" w:noHBand="0" w:noVBand="1"/>
      </w:tblPr>
      <w:tblGrid>
        <w:gridCol w:w="2660"/>
        <w:gridCol w:w="7976"/>
      </w:tblGrid>
      <w:tr w:rsidR="00D1352F" w14:paraId="438CEC91" w14:textId="77777777">
        <w:trPr>
          <w:trHeight w:val="8556"/>
        </w:trPr>
        <w:tc>
          <w:tcPr>
            <w:tcW w:w="2660" w:type="dxa"/>
            <w:tcBorders>
              <w:top w:val="single" w:sz="8" w:space="0" w:color="000000"/>
              <w:left w:val="single" w:sz="8" w:space="0" w:color="000000"/>
              <w:bottom w:val="single" w:sz="8" w:space="0" w:color="000000"/>
              <w:right w:val="single" w:sz="8" w:space="0" w:color="000000"/>
            </w:tcBorders>
          </w:tcPr>
          <w:p w14:paraId="025E67DF" w14:textId="77777777" w:rsidR="00D1352F" w:rsidRDefault="00D1352F">
            <w:pPr>
              <w:spacing w:after="160" w:line="259" w:lineRule="auto"/>
              <w:ind w:left="0" w:firstLine="0"/>
            </w:pPr>
          </w:p>
        </w:tc>
        <w:tc>
          <w:tcPr>
            <w:tcW w:w="7976" w:type="dxa"/>
            <w:tcBorders>
              <w:top w:val="single" w:sz="8" w:space="0" w:color="000000"/>
              <w:left w:val="single" w:sz="8" w:space="0" w:color="000000"/>
              <w:bottom w:val="single" w:sz="8" w:space="0" w:color="000000"/>
              <w:right w:val="single" w:sz="8" w:space="0" w:color="000000"/>
            </w:tcBorders>
          </w:tcPr>
          <w:p w14:paraId="7AC38AFC" w14:textId="77777777" w:rsidR="00D1352F" w:rsidRDefault="009B1F56">
            <w:pPr>
              <w:spacing w:after="9" w:line="259" w:lineRule="auto"/>
              <w:ind w:left="721" w:firstLine="0"/>
            </w:pPr>
            <w:r>
              <w:t xml:space="preserve">and the Buyer Data held or used by the Supplier  </w:t>
            </w:r>
          </w:p>
          <w:p w14:paraId="3AB7CF80" w14:textId="77777777" w:rsidR="00D1352F" w:rsidRDefault="009B1F56">
            <w:pPr>
              <w:numPr>
                <w:ilvl w:val="0"/>
                <w:numId w:val="41"/>
              </w:numPr>
              <w:spacing w:after="39" w:line="239" w:lineRule="auto"/>
              <w:ind w:hanging="361"/>
            </w:pPr>
            <w:r>
              <w:t xml:space="preserve">any other aspect of the delivery of the Services including to review compliance with any legislation  </w:t>
            </w:r>
          </w:p>
          <w:p w14:paraId="38A025E9" w14:textId="77777777" w:rsidR="00D1352F" w:rsidRDefault="009B1F56">
            <w:pPr>
              <w:numPr>
                <w:ilvl w:val="0"/>
                <w:numId w:val="41"/>
              </w:numPr>
              <w:spacing w:after="39" w:line="240" w:lineRule="auto"/>
              <w:ind w:hanging="361"/>
            </w:pPr>
            <w:r>
              <w:t xml:space="preserve">the accuracy and completeness of any MI delivered or required by the Framework Agreement  </w:t>
            </w:r>
          </w:p>
          <w:p w14:paraId="72DB2F43" w14:textId="77777777" w:rsidR="00D1352F" w:rsidRDefault="009B1F56">
            <w:pPr>
              <w:numPr>
                <w:ilvl w:val="0"/>
                <w:numId w:val="41"/>
              </w:numPr>
              <w:spacing w:after="35" w:line="239" w:lineRule="auto"/>
              <w:ind w:hanging="361"/>
            </w:pPr>
            <w:r>
              <w:t xml:space="preserve">any MI Reports or other records about the Supplier’s performance of the Services and to verify that these reflect the Supplier’s own internal reports and records  </w:t>
            </w:r>
          </w:p>
          <w:p w14:paraId="5DB11274" w14:textId="77777777" w:rsidR="00D1352F" w:rsidRDefault="009B1F56">
            <w:pPr>
              <w:numPr>
                <w:ilvl w:val="0"/>
                <w:numId w:val="41"/>
              </w:numPr>
              <w:spacing w:after="0" w:line="239" w:lineRule="auto"/>
              <w:ind w:hanging="361"/>
            </w:pPr>
            <w:r>
              <w:t xml:space="preserve">the Buyer’s assets, including the Intellectual Property Rights, Equipment, facilities and maintenance, to ensure that the Buyer’s assets are </w:t>
            </w:r>
            <w:proofErr w:type="gramStart"/>
            <w:r>
              <w:t>secure</w:t>
            </w:r>
            <w:proofErr w:type="gramEnd"/>
            <w:r>
              <w:t xml:space="preserve"> and that any asset register is up to date  </w:t>
            </w:r>
          </w:p>
          <w:p w14:paraId="6D1DC261" w14:textId="77777777" w:rsidR="00D1352F" w:rsidRDefault="009B1F56">
            <w:pPr>
              <w:spacing w:after="0" w:line="259" w:lineRule="auto"/>
              <w:ind w:left="0" w:firstLine="0"/>
            </w:pPr>
            <w:r>
              <w:t xml:space="preserve"> </w:t>
            </w:r>
          </w:p>
          <w:p w14:paraId="29B70611" w14:textId="77777777" w:rsidR="00D1352F" w:rsidRDefault="009B1F56">
            <w:pPr>
              <w:spacing w:after="0" w:line="259" w:lineRule="auto"/>
              <w:ind w:left="0" w:firstLine="0"/>
            </w:pPr>
            <w:r>
              <w:t xml:space="preserve">Costs of conducting audits or inspections  </w:t>
            </w:r>
          </w:p>
          <w:p w14:paraId="6D707358" w14:textId="77777777" w:rsidR="00D1352F" w:rsidRDefault="009B1F56">
            <w:pPr>
              <w:spacing w:after="0" w:line="259" w:lineRule="auto"/>
              <w:ind w:left="0" w:firstLine="0"/>
            </w:pPr>
            <w:r>
              <w:t xml:space="preserve"> </w:t>
            </w:r>
          </w:p>
          <w:p w14:paraId="0E05E784" w14:textId="77777777" w:rsidR="00D1352F" w:rsidRDefault="009B1F56">
            <w:pPr>
              <w:spacing w:after="0" w:line="259" w:lineRule="auto"/>
              <w:ind w:left="0" w:firstLine="0"/>
            </w:pPr>
            <w:r>
              <w:t xml:space="preserve">7.11 The Supplier will reimburse CCS its reasonable Audit costs if it reveals:  </w:t>
            </w:r>
          </w:p>
          <w:p w14:paraId="138F5FD7" w14:textId="77777777" w:rsidR="00D1352F" w:rsidRDefault="009B1F56">
            <w:pPr>
              <w:spacing w:after="13" w:line="259" w:lineRule="auto"/>
              <w:ind w:left="0" w:firstLine="0"/>
            </w:pPr>
            <w:r>
              <w:t xml:space="preserve"> </w:t>
            </w:r>
          </w:p>
          <w:p w14:paraId="7E5C6703" w14:textId="77777777" w:rsidR="00D1352F" w:rsidRDefault="009B1F56">
            <w:pPr>
              <w:numPr>
                <w:ilvl w:val="0"/>
                <w:numId w:val="41"/>
              </w:numPr>
              <w:spacing w:after="39" w:line="239" w:lineRule="auto"/>
              <w:ind w:hanging="361"/>
            </w:pPr>
            <w:r>
              <w:t xml:space="preserve">an underpayment by the Supplier to CCS </w:t>
            </w:r>
            <w:proofErr w:type="gramStart"/>
            <w:r>
              <w:t>in excess of</w:t>
            </w:r>
            <w:proofErr w:type="gramEnd"/>
            <w:r>
              <w:t xml:space="preserve"> 5% of the total Management Charge due in any monthly reporting and accounting period  </w:t>
            </w:r>
          </w:p>
          <w:p w14:paraId="39E8C8DD" w14:textId="77777777" w:rsidR="00D1352F" w:rsidRDefault="009B1F56">
            <w:pPr>
              <w:numPr>
                <w:ilvl w:val="0"/>
                <w:numId w:val="41"/>
              </w:numPr>
              <w:spacing w:after="0" w:line="259" w:lineRule="auto"/>
              <w:ind w:hanging="361"/>
            </w:pPr>
            <w:r>
              <w:t xml:space="preserve">a Material Breach  </w:t>
            </w:r>
          </w:p>
          <w:p w14:paraId="326E99FB" w14:textId="77777777" w:rsidR="00D1352F" w:rsidRDefault="009B1F56">
            <w:pPr>
              <w:spacing w:after="0" w:line="259" w:lineRule="auto"/>
              <w:ind w:left="0" w:firstLine="0"/>
            </w:pPr>
            <w:r>
              <w:t xml:space="preserve"> </w:t>
            </w:r>
          </w:p>
          <w:p w14:paraId="581607E7" w14:textId="77777777" w:rsidR="00D1352F" w:rsidRDefault="009B1F56">
            <w:pPr>
              <w:numPr>
                <w:ilvl w:val="1"/>
                <w:numId w:val="42"/>
              </w:numPr>
              <w:spacing w:after="0" w:line="239" w:lineRule="auto"/>
              <w:ind w:firstLine="0"/>
            </w:pPr>
            <w:r>
              <w:t xml:space="preserve">CCS can End this Framework Agreement under Section 5 (Ending and suspension of a supplier’s appointment) for Material Breach if either event in clause 7.11 applies.  </w:t>
            </w:r>
          </w:p>
          <w:p w14:paraId="6039FAF6" w14:textId="77777777" w:rsidR="00D1352F" w:rsidRDefault="009B1F56">
            <w:pPr>
              <w:spacing w:after="0" w:line="259" w:lineRule="auto"/>
              <w:ind w:left="0" w:firstLine="0"/>
            </w:pPr>
            <w:r>
              <w:t xml:space="preserve"> </w:t>
            </w:r>
          </w:p>
          <w:p w14:paraId="2B5DAB9A" w14:textId="77777777" w:rsidR="00D1352F" w:rsidRDefault="009B1F56">
            <w:pPr>
              <w:numPr>
                <w:ilvl w:val="1"/>
                <w:numId w:val="42"/>
              </w:numPr>
              <w:spacing w:after="0" w:line="259" w:lineRule="auto"/>
              <w:ind w:firstLine="0"/>
            </w:pPr>
            <w:r>
              <w:t xml:space="preserve">Each Party is responsible for covering all their own other costs incurred from their compliance with the Audit obligations.  </w:t>
            </w:r>
          </w:p>
        </w:tc>
      </w:tr>
      <w:tr w:rsidR="00D1352F" w14:paraId="728ED575" w14:textId="77777777">
        <w:trPr>
          <w:trHeight w:val="2866"/>
        </w:trPr>
        <w:tc>
          <w:tcPr>
            <w:tcW w:w="2660" w:type="dxa"/>
            <w:tcBorders>
              <w:top w:val="single" w:sz="8" w:space="0" w:color="000000"/>
              <w:left w:val="single" w:sz="8" w:space="0" w:color="000000"/>
              <w:bottom w:val="single" w:sz="8" w:space="0" w:color="000000"/>
              <w:right w:val="single" w:sz="8" w:space="0" w:color="000000"/>
            </w:tcBorders>
          </w:tcPr>
          <w:p w14:paraId="105C444E" w14:textId="77777777" w:rsidR="00D1352F" w:rsidRDefault="009B1F56">
            <w:pPr>
              <w:spacing w:after="0" w:line="259" w:lineRule="auto"/>
              <w:ind w:left="5" w:firstLine="0"/>
            </w:pPr>
            <w:r>
              <w:t xml:space="preserve">Buyer’s responsibilities: </w:t>
            </w:r>
          </w:p>
        </w:tc>
        <w:tc>
          <w:tcPr>
            <w:tcW w:w="7976" w:type="dxa"/>
            <w:tcBorders>
              <w:top w:val="single" w:sz="8" w:space="0" w:color="000000"/>
              <w:left w:val="single" w:sz="8" w:space="0" w:color="000000"/>
              <w:bottom w:val="single" w:sz="8" w:space="0" w:color="000000"/>
              <w:right w:val="single" w:sz="8" w:space="0" w:color="000000"/>
            </w:tcBorders>
          </w:tcPr>
          <w:p w14:paraId="3EB51EB5" w14:textId="77777777" w:rsidR="00D1352F" w:rsidRDefault="009B1F56">
            <w:pPr>
              <w:spacing w:after="2" w:line="237" w:lineRule="auto"/>
              <w:ind w:left="0" w:firstLine="0"/>
            </w:pPr>
            <w:r>
              <w:t xml:space="preserve">The following Buyer responsibilities are in addition to those stated in section 3. of the Supplier’s G-Cloud 11 Projects and Consulting General Terms of Business in Service id 886529756679219: </w:t>
            </w:r>
          </w:p>
          <w:p w14:paraId="4567CC56" w14:textId="77777777" w:rsidR="00D1352F" w:rsidRDefault="009B1F56">
            <w:pPr>
              <w:spacing w:after="0" w:line="259" w:lineRule="auto"/>
              <w:ind w:left="0" w:firstLine="0"/>
            </w:pPr>
            <w:r>
              <w:t xml:space="preserve"> </w:t>
            </w:r>
          </w:p>
          <w:p w14:paraId="3A16DD21" w14:textId="77777777" w:rsidR="00D1352F" w:rsidRDefault="009B1F56">
            <w:pPr>
              <w:spacing w:after="0" w:line="239" w:lineRule="auto"/>
              <w:ind w:left="0" w:firstLine="0"/>
            </w:pPr>
            <w:r>
              <w:t xml:space="preserve">The Buyer is responsible for providing timely access to all sites and personnel relating to the Service delivery. They will make available suitably skilled and qualified Buyer personnel with the authority to provide timely responses to Supplier queries to enable the delivery of the Services. </w:t>
            </w:r>
          </w:p>
          <w:p w14:paraId="1A2E0552" w14:textId="77777777" w:rsidR="00D1352F" w:rsidRDefault="009B1F56">
            <w:pPr>
              <w:spacing w:after="0" w:line="259" w:lineRule="auto"/>
              <w:ind w:left="0" w:firstLine="0"/>
            </w:pPr>
            <w:r>
              <w:t xml:space="preserve"> </w:t>
            </w:r>
          </w:p>
        </w:tc>
      </w:tr>
      <w:tr w:rsidR="00D1352F" w14:paraId="1FE11364" w14:textId="77777777">
        <w:trPr>
          <w:trHeight w:val="8177"/>
        </w:trPr>
        <w:tc>
          <w:tcPr>
            <w:tcW w:w="2660" w:type="dxa"/>
            <w:tcBorders>
              <w:top w:val="single" w:sz="8" w:space="0" w:color="000000"/>
              <w:left w:val="single" w:sz="8" w:space="0" w:color="000000"/>
              <w:bottom w:val="single" w:sz="8" w:space="0" w:color="000000"/>
              <w:right w:val="single" w:sz="8" w:space="0" w:color="000000"/>
            </w:tcBorders>
          </w:tcPr>
          <w:p w14:paraId="6C9FCBF5" w14:textId="77777777" w:rsidR="00D1352F" w:rsidRDefault="00D1352F">
            <w:pPr>
              <w:spacing w:after="160" w:line="259" w:lineRule="auto"/>
              <w:ind w:left="0" w:firstLine="0"/>
            </w:pPr>
          </w:p>
        </w:tc>
        <w:tc>
          <w:tcPr>
            <w:tcW w:w="7976" w:type="dxa"/>
            <w:tcBorders>
              <w:top w:val="single" w:sz="8" w:space="0" w:color="000000"/>
              <w:left w:val="single" w:sz="8" w:space="0" w:color="000000"/>
              <w:bottom w:val="single" w:sz="8" w:space="0" w:color="000000"/>
              <w:right w:val="single" w:sz="8" w:space="0" w:color="000000"/>
            </w:tcBorders>
          </w:tcPr>
          <w:p w14:paraId="496069EB" w14:textId="77777777" w:rsidR="00D1352F" w:rsidRDefault="009B1F56">
            <w:pPr>
              <w:spacing w:after="242" w:line="237" w:lineRule="auto"/>
              <w:ind w:left="0" w:right="60" w:firstLine="0"/>
              <w:jc w:val="both"/>
            </w:pPr>
            <w:r>
              <w:t xml:space="preserve">The Buyer will provide equipment, Buyer corporate credentials and approval for, and access to, systems sufficient to allow the Supplier to deliver the Service as appropriate. </w:t>
            </w:r>
          </w:p>
          <w:p w14:paraId="12CC3637" w14:textId="77777777" w:rsidR="00D1352F" w:rsidRDefault="009B1F56">
            <w:pPr>
              <w:spacing w:after="239" w:line="239" w:lineRule="auto"/>
              <w:ind w:left="0" w:firstLine="0"/>
              <w:jc w:val="both"/>
            </w:pPr>
            <w:r>
              <w:t xml:space="preserve">The Buyer will provide governance for the Services delivered, will attend all Supplier meetings and be a point of escalation for all Supplier service needs. </w:t>
            </w:r>
          </w:p>
          <w:p w14:paraId="3F48874A" w14:textId="77777777" w:rsidR="00D1352F" w:rsidRDefault="009B1F56">
            <w:pPr>
              <w:spacing w:after="240" w:line="239" w:lineRule="auto"/>
              <w:ind w:left="0" w:firstLine="0"/>
              <w:jc w:val="both"/>
            </w:pPr>
            <w:r>
              <w:t xml:space="preserve">The Buyer will provide the technical standards and policies the Supplier must comply with when delivering the Services (as part of the work package).   </w:t>
            </w:r>
          </w:p>
          <w:p w14:paraId="5C7AFB45" w14:textId="77777777" w:rsidR="00D1352F" w:rsidRDefault="009B1F56">
            <w:pPr>
              <w:spacing w:after="235" w:line="239" w:lineRule="auto"/>
              <w:ind w:left="0" w:firstLine="0"/>
            </w:pPr>
            <w:r>
              <w:t xml:space="preserve">The Buyer will provide technical and security assurance of Services delivered as required.  </w:t>
            </w:r>
          </w:p>
          <w:p w14:paraId="75067AA7" w14:textId="77777777" w:rsidR="00D1352F" w:rsidRDefault="009B1F56">
            <w:pPr>
              <w:spacing w:after="198" w:line="275" w:lineRule="auto"/>
              <w:ind w:left="0" w:firstLine="0"/>
            </w:pPr>
            <w:r>
              <w:t xml:space="preserve">If the Buyer determines that Personal Data may be processed in Services requested under an RFQ then it will provide the specific details of these in the same format as Annex 1 of Schedule 7. The Buyer will not provide the Supplier with access to any Personal Data that has not been agreed to be processed under an Agreed Work Package.  The Buyer will review and approve Supplier’s “Protective Measures” before providing access to any Personal Data. </w:t>
            </w:r>
          </w:p>
          <w:p w14:paraId="149C4AC9" w14:textId="77777777" w:rsidR="00D1352F" w:rsidRDefault="009B1F56">
            <w:pPr>
              <w:spacing w:after="177" w:line="290" w:lineRule="auto"/>
              <w:ind w:left="0" w:firstLine="0"/>
            </w:pPr>
            <w:r>
              <w:t>Advise the Supplier upon commencement of this Call-Off Contract of any specific legal and regulatory requirements that are specific to the Buyer to which the Buyer must be made aware of to enable it to provide the Services.</w:t>
            </w:r>
            <w:r>
              <w:rPr>
                <w:rFonts w:ascii="Arial" w:eastAsia="Arial" w:hAnsi="Arial" w:cs="Arial"/>
              </w:rPr>
              <w:t xml:space="preserve"> </w:t>
            </w:r>
          </w:p>
          <w:p w14:paraId="4AEDCD12" w14:textId="77777777" w:rsidR="00D1352F" w:rsidRDefault="009B1F56">
            <w:pPr>
              <w:spacing w:after="0" w:line="259" w:lineRule="auto"/>
              <w:ind w:left="0" w:firstLine="0"/>
            </w:pPr>
            <w:r>
              <w:t xml:space="preserve">The stated Buyer Responsibilities within an Agreed Work package. </w:t>
            </w:r>
          </w:p>
        </w:tc>
      </w:tr>
      <w:tr w:rsidR="00D1352F" w14:paraId="2577B46A" w14:textId="77777777">
        <w:trPr>
          <w:trHeight w:val="1282"/>
        </w:trPr>
        <w:tc>
          <w:tcPr>
            <w:tcW w:w="2660" w:type="dxa"/>
            <w:tcBorders>
              <w:top w:val="single" w:sz="8" w:space="0" w:color="000000"/>
              <w:left w:val="single" w:sz="8" w:space="0" w:color="000000"/>
              <w:bottom w:val="single" w:sz="8" w:space="0" w:color="000000"/>
              <w:right w:val="single" w:sz="8" w:space="0" w:color="000000"/>
            </w:tcBorders>
          </w:tcPr>
          <w:p w14:paraId="18B1B3BB" w14:textId="77777777" w:rsidR="00D1352F" w:rsidRDefault="009B1F56">
            <w:pPr>
              <w:spacing w:after="0" w:line="259" w:lineRule="auto"/>
              <w:ind w:left="5" w:firstLine="0"/>
            </w:pPr>
            <w:r>
              <w:t xml:space="preserve">Buyer’s equipment: </w:t>
            </w:r>
          </w:p>
        </w:tc>
        <w:tc>
          <w:tcPr>
            <w:tcW w:w="7976" w:type="dxa"/>
            <w:tcBorders>
              <w:top w:val="single" w:sz="8" w:space="0" w:color="000000"/>
              <w:left w:val="single" w:sz="8" w:space="0" w:color="000000"/>
              <w:bottom w:val="single" w:sz="8" w:space="0" w:color="000000"/>
              <w:right w:val="single" w:sz="8" w:space="0" w:color="000000"/>
            </w:tcBorders>
          </w:tcPr>
          <w:p w14:paraId="7448BC96" w14:textId="77777777" w:rsidR="00D1352F" w:rsidRDefault="009B1F56">
            <w:pPr>
              <w:spacing w:after="0" w:line="259" w:lineRule="auto"/>
              <w:ind w:left="0" w:firstLine="0"/>
            </w:pPr>
            <w:r>
              <w:t xml:space="preserve">If Buyer equipment is required for the Supplier it will be recorded through the Agreed Work Package (as requested under a </w:t>
            </w:r>
            <w:proofErr w:type="spellStart"/>
            <w:r>
              <w:t>RfQ</w:t>
            </w:r>
            <w:proofErr w:type="spellEnd"/>
            <w:r>
              <w:t xml:space="preserve">), and Annex A of the DfE Supplemental Clauses will apply to this equipment once issued to the Supplier. </w:t>
            </w:r>
          </w:p>
        </w:tc>
      </w:tr>
    </w:tbl>
    <w:p w14:paraId="7C510BF7" w14:textId="77777777" w:rsidR="00D1352F" w:rsidRDefault="009B1F56">
      <w:pPr>
        <w:spacing w:after="267" w:line="259" w:lineRule="auto"/>
        <w:ind w:left="5" w:firstLine="0"/>
      </w:pPr>
      <w:r>
        <w:t xml:space="preserve"> </w:t>
      </w:r>
    </w:p>
    <w:p w14:paraId="4C44EB2E" w14:textId="77777777" w:rsidR="00D1352F" w:rsidRDefault="009B1F56">
      <w:pPr>
        <w:pStyle w:val="Heading3"/>
        <w:ind w:left="5" w:firstLine="0"/>
      </w:pPr>
      <w:bookmarkStart w:id="5" w:name="_Toc76714"/>
      <w:r>
        <w:t xml:space="preserve">Supplier’s information </w:t>
      </w:r>
      <w:bookmarkEnd w:id="5"/>
    </w:p>
    <w:tbl>
      <w:tblPr>
        <w:tblStyle w:val="TableGrid"/>
        <w:tblW w:w="10636" w:type="dxa"/>
        <w:tblInd w:w="14" w:type="dxa"/>
        <w:tblCellMar>
          <w:top w:w="73" w:type="dxa"/>
          <w:left w:w="115" w:type="dxa"/>
          <w:right w:w="81" w:type="dxa"/>
        </w:tblCellMar>
        <w:tblLook w:val="04A0" w:firstRow="1" w:lastRow="0" w:firstColumn="1" w:lastColumn="0" w:noHBand="0" w:noVBand="1"/>
      </w:tblPr>
      <w:tblGrid>
        <w:gridCol w:w="2660"/>
        <w:gridCol w:w="7976"/>
      </w:tblGrid>
      <w:tr w:rsidR="00D1352F" w14:paraId="23DB85C6" w14:textId="77777777">
        <w:trPr>
          <w:trHeight w:val="653"/>
        </w:trPr>
        <w:tc>
          <w:tcPr>
            <w:tcW w:w="2660" w:type="dxa"/>
            <w:tcBorders>
              <w:top w:val="single" w:sz="8" w:space="0" w:color="000000"/>
              <w:left w:val="single" w:sz="8" w:space="0" w:color="000000"/>
              <w:bottom w:val="single" w:sz="8" w:space="0" w:color="000000"/>
              <w:right w:val="single" w:sz="8" w:space="0" w:color="000000"/>
            </w:tcBorders>
          </w:tcPr>
          <w:p w14:paraId="0AFF25A5" w14:textId="77777777" w:rsidR="00D1352F" w:rsidRDefault="009B1F56">
            <w:pPr>
              <w:spacing w:after="0" w:line="259" w:lineRule="auto"/>
              <w:ind w:left="5" w:firstLine="0"/>
            </w:pPr>
            <w:r>
              <w:t xml:space="preserve">Subcontractors or partners: </w:t>
            </w:r>
          </w:p>
        </w:tc>
        <w:tc>
          <w:tcPr>
            <w:tcW w:w="7976" w:type="dxa"/>
            <w:tcBorders>
              <w:top w:val="single" w:sz="8" w:space="0" w:color="000000"/>
              <w:left w:val="single" w:sz="8" w:space="0" w:color="000000"/>
              <w:bottom w:val="single" w:sz="8" w:space="0" w:color="000000"/>
              <w:right w:val="single" w:sz="8" w:space="0" w:color="000000"/>
            </w:tcBorders>
          </w:tcPr>
          <w:p w14:paraId="7953EDED" w14:textId="77777777" w:rsidR="00D1352F" w:rsidRDefault="009B1F56">
            <w:pPr>
              <w:spacing w:after="0" w:line="259" w:lineRule="auto"/>
              <w:ind w:left="0" w:firstLine="0"/>
            </w:pPr>
            <w:r>
              <w:t xml:space="preserve">To be confirmed at </w:t>
            </w:r>
            <w:proofErr w:type="spellStart"/>
            <w:r>
              <w:t>RfQ</w:t>
            </w:r>
            <w:proofErr w:type="spellEnd"/>
            <w:r>
              <w:t xml:space="preserve">\work package stage </w:t>
            </w:r>
          </w:p>
        </w:tc>
      </w:tr>
      <w:tr w:rsidR="00D1352F" w14:paraId="07B9E80A" w14:textId="77777777">
        <w:trPr>
          <w:trHeight w:val="3183"/>
        </w:trPr>
        <w:tc>
          <w:tcPr>
            <w:tcW w:w="2660" w:type="dxa"/>
            <w:tcBorders>
              <w:top w:val="single" w:sz="8" w:space="0" w:color="000000"/>
              <w:left w:val="single" w:sz="8" w:space="0" w:color="000000"/>
              <w:bottom w:val="single" w:sz="8" w:space="0" w:color="000000"/>
              <w:right w:val="single" w:sz="8" w:space="0" w:color="000000"/>
            </w:tcBorders>
          </w:tcPr>
          <w:p w14:paraId="37A7CD54" w14:textId="77777777" w:rsidR="00D1352F" w:rsidRDefault="009B1F56">
            <w:pPr>
              <w:spacing w:after="0" w:line="259" w:lineRule="auto"/>
              <w:ind w:left="5" w:firstLine="0"/>
            </w:pPr>
            <w:r>
              <w:lastRenderedPageBreak/>
              <w:t xml:space="preserve">Commercially Sensitive Information </w:t>
            </w:r>
          </w:p>
        </w:tc>
        <w:tc>
          <w:tcPr>
            <w:tcW w:w="7976" w:type="dxa"/>
            <w:tcBorders>
              <w:top w:val="single" w:sz="8" w:space="0" w:color="000000"/>
              <w:left w:val="single" w:sz="8" w:space="0" w:color="000000"/>
              <w:bottom w:val="single" w:sz="8" w:space="0" w:color="000000"/>
              <w:right w:val="single" w:sz="8" w:space="0" w:color="000000"/>
            </w:tcBorders>
          </w:tcPr>
          <w:p w14:paraId="3B7CE589" w14:textId="77777777" w:rsidR="00D1352F" w:rsidRDefault="009B1F56">
            <w:pPr>
              <w:spacing w:after="0" w:line="239" w:lineRule="auto"/>
              <w:ind w:left="0" w:firstLine="0"/>
            </w:pPr>
            <w:r>
              <w:t xml:space="preserve">Details of the Supplier’s methodologies, </w:t>
            </w:r>
            <w:proofErr w:type="gramStart"/>
            <w:r>
              <w:t>policies</w:t>
            </w:r>
            <w:proofErr w:type="gramEnd"/>
            <w:r>
              <w:t xml:space="preserve"> and processes. The methodologies, policies and processes remain confidential and commercially sensitive to the Supplier and if such information </w:t>
            </w:r>
            <w:proofErr w:type="gramStart"/>
            <w:r>
              <w:t>was</w:t>
            </w:r>
            <w:proofErr w:type="gramEnd"/>
            <w:r>
              <w:t xml:space="preserve"> disclosed it could be commercially damaging to the Supplier. </w:t>
            </w:r>
          </w:p>
          <w:p w14:paraId="417E8054" w14:textId="77777777" w:rsidR="00D1352F" w:rsidRDefault="009B1F56">
            <w:pPr>
              <w:spacing w:after="0" w:line="239" w:lineRule="auto"/>
              <w:ind w:left="0" w:firstLine="0"/>
            </w:pPr>
            <w:r>
              <w:t xml:space="preserve">All information relating to limits of liability, daily fee rates, pricing and charging mechanisms contained in the Call-Off Contract.  Disclosure of which may provide affect the Supplier’s competitive position.  As a </w:t>
            </w:r>
            <w:proofErr w:type="gramStart"/>
            <w:r>
              <w:t>result</w:t>
            </w:r>
            <w:proofErr w:type="gramEnd"/>
            <w:r>
              <w:t xml:space="preserve"> the Supplier considers this information to be a ‘trade secret’. </w:t>
            </w:r>
          </w:p>
          <w:p w14:paraId="2D0DDBE7" w14:textId="77777777" w:rsidR="00D1352F" w:rsidRDefault="009B1F56">
            <w:pPr>
              <w:spacing w:after="0" w:line="259" w:lineRule="auto"/>
              <w:ind w:left="0" w:firstLine="0"/>
            </w:pPr>
            <w:r>
              <w:t xml:space="preserve">The terms of the Supplier’s insurance are strictly confidential and if such information </w:t>
            </w:r>
            <w:proofErr w:type="gramStart"/>
            <w:r>
              <w:t>was</w:t>
            </w:r>
            <w:proofErr w:type="gramEnd"/>
            <w:r>
              <w:t xml:space="preserve"> disclosed it could be commercially damaging to the </w:t>
            </w:r>
          </w:p>
        </w:tc>
      </w:tr>
      <w:tr w:rsidR="00D1352F" w14:paraId="3AC0F830" w14:textId="77777777">
        <w:trPr>
          <w:trHeight w:val="3812"/>
        </w:trPr>
        <w:tc>
          <w:tcPr>
            <w:tcW w:w="2660" w:type="dxa"/>
            <w:tcBorders>
              <w:top w:val="single" w:sz="8" w:space="0" w:color="000000"/>
              <w:left w:val="single" w:sz="8" w:space="0" w:color="000000"/>
              <w:bottom w:val="single" w:sz="8" w:space="0" w:color="000000"/>
              <w:right w:val="single" w:sz="8" w:space="0" w:color="000000"/>
            </w:tcBorders>
          </w:tcPr>
          <w:p w14:paraId="0207872D" w14:textId="77777777" w:rsidR="00D1352F" w:rsidRDefault="00D1352F">
            <w:pPr>
              <w:spacing w:after="160" w:line="259" w:lineRule="auto"/>
              <w:ind w:left="0" w:firstLine="0"/>
            </w:pPr>
          </w:p>
        </w:tc>
        <w:tc>
          <w:tcPr>
            <w:tcW w:w="7976" w:type="dxa"/>
            <w:tcBorders>
              <w:top w:val="single" w:sz="8" w:space="0" w:color="000000"/>
              <w:left w:val="single" w:sz="8" w:space="0" w:color="000000"/>
              <w:bottom w:val="single" w:sz="8" w:space="0" w:color="000000"/>
              <w:right w:val="single" w:sz="8" w:space="0" w:color="000000"/>
            </w:tcBorders>
          </w:tcPr>
          <w:p w14:paraId="75D97E05" w14:textId="77777777" w:rsidR="00D1352F" w:rsidRDefault="009B1F56">
            <w:pPr>
              <w:spacing w:after="0" w:line="259" w:lineRule="auto"/>
              <w:ind w:left="0" w:firstLine="0"/>
            </w:pPr>
            <w:r>
              <w:t xml:space="preserve">Supplier. </w:t>
            </w:r>
          </w:p>
          <w:p w14:paraId="33C47A42" w14:textId="77777777" w:rsidR="00D1352F" w:rsidRDefault="009B1F56">
            <w:pPr>
              <w:spacing w:after="0" w:line="239" w:lineRule="auto"/>
              <w:ind w:left="0" w:firstLine="0"/>
            </w:pPr>
            <w:r>
              <w:t xml:space="preserve">All details relating to personnel including but not limited to the numbers of resources with specific skills, numbers of security cleared staff, staff terms and conditions of employment and staff selection methods are used for the purpose of managing the Supplier’s resources to secure trade and generate profit and provides the Supplier with a competitive advantage.  If such information was </w:t>
            </w:r>
            <w:proofErr w:type="gramStart"/>
            <w:r>
              <w:t>disclosed</w:t>
            </w:r>
            <w:proofErr w:type="gramEnd"/>
            <w:r>
              <w:t xml:space="preserve"> it could be commercially damaging to the Supplier. </w:t>
            </w:r>
          </w:p>
          <w:p w14:paraId="13930AE0" w14:textId="77777777" w:rsidR="00D1352F" w:rsidRDefault="009B1F56">
            <w:pPr>
              <w:spacing w:after="0" w:line="239" w:lineRule="auto"/>
              <w:ind w:left="0" w:firstLine="0"/>
            </w:pPr>
            <w:r>
              <w:t xml:space="preserve">Any information relating to other customers of the Supplier that has been obtained </w:t>
            </w:r>
            <w:proofErr w:type="gramStart"/>
            <w:r>
              <w:t>as a result of</w:t>
            </w:r>
            <w:proofErr w:type="gramEnd"/>
            <w:r>
              <w:t xml:space="preserve"> the Services or as a result of procuring the Services (including pre-contract references). </w:t>
            </w:r>
          </w:p>
          <w:p w14:paraId="0B14DF23" w14:textId="77777777" w:rsidR="00D1352F" w:rsidRDefault="009B1F56">
            <w:pPr>
              <w:spacing w:after="0" w:line="259" w:lineRule="auto"/>
              <w:ind w:left="0" w:firstLine="0"/>
            </w:pPr>
            <w:r>
              <w:t xml:space="preserve"> </w:t>
            </w:r>
          </w:p>
        </w:tc>
      </w:tr>
    </w:tbl>
    <w:p w14:paraId="17FE254D" w14:textId="77777777" w:rsidR="00D1352F" w:rsidRDefault="009B1F56">
      <w:pPr>
        <w:spacing w:after="261" w:line="259" w:lineRule="auto"/>
        <w:ind w:left="5" w:firstLine="0"/>
      </w:pPr>
      <w:r>
        <w:t xml:space="preserve"> </w:t>
      </w:r>
    </w:p>
    <w:p w14:paraId="0BE9C8FA" w14:textId="77777777" w:rsidR="00D1352F" w:rsidRDefault="009B1F56">
      <w:pPr>
        <w:pStyle w:val="Heading3"/>
        <w:ind w:left="0"/>
      </w:pPr>
      <w:bookmarkStart w:id="6" w:name="_Toc76715"/>
      <w:r>
        <w:t xml:space="preserve">Call-Off Contract charges and payment </w:t>
      </w:r>
      <w:bookmarkEnd w:id="6"/>
    </w:p>
    <w:p w14:paraId="22CFD5AC" w14:textId="77777777" w:rsidR="00D1352F" w:rsidRDefault="009B1F56">
      <w:pPr>
        <w:spacing w:after="0"/>
        <w:ind w:left="0"/>
      </w:pPr>
      <w:r>
        <w:t xml:space="preserve">The Call-Off Contract charges and payment details are in the table below. See Schedule 2 for a full breakdown. </w:t>
      </w:r>
    </w:p>
    <w:tbl>
      <w:tblPr>
        <w:tblStyle w:val="TableGrid"/>
        <w:tblW w:w="10636" w:type="dxa"/>
        <w:tblInd w:w="14" w:type="dxa"/>
        <w:tblCellMar>
          <w:top w:w="14" w:type="dxa"/>
        </w:tblCellMar>
        <w:tblLook w:val="04A0" w:firstRow="1" w:lastRow="0" w:firstColumn="1" w:lastColumn="0" w:noHBand="0" w:noVBand="1"/>
      </w:tblPr>
      <w:tblGrid>
        <w:gridCol w:w="2660"/>
        <w:gridCol w:w="125"/>
        <w:gridCol w:w="3870"/>
        <w:gridCol w:w="3871"/>
        <w:gridCol w:w="110"/>
      </w:tblGrid>
      <w:tr w:rsidR="00D1352F" w14:paraId="5995D035" w14:textId="77777777">
        <w:trPr>
          <w:trHeight w:val="970"/>
        </w:trPr>
        <w:tc>
          <w:tcPr>
            <w:tcW w:w="2660" w:type="dxa"/>
            <w:tcBorders>
              <w:top w:val="single" w:sz="8" w:space="0" w:color="000000"/>
              <w:left w:val="single" w:sz="8" w:space="0" w:color="000000"/>
              <w:bottom w:val="single" w:sz="8" w:space="0" w:color="000000"/>
              <w:right w:val="single" w:sz="8" w:space="0" w:color="000000"/>
            </w:tcBorders>
          </w:tcPr>
          <w:p w14:paraId="1A44D977" w14:textId="77777777" w:rsidR="00D1352F" w:rsidRDefault="009B1F56">
            <w:pPr>
              <w:spacing w:after="0" w:line="259" w:lineRule="auto"/>
              <w:ind w:left="10" w:firstLine="0"/>
            </w:pPr>
            <w:r>
              <w:t xml:space="preserve">Payment method: </w:t>
            </w:r>
          </w:p>
        </w:tc>
        <w:tc>
          <w:tcPr>
            <w:tcW w:w="7976" w:type="dxa"/>
            <w:gridSpan w:val="4"/>
            <w:tcBorders>
              <w:top w:val="single" w:sz="8" w:space="0" w:color="000000"/>
              <w:left w:val="single" w:sz="8" w:space="0" w:color="000000"/>
              <w:bottom w:val="single" w:sz="8" w:space="0" w:color="000000"/>
              <w:right w:val="single" w:sz="8" w:space="0" w:color="000000"/>
            </w:tcBorders>
          </w:tcPr>
          <w:p w14:paraId="5E5763A0" w14:textId="77777777" w:rsidR="00D1352F" w:rsidRDefault="009B1F56">
            <w:pPr>
              <w:spacing w:after="0" w:line="259" w:lineRule="auto"/>
              <w:ind w:left="5" w:firstLine="0"/>
            </w:pPr>
            <w:r>
              <w:t xml:space="preserve">The payment method for this Call-Off Contract is 30 days from the date on the invoice, by BACS for Services/outputs delivered as detailed in the Agreed Work Package, in accordance with Annex B RFQ Template. </w:t>
            </w:r>
          </w:p>
        </w:tc>
      </w:tr>
      <w:tr w:rsidR="00D1352F" w14:paraId="5AA3472E" w14:textId="77777777">
        <w:trPr>
          <w:trHeight w:val="1282"/>
        </w:trPr>
        <w:tc>
          <w:tcPr>
            <w:tcW w:w="2660" w:type="dxa"/>
            <w:tcBorders>
              <w:top w:val="single" w:sz="8" w:space="0" w:color="000000"/>
              <w:left w:val="single" w:sz="8" w:space="0" w:color="000000"/>
              <w:bottom w:val="single" w:sz="8" w:space="0" w:color="000000"/>
              <w:right w:val="single" w:sz="8" w:space="0" w:color="000000"/>
            </w:tcBorders>
          </w:tcPr>
          <w:p w14:paraId="63616E59" w14:textId="77777777" w:rsidR="00D1352F" w:rsidRDefault="009B1F56">
            <w:pPr>
              <w:spacing w:after="0" w:line="259" w:lineRule="auto"/>
              <w:ind w:left="10" w:firstLine="0"/>
            </w:pPr>
            <w:r>
              <w:t xml:space="preserve">Payment profile: </w:t>
            </w:r>
          </w:p>
        </w:tc>
        <w:tc>
          <w:tcPr>
            <w:tcW w:w="7976" w:type="dxa"/>
            <w:gridSpan w:val="4"/>
            <w:tcBorders>
              <w:top w:val="single" w:sz="8" w:space="0" w:color="000000"/>
              <w:left w:val="single" w:sz="8" w:space="0" w:color="000000"/>
              <w:bottom w:val="single" w:sz="8" w:space="0" w:color="000000"/>
              <w:right w:val="single" w:sz="8" w:space="0" w:color="000000"/>
            </w:tcBorders>
          </w:tcPr>
          <w:p w14:paraId="2BD33828" w14:textId="77777777" w:rsidR="00D1352F" w:rsidRDefault="009B1F56">
            <w:pPr>
              <w:spacing w:after="2" w:line="237" w:lineRule="auto"/>
              <w:ind w:left="5" w:right="420" w:firstLine="0"/>
              <w:jc w:val="both"/>
            </w:pPr>
            <w:r>
              <w:t xml:space="preserve">The default payment profile for Services under this Call-Off Contract is monthly in arrears. Other payment profiles may be agreed in each Agreed Work Package. </w:t>
            </w:r>
          </w:p>
          <w:p w14:paraId="611E189E" w14:textId="77777777" w:rsidR="00D1352F" w:rsidRDefault="009B1F56">
            <w:pPr>
              <w:spacing w:after="0" w:line="259" w:lineRule="auto"/>
              <w:ind w:left="5" w:firstLine="0"/>
            </w:pPr>
            <w:r>
              <w:t xml:space="preserve"> </w:t>
            </w:r>
          </w:p>
        </w:tc>
      </w:tr>
      <w:tr w:rsidR="00D1352F" w14:paraId="16713573" w14:textId="77777777">
        <w:trPr>
          <w:trHeight w:val="2607"/>
        </w:trPr>
        <w:tc>
          <w:tcPr>
            <w:tcW w:w="2660" w:type="dxa"/>
            <w:tcBorders>
              <w:top w:val="single" w:sz="8" w:space="0" w:color="000000"/>
              <w:left w:val="single" w:sz="8" w:space="0" w:color="000000"/>
              <w:bottom w:val="single" w:sz="8" w:space="0" w:color="000000"/>
              <w:right w:val="single" w:sz="8" w:space="0" w:color="000000"/>
            </w:tcBorders>
          </w:tcPr>
          <w:p w14:paraId="44EE8B20" w14:textId="77777777" w:rsidR="00D1352F" w:rsidRDefault="009B1F56">
            <w:pPr>
              <w:spacing w:after="0" w:line="259" w:lineRule="auto"/>
              <w:ind w:left="10" w:firstLine="0"/>
            </w:pPr>
            <w:r>
              <w:t xml:space="preserve">Invoice details: </w:t>
            </w:r>
          </w:p>
        </w:tc>
        <w:tc>
          <w:tcPr>
            <w:tcW w:w="7976" w:type="dxa"/>
            <w:gridSpan w:val="4"/>
            <w:tcBorders>
              <w:top w:val="single" w:sz="8" w:space="0" w:color="000000"/>
              <w:left w:val="single" w:sz="8" w:space="0" w:color="000000"/>
              <w:bottom w:val="single" w:sz="8" w:space="0" w:color="000000"/>
              <w:right w:val="single" w:sz="8" w:space="0" w:color="000000"/>
            </w:tcBorders>
          </w:tcPr>
          <w:p w14:paraId="0E5C152F" w14:textId="77777777" w:rsidR="00D1352F" w:rsidRDefault="009B1F56">
            <w:pPr>
              <w:spacing w:after="38" w:line="239" w:lineRule="auto"/>
              <w:ind w:left="5" w:right="58" w:firstLine="0"/>
            </w:pPr>
            <w:r>
              <w:t xml:space="preserve">The Supplier will issue electronic invoices monthly in arrears. The Buyer will pay the Supplier within 30 days of receipt of a valid invoice. </w:t>
            </w:r>
          </w:p>
          <w:p w14:paraId="7DA55548" w14:textId="77777777" w:rsidR="00D1352F" w:rsidRDefault="009B1F56">
            <w:pPr>
              <w:spacing w:after="241" w:line="275" w:lineRule="auto"/>
              <w:ind w:left="5" w:firstLine="0"/>
              <w:jc w:val="both"/>
            </w:pPr>
            <w:r>
              <w:t xml:space="preserve">All Supplier queries regarding payments or the settlement of invoices will be directed to the Buyer’s work requester named in the </w:t>
            </w:r>
            <w:proofErr w:type="spellStart"/>
            <w:r>
              <w:t>RfQ</w:t>
            </w:r>
            <w:proofErr w:type="spellEnd"/>
            <w:r>
              <w:t xml:space="preserve">/purchase order.  </w:t>
            </w:r>
          </w:p>
          <w:p w14:paraId="4AC5A79D" w14:textId="77777777" w:rsidR="00D1352F" w:rsidRDefault="009B1F56">
            <w:pPr>
              <w:spacing w:after="0" w:line="239" w:lineRule="auto"/>
              <w:ind w:left="5" w:firstLine="0"/>
            </w:pPr>
            <w:r>
              <w:t xml:space="preserve">General invoice and payment enquiries must not be directed to the Buyer’s Contract Manager. </w:t>
            </w:r>
          </w:p>
          <w:p w14:paraId="1BBC00A3" w14:textId="77777777" w:rsidR="00D1352F" w:rsidRDefault="009B1F56">
            <w:pPr>
              <w:spacing w:after="0" w:line="259" w:lineRule="auto"/>
              <w:ind w:left="5" w:firstLine="0"/>
            </w:pPr>
            <w:r>
              <w:t xml:space="preserve"> </w:t>
            </w:r>
          </w:p>
        </w:tc>
      </w:tr>
      <w:tr w:rsidR="00D1352F" w14:paraId="29803F6A" w14:textId="77777777">
        <w:trPr>
          <w:trHeight w:val="653"/>
        </w:trPr>
        <w:tc>
          <w:tcPr>
            <w:tcW w:w="2660" w:type="dxa"/>
            <w:vMerge w:val="restart"/>
            <w:tcBorders>
              <w:top w:val="single" w:sz="8" w:space="0" w:color="000000"/>
              <w:left w:val="single" w:sz="8" w:space="0" w:color="000000"/>
              <w:bottom w:val="single" w:sz="15" w:space="0" w:color="000000"/>
              <w:right w:val="single" w:sz="8" w:space="0" w:color="000000"/>
            </w:tcBorders>
          </w:tcPr>
          <w:p w14:paraId="101C3427" w14:textId="77777777" w:rsidR="00D1352F" w:rsidRDefault="009B1F56">
            <w:pPr>
              <w:spacing w:after="0" w:line="259" w:lineRule="auto"/>
              <w:ind w:left="10" w:firstLine="0"/>
              <w:jc w:val="both"/>
            </w:pPr>
            <w:r>
              <w:lastRenderedPageBreak/>
              <w:t xml:space="preserve">Who and where to send invoices </w:t>
            </w:r>
            <w:proofErr w:type="gramStart"/>
            <w:r>
              <w:t>to:</w:t>
            </w:r>
            <w:proofErr w:type="gramEnd"/>
            <w:r>
              <w:t xml:space="preserve"> </w:t>
            </w:r>
          </w:p>
        </w:tc>
        <w:tc>
          <w:tcPr>
            <w:tcW w:w="7976" w:type="dxa"/>
            <w:gridSpan w:val="4"/>
            <w:tcBorders>
              <w:top w:val="single" w:sz="8" w:space="0" w:color="000000"/>
              <w:left w:val="single" w:sz="8" w:space="0" w:color="000000"/>
              <w:bottom w:val="single" w:sz="8" w:space="0" w:color="000000"/>
              <w:right w:val="single" w:sz="8" w:space="0" w:color="000000"/>
            </w:tcBorders>
          </w:tcPr>
          <w:p w14:paraId="25097890" w14:textId="77777777" w:rsidR="00D1352F" w:rsidRDefault="009B1F56">
            <w:pPr>
              <w:spacing w:after="0" w:line="259" w:lineRule="auto"/>
              <w:ind w:left="5" w:firstLine="0"/>
            </w:pPr>
            <w:r>
              <w:t xml:space="preserve">Invoices will be sent to: </w:t>
            </w:r>
          </w:p>
          <w:p w14:paraId="7762EF38" w14:textId="77777777" w:rsidR="00D1352F" w:rsidRDefault="009B1F56">
            <w:pPr>
              <w:spacing w:after="0" w:line="259" w:lineRule="auto"/>
              <w:ind w:left="5" w:firstLine="0"/>
            </w:pPr>
            <w:r>
              <w:t xml:space="preserve"> </w:t>
            </w:r>
          </w:p>
        </w:tc>
      </w:tr>
      <w:tr w:rsidR="00D1352F" w14:paraId="38848956" w14:textId="77777777">
        <w:trPr>
          <w:trHeight w:val="1402"/>
        </w:trPr>
        <w:tc>
          <w:tcPr>
            <w:tcW w:w="0" w:type="auto"/>
            <w:vMerge/>
            <w:tcBorders>
              <w:top w:val="nil"/>
              <w:left w:val="single" w:sz="8" w:space="0" w:color="000000"/>
              <w:bottom w:val="nil"/>
              <w:right w:val="single" w:sz="8" w:space="0" w:color="000000"/>
            </w:tcBorders>
          </w:tcPr>
          <w:p w14:paraId="380D99F4" w14:textId="77777777" w:rsidR="00D1352F" w:rsidRDefault="00D1352F">
            <w:pPr>
              <w:spacing w:after="160" w:line="259" w:lineRule="auto"/>
              <w:ind w:left="0" w:firstLine="0"/>
            </w:pPr>
          </w:p>
        </w:tc>
        <w:tc>
          <w:tcPr>
            <w:tcW w:w="125" w:type="dxa"/>
            <w:vMerge w:val="restart"/>
            <w:tcBorders>
              <w:top w:val="nil"/>
              <w:left w:val="single" w:sz="8" w:space="0" w:color="000000"/>
              <w:bottom w:val="single" w:sz="15" w:space="0" w:color="000000"/>
              <w:right w:val="single" w:sz="8" w:space="0" w:color="000000"/>
            </w:tcBorders>
          </w:tcPr>
          <w:p w14:paraId="7CD7F450" w14:textId="77777777" w:rsidR="00D1352F" w:rsidRDefault="00D1352F">
            <w:pPr>
              <w:spacing w:after="160" w:line="259" w:lineRule="auto"/>
              <w:ind w:left="0" w:firstLine="0"/>
            </w:pPr>
          </w:p>
        </w:tc>
        <w:tc>
          <w:tcPr>
            <w:tcW w:w="3870" w:type="dxa"/>
            <w:tcBorders>
              <w:top w:val="single" w:sz="8" w:space="0" w:color="000000"/>
              <w:left w:val="single" w:sz="8" w:space="0" w:color="000000"/>
              <w:bottom w:val="single" w:sz="8" w:space="0" w:color="000000"/>
              <w:right w:val="single" w:sz="8" w:space="0" w:color="000000"/>
            </w:tcBorders>
          </w:tcPr>
          <w:p w14:paraId="03C496A1" w14:textId="77777777" w:rsidR="00D1352F" w:rsidRDefault="009B1F56">
            <w:pPr>
              <w:spacing w:after="220" w:line="259" w:lineRule="auto"/>
              <w:ind w:left="0" w:firstLine="0"/>
            </w:pPr>
            <w:r>
              <w:rPr>
                <w:rFonts w:ascii="Arial" w:eastAsia="Arial" w:hAnsi="Arial" w:cs="Arial"/>
              </w:rPr>
              <w:t xml:space="preserve">For DFE </w:t>
            </w:r>
          </w:p>
          <w:p w14:paraId="27D351D1" w14:textId="77777777" w:rsidR="00D1352F" w:rsidRDefault="009B1F56">
            <w:pPr>
              <w:spacing w:after="0" w:line="259" w:lineRule="auto"/>
              <w:ind w:left="0" w:firstLine="0"/>
              <w:jc w:val="both"/>
            </w:pPr>
            <w:r>
              <w:rPr>
                <w:rFonts w:ascii="Arial" w:eastAsia="Arial" w:hAnsi="Arial" w:cs="Arial"/>
              </w:rPr>
              <w:t xml:space="preserve">PO Reference Prefixes 357 &amp; 410 </w:t>
            </w:r>
          </w:p>
        </w:tc>
        <w:tc>
          <w:tcPr>
            <w:tcW w:w="3871" w:type="dxa"/>
            <w:tcBorders>
              <w:top w:val="single" w:sz="8" w:space="0" w:color="000000"/>
              <w:left w:val="single" w:sz="8" w:space="0" w:color="000000"/>
              <w:bottom w:val="single" w:sz="8" w:space="0" w:color="000000"/>
              <w:right w:val="single" w:sz="8" w:space="0" w:color="000000"/>
            </w:tcBorders>
          </w:tcPr>
          <w:p w14:paraId="70F682A9" w14:textId="77777777" w:rsidR="00D1352F" w:rsidRDefault="009B1F56">
            <w:pPr>
              <w:spacing w:after="0" w:line="259" w:lineRule="auto"/>
              <w:ind w:left="1" w:firstLine="0"/>
            </w:pPr>
            <w:r>
              <w:rPr>
                <w:rFonts w:ascii="Arial" w:eastAsia="Arial" w:hAnsi="Arial" w:cs="Arial"/>
              </w:rPr>
              <w:t xml:space="preserve">For ESFA </w:t>
            </w:r>
          </w:p>
          <w:p w14:paraId="3BFF6F07" w14:textId="77777777" w:rsidR="00D1352F" w:rsidRDefault="009B1F56">
            <w:pPr>
              <w:spacing w:after="0" w:line="259" w:lineRule="auto"/>
              <w:ind w:left="1" w:firstLine="0"/>
            </w:pPr>
            <w:r>
              <w:rPr>
                <w:rFonts w:ascii="Arial" w:eastAsia="Arial" w:hAnsi="Arial" w:cs="Arial"/>
              </w:rPr>
              <w:t xml:space="preserve"> </w:t>
            </w:r>
          </w:p>
          <w:p w14:paraId="51532D18" w14:textId="77777777" w:rsidR="00D1352F" w:rsidRDefault="009B1F56">
            <w:pPr>
              <w:spacing w:after="0" w:line="259" w:lineRule="auto"/>
              <w:ind w:left="1" w:firstLine="0"/>
            </w:pPr>
            <w:r>
              <w:rPr>
                <w:rFonts w:ascii="Arial" w:eastAsia="Arial" w:hAnsi="Arial" w:cs="Arial"/>
              </w:rPr>
              <w:t xml:space="preserve">PO Reference Prefixes PDOC, </w:t>
            </w:r>
          </w:p>
          <w:p w14:paraId="7EF5CB7B" w14:textId="77777777" w:rsidR="00D1352F" w:rsidRDefault="009B1F56">
            <w:pPr>
              <w:spacing w:after="0" w:line="259" w:lineRule="auto"/>
              <w:ind w:left="1" w:firstLine="0"/>
            </w:pPr>
            <w:r>
              <w:rPr>
                <w:rFonts w:ascii="Arial" w:eastAsia="Arial" w:hAnsi="Arial" w:cs="Arial"/>
              </w:rPr>
              <w:t xml:space="preserve">PO-E, S-APO, SFOR, SFPRV, SPPO </w:t>
            </w:r>
          </w:p>
        </w:tc>
        <w:tc>
          <w:tcPr>
            <w:tcW w:w="110" w:type="dxa"/>
            <w:vMerge w:val="restart"/>
            <w:tcBorders>
              <w:top w:val="nil"/>
              <w:left w:val="single" w:sz="8" w:space="0" w:color="000000"/>
              <w:bottom w:val="single" w:sz="15" w:space="0" w:color="000000"/>
              <w:right w:val="single" w:sz="8" w:space="0" w:color="000000"/>
            </w:tcBorders>
          </w:tcPr>
          <w:p w14:paraId="368C1EC0" w14:textId="77777777" w:rsidR="00D1352F" w:rsidRDefault="00D1352F">
            <w:pPr>
              <w:spacing w:after="160" w:line="259" w:lineRule="auto"/>
              <w:ind w:left="0" w:firstLine="0"/>
            </w:pPr>
          </w:p>
        </w:tc>
      </w:tr>
      <w:tr w:rsidR="00D1352F" w14:paraId="22A16818" w14:textId="77777777">
        <w:trPr>
          <w:trHeight w:val="1685"/>
        </w:trPr>
        <w:tc>
          <w:tcPr>
            <w:tcW w:w="0" w:type="auto"/>
            <w:vMerge/>
            <w:tcBorders>
              <w:top w:val="nil"/>
              <w:left w:val="single" w:sz="8" w:space="0" w:color="000000"/>
              <w:bottom w:val="single" w:sz="15" w:space="0" w:color="000000"/>
              <w:right w:val="single" w:sz="8" w:space="0" w:color="000000"/>
            </w:tcBorders>
          </w:tcPr>
          <w:p w14:paraId="4F957D0F" w14:textId="77777777" w:rsidR="00D1352F" w:rsidRDefault="00D1352F">
            <w:pPr>
              <w:spacing w:after="160" w:line="259" w:lineRule="auto"/>
              <w:ind w:left="0" w:firstLine="0"/>
            </w:pPr>
          </w:p>
        </w:tc>
        <w:tc>
          <w:tcPr>
            <w:tcW w:w="0" w:type="auto"/>
            <w:vMerge/>
            <w:tcBorders>
              <w:top w:val="nil"/>
              <w:left w:val="single" w:sz="8" w:space="0" w:color="000000"/>
              <w:bottom w:val="single" w:sz="15" w:space="0" w:color="000000"/>
              <w:right w:val="single" w:sz="8" w:space="0" w:color="000000"/>
            </w:tcBorders>
          </w:tcPr>
          <w:p w14:paraId="34EB99F7" w14:textId="77777777" w:rsidR="00D1352F" w:rsidRDefault="00D1352F">
            <w:pPr>
              <w:spacing w:after="160" w:line="259" w:lineRule="auto"/>
              <w:ind w:left="0" w:firstLine="0"/>
            </w:pPr>
          </w:p>
        </w:tc>
        <w:tc>
          <w:tcPr>
            <w:tcW w:w="3870" w:type="dxa"/>
            <w:tcBorders>
              <w:top w:val="single" w:sz="8" w:space="0" w:color="000000"/>
              <w:left w:val="single" w:sz="8" w:space="0" w:color="000000"/>
              <w:bottom w:val="single" w:sz="15" w:space="0" w:color="000000"/>
              <w:right w:val="single" w:sz="8" w:space="0" w:color="000000"/>
            </w:tcBorders>
          </w:tcPr>
          <w:p w14:paraId="4D7E79B0" w14:textId="77777777" w:rsidR="00D1352F" w:rsidRDefault="009B1F56">
            <w:pPr>
              <w:spacing w:after="0" w:line="259" w:lineRule="auto"/>
              <w:ind w:left="0" w:firstLine="0"/>
            </w:pPr>
            <w:r>
              <w:rPr>
                <w:rFonts w:ascii="Arial" w:eastAsia="Arial" w:hAnsi="Arial" w:cs="Arial"/>
              </w:rPr>
              <w:t xml:space="preserve">Department for Education – PO </w:t>
            </w:r>
          </w:p>
          <w:p w14:paraId="080F306E" w14:textId="77777777" w:rsidR="00D1352F" w:rsidRDefault="009B1F56">
            <w:pPr>
              <w:spacing w:after="0" w:line="259" w:lineRule="auto"/>
              <w:ind w:left="0" w:firstLine="0"/>
            </w:pPr>
            <w:r>
              <w:rPr>
                <w:rFonts w:ascii="Arial" w:eastAsia="Arial" w:hAnsi="Arial" w:cs="Arial"/>
              </w:rPr>
              <w:t xml:space="preserve">BOX 407  </w:t>
            </w:r>
          </w:p>
          <w:p w14:paraId="49C1971F" w14:textId="77777777" w:rsidR="00D1352F" w:rsidRDefault="009B1F56">
            <w:pPr>
              <w:spacing w:after="0" w:line="259" w:lineRule="auto"/>
              <w:ind w:left="0" w:firstLine="0"/>
            </w:pPr>
            <w:r>
              <w:rPr>
                <w:rFonts w:ascii="Arial" w:eastAsia="Arial" w:hAnsi="Arial" w:cs="Arial"/>
              </w:rPr>
              <w:t xml:space="preserve">SSCL  </w:t>
            </w:r>
          </w:p>
          <w:p w14:paraId="22CF4BB7" w14:textId="77777777" w:rsidR="00D1352F" w:rsidRDefault="009B1F56">
            <w:pPr>
              <w:spacing w:after="0" w:line="259" w:lineRule="auto"/>
              <w:ind w:left="0" w:firstLine="0"/>
            </w:pPr>
            <w:r>
              <w:rPr>
                <w:rFonts w:ascii="Arial" w:eastAsia="Arial" w:hAnsi="Arial" w:cs="Arial"/>
              </w:rPr>
              <w:t xml:space="preserve">Phoenix House,  </w:t>
            </w:r>
          </w:p>
          <w:p w14:paraId="059881F4" w14:textId="77777777" w:rsidR="00D1352F" w:rsidRDefault="009B1F56">
            <w:pPr>
              <w:spacing w:after="0" w:line="259" w:lineRule="auto"/>
              <w:ind w:left="0" w:firstLine="0"/>
            </w:pPr>
            <w:r>
              <w:rPr>
                <w:rFonts w:ascii="Arial" w:eastAsia="Arial" w:hAnsi="Arial" w:cs="Arial"/>
              </w:rPr>
              <w:t xml:space="preserve">Celtic Springs Bus. Park  </w:t>
            </w:r>
          </w:p>
          <w:p w14:paraId="46BE1248" w14:textId="77777777" w:rsidR="00D1352F" w:rsidRDefault="009B1F56">
            <w:pPr>
              <w:spacing w:after="0" w:line="259" w:lineRule="auto"/>
              <w:ind w:left="0" w:firstLine="0"/>
            </w:pPr>
            <w:r>
              <w:rPr>
                <w:rFonts w:ascii="Arial" w:eastAsia="Arial" w:hAnsi="Arial" w:cs="Arial"/>
              </w:rPr>
              <w:t xml:space="preserve">Newport  </w:t>
            </w:r>
          </w:p>
        </w:tc>
        <w:tc>
          <w:tcPr>
            <w:tcW w:w="3871" w:type="dxa"/>
            <w:tcBorders>
              <w:top w:val="single" w:sz="8" w:space="0" w:color="000000"/>
              <w:left w:val="single" w:sz="8" w:space="0" w:color="000000"/>
              <w:bottom w:val="single" w:sz="15" w:space="0" w:color="000000"/>
              <w:right w:val="single" w:sz="8" w:space="0" w:color="000000"/>
            </w:tcBorders>
          </w:tcPr>
          <w:p w14:paraId="04D0272E" w14:textId="77777777" w:rsidR="00D1352F" w:rsidRDefault="009B1F56">
            <w:pPr>
              <w:spacing w:after="0" w:line="259" w:lineRule="auto"/>
              <w:ind w:left="1" w:firstLine="0"/>
              <w:jc w:val="both"/>
            </w:pPr>
            <w:r>
              <w:rPr>
                <w:rFonts w:ascii="Arial" w:eastAsia="Arial" w:hAnsi="Arial" w:cs="Arial"/>
              </w:rPr>
              <w:t xml:space="preserve">Accounting Service Centre ESFA.  </w:t>
            </w:r>
          </w:p>
          <w:p w14:paraId="407BCD14" w14:textId="77777777" w:rsidR="00D1352F" w:rsidRDefault="009B1F56">
            <w:pPr>
              <w:spacing w:after="0" w:line="259" w:lineRule="auto"/>
              <w:ind w:left="1" w:firstLine="0"/>
            </w:pPr>
            <w:r>
              <w:rPr>
                <w:rFonts w:ascii="Arial" w:eastAsia="Arial" w:hAnsi="Arial" w:cs="Arial"/>
              </w:rPr>
              <w:t xml:space="preserve">Cheylesmore House,  </w:t>
            </w:r>
          </w:p>
          <w:p w14:paraId="68774909" w14:textId="77777777" w:rsidR="00D1352F" w:rsidRDefault="009B1F56">
            <w:pPr>
              <w:spacing w:after="0" w:line="259" w:lineRule="auto"/>
              <w:ind w:left="1" w:firstLine="0"/>
            </w:pPr>
            <w:r>
              <w:rPr>
                <w:rFonts w:ascii="Arial" w:eastAsia="Arial" w:hAnsi="Arial" w:cs="Arial"/>
              </w:rPr>
              <w:t xml:space="preserve">Quinton Road,  </w:t>
            </w:r>
          </w:p>
          <w:p w14:paraId="4339D721" w14:textId="77777777" w:rsidR="00D1352F" w:rsidRDefault="009B1F56">
            <w:pPr>
              <w:spacing w:after="0" w:line="259" w:lineRule="auto"/>
              <w:ind w:left="1" w:firstLine="0"/>
            </w:pPr>
            <w:r>
              <w:rPr>
                <w:rFonts w:ascii="Arial" w:eastAsia="Arial" w:hAnsi="Arial" w:cs="Arial"/>
              </w:rPr>
              <w:t xml:space="preserve">Coventry  </w:t>
            </w:r>
          </w:p>
          <w:p w14:paraId="1CFEE64E" w14:textId="77777777" w:rsidR="00D1352F" w:rsidRDefault="009B1F56">
            <w:pPr>
              <w:spacing w:after="0" w:line="259" w:lineRule="auto"/>
              <w:ind w:left="1" w:firstLine="0"/>
            </w:pPr>
            <w:r>
              <w:rPr>
                <w:rFonts w:ascii="Arial" w:eastAsia="Arial" w:hAnsi="Arial" w:cs="Arial"/>
              </w:rPr>
              <w:t xml:space="preserve">CV1 2WT  </w:t>
            </w:r>
          </w:p>
        </w:tc>
        <w:tc>
          <w:tcPr>
            <w:tcW w:w="0" w:type="auto"/>
            <w:vMerge/>
            <w:tcBorders>
              <w:top w:val="nil"/>
              <w:left w:val="single" w:sz="8" w:space="0" w:color="000000"/>
              <w:bottom w:val="single" w:sz="15" w:space="0" w:color="000000"/>
              <w:right w:val="single" w:sz="8" w:space="0" w:color="000000"/>
            </w:tcBorders>
          </w:tcPr>
          <w:p w14:paraId="79D60597" w14:textId="77777777" w:rsidR="00D1352F" w:rsidRDefault="00D1352F">
            <w:pPr>
              <w:spacing w:after="160" w:line="259" w:lineRule="auto"/>
              <w:ind w:left="0" w:firstLine="0"/>
            </w:pPr>
          </w:p>
        </w:tc>
      </w:tr>
      <w:tr w:rsidR="00D1352F" w14:paraId="6A9F0F48" w14:textId="77777777">
        <w:trPr>
          <w:trHeight w:val="571"/>
        </w:trPr>
        <w:tc>
          <w:tcPr>
            <w:tcW w:w="2660" w:type="dxa"/>
            <w:vMerge w:val="restart"/>
            <w:tcBorders>
              <w:top w:val="single" w:sz="8" w:space="0" w:color="000000"/>
              <w:left w:val="single" w:sz="8" w:space="0" w:color="000000"/>
              <w:bottom w:val="single" w:sz="8" w:space="0" w:color="000000"/>
              <w:right w:val="single" w:sz="8" w:space="0" w:color="000000"/>
            </w:tcBorders>
          </w:tcPr>
          <w:p w14:paraId="25232C79" w14:textId="77777777" w:rsidR="00D1352F" w:rsidRDefault="00D1352F">
            <w:pPr>
              <w:spacing w:after="160" w:line="259" w:lineRule="auto"/>
              <w:ind w:left="0" w:firstLine="0"/>
            </w:pPr>
          </w:p>
        </w:tc>
        <w:tc>
          <w:tcPr>
            <w:tcW w:w="125" w:type="dxa"/>
            <w:vMerge w:val="restart"/>
            <w:tcBorders>
              <w:top w:val="single" w:sz="8" w:space="0" w:color="000000"/>
              <w:left w:val="single" w:sz="8" w:space="0" w:color="000000"/>
              <w:bottom w:val="single" w:sz="8" w:space="0" w:color="000000"/>
              <w:right w:val="nil"/>
            </w:tcBorders>
          </w:tcPr>
          <w:p w14:paraId="516DE9EF" w14:textId="77777777" w:rsidR="00D1352F" w:rsidRDefault="00D1352F">
            <w:pPr>
              <w:spacing w:after="160" w:line="259" w:lineRule="auto"/>
              <w:ind w:left="0" w:firstLine="0"/>
            </w:pPr>
          </w:p>
        </w:tc>
        <w:tc>
          <w:tcPr>
            <w:tcW w:w="3870" w:type="dxa"/>
            <w:tcBorders>
              <w:top w:val="single" w:sz="8" w:space="0" w:color="000000"/>
              <w:left w:val="single" w:sz="8" w:space="0" w:color="000000"/>
              <w:bottom w:val="single" w:sz="8" w:space="0" w:color="000000"/>
              <w:right w:val="single" w:sz="8" w:space="0" w:color="000000"/>
            </w:tcBorders>
          </w:tcPr>
          <w:p w14:paraId="00B456B6" w14:textId="77777777" w:rsidR="00D1352F" w:rsidRDefault="009B1F56">
            <w:pPr>
              <w:spacing w:after="0" w:line="259" w:lineRule="auto"/>
              <w:ind w:left="110" w:firstLine="0"/>
            </w:pPr>
            <w:r>
              <w:rPr>
                <w:rFonts w:ascii="Arial" w:eastAsia="Arial" w:hAnsi="Arial" w:cs="Arial"/>
              </w:rPr>
              <w:t xml:space="preserve">NP10 8FZ  </w:t>
            </w:r>
          </w:p>
          <w:p w14:paraId="216F3246" w14:textId="77777777" w:rsidR="00D1352F" w:rsidRDefault="009B1F56">
            <w:pPr>
              <w:spacing w:after="0" w:line="259" w:lineRule="auto"/>
              <w:ind w:left="110" w:firstLine="0"/>
              <w:jc w:val="both"/>
            </w:pPr>
            <w:r>
              <w:rPr>
                <w:rFonts w:ascii="Arial" w:eastAsia="Arial" w:hAnsi="Arial" w:cs="Arial"/>
                <w:color w:val="0000FF"/>
                <w:u w:val="single" w:color="0000FF"/>
              </w:rPr>
              <w:t>APinvoices-DFE-U@gov.sscl.com</w:t>
            </w:r>
            <w:r>
              <w:rPr>
                <w:rFonts w:ascii="Arial" w:eastAsia="Arial" w:hAnsi="Arial" w:cs="Arial"/>
              </w:rPr>
              <w:t xml:space="preserve">  </w:t>
            </w:r>
          </w:p>
        </w:tc>
        <w:tc>
          <w:tcPr>
            <w:tcW w:w="3871" w:type="dxa"/>
            <w:tcBorders>
              <w:top w:val="single" w:sz="8" w:space="0" w:color="000000"/>
              <w:left w:val="single" w:sz="8" w:space="0" w:color="000000"/>
              <w:bottom w:val="single" w:sz="8" w:space="0" w:color="000000"/>
              <w:right w:val="single" w:sz="8" w:space="0" w:color="000000"/>
            </w:tcBorders>
          </w:tcPr>
          <w:p w14:paraId="41E87D13" w14:textId="77777777" w:rsidR="00D1352F" w:rsidRDefault="009B1F56">
            <w:pPr>
              <w:spacing w:after="0" w:line="259" w:lineRule="auto"/>
              <w:ind w:left="111" w:firstLine="0"/>
            </w:pPr>
            <w:proofErr w:type="spellStart"/>
            <w:r>
              <w:rPr>
                <w:rFonts w:ascii="Arial" w:eastAsia="Arial" w:hAnsi="Arial" w:cs="Arial"/>
                <w:color w:val="0000FF"/>
                <w:u w:val="single" w:color="0000FF"/>
              </w:rPr>
              <w:t>AccountingServices.ESFA@educ</w:t>
            </w:r>
            <w:proofErr w:type="spellEnd"/>
            <w:r>
              <w:rPr>
                <w:rFonts w:ascii="Arial" w:eastAsia="Arial" w:hAnsi="Arial" w:cs="Arial"/>
                <w:color w:val="0000FF"/>
                <w:u w:val="single" w:color="0000FF"/>
              </w:rPr>
              <w:t xml:space="preserve"> ation.gov.uk</w:t>
            </w:r>
            <w:r>
              <w:rPr>
                <w:rFonts w:ascii="Arial" w:eastAsia="Arial" w:hAnsi="Arial" w:cs="Arial"/>
              </w:rPr>
              <w:t xml:space="preserve">  </w:t>
            </w:r>
          </w:p>
        </w:tc>
        <w:tc>
          <w:tcPr>
            <w:tcW w:w="110" w:type="dxa"/>
            <w:vMerge w:val="restart"/>
            <w:tcBorders>
              <w:top w:val="single" w:sz="8" w:space="0" w:color="000000"/>
              <w:left w:val="nil"/>
              <w:bottom w:val="single" w:sz="8" w:space="0" w:color="000000"/>
              <w:right w:val="single" w:sz="8" w:space="0" w:color="000000"/>
            </w:tcBorders>
          </w:tcPr>
          <w:p w14:paraId="0F13187C" w14:textId="77777777" w:rsidR="00D1352F" w:rsidRDefault="00D1352F">
            <w:pPr>
              <w:spacing w:after="160" w:line="259" w:lineRule="auto"/>
              <w:ind w:left="0" w:firstLine="0"/>
            </w:pPr>
          </w:p>
        </w:tc>
      </w:tr>
      <w:tr w:rsidR="00D1352F" w14:paraId="10F5742B" w14:textId="77777777">
        <w:trPr>
          <w:trHeight w:val="883"/>
        </w:trPr>
        <w:tc>
          <w:tcPr>
            <w:tcW w:w="0" w:type="auto"/>
            <w:vMerge/>
            <w:tcBorders>
              <w:top w:val="nil"/>
              <w:left w:val="single" w:sz="8" w:space="0" w:color="000000"/>
              <w:bottom w:val="single" w:sz="8" w:space="0" w:color="000000"/>
              <w:right w:val="single" w:sz="8" w:space="0" w:color="000000"/>
            </w:tcBorders>
          </w:tcPr>
          <w:p w14:paraId="731A2CDF" w14:textId="77777777" w:rsidR="00D1352F" w:rsidRDefault="00D1352F">
            <w:pPr>
              <w:spacing w:after="160" w:line="259" w:lineRule="auto"/>
              <w:ind w:left="0" w:firstLine="0"/>
            </w:pPr>
          </w:p>
        </w:tc>
        <w:tc>
          <w:tcPr>
            <w:tcW w:w="0" w:type="auto"/>
            <w:vMerge/>
            <w:tcBorders>
              <w:top w:val="nil"/>
              <w:left w:val="single" w:sz="8" w:space="0" w:color="000000"/>
              <w:bottom w:val="single" w:sz="8" w:space="0" w:color="000000"/>
              <w:right w:val="nil"/>
            </w:tcBorders>
          </w:tcPr>
          <w:p w14:paraId="4E38608B" w14:textId="77777777" w:rsidR="00D1352F" w:rsidRDefault="00D1352F">
            <w:pPr>
              <w:spacing w:after="160" w:line="259" w:lineRule="auto"/>
              <w:ind w:left="0" w:firstLine="0"/>
            </w:pPr>
          </w:p>
        </w:tc>
        <w:tc>
          <w:tcPr>
            <w:tcW w:w="7741" w:type="dxa"/>
            <w:gridSpan w:val="2"/>
            <w:tcBorders>
              <w:top w:val="single" w:sz="8" w:space="0" w:color="000000"/>
              <w:left w:val="nil"/>
              <w:bottom w:val="single" w:sz="8" w:space="0" w:color="000000"/>
              <w:right w:val="nil"/>
            </w:tcBorders>
          </w:tcPr>
          <w:p w14:paraId="63DCA64F" w14:textId="77777777" w:rsidR="00D1352F" w:rsidRDefault="009B1F56">
            <w:pPr>
              <w:spacing w:after="33" w:line="259" w:lineRule="auto"/>
              <w:ind w:left="-10" w:firstLine="0"/>
            </w:pPr>
            <w:r>
              <w:rPr>
                <w:rFonts w:ascii="Arial" w:eastAsia="Arial" w:hAnsi="Arial" w:cs="Arial"/>
                <w:sz w:val="20"/>
              </w:rPr>
              <w:t xml:space="preserve"> </w:t>
            </w:r>
          </w:p>
          <w:p w14:paraId="22E52188" w14:textId="77777777" w:rsidR="00D1352F" w:rsidRDefault="009B1F56">
            <w:pPr>
              <w:spacing w:after="0" w:line="259" w:lineRule="auto"/>
              <w:ind w:left="-10" w:firstLine="0"/>
              <w:jc w:val="both"/>
            </w:pPr>
            <w:r>
              <w:t xml:space="preserve">A copy of the invoice must also be sent to the Buyer’s work requester specified within the Agreed Work Package </w:t>
            </w:r>
          </w:p>
        </w:tc>
        <w:tc>
          <w:tcPr>
            <w:tcW w:w="0" w:type="auto"/>
            <w:vMerge/>
            <w:tcBorders>
              <w:top w:val="nil"/>
              <w:left w:val="nil"/>
              <w:bottom w:val="single" w:sz="8" w:space="0" w:color="000000"/>
              <w:right w:val="single" w:sz="8" w:space="0" w:color="000000"/>
            </w:tcBorders>
          </w:tcPr>
          <w:p w14:paraId="4B442969" w14:textId="77777777" w:rsidR="00D1352F" w:rsidRDefault="00D1352F">
            <w:pPr>
              <w:spacing w:after="160" w:line="259" w:lineRule="auto"/>
              <w:ind w:left="0" w:firstLine="0"/>
            </w:pPr>
          </w:p>
        </w:tc>
      </w:tr>
      <w:tr w:rsidR="00D1352F" w14:paraId="14B982A8" w14:textId="77777777">
        <w:trPr>
          <w:trHeight w:val="4754"/>
        </w:trPr>
        <w:tc>
          <w:tcPr>
            <w:tcW w:w="2660" w:type="dxa"/>
            <w:tcBorders>
              <w:top w:val="single" w:sz="8" w:space="0" w:color="000000"/>
              <w:left w:val="single" w:sz="8" w:space="0" w:color="000000"/>
              <w:bottom w:val="single" w:sz="8" w:space="0" w:color="000000"/>
              <w:right w:val="single" w:sz="8" w:space="0" w:color="000000"/>
            </w:tcBorders>
          </w:tcPr>
          <w:p w14:paraId="337652FD" w14:textId="77777777" w:rsidR="00D1352F" w:rsidRDefault="009B1F56">
            <w:pPr>
              <w:spacing w:after="0" w:line="259" w:lineRule="auto"/>
              <w:ind w:left="120" w:firstLine="0"/>
            </w:pPr>
            <w:r>
              <w:t xml:space="preserve">Invoice information required – for example purchase order, project reference: </w:t>
            </w:r>
          </w:p>
        </w:tc>
        <w:tc>
          <w:tcPr>
            <w:tcW w:w="7976" w:type="dxa"/>
            <w:gridSpan w:val="4"/>
            <w:tcBorders>
              <w:top w:val="single" w:sz="8" w:space="0" w:color="000000"/>
              <w:left w:val="single" w:sz="8" w:space="0" w:color="000000"/>
              <w:bottom w:val="single" w:sz="8" w:space="0" w:color="000000"/>
              <w:right w:val="single" w:sz="8" w:space="0" w:color="000000"/>
            </w:tcBorders>
          </w:tcPr>
          <w:p w14:paraId="5D5A84AE" w14:textId="77777777" w:rsidR="00D1352F" w:rsidRDefault="009B1F56">
            <w:pPr>
              <w:spacing w:after="0" w:line="259" w:lineRule="auto"/>
              <w:ind w:left="115" w:firstLine="0"/>
            </w:pPr>
            <w:r>
              <w:t>All invoices must include</w:t>
            </w:r>
            <w:r>
              <w:rPr>
                <w:sz w:val="20"/>
              </w:rPr>
              <w:t xml:space="preserve"> </w:t>
            </w:r>
            <w:r>
              <w:t xml:space="preserve">the purchase order number and RFQ reference. </w:t>
            </w:r>
          </w:p>
          <w:p w14:paraId="74A10011" w14:textId="77777777" w:rsidR="00D1352F" w:rsidRDefault="009B1F56">
            <w:pPr>
              <w:spacing w:after="0" w:line="259" w:lineRule="auto"/>
              <w:ind w:left="115" w:firstLine="0"/>
            </w:pPr>
            <w:r>
              <w:t xml:space="preserve"> </w:t>
            </w:r>
          </w:p>
          <w:p w14:paraId="5F8C8BDA" w14:textId="77777777" w:rsidR="00D1352F" w:rsidRDefault="009B1F56">
            <w:pPr>
              <w:spacing w:after="263" w:line="259" w:lineRule="auto"/>
              <w:ind w:left="115" w:firstLine="0"/>
            </w:pPr>
            <w:r>
              <w:t xml:space="preserve">A valid invoice will:   </w:t>
            </w:r>
          </w:p>
          <w:p w14:paraId="2DDE17D1" w14:textId="77777777" w:rsidR="00D1352F" w:rsidRDefault="009B1F56">
            <w:pPr>
              <w:numPr>
                <w:ilvl w:val="0"/>
                <w:numId w:val="43"/>
              </w:numPr>
              <w:spacing w:after="34" w:line="276" w:lineRule="auto"/>
              <w:ind w:hanging="361"/>
            </w:pPr>
            <w:r>
              <w:t xml:space="preserve">be in PDF format – one PDF per invoice. All supporting documentation must be included within the single </w:t>
            </w:r>
            <w:proofErr w:type="gramStart"/>
            <w:r>
              <w:t>PDF;</w:t>
            </w:r>
            <w:proofErr w:type="gramEnd"/>
            <w:r>
              <w:t xml:space="preserve"> </w:t>
            </w:r>
          </w:p>
          <w:p w14:paraId="3C447CCD" w14:textId="77777777" w:rsidR="00D1352F" w:rsidRDefault="009B1F56">
            <w:pPr>
              <w:numPr>
                <w:ilvl w:val="0"/>
                <w:numId w:val="43"/>
              </w:numPr>
              <w:spacing w:after="61" w:line="259" w:lineRule="auto"/>
              <w:ind w:hanging="361"/>
            </w:pPr>
            <w:r>
              <w:t xml:space="preserve">be dated and have a unique invoice </w:t>
            </w:r>
            <w:proofErr w:type="gramStart"/>
            <w:r>
              <w:t>number;</w:t>
            </w:r>
            <w:proofErr w:type="gramEnd"/>
            <w:r>
              <w:t xml:space="preserve">   </w:t>
            </w:r>
          </w:p>
          <w:p w14:paraId="2A749014" w14:textId="77777777" w:rsidR="00D1352F" w:rsidRDefault="009B1F56">
            <w:pPr>
              <w:numPr>
                <w:ilvl w:val="0"/>
                <w:numId w:val="43"/>
              </w:numPr>
              <w:spacing w:after="61" w:line="259" w:lineRule="auto"/>
              <w:ind w:hanging="361"/>
            </w:pPr>
            <w:r>
              <w:t xml:space="preserve">quote a valid purchase order </w:t>
            </w:r>
            <w:proofErr w:type="gramStart"/>
            <w:r>
              <w:t>number;</w:t>
            </w:r>
            <w:proofErr w:type="gramEnd"/>
            <w:r>
              <w:t xml:space="preserve">   </w:t>
            </w:r>
          </w:p>
          <w:p w14:paraId="54C80D4E" w14:textId="77777777" w:rsidR="00D1352F" w:rsidRDefault="009B1F56">
            <w:pPr>
              <w:numPr>
                <w:ilvl w:val="0"/>
                <w:numId w:val="43"/>
              </w:numPr>
              <w:spacing w:after="56" w:line="259" w:lineRule="auto"/>
              <w:ind w:hanging="361"/>
            </w:pPr>
            <w:r>
              <w:t xml:space="preserve">include correct Supplier </w:t>
            </w:r>
            <w:proofErr w:type="gramStart"/>
            <w:r>
              <w:t>details;</w:t>
            </w:r>
            <w:proofErr w:type="gramEnd"/>
            <w:r>
              <w:t xml:space="preserve">   </w:t>
            </w:r>
          </w:p>
          <w:p w14:paraId="19B35277" w14:textId="77777777" w:rsidR="00D1352F" w:rsidRDefault="009B1F56">
            <w:pPr>
              <w:numPr>
                <w:ilvl w:val="0"/>
                <w:numId w:val="43"/>
              </w:numPr>
              <w:spacing w:after="62" w:line="259" w:lineRule="auto"/>
              <w:ind w:hanging="361"/>
            </w:pPr>
            <w:r>
              <w:t xml:space="preserve">specify the Services </w:t>
            </w:r>
            <w:proofErr w:type="gramStart"/>
            <w:r>
              <w:t>supplied;</w:t>
            </w:r>
            <w:proofErr w:type="gramEnd"/>
            <w:r>
              <w:t xml:space="preserve">   </w:t>
            </w:r>
          </w:p>
          <w:p w14:paraId="0F6F4CA4" w14:textId="77777777" w:rsidR="00D1352F" w:rsidRDefault="009B1F56">
            <w:pPr>
              <w:numPr>
                <w:ilvl w:val="0"/>
                <w:numId w:val="43"/>
              </w:numPr>
              <w:spacing w:after="61" w:line="259" w:lineRule="auto"/>
              <w:ind w:hanging="361"/>
            </w:pPr>
            <w:r>
              <w:t xml:space="preserve">include the correct RFQ reference   </w:t>
            </w:r>
          </w:p>
          <w:p w14:paraId="3BDBE5E7" w14:textId="77777777" w:rsidR="00D1352F" w:rsidRDefault="009B1F56">
            <w:pPr>
              <w:numPr>
                <w:ilvl w:val="0"/>
                <w:numId w:val="43"/>
              </w:numPr>
              <w:spacing w:after="57" w:line="259" w:lineRule="auto"/>
              <w:ind w:hanging="361"/>
            </w:pPr>
            <w:r>
              <w:t xml:space="preserve">be for the correct </w:t>
            </w:r>
            <w:proofErr w:type="gramStart"/>
            <w:r>
              <w:t>sum;</w:t>
            </w:r>
            <w:proofErr w:type="gramEnd"/>
            <w:r>
              <w:t xml:space="preserve">   </w:t>
            </w:r>
          </w:p>
          <w:p w14:paraId="7E0F9CD7" w14:textId="77777777" w:rsidR="00D1352F" w:rsidRDefault="009B1F56">
            <w:pPr>
              <w:numPr>
                <w:ilvl w:val="0"/>
                <w:numId w:val="43"/>
              </w:numPr>
              <w:spacing w:after="0" w:line="259" w:lineRule="auto"/>
              <w:ind w:hanging="361"/>
            </w:pPr>
            <w:r>
              <w:t xml:space="preserve">in accordance </w:t>
            </w:r>
            <w:proofErr w:type="gramStart"/>
            <w:r>
              <w:t>to</w:t>
            </w:r>
            <w:proofErr w:type="gramEnd"/>
            <w:r>
              <w:t xml:space="preserve"> costs agreed with the Buyer; and  </w:t>
            </w:r>
          </w:p>
          <w:p w14:paraId="3800E0B6" w14:textId="77777777" w:rsidR="00D1352F" w:rsidRDefault="009B1F56">
            <w:pPr>
              <w:numPr>
                <w:ilvl w:val="0"/>
                <w:numId w:val="43"/>
              </w:numPr>
              <w:spacing w:after="0" w:line="259" w:lineRule="auto"/>
              <w:ind w:hanging="361"/>
            </w:pPr>
            <w:r>
              <w:t>provide Supplier contact details for queries.</w:t>
            </w:r>
            <w:r>
              <w:rPr>
                <w:sz w:val="20"/>
              </w:rPr>
              <w:t xml:space="preserve"> </w:t>
            </w:r>
          </w:p>
        </w:tc>
      </w:tr>
      <w:tr w:rsidR="00D1352F" w14:paraId="136E6AB0" w14:textId="77777777">
        <w:trPr>
          <w:trHeight w:val="653"/>
        </w:trPr>
        <w:tc>
          <w:tcPr>
            <w:tcW w:w="2660" w:type="dxa"/>
            <w:tcBorders>
              <w:top w:val="single" w:sz="8" w:space="0" w:color="000000"/>
              <w:left w:val="single" w:sz="8" w:space="0" w:color="000000"/>
              <w:bottom w:val="single" w:sz="8" w:space="0" w:color="000000"/>
              <w:right w:val="single" w:sz="8" w:space="0" w:color="000000"/>
            </w:tcBorders>
          </w:tcPr>
          <w:p w14:paraId="2BD62706" w14:textId="77777777" w:rsidR="00D1352F" w:rsidRDefault="009B1F56">
            <w:pPr>
              <w:spacing w:after="0" w:line="259" w:lineRule="auto"/>
              <w:ind w:left="120" w:firstLine="0"/>
            </w:pPr>
            <w:r>
              <w:t xml:space="preserve">Invoice frequency: </w:t>
            </w:r>
          </w:p>
        </w:tc>
        <w:tc>
          <w:tcPr>
            <w:tcW w:w="7976" w:type="dxa"/>
            <w:gridSpan w:val="4"/>
            <w:tcBorders>
              <w:top w:val="single" w:sz="8" w:space="0" w:color="000000"/>
              <w:left w:val="single" w:sz="8" w:space="0" w:color="000000"/>
              <w:bottom w:val="single" w:sz="8" w:space="0" w:color="000000"/>
              <w:right w:val="single" w:sz="8" w:space="0" w:color="000000"/>
            </w:tcBorders>
          </w:tcPr>
          <w:p w14:paraId="51A3C94D" w14:textId="77777777" w:rsidR="00D1352F" w:rsidRDefault="009B1F56">
            <w:pPr>
              <w:spacing w:after="0" w:line="259" w:lineRule="auto"/>
              <w:ind w:left="115" w:right="108" w:firstLine="0"/>
            </w:pPr>
            <w:r>
              <w:t xml:space="preserve">Invoice will be sent to the Buyer monthly or as otherwise specified within an Agreed Work Package. </w:t>
            </w:r>
          </w:p>
        </w:tc>
      </w:tr>
      <w:tr w:rsidR="00D1352F" w14:paraId="6F39EA8C" w14:textId="77777777">
        <w:trPr>
          <w:trHeight w:val="3851"/>
        </w:trPr>
        <w:tc>
          <w:tcPr>
            <w:tcW w:w="2660" w:type="dxa"/>
            <w:tcBorders>
              <w:top w:val="single" w:sz="8" w:space="0" w:color="000000"/>
              <w:left w:val="single" w:sz="8" w:space="0" w:color="000000"/>
              <w:bottom w:val="single" w:sz="8" w:space="0" w:color="000000"/>
              <w:right w:val="single" w:sz="8" w:space="0" w:color="000000"/>
            </w:tcBorders>
          </w:tcPr>
          <w:p w14:paraId="0DFFA201" w14:textId="77777777" w:rsidR="00D1352F" w:rsidRDefault="009B1F56">
            <w:pPr>
              <w:spacing w:after="0" w:line="259" w:lineRule="auto"/>
              <w:ind w:left="120" w:firstLine="0"/>
            </w:pPr>
            <w:r>
              <w:lastRenderedPageBreak/>
              <w:t xml:space="preserve">Call-Off Contract value: </w:t>
            </w:r>
          </w:p>
        </w:tc>
        <w:tc>
          <w:tcPr>
            <w:tcW w:w="7976" w:type="dxa"/>
            <w:gridSpan w:val="4"/>
            <w:tcBorders>
              <w:top w:val="single" w:sz="8" w:space="0" w:color="000000"/>
              <w:left w:val="single" w:sz="8" w:space="0" w:color="000000"/>
              <w:bottom w:val="single" w:sz="8" w:space="0" w:color="000000"/>
              <w:right w:val="single" w:sz="8" w:space="0" w:color="000000"/>
            </w:tcBorders>
          </w:tcPr>
          <w:p w14:paraId="22F6BF74" w14:textId="77777777" w:rsidR="00D1352F" w:rsidRDefault="009B1F56">
            <w:pPr>
              <w:spacing w:after="0" w:line="239" w:lineRule="auto"/>
              <w:ind w:left="115" w:firstLine="0"/>
            </w:pPr>
            <w:r>
              <w:t xml:space="preserve">The total value of this Call-Off Contract is up-to a maximum of £3,500,000 (Excluding VAT) over the entire term of this Call-Off Contract. </w:t>
            </w:r>
          </w:p>
          <w:p w14:paraId="6F1B9CBB" w14:textId="77777777" w:rsidR="00D1352F" w:rsidRDefault="009B1F56">
            <w:pPr>
              <w:spacing w:after="0" w:line="259" w:lineRule="auto"/>
              <w:ind w:left="115" w:firstLine="0"/>
            </w:pPr>
            <w:r>
              <w:t xml:space="preserve"> </w:t>
            </w:r>
          </w:p>
          <w:p w14:paraId="115898BD" w14:textId="77777777" w:rsidR="00D1352F" w:rsidRDefault="009B1F56">
            <w:pPr>
              <w:spacing w:after="0" w:line="259" w:lineRule="auto"/>
              <w:ind w:left="115" w:firstLine="0"/>
            </w:pPr>
            <w:r>
              <w:t xml:space="preserve">These will be as per the Supplier’s G Cloud rate card below:  </w:t>
            </w:r>
          </w:p>
          <w:p w14:paraId="0EE8463B" w14:textId="77777777" w:rsidR="00D1352F" w:rsidRDefault="009B1F56">
            <w:pPr>
              <w:spacing w:after="0" w:line="259" w:lineRule="auto"/>
              <w:ind w:left="115" w:firstLine="0"/>
            </w:pPr>
            <w:r>
              <w:t xml:space="preserve"> </w:t>
            </w:r>
          </w:p>
          <w:p w14:paraId="7FDB086A" w14:textId="77777777" w:rsidR="00D1352F" w:rsidRDefault="009B1F56">
            <w:pPr>
              <w:spacing w:after="72" w:line="259" w:lineRule="auto"/>
              <w:ind w:left="630" w:firstLine="0"/>
            </w:pPr>
            <w:r>
              <w:rPr>
                <w:noProof/>
              </w:rPr>
              <w:drawing>
                <wp:inline distT="0" distB="0" distL="0" distR="0" wp14:anchorId="4837BADA" wp14:editId="1D082439">
                  <wp:extent cx="311084" cy="300987"/>
                  <wp:effectExtent l="0" t="0" r="0" b="0"/>
                  <wp:docPr id="2795" name="Picture 2795"/>
                  <wp:cNvGraphicFramePr/>
                  <a:graphic xmlns:a="http://schemas.openxmlformats.org/drawingml/2006/main">
                    <a:graphicData uri="http://schemas.openxmlformats.org/drawingml/2006/picture">
                      <pic:pic xmlns:pic="http://schemas.openxmlformats.org/drawingml/2006/picture">
                        <pic:nvPicPr>
                          <pic:cNvPr id="2795" name="Picture 2795"/>
                          <pic:cNvPicPr/>
                        </pic:nvPicPr>
                        <pic:blipFill>
                          <a:blip r:embed="rId11"/>
                          <a:stretch>
                            <a:fillRect/>
                          </a:stretch>
                        </pic:blipFill>
                        <pic:spPr>
                          <a:xfrm flipV="1">
                            <a:off x="0" y="0"/>
                            <a:ext cx="311084" cy="300987"/>
                          </a:xfrm>
                          <a:prstGeom prst="rect">
                            <a:avLst/>
                          </a:prstGeom>
                        </pic:spPr>
                      </pic:pic>
                    </a:graphicData>
                  </a:graphic>
                </wp:inline>
              </w:drawing>
            </w:r>
          </w:p>
          <w:p w14:paraId="10DED98D" w14:textId="77777777" w:rsidR="00D1352F" w:rsidRDefault="009B1F56">
            <w:pPr>
              <w:spacing w:after="0" w:line="256" w:lineRule="auto"/>
              <w:ind w:left="117" w:right="4803" w:firstLine="15"/>
            </w:pPr>
            <w:r>
              <w:rPr>
                <w:rFonts w:ascii="Segoe UI" w:eastAsia="Segoe UI" w:hAnsi="Segoe UI" w:cs="Segoe UI"/>
                <w:sz w:val="16"/>
              </w:rPr>
              <w:t>886529756679219-sfi a-rate-card-2019-05-1</w:t>
            </w:r>
          </w:p>
          <w:p w14:paraId="504CA042" w14:textId="77777777" w:rsidR="00D1352F" w:rsidRDefault="009B1F56">
            <w:pPr>
              <w:spacing w:after="0" w:line="259" w:lineRule="auto"/>
              <w:ind w:left="1613" w:firstLine="0"/>
            </w:pPr>
            <w:r>
              <w:rPr>
                <w:sz w:val="25"/>
              </w:rPr>
              <w:t xml:space="preserve"> </w:t>
            </w:r>
          </w:p>
          <w:p w14:paraId="26ACD9FF" w14:textId="77777777" w:rsidR="00D1352F" w:rsidRDefault="009B1F56">
            <w:pPr>
              <w:spacing w:after="0" w:line="259" w:lineRule="auto"/>
              <w:ind w:left="115" w:firstLine="0"/>
            </w:pPr>
            <w:r>
              <w:t xml:space="preserve"> </w:t>
            </w:r>
          </w:p>
          <w:p w14:paraId="5033D331" w14:textId="77777777" w:rsidR="00D1352F" w:rsidRDefault="009B1F56">
            <w:pPr>
              <w:spacing w:after="0" w:line="259" w:lineRule="auto"/>
              <w:ind w:left="115" w:firstLine="0"/>
            </w:pPr>
            <w:r>
              <w:t xml:space="preserve">The Supplier will look for ways to provide value for money to the Buyer in the provision of these Services and provide these to the Buyer for consideration. </w:t>
            </w:r>
          </w:p>
        </w:tc>
      </w:tr>
      <w:tr w:rsidR="00D1352F" w14:paraId="19A7A3AC" w14:textId="77777777">
        <w:trPr>
          <w:trHeight w:val="653"/>
        </w:trPr>
        <w:tc>
          <w:tcPr>
            <w:tcW w:w="2660" w:type="dxa"/>
            <w:tcBorders>
              <w:top w:val="single" w:sz="8" w:space="0" w:color="000000"/>
              <w:left w:val="single" w:sz="8" w:space="0" w:color="000000"/>
              <w:bottom w:val="single" w:sz="8" w:space="0" w:color="000000"/>
              <w:right w:val="single" w:sz="8" w:space="0" w:color="000000"/>
            </w:tcBorders>
          </w:tcPr>
          <w:p w14:paraId="1BE7DE58" w14:textId="77777777" w:rsidR="00D1352F" w:rsidRDefault="009B1F56">
            <w:pPr>
              <w:spacing w:after="0" w:line="259" w:lineRule="auto"/>
              <w:ind w:left="120" w:firstLine="0"/>
            </w:pPr>
            <w:r>
              <w:t xml:space="preserve">Call-Off Contract charges: </w:t>
            </w:r>
          </w:p>
        </w:tc>
        <w:tc>
          <w:tcPr>
            <w:tcW w:w="7976" w:type="dxa"/>
            <w:gridSpan w:val="4"/>
            <w:tcBorders>
              <w:top w:val="single" w:sz="8" w:space="0" w:color="000000"/>
              <w:left w:val="single" w:sz="8" w:space="0" w:color="000000"/>
              <w:bottom w:val="single" w:sz="8" w:space="0" w:color="000000"/>
              <w:right w:val="single" w:sz="8" w:space="0" w:color="000000"/>
            </w:tcBorders>
          </w:tcPr>
          <w:p w14:paraId="29499596" w14:textId="77777777" w:rsidR="00D1352F" w:rsidRDefault="009B1F56">
            <w:pPr>
              <w:spacing w:after="0" w:line="259" w:lineRule="auto"/>
              <w:ind w:left="115" w:firstLine="0"/>
            </w:pPr>
            <w:r>
              <w:t xml:space="preserve">See Schedule 2. </w:t>
            </w:r>
          </w:p>
          <w:p w14:paraId="06FC5724" w14:textId="77777777" w:rsidR="00D1352F" w:rsidRDefault="009B1F56">
            <w:pPr>
              <w:spacing w:after="0" w:line="259" w:lineRule="auto"/>
              <w:ind w:left="115" w:firstLine="0"/>
            </w:pPr>
            <w:r>
              <w:t xml:space="preserve"> </w:t>
            </w:r>
          </w:p>
        </w:tc>
      </w:tr>
    </w:tbl>
    <w:p w14:paraId="4F3EBBAD" w14:textId="77777777" w:rsidR="00D1352F" w:rsidRDefault="009B1F56">
      <w:pPr>
        <w:spacing w:after="261" w:line="259" w:lineRule="auto"/>
        <w:ind w:left="5" w:firstLine="0"/>
      </w:pPr>
      <w:r>
        <w:t xml:space="preserve"> </w:t>
      </w:r>
    </w:p>
    <w:p w14:paraId="34B2AC8C" w14:textId="77777777" w:rsidR="00D1352F" w:rsidRDefault="009B1F56">
      <w:pPr>
        <w:pStyle w:val="Heading3"/>
        <w:ind w:left="0"/>
      </w:pPr>
      <w:bookmarkStart w:id="7" w:name="_Toc76716"/>
      <w:r>
        <w:t xml:space="preserve">Additional Buyer terms </w:t>
      </w:r>
      <w:bookmarkEnd w:id="7"/>
    </w:p>
    <w:tbl>
      <w:tblPr>
        <w:tblStyle w:val="TableGrid"/>
        <w:tblW w:w="10593" w:type="dxa"/>
        <w:tblInd w:w="14" w:type="dxa"/>
        <w:tblCellMar>
          <w:top w:w="73" w:type="dxa"/>
          <w:left w:w="120" w:type="dxa"/>
          <w:right w:w="115" w:type="dxa"/>
        </w:tblCellMar>
        <w:tblLook w:val="04A0" w:firstRow="1" w:lastRow="0" w:firstColumn="1" w:lastColumn="0" w:noHBand="0" w:noVBand="1"/>
      </w:tblPr>
      <w:tblGrid>
        <w:gridCol w:w="2655"/>
        <w:gridCol w:w="7938"/>
      </w:tblGrid>
      <w:tr w:rsidR="00D1352F" w14:paraId="01723398" w14:textId="77777777">
        <w:trPr>
          <w:trHeight w:val="1921"/>
        </w:trPr>
        <w:tc>
          <w:tcPr>
            <w:tcW w:w="2655" w:type="dxa"/>
            <w:tcBorders>
              <w:top w:val="single" w:sz="8" w:space="0" w:color="000000"/>
              <w:left w:val="single" w:sz="8" w:space="0" w:color="000000"/>
              <w:bottom w:val="single" w:sz="8" w:space="0" w:color="000000"/>
              <w:right w:val="single" w:sz="8" w:space="0" w:color="000000"/>
            </w:tcBorders>
          </w:tcPr>
          <w:p w14:paraId="45924263" w14:textId="77777777" w:rsidR="00D1352F" w:rsidRDefault="009B1F56">
            <w:pPr>
              <w:spacing w:after="0" w:line="259" w:lineRule="auto"/>
              <w:ind w:left="0" w:firstLine="0"/>
            </w:pPr>
            <w:r>
              <w:t xml:space="preserve">Performance of the </w:t>
            </w:r>
          </w:p>
          <w:p w14:paraId="1709AD67" w14:textId="77777777" w:rsidR="00D1352F" w:rsidRDefault="009B1F56">
            <w:pPr>
              <w:spacing w:after="0" w:line="259" w:lineRule="auto"/>
              <w:ind w:left="0" w:firstLine="0"/>
            </w:pPr>
            <w:r>
              <w:t xml:space="preserve">service and deliverables:  </w:t>
            </w:r>
          </w:p>
        </w:tc>
        <w:tc>
          <w:tcPr>
            <w:tcW w:w="7938" w:type="dxa"/>
            <w:tcBorders>
              <w:top w:val="single" w:sz="8" w:space="0" w:color="000000"/>
              <w:left w:val="single" w:sz="8" w:space="0" w:color="000000"/>
              <w:bottom w:val="single" w:sz="8" w:space="0" w:color="000000"/>
              <w:right w:val="single" w:sz="8" w:space="0" w:color="000000"/>
            </w:tcBorders>
          </w:tcPr>
          <w:p w14:paraId="694E0F4C" w14:textId="77777777" w:rsidR="00D1352F" w:rsidRDefault="009B1F56">
            <w:pPr>
              <w:spacing w:after="1" w:line="239" w:lineRule="auto"/>
              <w:ind w:left="0" w:firstLine="0"/>
            </w:pPr>
            <w:r>
              <w:t xml:space="preserve">This Call-Off Contract will include the following implementation plan, exit and offboarding plans and milestones: </w:t>
            </w:r>
          </w:p>
          <w:p w14:paraId="72ADD05D" w14:textId="77777777" w:rsidR="00D1352F" w:rsidRDefault="009B1F56">
            <w:pPr>
              <w:spacing w:after="0" w:line="259" w:lineRule="auto"/>
              <w:ind w:left="0" w:firstLine="0"/>
            </w:pPr>
            <w:r>
              <w:t xml:space="preserve"> </w:t>
            </w:r>
          </w:p>
          <w:p w14:paraId="111F865C" w14:textId="77777777" w:rsidR="00D1352F" w:rsidRDefault="009B1F56">
            <w:pPr>
              <w:spacing w:after="0" w:line="259" w:lineRule="auto"/>
              <w:ind w:left="0" w:firstLine="0"/>
            </w:pPr>
            <w:r>
              <w:t xml:space="preserve">Each Agreed Work Package commissioned under the RFQ template and a purchase order will detail the specific activities and milestones associated with the Services and this will be used for monitoring delivery against </w:t>
            </w:r>
          </w:p>
        </w:tc>
      </w:tr>
    </w:tbl>
    <w:p w14:paraId="1531FC3A" w14:textId="77777777" w:rsidR="00D1352F" w:rsidRDefault="00D1352F">
      <w:pPr>
        <w:spacing w:after="0" w:line="259" w:lineRule="auto"/>
        <w:ind w:left="-701" w:right="23" w:firstLine="0"/>
      </w:pPr>
    </w:p>
    <w:tbl>
      <w:tblPr>
        <w:tblStyle w:val="TableGrid"/>
        <w:tblW w:w="10593" w:type="dxa"/>
        <w:tblInd w:w="14" w:type="dxa"/>
        <w:tblCellMar>
          <w:top w:w="53" w:type="dxa"/>
          <w:left w:w="120" w:type="dxa"/>
          <w:right w:w="58" w:type="dxa"/>
        </w:tblCellMar>
        <w:tblLook w:val="04A0" w:firstRow="1" w:lastRow="0" w:firstColumn="1" w:lastColumn="0" w:noHBand="0" w:noVBand="1"/>
      </w:tblPr>
      <w:tblGrid>
        <w:gridCol w:w="2655"/>
        <w:gridCol w:w="7938"/>
      </w:tblGrid>
      <w:tr w:rsidR="00D1352F" w14:paraId="782731A9" w14:textId="77777777">
        <w:trPr>
          <w:trHeight w:val="8897"/>
        </w:trPr>
        <w:tc>
          <w:tcPr>
            <w:tcW w:w="2655" w:type="dxa"/>
            <w:tcBorders>
              <w:top w:val="single" w:sz="8" w:space="0" w:color="000000"/>
              <w:left w:val="single" w:sz="8" w:space="0" w:color="000000"/>
              <w:bottom w:val="single" w:sz="8" w:space="0" w:color="000000"/>
              <w:right w:val="single" w:sz="8" w:space="0" w:color="000000"/>
            </w:tcBorders>
          </w:tcPr>
          <w:p w14:paraId="39A604C7" w14:textId="77777777" w:rsidR="00D1352F" w:rsidRDefault="00D1352F">
            <w:pPr>
              <w:spacing w:after="160" w:line="259" w:lineRule="auto"/>
              <w:ind w:left="0" w:firstLine="0"/>
            </w:pPr>
          </w:p>
        </w:tc>
        <w:tc>
          <w:tcPr>
            <w:tcW w:w="7938" w:type="dxa"/>
            <w:tcBorders>
              <w:top w:val="single" w:sz="8" w:space="0" w:color="000000"/>
              <w:left w:val="single" w:sz="8" w:space="0" w:color="000000"/>
              <w:bottom w:val="single" w:sz="8" w:space="0" w:color="000000"/>
              <w:right w:val="single" w:sz="8" w:space="0" w:color="000000"/>
            </w:tcBorders>
          </w:tcPr>
          <w:p w14:paraId="3112251E" w14:textId="77777777" w:rsidR="00D1352F" w:rsidRDefault="009B1F56">
            <w:pPr>
              <w:spacing w:after="0" w:line="259" w:lineRule="auto"/>
              <w:ind w:left="0" w:firstLine="0"/>
            </w:pPr>
            <w:r>
              <w:t xml:space="preserve">milestones and payment and will be completed in accordance with Annex B </w:t>
            </w:r>
          </w:p>
          <w:p w14:paraId="2026B163" w14:textId="77777777" w:rsidR="00D1352F" w:rsidRDefault="009B1F56">
            <w:pPr>
              <w:spacing w:after="13" w:line="259" w:lineRule="auto"/>
              <w:ind w:left="0" w:firstLine="0"/>
            </w:pPr>
            <w:r>
              <w:t xml:space="preserve">RFQ Template  </w:t>
            </w:r>
          </w:p>
          <w:p w14:paraId="076FF35E" w14:textId="77777777" w:rsidR="00D1352F" w:rsidRDefault="009B1F56">
            <w:pPr>
              <w:spacing w:after="0" w:line="239" w:lineRule="auto"/>
              <w:ind w:left="721" w:hanging="361"/>
            </w:pPr>
            <w:r>
              <w:rPr>
                <w:rFonts w:ascii="Segoe UI Symbol" w:eastAsia="Segoe UI Symbol" w:hAnsi="Segoe UI Symbol" w:cs="Segoe UI Symbol"/>
              </w:rPr>
              <w:t>•</w:t>
            </w:r>
            <w:r>
              <w:rPr>
                <w:rFonts w:ascii="Arial" w:eastAsia="Arial" w:hAnsi="Arial" w:cs="Arial"/>
              </w:rPr>
              <w:t xml:space="preserve"> </w:t>
            </w:r>
            <w:r>
              <w:t xml:space="preserve">If so required by the Buyer and stated in the RFQ, the Supplier shall produce within one (1) month of the commencement date of an Agreed Work Package an implementation plan and this may be subject to amendment by agreement from time to time.  </w:t>
            </w:r>
          </w:p>
          <w:p w14:paraId="6CD80CCD" w14:textId="77777777" w:rsidR="00D1352F" w:rsidRDefault="009B1F56">
            <w:pPr>
              <w:spacing w:after="218" w:line="259" w:lineRule="auto"/>
              <w:ind w:left="0" w:firstLine="0"/>
            </w:pPr>
            <w:r>
              <w:t xml:space="preserve"> </w:t>
            </w:r>
          </w:p>
          <w:p w14:paraId="37700265" w14:textId="77777777" w:rsidR="00D1352F" w:rsidRDefault="009B1F56">
            <w:pPr>
              <w:spacing w:after="219" w:line="275" w:lineRule="auto"/>
              <w:ind w:left="0" w:firstLine="0"/>
            </w:pPr>
            <w:r>
              <w:t xml:space="preserve">All Supplier Staff with access to the Buyer’s data or network will make themselves familiar with the following:  </w:t>
            </w:r>
          </w:p>
          <w:p w14:paraId="5F18A226" w14:textId="77777777" w:rsidR="00D1352F" w:rsidRDefault="009B1F56">
            <w:pPr>
              <w:spacing w:after="192" w:line="280" w:lineRule="auto"/>
              <w:ind w:left="0" w:right="613" w:firstLine="0"/>
              <w:jc w:val="both"/>
            </w:pPr>
            <w:r>
              <w:t xml:space="preserve">The </w:t>
            </w:r>
            <w:hyperlink r:id="rId12">
              <w:r>
                <w:rPr>
                  <w:rFonts w:ascii="Arial" w:eastAsia="Arial" w:hAnsi="Arial" w:cs="Arial"/>
                  <w:color w:val="0000FF"/>
                  <w:u w:val="single" w:color="0000FF"/>
                </w:rPr>
                <w:t>HMG security policy framework</w:t>
              </w:r>
            </w:hyperlink>
            <w:hyperlink r:id="rId13">
              <w:r>
                <w:rPr>
                  <w:rFonts w:ascii="Arial" w:eastAsia="Arial" w:hAnsi="Arial" w:cs="Arial"/>
                </w:rPr>
                <w:t xml:space="preserve"> </w:t>
              </w:r>
            </w:hyperlink>
            <w:r>
              <w:t xml:space="preserve">describes the mandatory security outcomes expected of all of Her Majesty's Government's (HMG) organisations, and their partners handling HMG information. </w:t>
            </w:r>
          </w:p>
          <w:p w14:paraId="4F117441" w14:textId="77777777" w:rsidR="00D1352F" w:rsidRDefault="009B1F56">
            <w:pPr>
              <w:spacing w:after="0" w:line="274" w:lineRule="auto"/>
              <w:ind w:left="0" w:firstLine="0"/>
            </w:pPr>
            <w:r>
              <w:t xml:space="preserve">The departmental security statement and policy framework (see Departmental Security Standards embedded) below sets out the policy statements and documents that collectively describe how the department maintains proportionate and risk managed compliance with these HMG mandatory security outcomes. </w:t>
            </w:r>
          </w:p>
          <w:p w14:paraId="6BA5C364" w14:textId="77777777" w:rsidR="00D1352F" w:rsidRDefault="009B1F56">
            <w:pPr>
              <w:spacing w:after="72" w:line="259" w:lineRule="auto"/>
              <w:ind w:left="505" w:firstLine="0"/>
            </w:pPr>
            <w:r>
              <w:rPr>
                <w:noProof/>
              </w:rPr>
              <w:drawing>
                <wp:inline distT="0" distB="0" distL="0" distR="0" wp14:anchorId="5C626F2E" wp14:editId="475014B2">
                  <wp:extent cx="305164" cy="302519"/>
                  <wp:effectExtent l="0" t="0" r="0" b="0"/>
                  <wp:docPr id="2951" name="Picture 2951"/>
                  <wp:cNvGraphicFramePr/>
                  <a:graphic xmlns:a="http://schemas.openxmlformats.org/drawingml/2006/main">
                    <a:graphicData uri="http://schemas.openxmlformats.org/drawingml/2006/picture">
                      <pic:pic xmlns:pic="http://schemas.openxmlformats.org/drawingml/2006/picture">
                        <pic:nvPicPr>
                          <pic:cNvPr id="2951" name="Picture 2951"/>
                          <pic:cNvPicPr/>
                        </pic:nvPicPr>
                        <pic:blipFill>
                          <a:blip r:embed="rId14"/>
                          <a:stretch>
                            <a:fillRect/>
                          </a:stretch>
                        </pic:blipFill>
                        <pic:spPr>
                          <a:xfrm flipV="1">
                            <a:off x="0" y="0"/>
                            <a:ext cx="305164" cy="302519"/>
                          </a:xfrm>
                          <a:prstGeom prst="rect">
                            <a:avLst/>
                          </a:prstGeom>
                        </pic:spPr>
                      </pic:pic>
                    </a:graphicData>
                  </a:graphic>
                </wp:inline>
              </w:drawing>
            </w:r>
          </w:p>
          <w:p w14:paraId="5145D51A" w14:textId="77777777" w:rsidR="00D1352F" w:rsidRDefault="009B1F56">
            <w:pPr>
              <w:spacing w:after="53" w:line="259" w:lineRule="auto"/>
              <w:ind w:left="264" w:firstLine="0"/>
            </w:pPr>
            <w:r>
              <w:rPr>
                <w:rFonts w:ascii="Segoe UI" w:eastAsia="Segoe UI" w:hAnsi="Segoe UI" w:cs="Segoe UI"/>
                <w:sz w:val="16"/>
              </w:rPr>
              <w:t xml:space="preserve">Departmental </w:t>
            </w:r>
          </w:p>
          <w:p w14:paraId="7F0D375C" w14:textId="77777777" w:rsidR="00D1352F" w:rsidRDefault="009B1F56">
            <w:pPr>
              <w:spacing w:after="332" w:line="259" w:lineRule="auto"/>
              <w:ind w:left="1" w:firstLine="0"/>
            </w:pPr>
            <w:r>
              <w:rPr>
                <w:rFonts w:ascii="Segoe UI" w:eastAsia="Segoe UI" w:hAnsi="Segoe UI" w:cs="Segoe UI"/>
                <w:sz w:val="16"/>
              </w:rPr>
              <w:t>Security Standards for</w:t>
            </w:r>
            <w:r>
              <w:rPr>
                <w:rFonts w:ascii="Arial" w:eastAsia="Arial" w:hAnsi="Arial" w:cs="Arial"/>
              </w:rPr>
              <w:t xml:space="preserve"> </w:t>
            </w:r>
          </w:p>
          <w:p w14:paraId="3911BA5C" w14:textId="77777777" w:rsidR="00D1352F" w:rsidRDefault="009B1F56">
            <w:pPr>
              <w:spacing w:after="0" w:line="259" w:lineRule="auto"/>
              <w:ind w:left="0" w:right="55" w:firstLine="0"/>
              <w:jc w:val="both"/>
            </w:pPr>
            <w:r>
              <w:t xml:space="preserve">The above embedded document is the document referred to as the Department’s security policy within the Clarification of </w:t>
            </w:r>
            <w:proofErr w:type="gramStart"/>
            <w:r>
              <w:t>Understanding  Cloud</w:t>
            </w:r>
            <w:proofErr w:type="gramEnd"/>
            <w:r>
              <w:t xml:space="preserve"> Infrastructure and Platform Managed Services – DevOps. </w:t>
            </w:r>
          </w:p>
        </w:tc>
      </w:tr>
      <w:tr w:rsidR="00D1352F" w14:paraId="2F09319E" w14:textId="77777777">
        <w:trPr>
          <w:trHeight w:val="648"/>
        </w:trPr>
        <w:tc>
          <w:tcPr>
            <w:tcW w:w="2655" w:type="dxa"/>
            <w:tcBorders>
              <w:top w:val="single" w:sz="8" w:space="0" w:color="000000"/>
              <w:left w:val="single" w:sz="8" w:space="0" w:color="000000"/>
              <w:bottom w:val="single" w:sz="8" w:space="0" w:color="000000"/>
              <w:right w:val="single" w:sz="8" w:space="0" w:color="000000"/>
            </w:tcBorders>
          </w:tcPr>
          <w:p w14:paraId="12A92339" w14:textId="77777777" w:rsidR="00D1352F" w:rsidRDefault="009B1F56">
            <w:pPr>
              <w:spacing w:after="0" w:line="259" w:lineRule="auto"/>
              <w:ind w:left="0" w:firstLine="0"/>
            </w:pPr>
            <w:r>
              <w:t xml:space="preserve">Guarantee: </w:t>
            </w:r>
          </w:p>
        </w:tc>
        <w:tc>
          <w:tcPr>
            <w:tcW w:w="7938" w:type="dxa"/>
            <w:tcBorders>
              <w:top w:val="single" w:sz="8" w:space="0" w:color="000000"/>
              <w:left w:val="single" w:sz="8" w:space="0" w:color="000000"/>
              <w:bottom w:val="single" w:sz="8" w:space="0" w:color="000000"/>
              <w:right w:val="single" w:sz="8" w:space="0" w:color="000000"/>
            </w:tcBorders>
          </w:tcPr>
          <w:p w14:paraId="7DB8FAE0" w14:textId="77777777" w:rsidR="00D1352F" w:rsidRDefault="009B1F56">
            <w:pPr>
              <w:spacing w:after="0" w:line="259" w:lineRule="auto"/>
              <w:ind w:left="0" w:firstLine="0"/>
            </w:pPr>
            <w:r>
              <w:t xml:space="preserve">Not Applicable </w:t>
            </w:r>
          </w:p>
          <w:p w14:paraId="3C7D53EB" w14:textId="77777777" w:rsidR="00D1352F" w:rsidRDefault="009B1F56">
            <w:pPr>
              <w:spacing w:after="0" w:line="259" w:lineRule="auto"/>
              <w:ind w:left="0" w:firstLine="0"/>
            </w:pPr>
            <w:r>
              <w:t xml:space="preserve"> </w:t>
            </w:r>
          </w:p>
        </w:tc>
      </w:tr>
      <w:tr w:rsidR="00D1352F" w14:paraId="2F8BF2D0" w14:textId="77777777">
        <w:trPr>
          <w:trHeight w:val="653"/>
        </w:trPr>
        <w:tc>
          <w:tcPr>
            <w:tcW w:w="2655" w:type="dxa"/>
            <w:tcBorders>
              <w:top w:val="single" w:sz="8" w:space="0" w:color="000000"/>
              <w:left w:val="single" w:sz="8" w:space="0" w:color="000000"/>
              <w:bottom w:val="single" w:sz="8" w:space="0" w:color="000000"/>
              <w:right w:val="single" w:sz="8" w:space="0" w:color="000000"/>
            </w:tcBorders>
          </w:tcPr>
          <w:p w14:paraId="0EC14CAC" w14:textId="77777777" w:rsidR="00D1352F" w:rsidRDefault="009B1F56">
            <w:pPr>
              <w:spacing w:after="0" w:line="259" w:lineRule="auto"/>
              <w:ind w:left="0" w:firstLine="0"/>
            </w:pPr>
            <w:r>
              <w:t xml:space="preserve">Warranties, representations:  </w:t>
            </w:r>
          </w:p>
        </w:tc>
        <w:tc>
          <w:tcPr>
            <w:tcW w:w="7938" w:type="dxa"/>
            <w:tcBorders>
              <w:top w:val="single" w:sz="8" w:space="0" w:color="000000"/>
              <w:left w:val="single" w:sz="8" w:space="0" w:color="000000"/>
              <w:bottom w:val="single" w:sz="8" w:space="0" w:color="000000"/>
              <w:right w:val="single" w:sz="8" w:space="0" w:color="000000"/>
            </w:tcBorders>
          </w:tcPr>
          <w:p w14:paraId="28A726E5" w14:textId="77777777" w:rsidR="00D1352F" w:rsidRDefault="009B1F56">
            <w:pPr>
              <w:spacing w:after="0" w:line="259" w:lineRule="auto"/>
              <w:ind w:left="0" w:firstLine="0"/>
            </w:pPr>
            <w:r>
              <w:t xml:space="preserve">Not Applicable  </w:t>
            </w:r>
          </w:p>
        </w:tc>
      </w:tr>
      <w:tr w:rsidR="00D1352F" w14:paraId="64428D35" w14:textId="77777777">
        <w:trPr>
          <w:trHeight w:val="3812"/>
        </w:trPr>
        <w:tc>
          <w:tcPr>
            <w:tcW w:w="2655" w:type="dxa"/>
            <w:tcBorders>
              <w:top w:val="single" w:sz="8" w:space="0" w:color="000000"/>
              <w:left w:val="single" w:sz="8" w:space="0" w:color="000000"/>
              <w:bottom w:val="single" w:sz="8" w:space="0" w:color="000000"/>
              <w:right w:val="single" w:sz="8" w:space="0" w:color="000000"/>
            </w:tcBorders>
          </w:tcPr>
          <w:p w14:paraId="26EEE450" w14:textId="77777777" w:rsidR="00D1352F" w:rsidRDefault="009B1F56">
            <w:pPr>
              <w:spacing w:after="0" w:line="259" w:lineRule="auto"/>
              <w:ind w:left="0" w:right="106" w:firstLine="0"/>
              <w:jc w:val="both"/>
            </w:pPr>
            <w:r>
              <w:lastRenderedPageBreak/>
              <w:t xml:space="preserve">Supplemental requirements in addition to the Call-Off terms: </w:t>
            </w:r>
          </w:p>
        </w:tc>
        <w:tc>
          <w:tcPr>
            <w:tcW w:w="7938" w:type="dxa"/>
            <w:tcBorders>
              <w:top w:val="single" w:sz="8" w:space="0" w:color="000000"/>
              <w:left w:val="single" w:sz="8" w:space="0" w:color="000000"/>
              <w:bottom w:val="single" w:sz="8" w:space="0" w:color="000000"/>
              <w:right w:val="single" w:sz="8" w:space="0" w:color="000000"/>
            </w:tcBorders>
          </w:tcPr>
          <w:p w14:paraId="35B9A73B" w14:textId="77777777" w:rsidR="00D1352F" w:rsidRDefault="009B1F56">
            <w:pPr>
              <w:spacing w:after="0" w:line="239" w:lineRule="auto"/>
              <w:ind w:left="0" w:firstLine="0"/>
            </w:pPr>
            <w:r>
              <w:t xml:space="preserve">Within the scope of the Call-Off Contract, the Supplier must agree to acceptance of the Buyers Special Terms as these will apply to the G-Cloud Call-Off Contract terms – as set out in the DfE Supplemental Clauses document (attached at Annex A), Annex B RFQ Template and Annex C Monthly Service Report with the following exceptions: </w:t>
            </w:r>
          </w:p>
          <w:p w14:paraId="2E5157EE" w14:textId="77777777" w:rsidR="00D1352F" w:rsidRDefault="009B1F56">
            <w:pPr>
              <w:spacing w:after="206" w:line="252" w:lineRule="auto"/>
              <w:ind w:left="0" w:firstLine="0"/>
            </w:pPr>
            <w:r>
              <w:rPr>
                <w:rFonts w:ascii="Cambria" w:eastAsia="Cambria" w:hAnsi="Cambria" w:cs="Cambria"/>
                <w:i/>
              </w:rPr>
              <w:t xml:space="preserve">The Supplier’s Background IPR requires protection and limited to use in the ordinary course of your business. </w:t>
            </w:r>
            <w:r>
              <w:rPr>
                <w:rFonts w:ascii="Cambria" w:eastAsia="Cambria" w:hAnsi="Cambria" w:cs="Cambria"/>
              </w:rPr>
              <w:t xml:space="preserve"> </w:t>
            </w:r>
          </w:p>
          <w:p w14:paraId="01A7029B" w14:textId="77777777" w:rsidR="00D1352F" w:rsidRDefault="009B1F56">
            <w:pPr>
              <w:spacing w:after="196" w:line="257" w:lineRule="auto"/>
              <w:ind w:left="0" w:firstLine="0"/>
              <w:jc w:val="both"/>
            </w:pPr>
            <w:r>
              <w:rPr>
                <w:rFonts w:ascii="Cambria" w:eastAsia="Cambria" w:hAnsi="Cambria" w:cs="Cambria"/>
                <w:i/>
              </w:rPr>
              <w:t>ISO27001/2 Department review to be paper based and prior to commencement of this Call-Off Contract.</w:t>
            </w:r>
            <w:r>
              <w:rPr>
                <w:rFonts w:ascii="Cambria" w:eastAsia="Cambria" w:hAnsi="Cambria" w:cs="Cambria"/>
              </w:rPr>
              <w:t xml:space="preserve"> </w:t>
            </w:r>
          </w:p>
          <w:p w14:paraId="7F1BB02C" w14:textId="77777777" w:rsidR="00D1352F" w:rsidRDefault="009B1F56">
            <w:pPr>
              <w:spacing w:after="0" w:line="259" w:lineRule="auto"/>
              <w:ind w:left="0" w:firstLine="0"/>
            </w:pPr>
            <w:r>
              <w:rPr>
                <w:rFonts w:ascii="Cambria" w:eastAsia="Cambria" w:hAnsi="Cambria" w:cs="Cambria"/>
                <w:i/>
              </w:rPr>
              <w:t xml:space="preserve">Subcontract opportunities section- threshold value is far below the £5m stated in the PPN Supply Chain Visibility and could result in cost/time </w:t>
            </w:r>
          </w:p>
        </w:tc>
      </w:tr>
      <w:tr w:rsidR="00D1352F" w14:paraId="15716AD6" w14:textId="77777777">
        <w:trPr>
          <w:trHeight w:val="1080"/>
        </w:trPr>
        <w:tc>
          <w:tcPr>
            <w:tcW w:w="2655" w:type="dxa"/>
            <w:tcBorders>
              <w:top w:val="single" w:sz="8" w:space="0" w:color="000000"/>
              <w:left w:val="single" w:sz="8" w:space="0" w:color="000000"/>
              <w:bottom w:val="single" w:sz="8" w:space="0" w:color="000000"/>
              <w:right w:val="single" w:sz="8" w:space="0" w:color="000000"/>
            </w:tcBorders>
          </w:tcPr>
          <w:p w14:paraId="68300DFB" w14:textId="77777777" w:rsidR="00D1352F" w:rsidRDefault="00D1352F">
            <w:pPr>
              <w:spacing w:after="160" w:line="259" w:lineRule="auto"/>
              <w:ind w:left="0" w:firstLine="0"/>
            </w:pPr>
          </w:p>
        </w:tc>
        <w:tc>
          <w:tcPr>
            <w:tcW w:w="7938" w:type="dxa"/>
            <w:tcBorders>
              <w:top w:val="single" w:sz="8" w:space="0" w:color="000000"/>
              <w:left w:val="single" w:sz="8" w:space="0" w:color="000000"/>
              <w:bottom w:val="single" w:sz="8" w:space="0" w:color="000000"/>
              <w:right w:val="single" w:sz="8" w:space="0" w:color="000000"/>
            </w:tcBorders>
          </w:tcPr>
          <w:p w14:paraId="16954D53" w14:textId="77777777" w:rsidR="00D1352F" w:rsidRDefault="009B1F56">
            <w:pPr>
              <w:spacing w:after="193" w:line="259" w:lineRule="auto"/>
              <w:ind w:left="0" w:firstLine="0"/>
            </w:pPr>
            <w:r>
              <w:rPr>
                <w:rFonts w:ascii="Cambria" w:eastAsia="Cambria" w:hAnsi="Cambria" w:cs="Cambria"/>
                <w:i/>
              </w:rPr>
              <w:t>delays/loss of flexibility.</w:t>
            </w:r>
            <w:r>
              <w:rPr>
                <w:rFonts w:ascii="Cambria" w:eastAsia="Cambria" w:hAnsi="Cambria" w:cs="Cambria"/>
              </w:rPr>
              <w:t xml:space="preserve"> </w:t>
            </w:r>
          </w:p>
          <w:p w14:paraId="78C41548" w14:textId="77777777" w:rsidR="00D1352F" w:rsidRDefault="009B1F56">
            <w:pPr>
              <w:spacing w:after="0" w:line="259" w:lineRule="auto"/>
              <w:ind w:left="0" w:firstLine="0"/>
            </w:pPr>
            <w:r>
              <w:rPr>
                <w:rFonts w:ascii="Cambria" w:eastAsia="Cambria" w:hAnsi="Cambria" w:cs="Cambria"/>
                <w:i/>
              </w:rPr>
              <w:t>GDPR clauses may change based on the specific data handling requirement for each work package.</w:t>
            </w:r>
            <w:r>
              <w:t xml:space="preserve"> </w:t>
            </w:r>
          </w:p>
        </w:tc>
      </w:tr>
      <w:tr w:rsidR="00D1352F" w14:paraId="4F391539" w14:textId="77777777">
        <w:trPr>
          <w:trHeight w:val="653"/>
        </w:trPr>
        <w:tc>
          <w:tcPr>
            <w:tcW w:w="2655" w:type="dxa"/>
            <w:tcBorders>
              <w:top w:val="single" w:sz="8" w:space="0" w:color="000000"/>
              <w:left w:val="single" w:sz="8" w:space="0" w:color="000000"/>
              <w:bottom w:val="single" w:sz="8" w:space="0" w:color="000000"/>
              <w:right w:val="single" w:sz="8" w:space="0" w:color="000000"/>
            </w:tcBorders>
          </w:tcPr>
          <w:p w14:paraId="3B1C5B00" w14:textId="77777777" w:rsidR="00D1352F" w:rsidRDefault="009B1F56">
            <w:pPr>
              <w:spacing w:after="0" w:line="259" w:lineRule="auto"/>
              <w:ind w:left="0" w:firstLine="0"/>
            </w:pPr>
            <w:r>
              <w:t xml:space="preserve">Alternative clauses: </w:t>
            </w:r>
          </w:p>
        </w:tc>
        <w:tc>
          <w:tcPr>
            <w:tcW w:w="7938" w:type="dxa"/>
            <w:tcBorders>
              <w:top w:val="single" w:sz="8" w:space="0" w:color="000000"/>
              <w:left w:val="single" w:sz="8" w:space="0" w:color="000000"/>
              <w:bottom w:val="single" w:sz="8" w:space="0" w:color="000000"/>
              <w:right w:val="single" w:sz="8" w:space="0" w:color="000000"/>
            </w:tcBorders>
          </w:tcPr>
          <w:p w14:paraId="49DBDEE0" w14:textId="77777777" w:rsidR="00D1352F" w:rsidRDefault="009B1F56">
            <w:pPr>
              <w:spacing w:after="0" w:line="259" w:lineRule="auto"/>
              <w:ind w:left="0" w:firstLine="0"/>
            </w:pPr>
            <w:r>
              <w:t xml:space="preserve">Not Applicable </w:t>
            </w:r>
          </w:p>
          <w:p w14:paraId="130202FB" w14:textId="77777777" w:rsidR="00D1352F" w:rsidRDefault="009B1F56">
            <w:pPr>
              <w:spacing w:after="0" w:line="259" w:lineRule="auto"/>
              <w:ind w:left="0" w:firstLine="0"/>
            </w:pPr>
            <w:r>
              <w:t xml:space="preserve"> </w:t>
            </w:r>
          </w:p>
        </w:tc>
      </w:tr>
      <w:tr w:rsidR="00D1352F" w14:paraId="212FC946" w14:textId="77777777">
        <w:trPr>
          <w:trHeight w:val="1604"/>
        </w:trPr>
        <w:tc>
          <w:tcPr>
            <w:tcW w:w="2655" w:type="dxa"/>
            <w:tcBorders>
              <w:top w:val="single" w:sz="8" w:space="0" w:color="000000"/>
              <w:left w:val="single" w:sz="8" w:space="0" w:color="000000"/>
              <w:bottom w:val="single" w:sz="8" w:space="0" w:color="000000"/>
              <w:right w:val="single" w:sz="8" w:space="0" w:color="000000"/>
            </w:tcBorders>
          </w:tcPr>
          <w:p w14:paraId="5BF014D4" w14:textId="77777777" w:rsidR="00D1352F" w:rsidRDefault="009B1F56">
            <w:pPr>
              <w:spacing w:after="0" w:line="259" w:lineRule="auto"/>
              <w:ind w:left="0" w:firstLine="0"/>
            </w:pPr>
            <w:r>
              <w:t xml:space="preserve">Buyer specific </w:t>
            </w:r>
          </w:p>
          <w:p w14:paraId="245C0327" w14:textId="77777777" w:rsidR="00D1352F" w:rsidRDefault="009B1F56">
            <w:pPr>
              <w:spacing w:after="0" w:line="259" w:lineRule="auto"/>
              <w:ind w:left="0" w:firstLine="0"/>
            </w:pPr>
            <w:r>
              <w:t xml:space="preserve">amendments </w:t>
            </w:r>
          </w:p>
          <w:p w14:paraId="78F1A57D" w14:textId="77777777" w:rsidR="00D1352F" w:rsidRDefault="009B1F56">
            <w:pPr>
              <w:spacing w:after="0" w:line="259" w:lineRule="auto"/>
              <w:ind w:left="0" w:firstLine="0"/>
            </w:pPr>
            <w:r>
              <w:t xml:space="preserve">to/refinements of the Call-Off Contract terms: </w:t>
            </w:r>
          </w:p>
        </w:tc>
        <w:tc>
          <w:tcPr>
            <w:tcW w:w="7938" w:type="dxa"/>
            <w:tcBorders>
              <w:top w:val="single" w:sz="8" w:space="0" w:color="000000"/>
              <w:left w:val="single" w:sz="8" w:space="0" w:color="000000"/>
              <w:bottom w:val="single" w:sz="8" w:space="0" w:color="000000"/>
              <w:right w:val="single" w:sz="8" w:space="0" w:color="000000"/>
            </w:tcBorders>
          </w:tcPr>
          <w:p w14:paraId="6966A0B2" w14:textId="77777777" w:rsidR="00D1352F" w:rsidRDefault="009B1F56">
            <w:pPr>
              <w:spacing w:after="0" w:line="259" w:lineRule="auto"/>
              <w:ind w:left="0" w:firstLine="0"/>
            </w:pPr>
            <w:r>
              <w:t xml:space="preserve">Additions of Annexes A, B, C and D. </w:t>
            </w:r>
          </w:p>
        </w:tc>
      </w:tr>
      <w:tr w:rsidR="00D1352F" w14:paraId="105F803B" w14:textId="77777777">
        <w:trPr>
          <w:trHeight w:val="653"/>
        </w:trPr>
        <w:tc>
          <w:tcPr>
            <w:tcW w:w="2655" w:type="dxa"/>
            <w:tcBorders>
              <w:top w:val="single" w:sz="8" w:space="0" w:color="000000"/>
              <w:left w:val="single" w:sz="8" w:space="0" w:color="000000"/>
              <w:bottom w:val="single" w:sz="8" w:space="0" w:color="000000"/>
              <w:right w:val="single" w:sz="8" w:space="0" w:color="000000"/>
            </w:tcBorders>
          </w:tcPr>
          <w:p w14:paraId="41493887" w14:textId="77777777" w:rsidR="00D1352F" w:rsidRDefault="009B1F56">
            <w:pPr>
              <w:spacing w:after="0" w:line="259" w:lineRule="auto"/>
              <w:ind w:left="0" w:firstLine="0"/>
            </w:pPr>
            <w:r>
              <w:t xml:space="preserve">Public Services </w:t>
            </w:r>
          </w:p>
          <w:p w14:paraId="310A726E" w14:textId="77777777" w:rsidR="00D1352F" w:rsidRDefault="009B1F56">
            <w:pPr>
              <w:spacing w:after="0" w:line="259" w:lineRule="auto"/>
              <w:ind w:left="0" w:firstLine="0"/>
            </w:pPr>
            <w:r>
              <w:t xml:space="preserve">Network (PSN): </w:t>
            </w:r>
          </w:p>
        </w:tc>
        <w:tc>
          <w:tcPr>
            <w:tcW w:w="7938" w:type="dxa"/>
            <w:tcBorders>
              <w:top w:val="single" w:sz="8" w:space="0" w:color="000000"/>
              <w:left w:val="single" w:sz="8" w:space="0" w:color="000000"/>
              <w:bottom w:val="single" w:sz="8" w:space="0" w:color="000000"/>
              <w:right w:val="single" w:sz="8" w:space="0" w:color="000000"/>
            </w:tcBorders>
          </w:tcPr>
          <w:p w14:paraId="78D4A233" w14:textId="77777777" w:rsidR="00D1352F" w:rsidRDefault="009B1F56">
            <w:pPr>
              <w:spacing w:after="0" w:line="259" w:lineRule="auto"/>
              <w:ind w:left="0" w:firstLine="0"/>
            </w:pPr>
            <w:r>
              <w:t xml:space="preserve">Not Applicable </w:t>
            </w:r>
          </w:p>
        </w:tc>
      </w:tr>
      <w:tr w:rsidR="00D1352F" w14:paraId="2B6A7B33" w14:textId="77777777">
        <w:trPr>
          <w:trHeight w:val="653"/>
        </w:trPr>
        <w:tc>
          <w:tcPr>
            <w:tcW w:w="2655" w:type="dxa"/>
            <w:tcBorders>
              <w:top w:val="single" w:sz="8" w:space="0" w:color="000000"/>
              <w:left w:val="single" w:sz="8" w:space="0" w:color="000000"/>
              <w:bottom w:val="single" w:sz="8" w:space="0" w:color="000000"/>
              <w:right w:val="single" w:sz="8" w:space="0" w:color="000000"/>
            </w:tcBorders>
          </w:tcPr>
          <w:p w14:paraId="3AC71B18" w14:textId="77777777" w:rsidR="00D1352F" w:rsidRDefault="009B1F56">
            <w:pPr>
              <w:spacing w:after="0" w:line="259" w:lineRule="auto"/>
              <w:ind w:left="0" w:firstLine="0"/>
            </w:pPr>
            <w:r>
              <w:t xml:space="preserve">Personal Data and Data Subjects: </w:t>
            </w:r>
          </w:p>
        </w:tc>
        <w:tc>
          <w:tcPr>
            <w:tcW w:w="7938" w:type="dxa"/>
            <w:tcBorders>
              <w:top w:val="single" w:sz="8" w:space="0" w:color="000000"/>
              <w:left w:val="single" w:sz="8" w:space="0" w:color="000000"/>
              <w:bottom w:val="single" w:sz="8" w:space="0" w:color="000000"/>
              <w:right w:val="single" w:sz="8" w:space="0" w:color="000000"/>
            </w:tcBorders>
          </w:tcPr>
          <w:p w14:paraId="03674263" w14:textId="77777777" w:rsidR="00D1352F" w:rsidRDefault="009B1F56">
            <w:pPr>
              <w:spacing w:after="0" w:line="259" w:lineRule="auto"/>
              <w:ind w:left="0" w:firstLine="0"/>
            </w:pPr>
            <w:r>
              <w:rPr>
                <w:color w:val="353535"/>
              </w:rPr>
              <w:t xml:space="preserve">Annex 1 of Schedule 7 will apply together with any specific updates to this as relevant to the Agreed Work Package.  </w:t>
            </w:r>
            <w:r>
              <w:t xml:space="preserve"> </w:t>
            </w:r>
          </w:p>
        </w:tc>
      </w:tr>
    </w:tbl>
    <w:p w14:paraId="2F0525F3" w14:textId="77777777" w:rsidR="00D1352F" w:rsidRDefault="009B1F56">
      <w:pPr>
        <w:spacing w:after="218" w:line="259" w:lineRule="auto"/>
        <w:ind w:left="5" w:firstLine="0"/>
      </w:pPr>
      <w:r>
        <w:t xml:space="preserve"> </w:t>
      </w:r>
    </w:p>
    <w:p w14:paraId="738DAD9F" w14:textId="77777777" w:rsidR="00D1352F" w:rsidRDefault="009B1F56">
      <w:pPr>
        <w:numPr>
          <w:ilvl w:val="0"/>
          <w:numId w:val="1"/>
        </w:numPr>
        <w:ind w:hanging="244"/>
      </w:pPr>
      <w:r>
        <w:t xml:space="preserve">Formation of contract  </w:t>
      </w:r>
    </w:p>
    <w:p w14:paraId="1D4A9E81" w14:textId="77777777" w:rsidR="00D1352F" w:rsidRDefault="009B1F56">
      <w:pPr>
        <w:numPr>
          <w:ilvl w:val="1"/>
          <w:numId w:val="1"/>
        </w:numPr>
        <w:ind w:hanging="725"/>
      </w:pPr>
      <w:r>
        <w:t xml:space="preserve">By signing and returning this Order Form (Part A), the Supplier agrees to </w:t>
      </w:r>
      <w:proofErr w:type="gramStart"/>
      <w:r>
        <w:t>enter into</w:t>
      </w:r>
      <w:proofErr w:type="gramEnd"/>
      <w:r>
        <w:t xml:space="preserve"> a Call-Off Contract with the Buyer. </w:t>
      </w:r>
    </w:p>
    <w:p w14:paraId="52AF8A83" w14:textId="77777777" w:rsidR="00D1352F" w:rsidRDefault="009B1F56">
      <w:pPr>
        <w:numPr>
          <w:ilvl w:val="1"/>
          <w:numId w:val="1"/>
        </w:numPr>
        <w:ind w:hanging="725"/>
      </w:pPr>
      <w:r>
        <w:t xml:space="preserve">The Parties agree that they have read the Order Form (Part A) and the Call-Off Contract terms and by signing below agree to be bound by this Call-Off Contract. </w:t>
      </w:r>
    </w:p>
    <w:p w14:paraId="3361A0A7" w14:textId="77777777" w:rsidR="00D1352F" w:rsidRDefault="009B1F56">
      <w:pPr>
        <w:numPr>
          <w:ilvl w:val="1"/>
          <w:numId w:val="1"/>
        </w:numPr>
        <w:ind w:hanging="725"/>
      </w:pPr>
      <w:r>
        <w:t xml:space="preserve">This Call-Off Contract will be formed when the Buyer acknowledges receipt of the signed copy of the Order Form from the Supplier. </w:t>
      </w:r>
    </w:p>
    <w:p w14:paraId="435CF112" w14:textId="77777777" w:rsidR="00D1352F" w:rsidRDefault="009B1F56">
      <w:pPr>
        <w:numPr>
          <w:ilvl w:val="1"/>
          <w:numId w:val="1"/>
        </w:numPr>
        <w:spacing w:after="208"/>
        <w:ind w:hanging="725"/>
      </w:pPr>
      <w:r>
        <w:t xml:space="preserve">In cases of any ambiguity or conflict the terms and conditions of the Call-Off Contract and Order Form will supersede those of the Supplier Terms and Conditions. </w:t>
      </w:r>
    </w:p>
    <w:p w14:paraId="5F99278A" w14:textId="77777777" w:rsidR="00D1352F" w:rsidRDefault="009B1F56">
      <w:pPr>
        <w:numPr>
          <w:ilvl w:val="0"/>
          <w:numId w:val="1"/>
        </w:numPr>
        <w:ind w:hanging="244"/>
      </w:pPr>
      <w:r>
        <w:t xml:space="preserve">Background to the agreement  </w:t>
      </w:r>
    </w:p>
    <w:p w14:paraId="118EB778" w14:textId="77777777" w:rsidR="00D1352F" w:rsidRDefault="009B1F56">
      <w:pPr>
        <w:numPr>
          <w:ilvl w:val="0"/>
          <w:numId w:val="2"/>
        </w:numPr>
        <w:ind w:hanging="725"/>
      </w:pPr>
      <w:r>
        <w:lastRenderedPageBreak/>
        <w:t xml:space="preserve">The Supplier is a provider of G-Cloud Services and agreed to provide the Services under the terms of Framework Agreement number RM1557.11. </w:t>
      </w:r>
    </w:p>
    <w:p w14:paraId="2B21445F" w14:textId="77777777" w:rsidR="00D1352F" w:rsidRDefault="009B1F56">
      <w:pPr>
        <w:numPr>
          <w:ilvl w:val="0"/>
          <w:numId w:val="2"/>
        </w:numPr>
        <w:spacing w:after="0"/>
        <w:ind w:hanging="725"/>
      </w:pPr>
      <w:r>
        <w:t xml:space="preserve">The Buyer provided an Order Form for Services to the Supplier. </w:t>
      </w:r>
    </w:p>
    <w:tbl>
      <w:tblPr>
        <w:tblStyle w:val="TableGrid"/>
        <w:tblW w:w="10627" w:type="dxa"/>
        <w:tblInd w:w="14" w:type="dxa"/>
        <w:tblCellMar>
          <w:left w:w="66" w:type="dxa"/>
          <w:bottom w:w="34" w:type="dxa"/>
          <w:right w:w="115" w:type="dxa"/>
        </w:tblCellMar>
        <w:tblLook w:val="04A0" w:firstRow="1" w:lastRow="0" w:firstColumn="1" w:lastColumn="0" w:noHBand="0" w:noVBand="1"/>
      </w:tblPr>
      <w:tblGrid>
        <w:gridCol w:w="2281"/>
        <w:gridCol w:w="4173"/>
        <w:gridCol w:w="4173"/>
      </w:tblGrid>
      <w:tr w:rsidR="00D1352F" w14:paraId="401C2FE9" w14:textId="77777777">
        <w:trPr>
          <w:trHeight w:val="533"/>
        </w:trPr>
        <w:tc>
          <w:tcPr>
            <w:tcW w:w="2281" w:type="dxa"/>
            <w:tcBorders>
              <w:top w:val="single" w:sz="8" w:space="0" w:color="000000"/>
              <w:left w:val="single" w:sz="8" w:space="0" w:color="000000"/>
              <w:bottom w:val="single" w:sz="8" w:space="0" w:color="000000"/>
              <w:right w:val="single" w:sz="8" w:space="0" w:color="000000"/>
            </w:tcBorders>
            <w:vAlign w:val="center"/>
          </w:tcPr>
          <w:p w14:paraId="3648B8D2" w14:textId="77777777" w:rsidR="00D1352F" w:rsidRDefault="009B1F56">
            <w:pPr>
              <w:spacing w:after="0" w:line="259" w:lineRule="auto"/>
              <w:ind w:left="35" w:firstLine="0"/>
            </w:pPr>
            <w:r>
              <w:t xml:space="preserve">Signed: </w:t>
            </w:r>
          </w:p>
        </w:tc>
        <w:tc>
          <w:tcPr>
            <w:tcW w:w="4173" w:type="dxa"/>
            <w:tcBorders>
              <w:top w:val="single" w:sz="8" w:space="0" w:color="000000"/>
              <w:left w:val="single" w:sz="8" w:space="0" w:color="000000"/>
              <w:bottom w:val="single" w:sz="8" w:space="0" w:color="000000"/>
              <w:right w:val="single" w:sz="8" w:space="0" w:color="000000"/>
            </w:tcBorders>
            <w:vAlign w:val="center"/>
          </w:tcPr>
          <w:p w14:paraId="1EE70EA2" w14:textId="77777777" w:rsidR="00D1352F" w:rsidRDefault="009B1F56">
            <w:pPr>
              <w:spacing w:after="0" w:line="259" w:lineRule="auto"/>
              <w:ind w:left="35" w:firstLine="0"/>
            </w:pPr>
            <w:r>
              <w:t xml:space="preserve">Supplier </w:t>
            </w:r>
          </w:p>
        </w:tc>
        <w:tc>
          <w:tcPr>
            <w:tcW w:w="4173" w:type="dxa"/>
            <w:tcBorders>
              <w:top w:val="single" w:sz="8" w:space="0" w:color="000000"/>
              <w:left w:val="single" w:sz="8" w:space="0" w:color="000000"/>
              <w:bottom w:val="single" w:sz="8" w:space="0" w:color="000000"/>
              <w:right w:val="single" w:sz="8" w:space="0" w:color="000000"/>
            </w:tcBorders>
            <w:vAlign w:val="center"/>
          </w:tcPr>
          <w:p w14:paraId="21291520" w14:textId="77777777" w:rsidR="00D1352F" w:rsidRDefault="009B1F56">
            <w:pPr>
              <w:spacing w:after="0" w:line="259" w:lineRule="auto"/>
              <w:ind w:left="35" w:firstLine="0"/>
            </w:pPr>
            <w:r>
              <w:t xml:space="preserve">Buyer </w:t>
            </w:r>
          </w:p>
        </w:tc>
      </w:tr>
      <w:tr w:rsidR="00D1352F" w14:paraId="3F067CC8" w14:textId="77777777">
        <w:trPr>
          <w:trHeight w:val="538"/>
        </w:trPr>
        <w:tc>
          <w:tcPr>
            <w:tcW w:w="2281" w:type="dxa"/>
            <w:tcBorders>
              <w:top w:val="single" w:sz="8" w:space="0" w:color="000000"/>
              <w:left w:val="single" w:sz="8" w:space="0" w:color="000000"/>
              <w:bottom w:val="single" w:sz="8" w:space="0" w:color="000000"/>
              <w:right w:val="single" w:sz="8" w:space="0" w:color="000000"/>
            </w:tcBorders>
            <w:vAlign w:val="center"/>
          </w:tcPr>
          <w:p w14:paraId="1466DBD5" w14:textId="77777777" w:rsidR="00D1352F" w:rsidRDefault="009B1F56">
            <w:pPr>
              <w:spacing w:after="0" w:line="259" w:lineRule="auto"/>
              <w:ind w:left="35" w:firstLine="0"/>
            </w:pPr>
            <w:r>
              <w:t xml:space="preserve">Name: </w:t>
            </w:r>
          </w:p>
        </w:tc>
        <w:tc>
          <w:tcPr>
            <w:tcW w:w="4173" w:type="dxa"/>
            <w:tcBorders>
              <w:top w:val="single" w:sz="8" w:space="0" w:color="000000"/>
              <w:left w:val="single" w:sz="8" w:space="0" w:color="000000"/>
              <w:bottom w:val="single" w:sz="8" w:space="0" w:color="000000"/>
              <w:right w:val="single" w:sz="8" w:space="0" w:color="000000"/>
            </w:tcBorders>
            <w:vAlign w:val="center"/>
          </w:tcPr>
          <w:p w14:paraId="490C3A38" w14:textId="6A79748E" w:rsidR="00D1352F" w:rsidRDefault="009B1F56">
            <w:pPr>
              <w:spacing w:after="0" w:line="259" w:lineRule="auto"/>
              <w:ind w:left="35" w:firstLine="0"/>
            </w:pPr>
            <w:r>
              <w:rPr>
                <w:highlight w:val="black"/>
              </w:rPr>
              <w:t>&lt;REDACTED&gt;</w:t>
            </w:r>
          </w:p>
        </w:tc>
        <w:tc>
          <w:tcPr>
            <w:tcW w:w="4173" w:type="dxa"/>
            <w:tcBorders>
              <w:top w:val="single" w:sz="8" w:space="0" w:color="000000"/>
              <w:left w:val="single" w:sz="8" w:space="0" w:color="000000"/>
              <w:bottom w:val="single" w:sz="8" w:space="0" w:color="000000"/>
              <w:right w:val="single" w:sz="8" w:space="0" w:color="000000"/>
            </w:tcBorders>
            <w:vAlign w:val="bottom"/>
          </w:tcPr>
          <w:p w14:paraId="752246E4" w14:textId="0755B7AF" w:rsidR="00D1352F" w:rsidRDefault="009B1F56">
            <w:pPr>
              <w:spacing w:after="0" w:line="259" w:lineRule="auto"/>
              <w:ind w:left="0" w:firstLine="0"/>
            </w:pPr>
            <w:r>
              <w:rPr>
                <w:highlight w:val="black"/>
              </w:rPr>
              <w:t>&lt;REDACTED&gt;</w:t>
            </w:r>
          </w:p>
        </w:tc>
      </w:tr>
      <w:tr w:rsidR="00D1352F" w14:paraId="650AAC43" w14:textId="77777777">
        <w:trPr>
          <w:trHeight w:val="538"/>
        </w:trPr>
        <w:tc>
          <w:tcPr>
            <w:tcW w:w="2281" w:type="dxa"/>
            <w:tcBorders>
              <w:top w:val="single" w:sz="8" w:space="0" w:color="000000"/>
              <w:left w:val="single" w:sz="8" w:space="0" w:color="000000"/>
              <w:bottom w:val="single" w:sz="8" w:space="0" w:color="000000"/>
              <w:right w:val="single" w:sz="8" w:space="0" w:color="000000"/>
            </w:tcBorders>
            <w:vAlign w:val="center"/>
          </w:tcPr>
          <w:p w14:paraId="76EDEA7B" w14:textId="77777777" w:rsidR="00D1352F" w:rsidRDefault="009B1F56">
            <w:pPr>
              <w:spacing w:after="0" w:line="259" w:lineRule="auto"/>
              <w:ind w:left="35" w:firstLine="0"/>
            </w:pPr>
            <w:r>
              <w:t xml:space="preserve">Title: </w:t>
            </w:r>
          </w:p>
        </w:tc>
        <w:tc>
          <w:tcPr>
            <w:tcW w:w="4173" w:type="dxa"/>
            <w:tcBorders>
              <w:top w:val="single" w:sz="8" w:space="0" w:color="000000"/>
              <w:left w:val="single" w:sz="8" w:space="0" w:color="000000"/>
              <w:bottom w:val="single" w:sz="8" w:space="0" w:color="000000"/>
              <w:right w:val="single" w:sz="8" w:space="0" w:color="000000"/>
            </w:tcBorders>
            <w:vAlign w:val="center"/>
          </w:tcPr>
          <w:p w14:paraId="20496B1E" w14:textId="5B9D7318" w:rsidR="00D1352F" w:rsidRDefault="009B1F56">
            <w:pPr>
              <w:spacing w:after="0" w:line="259" w:lineRule="auto"/>
              <w:ind w:left="35" w:firstLine="0"/>
            </w:pPr>
            <w:r>
              <w:rPr>
                <w:highlight w:val="black"/>
              </w:rPr>
              <w:t>&lt;REDACTED&gt;</w:t>
            </w:r>
          </w:p>
        </w:tc>
        <w:tc>
          <w:tcPr>
            <w:tcW w:w="4173" w:type="dxa"/>
            <w:tcBorders>
              <w:top w:val="single" w:sz="8" w:space="0" w:color="000000"/>
              <w:left w:val="single" w:sz="8" w:space="0" w:color="000000"/>
              <w:bottom w:val="single" w:sz="8" w:space="0" w:color="000000"/>
              <w:right w:val="single" w:sz="8" w:space="0" w:color="000000"/>
            </w:tcBorders>
            <w:vAlign w:val="bottom"/>
          </w:tcPr>
          <w:p w14:paraId="3B9F303F" w14:textId="31F259CA" w:rsidR="00D1352F" w:rsidRDefault="009B1F56">
            <w:pPr>
              <w:spacing w:after="0" w:line="259" w:lineRule="auto"/>
              <w:ind w:left="0" w:firstLine="0"/>
            </w:pPr>
            <w:r>
              <w:rPr>
                <w:highlight w:val="black"/>
              </w:rPr>
              <w:t>&lt;REDACTED&gt;</w:t>
            </w:r>
          </w:p>
        </w:tc>
      </w:tr>
      <w:tr w:rsidR="00D1352F" w14:paraId="14353856" w14:textId="77777777" w:rsidTr="009B1F56">
        <w:trPr>
          <w:trHeight w:val="295"/>
        </w:trPr>
        <w:tc>
          <w:tcPr>
            <w:tcW w:w="2281" w:type="dxa"/>
            <w:tcBorders>
              <w:top w:val="single" w:sz="8" w:space="0" w:color="000000"/>
              <w:left w:val="single" w:sz="8" w:space="0" w:color="000000"/>
              <w:bottom w:val="single" w:sz="8" w:space="0" w:color="000000"/>
              <w:right w:val="single" w:sz="8" w:space="0" w:color="000000"/>
            </w:tcBorders>
          </w:tcPr>
          <w:p w14:paraId="657F7C33" w14:textId="77777777" w:rsidR="00D1352F" w:rsidRDefault="009B1F56">
            <w:pPr>
              <w:spacing w:after="0" w:line="259" w:lineRule="auto"/>
              <w:ind w:left="35" w:firstLine="0"/>
            </w:pPr>
            <w:r>
              <w:t xml:space="preserve">Signature: </w:t>
            </w:r>
          </w:p>
        </w:tc>
        <w:tc>
          <w:tcPr>
            <w:tcW w:w="4173" w:type="dxa"/>
            <w:tcBorders>
              <w:top w:val="single" w:sz="8" w:space="0" w:color="000000"/>
              <w:left w:val="single" w:sz="8" w:space="0" w:color="000000"/>
              <w:bottom w:val="single" w:sz="8" w:space="0" w:color="000000"/>
              <w:right w:val="single" w:sz="8" w:space="0" w:color="000000"/>
            </w:tcBorders>
            <w:vAlign w:val="bottom"/>
          </w:tcPr>
          <w:p w14:paraId="66CCA603" w14:textId="76B00FAE" w:rsidR="00D1352F" w:rsidRDefault="009B1F56">
            <w:pPr>
              <w:spacing w:after="0" w:line="259" w:lineRule="auto"/>
              <w:ind w:left="35" w:firstLine="0"/>
            </w:pPr>
            <w:r>
              <w:rPr>
                <w:highlight w:val="black"/>
              </w:rPr>
              <w:t>&lt;REDACTED&gt;</w:t>
            </w:r>
            <w:r>
              <w:t xml:space="preserve">  </w:t>
            </w:r>
          </w:p>
        </w:tc>
        <w:tc>
          <w:tcPr>
            <w:tcW w:w="4173" w:type="dxa"/>
            <w:tcBorders>
              <w:top w:val="single" w:sz="8" w:space="0" w:color="000000"/>
              <w:left w:val="single" w:sz="8" w:space="0" w:color="000000"/>
              <w:bottom w:val="single" w:sz="8" w:space="0" w:color="000000"/>
              <w:right w:val="single" w:sz="8" w:space="0" w:color="000000"/>
            </w:tcBorders>
          </w:tcPr>
          <w:p w14:paraId="5409BA19" w14:textId="3692E023" w:rsidR="00D1352F" w:rsidRDefault="009B1F56">
            <w:pPr>
              <w:spacing w:after="0" w:line="259" w:lineRule="auto"/>
              <w:ind w:left="33" w:firstLine="0"/>
            </w:pPr>
            <w:r>
              <w:rPr>
                <w:highlight w:val="black"/>
              </w:rPr>
              <w:t>&lt;REDACTED&gt;</w:t>
            </w:r>
          </w:p>
        </w:tc>
      </w:tr>
      <w:tr w:rsidR="00D1352F" w14:paraId="19F7E46C" w14:textId="77777777">
        <w:trPr>
          <w:trHeight w:val="538"/>
        </w:trPr>
        <w:tc>
          <w:tcPr>
            <w:tcW w:w="2281" w:type="dxa"/>
            <w:tcBorders>
              <w:top w:val="single" w:sz="8" w:space="0" w:color="000000"/>
              <w:left w:val="single" w:sz="8" w:space="0" w:color="000000"/>
              <w:bottom w:val="single" w:sz="8" w:space="0" w:color="000000"/>
              <w:right w:val="single" w:sz="8" w:space="0" w:color="000000"/>
            </w:tcBorders>
            <w:vAlign w:val="center"/>
          </w:tcPr>
          <w:p w14:paraId="58BEFA41" w14:textId="77777777" w:rsidR="00D1352F" w:rsidRDefault="009B1F56">
            <w:pPr>
              <w:spacing w:after="0" w:line="259" w:lineRule="auto"/>
              <w:ind w:left="35" w:firstLine="0"/>
            </w:pPr>
            <w:r>
              <w:t xml:space="preserve">Date: </w:t>
            </w:r>
          </w:p>
        </w:tc>
        <w:tc>
          <w:tcPr>
            <w:tcW w:w="4173" w:type="dxa"/>
            <w:tcBorders>
              <w:top w:val="single" w:sz="8" w:space="0" w:color="000000"/>
              <w:left w:val="single" w:sz="8" w:space="0" w:color="000000"/>
              <w:bottom w:val="single" w:sz="8" w:space="0" w:color="000000"/>
              <w:right w:val="single" w:sz="8" w:space="0" w:color="000000"/>
            </w:tcBorders>
            <w:vAlign w:val="center"/>
          </w:tcPr>
          <w:p w14:paraId="3193869A" w14:textId="6F01A6AB" w:rsidR="00D1352F" w:rsidRDefault="009B1F56">
            <w:pPr>
              <w:spacing w:after="0" w:line="259" w:lineRule="auto"/>
              <w:ind w:left="35" w:firstLine="0"/>
            </w:pPr>
            <w:r>
              <w:rPr>
                <w:highlight w:val="black"/>
              </w:rPr>
              <w:t>&lt;REDACTED&gt;</w:t>
            </w:r>
          </w:p>
        </w:tc>
        <w:tc>
          <w:tcPr>
            <w:tcW w:w="4173" w:type="dxa"/>
            <w:tcBorders>
              <w:top w:val="single" w:sz="8" w:space="0" w:color="000000"/>
              <w:left w:val="single" w:sz="8" w:space="0" w:color="000000"/>
              <w:bottom w:val="single" w:sz="8" w:space="0" w:color="000000"/>
              <w:right w:val="single" w:sz="8" w:space="0" w:color="000000"/>
            </w:tcBorders>
            <w:vAlign w:val="bottom"/>
          </w:tcPr>
          <w:p w14:paraId="039F8682" w14:textId="69335E0F" w:rsidR="00D1352F" w:rsidRDefault="009B1F56">
            <w:pPr>
              <w:spacing w:after="0" w:line="259" w:lineRule="auto"/>
              <w:ind w:left="0" w:firstLine="0"/>
            </w:pPr>
            <w:r>
              <w:rPr>
                <w:highlight w:val="black"/>
              </w:rPr>
              <w:t>&lt;REDACTED&gt;</w:t>
            </w:r>
          </w:p>
        </w:tc>
      </w:tr>
    </w:tbl>
    <w:p w14:paraId="5602C9BE" w14:textId="77777777" w:rsidR="00D1352F" w:rsidRDefault="009B1F56">
      <w:pPr>
        <w:spacing w:after="103" w:line="259" w:lineRule="auto"/>
        <w:ind w:left="5" w:firstLine="0"/>
      </w:pPr>
      <w:r>
        <w:t xml:space="preserve"> </w:t>
      </w:r>
    </w:p>
    <w:p w14:paraId="440254F1" w14:textId="77777777" w:rsidR="00D1352F" w:rsidRDefault="009B1F56">
      <w:pPr>
        <w:spacing w:after="202" w:line="259" w:lineRule="auto"/>
        <w:ind w:left="5" w:firstLine="0"/>
      </w:pPr>
      <w:r>
        <w:rPr>
          <w:sz w:val="32"/>
        </w:rPr>
        <w:t xml:space="preserve"> </w:t>
      </w:r>
    </w:p>
    <w:p w14:paraId="28817001" w14:textId="77777777" w:rsidR="00D1352F" w:rsidRDefault="009B1F56">
      <w:pPr>
        <w:pStyle w:val="Heading2"/>
        <w:spacing w:after="111"/>
        <w:ind w:left="0"/>
      </w:pPr>
      <w:bookmarkStart w:id="8" w:name="_Toc76717"/>
      <w:r>
        <w:rPr>
          <w:sz w:val="32"/>
        </w:rPr>
        <w:t xml:space="preserve">Schedule 1 – Services </w:t>
      </w:r>
      <w:bookmarkEnd w:id="8"/>
    </w:p>
    <w:p w14:paraId="08B290A9" w14:textId="77777777" w:rsidR="00D1352F" w:rsidRDefault="009B1F56">
      <w:pPr>
        <w:spacing w:after="6"/>
        <w:ind w:left="0"/>
      </w:pPr>
      <w:r>
        <w:t xml:space="preserve">The Services to be provided by the Supplier under this Call-Off Contract shall be agreed by the Parties in an Agreed Work Package.  The Services agreed between the Parties will be in accordance with the Supplier’s G-Cloud 11 Project and Consulting General Terms – G-Cloud 11 -July 2019 in service offer id 886529756679219.  </w:t>
      </w:r>
    </w:p>
    <w:p w14:paraId="45646302" w14:textId="77777777" w:rsidR="00D1352F" w:rsidRDefault="009B1F56">
      <w:pPr>
        <w:spacing w:after="11"/>
        <w:ind w:left="0"/>
      </w:pPr>
      <w:r>
        <w:t xml:space="preserve">The Services ordered by the Buyer under work packages will be based on the Requirements Document in </w:t>
      </w:r>
    </w:p>
    <w:p w14:paraId="373725BC" w14:textId="77777777" w:rsidR="00D1352F" w:rsidRDefault="009B1F56">
      <w:pPr>
        <w:spacing w:after="6"/>
        <w:ind w:left="0"/>
      </w:pPr>
      <w:r>
        <w:t xml:space="preserve">Annex D, the Supplier’s response to this as shown below (Capgemini Response to Clarification of Understanding) and the Supplier G-Cloud 11 service off id 886529756679219 (Service Definition embedded below and feature options in Service Description provided below). </w:t>
      </w:r>
    </w:p>
    <w:p w14:paraId="59AF6740" w14:textId="65E831C7" w:rsidR="00D1352F" w:rsidRDefault="009B1F56">
      <w:pPr>
        <w:spacing w:after="64" w:line="259" w:lineRule="auto"/>
        <w:ind w:left="1775" w:firstLine="0"/>
      </w:pPr>
      <w:r>
        <w:rPr>
          <w:highlight w:val="black"/>
        </w:rPr>
        <w:t>&lt;REDACTED&gt;</w:t>
      </w:r>
      <w:r>
        <w:tab/>
      </w:r>
      <w:r>
        <w:rPr>
          <w:highlight w:val="black"/>
        </w:rPr>
        <w:t>&lt;REDACTED&gt;</w:t>
      </w:r>
    </w:p>
    <w:p w14:paraId="3918E6CE" w14:textId="77777777" w:rsidR="00D1352F" w:rsidRDefault="009B1F56">
      <w:pPr>
        <w:tabs>
          <w:tab w:val="center" w:pos="2011"/>
          <w:tab w:val="center" w:pos="3648"/>
        </w:tabs>
        <w:spacing w:after="67" w:line="259" w:lineRule="auto"/>
        <w:ind w:left="0" w:firstLine="0"/>
      </w:pPr>
      <w:r>
        <w:rPr>
          <w:rFonts w:ascii="Calibri" w:eastAsia="Calibri" w:hAnsi="Calibri" w:cs="Calibri"/>
          <w:sz w:val="22"/>
        </w:rPr>
        <w:tab/>
      </w:r>
      <w:r>
        <w:rPr>
          <w:rFonts w:ascii="Segoe UI" w:eastAsia="Segoe UI" w:hAnsi="Segoe UI" w:cs="Segoe UI"/>
          <w:sz w:val="16"/>
        </w:rPr>
        <w:t xml:space="preserve">DevOps Service - </w:t>
      </w:r>
      <w:r>
        <w:rPr>
          <w:rFonts w:ascii="Segoe UI" w:eastAsia="Segoe UI" w:hAnsi="Segoe UI" w:cs="Segoe UI"/>
          <w:sz w:val="16"/>
        </w:rPr>
        <w:tab/>
        <w:t xml:space="preserve">Capgemini Response </w:t>
      </w:r>
    </w:p>
    <w:p w14:paraId="0B5B3D8A" w14:textId="77777777" w:rsidR="00D1352F" w:rsidRDefault="009B1F56">
      <w:pPr>
        <w:spacing w:after="39" w:line="259" w:lineRule="auto"/>
        <w:ind w:left="10" w:right="6153"/>
      </w:pPr>
      <w:r>
        <w:t xml:space="preserve">                     </w:t>
      </w:r>
      <w:r>
        <w:rPr>
          <w:rFonts w:ascii="Segoe UI" w:eastAsia="Segoe UI" w:hAnsi="Segoe UI" w:cs="Segoe UI"/>
          <w:sz w:val="16"/>
        </w:rPr>
        <w:t xml:space="preserve">G-Cloud 11 - July </w:t>
      </w:r>
      <w:proofErr w:type="gramStart"/>
      <w:r>
        <w:rPr>
          <w:rFonts w:ascii="Segoe UI" w:eastAsia="Segoe UI" w:hAnsi="Segoe UI" w:cs="Segoe UI"/>
          <w:sz w:val="16"/>
        </w:rPr>
        <w:t>201</w:t>
      </w:r>
      <w:r>
        <w:t xml:space="preserve">  </w:t>
      </w:r>
      <w:r>
        <w:rPr>
          <w:rFonts w:ascii="Segoe UI" w:eastAsia="Segoe UI" w:hAnsi="Segoe UI" w:cs="Segoe UI"/>
          <w:sz w:val="16"/>
        </w:rPr>
        <w:t>to</w:t>
      </w:r>
      <w:proofErr w:type="gramEnd"/>
      <w:r>
        <w:rPr>
          <w:rFonts w:ascii="Segoe UI" w:eastAsia="Segoe UI" w:hAnsi="Segoe UI" w:cs="Segoe UI"/>
          <w:sz w:val="16"/>
        </w:rPr>
        <w:t xml:space="preserve"> Clarification of Und</w:t>
      </w:r>
      <w:r>
        <w:t xml:space="preserve">  </w:t>
      </w:r>
    </w:p>
    <w:p w14:paraId="46547C4C" w14:textId="77777777" w:rsidR="00D1352F" w:rsidRDefault="009B1F56">
      <w:pPr>
        <w:spacing w:after="6"/>
        <w:ind w:left="0"/>
      </w:pPr>
      <w:r>
        <w:t xml:space="preserve">Feature options in Service Description: </w:t>
      </w:r>
    </w:p>
    <w:p w14:paraId="32314D0C" w14:textId="77777777" w:rsidR="00D1352F" w:rsidRDefault="009B1F56">
      <w:pPr>
        <w:spacing w:after="27" w:line="259" w:lineRule="auto"/>
        <w:ind w:left="5" w:firstLine="0"/>
      </w:pPr>
      <w:r>
        <w:t xml:space="preserve"> </w:t>
      </w:r>
    </w:p>
    <w:p w14:paraId="28658C3E" w14:textId="77777777" w:rsidR="00D1352F" w:rsidRDefault="009B1F56">
      <w:pPr>
        <w:numPr>
          <w:ilvl w:val="0"/>
          <w:numId w:val="3"/>
        </w:numPr>
        <w:spacing w:after="18"/>
        <w:ind w:hanging="360"/>
      </w:pPr>
      <w:r>
        <w:t xml:space="preserve">Can provide DevOps maturity assessment and strategy </w:t>
      </w:r>
    </w:p>
    <w:p w14:paraId="5AC1F9EB" w14:textId="77777777" w:rsidR="00D1352F" w:rsidRDefault="009B1F56">
      <w:pPr>
        <w:numPr>
          <w:ilvl w:val="0"/>
          <w:numId w:val="3"/>
        </w:numPr>
        <w:spacing w:after="17"/>
        <w:ind w:hanging="360"/>
      </w:pPr>
      <w:r>
        <w:t xml:space="preserve">Can enable Lean, continuous experimentation and learning cultures </w:t>
      </w:r>
    </w:p>
    <w:p w14:paraId="5E9D8C94" w14:textId="77777777" w:rsidR="00D1352F" w:rsidRDefault="009B1F56">
      <w:pPr>
        <w:numPr>
          <w:ilvl w:val="0"/>
          <w:numId w:val="3"/>
        </w:numPr>
        <w:spacing w:after="15" w:line="267" w:lineRule="auto"/>
        <w:ind w:hanging="360"/>
      </w:pPr>
      <w:r>
        <w:t xml:space="preserve">Can develop “T-shaped” cloud native engineers using boot camps </w:t>
      </w:r>
    </w:p>
    <w:p w14:paraId="5D26EC4B" w14:textId="77777777" w:rsidR="00D1352F" w:rsidRDefault="009B1F56">
      <w:pPr>
        <w:numPr>
          <w:ilvl w:val="0"/>
          <w:numId w:val="3"/>
        </w:numPr>
        <w:spacing w:after="17"/>
        <w:ind w:hanging="360"/>
      </w:pPr>
      <w:r>
        <w:t xml:space="preserve">Can create infrastructure as code, using Terraform, Ansible, Kubernetes, Serverless </w:t>
      </w:r>
    </w:p>
    <w:p w14:paraId="3943F3FB" w14:textId="77777777" w:rsidR="00D1352F" w:rsidRDefault="009B1F56">
      <w:pPr>
        <w:numPr>
          <w:ilvl w:val="0"/>
          <w:numId w:val="3"/>
        </w:numPr>
        <w:spacing w:after="17"/>
        <w:ind w:hanging="360"/>
      </w:pPr>
      <w:r>
        <w:t xml:space="preserve">Can provide fully automated software delivery pipelines and testing </w:t>
      </w:r>
    </w:p>
    <w:p w14:paraId="7EF3ABE3" w14:textId="77777777" w:rsidR="00D1352F" w:rsidRDefault="009B1F56">
      <w:pPr>
        <w:numPr>
          <w:ilvl w:val="0"/>
          <w:numId w:val="3"/>
        </w:numPr>
        <w:spacing w:after="12"/>
        <w:ind w:hanging="360"/>
      </w:pPr>
      <w:r>
        <w:t xml:space="preserve">Can enable secure Docker containers, microservices and serverless architectures </w:t>
      </w:r>
    </w:p>
    <w:p w14:paraId="65161D25" w14:textId="77777777" w:rsidR="00D1352F" w:rsidRDefault="009B1F56">
      <w:pPr>
        <w:numPr>
          <w:ilvl w:val="0"/>
          <w:numId w:val="3"/>
        </w:numPr>
        <w:spacing w:after="18"/>
        <w:ind w:hanging="360"/>
      </w:pPr>
      <w:r>
        <w:t xml:space="preserve">Is cloud agonistic, AWS, Azure, Google, UK Cloud, </w:t>
      </w:r>
      <w:proofErr w:type="spellStart"/>
      <w:r>
        <w:t>Openstack</w:t>
      </w:r>
      <w:proofErr w:type="spellEnd"/>
      <w:r>
        <w:t xml:space="preserve">, </w:t>
      </w:r>
      <w:proofErr w:type="spellStart"/>
      <w:r>
        <w:t>Openshift</w:t>
      </w:r>
      <w:proofErr w:type="spellEnd"/>
      <w:r>
        <w:t xml:space="preserve"> </w:t>
      </w:r>
    </w:p>
    <w:p w14:paraId="1C69140C" w14:textId="77777777" w:rsidR="00D1352F" w:rsidRDefault="009B1F56">
      <w:pPr>
        <w:numPr>
          <w:ilvl w:val="0"/>
          <w:numId w:val="3"/>
        </w:numPr>
        <w:spacing w:after="17"/>
        <w:ind w:hanging="360"/>
      </w:pPr>
      <w:r>
        <w:t xml:space="preserve">Is technology agnostic favouring open source and utility consumption models </w:t>
      </w:r>
    </w:p>
    <w:p w14:paraId="0632D0A7" w14:textId="77777777" w:rsidR="00D1352F" w:rsidRDefault="009B1F56">
      <w:pPr>
        <w:numPr>
          <w:ilvl w:val="0"/>
          <w:numId w:val="3"/>
        </w:numPr>
        <w:spacing w:after="11"/>
        <w:ind w:hanging="360"/>
      </w:pPr>
      <w:r>
        <w:t xml:space="preserve">Can create value observability by capturing/presenting full lifecycle metrics/monitoring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Can offer A/B, MVT and </w:t>
      </w:r>
      <w:proofErr w:type="gramStart"/>
      <w:r>
        <w:t>contract based</w:t>
      </w:r>
      <w:proofErr w:type="gramEnd"/>
      <w:r>
        <w:t xml:space="preserve"> test tools </w:t>
      </w:r>
    </w:p>
    <w:p w14:paraId="667B444C" w14:textId="77777777" w:rsidR="00D1352F" w:rsidRDefault="009B1F56">
      <w:pPr>
        <w:spacing w:after="21" w:line="259" w:lineRule="auto"/>
        <w:ind w:left="5" w:firstLine="0"/>
      </w:pPr>
      <w:r>
        <w:t xml:space="preserve"> </w:t>
      </w:r>
    </w:p>
    <w:p w14:paraId="21F80934" w14:textId="77777777" w:rsidR="00D1352F" w:rsidRDefault="009B1F56">
      <w:pPr>
        <w:spacing w:after="103" w:line="259" w:lineRule="auto"/>
        <w:ind w:left="5" w:firstLine="0"/>
      </w:pPr>
      <w:r>
        <w:lastRenderedPageBreak/>
        <w:t xml:space="preserve"> </w:t>
      </w:r>
    </w:p>
    <w:p w14:paraId="4385D174" w14:textId="77777777" w:rsidR="00D1352F" w:rsidRDefault="009B1F56">
      <w:pPr>
        <w:pStyle w:val="Heading2"/>
        <w:spacing w:after="111"/>
        <w:ind w:left="0"/>
      </w:pPr>
      <w:bookmarkStart w:id="9" w:name="_Toc76718"/>
      <w:r>
        <w:rPr>
          <w:sz w:val="32"/>
        </w:rPr>
        <w:t xml:space="preserve">Schedule 2 - Call-Off Contract charges </w:t>
      </w:r>
      <w:bookmarkEnd w:id="9"/>
    </w:p>
    <w:p w14:paraId="7FC12681" w14:textId="77777777" w:rsidR="00D1352F" w:rsidRDefault="009B1F56">
      <w:pPr>
        <w:spacing w:after="8" w:line="267" w:lineRule="auto"/>
        <w:ind w:left="0"/>
      </w:pPr>
      <w:r>
        <w:t xml:space="preserve">For each individual Service, the applicable Call-Off Contract Charges (in accordance with the Supplier’s </w:t>
      </w:r>
    </w:p>
    <w:p w14:paraId="2FEF1B20" w14:textId="77777777" w:rsidR="00D1352F" w:rsidRDefault="009B1F56">
      <w:pPr>
        <w:spacing w:after="7"/>
        <w:ind w:left="0"/>
      </w:pPr>
      <w:r>
        <w:t xml:space="preserve">Digital Marketplace pricing document) </w:t>
      </w:r>
      <w:proofErr w:type="gramStart"/>
      <w:r>
        <w:t>can’t</w:t>
      </w:r>
      <w:proofErr w:type="gramEnd"/>
      <w:r>
        <w:t xml:space="preserve"> be amended during the term of the Call-Off Contract. The detailed rate card to be utilised for the provision of Services under Agreed Work Packages during the Term will be as follows (“the Rate Card”): </w:t>
      </w:r>
    </w:p>
    <w:p w14:paraId="02F062A3" w14:textId="77777777" w:rsidR="00D1352F" w:rsidRDefault="009B1F56">
      <w:pPr>
        <w:spacing w:after="0" w:line="259" w:lineRule="auto"/>
        <w:ind w:left="5" w:firstLine="0"/>
      </w:pPr>
      <w:r>
        <w:t xml:space="preserve"> </w:t>
      </w:r>
    </w:p>
    <w:p w14:paraId="5B04A9AE" w14:textId="77777777" w:rsidR="00D1352F" w:rsidRDefault="009B1F56">
      <w:pPr>
        <w:spacing w:after="51" w:line="259" w:lineRule="auto"/>
        <w:ind w:left="375" w:firstLine="0"/>
      </w:pPr>
      <w:r>
        <w:rPr>
          <w:noProof/>
        </w:rPr>
        <w:drawing>
          <wp:inline distT="0" distB="0" distL="0" distR="0" wp14:anchorId="14FE7FBF" wp14:editId="0277799D">
            <wp:extent cx="222740" cy="212892"/>
            <wp:effectExtent l="0" t="0" r="0" b="0"/>
            <wp:docPr id="3528" name="Picture 3528"/>
            <wp:cNvGraphicFramePr/>
            <a:graphic xmlns:a="http://schemas.openxmlformats.org/drawingml/2006/main">
              <a:graphicData uri="http://schemas.openxmlformats.org/drawingml/2006/picture">
                <pic:pic xmlns:pic="http://schemas.openxmlformats.org/drawingml/2006/picture">
                  <pic:nvPicPr>
                    <pic:cNvPr id="3528" name="Picture 3528"/>
                    <pic:cNvPicPr/>
                  </pic:nvPicPr>
                  <pic:blipFill>
                    <a:blip r:embed="rId11"/>
                    <a:stretch>
                      <a:fillRect/>
                    </a:stretch>
                  </pic:blipFill>
                  <pic:spPr>
                    <a:xfrm flipV="1">
                      <a:off x="0" y="0"/>
                      <a:ext cx="222740" cy="212892"/>
                    </a:xfrm>
                    <a:prstGeom prst="rect">
                      <a:avLst/>
                    </a:prstGeom>
                  </pic:spPr>
                </pic:pic>
              </a:graphicData>
            </a:graphic>
          </wp:inline>
        </w:drawing>
      </w:r>
    </w:p>
    <w:p w14:paraId="5CEE6755" w14:textId="77777777" w:rsidR="00D1352F" w:rsidRDefault="009B1F56">
      <w:pPr>
        <w:spacing w:after="85" w:line="265" w:lineRule="auto"/>
        <w:ind w:left="13"/>
      </w:pPr>
      <w:r>
        <w:rPr>
          <w:rFonts w:ascii="Segoe UI" w:eastAsia="Segoe UI" w:hAnsi="Segoe UI" w:cs="Segoe UI"/>
          <w:sz w:val="11"/>
        </w:rPr>
        <w:t>886529756679219-sfi</w:t>
      </w:r>
    </w:p>
    <w:p w14:paraId="40FF00AB" w14:textId="77777777" w:rsidR="00D1352F" w:rsidRDefault="009B1F56">
      <w:pPr>
        <w:tabs>
          <w:tab w:val="center" w:pos="1445"/>
          <w:tab w:val="center" w:pos="2886"/>
        </w:tabs>
        <w:spacing w:after="7" w:line="259" w:lineRule="auto"/>
        <w:ind w:left="0" w:firstLine="0"/>
      </w:pPr>
      <w:r>
        <w:rPr>
          <w:rFonts w:ascii="Segoe UI" w:eastAsia="Segoe UI" w:hAnsi="Segoe UI" w:cs="Segoe UI"/>
          <w:sz w:val="17"/>
          <w:vertAlign w:val="superscript"/>
        </w:rPr>
        <w:t>a-rate-card-2019-05-1</w:t>
      </w:r>
      <w:r>
        <w:t xml:space="preserve"> </w:t>
      </w:r>
      <w:r>
        <w:tab/>
        <w:t xml:space="preserve">                   </w:t>
      </w:r>
      <w:r>
        <w:tab/>
        <w:t xml:space="preserve"> </w:t>
      </w:r>
    </w:p>
    <w:p w14:paraId="11C98354" w14:textId="77777777" w:rsidR="00D1352F" w:rsidRDefault="009B1F56">
      <w:pPr>
        <w:spacing w:after="21" w:line="259" w:lineRule="auto"/>
        <w:ind w:left="5" w:firstLine="0"/>
      </w:pPr>
      <w:r>
        <w:t xml:space="preserve"> </w:t>
      </w:r>
    </w:p>
    <w:p w14:paraId="7ABFF3DF" w14:textId="77777777" w:rsidR="00D1352F" w:rsidRDefault="009B1F56">
      <w:pPr>
        <w:spacing w:after="16" w:line="259" w:lineRule="auto"/>
        <w:ind w:left="5" w:firstLine="0"/>
      </w:pPr>
      <w:r>
        <w:t xml:space="preserve"> </w:t>
      </w:r>
    </w:p>
    <w:p w14:paraId="30FBA15B" w14:textId="77777777" w:rsidR="00D1352F" w:rsidRDefault="009B1F56">
      <w:pPr>
        <w:spacing w:after="208"/>
        <w:ind w:left="0"/>
      </w:pPr>
      <w:r>
        <w:t xml:space="preserve">All work packages will be priced on a fixed cost basis but the breakdown of cost per deliverable will be shown on the RFQ. </w:t>
      </w:r>
    </w:p>
    <w:p w14:paraId="4069F6E7" w14:textId="77777777" w:rsidR="00D1352F" w:rsidRDefault="009B1F56">
      <w:pPr>
        <w:spacing w:after="208"/>
        <w:ind w:left="0"/>
      </w:pPr>
      <w:r>
        <w:t xml:space="preserve">The Supplier shall work with the Buyer to minimise the impact on the public purse for T&amp;S associated with the operation of this Call-Off Contract.  </w:t>
      </w:r>
    </w:p>
    <w:p w14:paraId="3C31C366" w14:textId="77777777" w:rsidR="00D1352F" w:rsidRDefault="009B1F56">
      <w:pPr>
        <w:spacing w:after="0"/>
        <w:ind w:left="0"/>
      </w:pPr>
      <w:r>
        <w:t xml:space="preserve">In line with the G-Cloud 11 framework, expenses are included in the day rate within M25 and charged at the Buyer’s standard travel and subsistence rates outside of the M25. </w:t>
      </w:r>
    </w:p>
    <w:p w14:paraId="5C2204D5" w14:textId="77777777" w:rsidR="00D1352F" w:rsidRDefault="009B1F56">
      <w:pPr>
        <w:spacing w:after="72" w:line="259" w:lineRule="auto"/>
        <w:ind w:left="508" w:firstLine="0"/>
      </w:pPr>
      <w:r>
        <w:rPr>
          <w:noProof/>
        </w:rPr>
        <w:drawing>
          <wp:inline distT="0" distB="0" distL="0" distR="0" wp14:anchorId="3C812A7E" wp14:editId="4247EEEE">
            <wp:extent cx="303338" cy="302519"/>
            <wp:effectExtent l="0" t="0" r="0" b="0"/>
            <wp:docPr id="3556" name="Picture 3556"/>
            <wp:cNvGraphicFramePr/>
            <a:graphic xmlns:a="http://schemas.openxmlformats.org/drawingml/2006/main">
              <a:graphicData uri="http://schemas.openxmlformats.org/drawingml/2006/picture">
                <pic:pic xmlns:pic="http://schemas.openxmlformats.org/drawingml/2006/picture">
                  <pic:nvPicPr>
                    <pic:cNvPr id="3556" name="Picture 3556"/>
                    <pic:cNvPicPr/>
                  </pic:nvPicPr>
                  <pic:blipFill>
                    <a:blip r:embed="rId14"/>
                    <a:stretch>
                      <a:fillRect/>
                    </a:stretch>
                  </pic:blipFill>
                  <pic:spPr>
                    <a:xfrm flipV="1">
                      <a:off x="0" y="0"/>
                      <a:ext cx="303338" cy="302519"/>
                    </a:xfrm>
                    <a:prstGeom prst="rect">
                      <a:avLst/>
                    </a:prstGeom>
                  </pic:spPr>
                </pic:pic>
              </a:graphicData>
            </a:graphic>
          </wp:inline>
        </w:drawing>
      </w:r>
    </w:p>
    <w:p w14:paraId="202044FC" w14:textId="77777777" w:rsidR="00D1352F" w:rsidRDefault="009B1F56">
      <w:pPr>
        <w:spacing w:after="0" w:line="259" w:lineRule="auto"/>
        <w:ind w:left="10" w:right="6153"/>
      </w:pPr>
      <w:r>
        <w:rPr>
          <w:rFonts w:ascii="Segoe UI" w:eastAsia="Segoe UI" w:hAnsi="Segoe UI" w:cs="Segoe UI"/>
          <w:sz w:val="16"/>
        </w:rPr>
        <w:t>travel-expenses-</w:t>
      </w:r>
      <w:proofErr w:type="spellStart"/>
      <w:r>
        <w:rPr>
          <w:rFonts w:ascii="Segoe UI" w:eastAsia="Segoe UI" w:hAnsi="Segoe UI" w:cs="Segoe UI"/>
          <w:sz w:val="16"/>
        </w:rPr>
        <w:t>polic</w:t>
      </w:r>
      <w:proofErr w:type="spellEnd"/>
    </w:p>
    <w:p w14:paraId="110336B7" w14:textId="77777777" w:rsidR="00D1352F" w:rsidRDefault="009B1F56">
      <w:pPr>
        <w:spacing w:after="0" w:line="259" w:lineRule="auto"/>
        <w:ind w:left="398" w:right="6153"/>
      </w:pPr>
      <w:r>
        <w:rPr>
          <w:rFonts w:ascii="Segoe UI" w:eastAsia="Segoe UI" w:hAnsi="Segoe UI" w:cs="Segoe UI"/>
          <w:sz w:val="16"/>
        </w:rPr>
        <w:t>y-full.docx</w:t>
      </w:r>
    </w:p>
    <w:p w14:paraId="4356C2AD" w14:textId="77777777" w:rsidR="00D1352F" w:rsidRDefault="009B1F56">
      <w:pPr>
        <w:spacing w:after="137" w:line="259" w:lineRule="auto"/>
        <w:ind w:left="1489" w:firstLine="0"/>
      </w:pPr>
      <w:r>
        <w:t xml:space="preserve"> </w:t>
      </w:r>
    </w:p>
    <w:p w14:paraId="72774987" w14:textId="77777777" w:rsidR="00D1352F" w:rsidRDefault="009B1F56">
      <w:pPr>
        <w:spacing w:after="21" w:line="259" w:lineRule="auto"/>
        <w:ind w:left="5" w:firstLine="0"/>
      </w:pPr>
      <w:r>
        <w:t xml:space="preserve"> </w:t>
      </w:r>
    </w:p>
    <w:p w14:paraId="654CA259" w14:textId="77777777" w:rsidR="00D1352F" w:rsidRDefault="009B1F56">
      <w:pPr>
        <w:spacing w:after="6"/>
        <w:ind w:left="0"/>
      </w:pPr>
      <w:r>
        <w:t xml:space="preserve">No expenses will be chargeable for travel to, or attendance at the DfE office in Coventry. </w:t>
      </w:r>
    </w:p>
    <w:p w14:paraId="47FD1629" w14:textId="77777777" w:rsidR="00D1352F" w:rsidRDefault="009B1F56">
      <w:pPr>
        <w:spacing w:after="103" w:line="259" w:lineRule="auto"/>
        <w:ind w:left="5" w:firstLine="0"/>
      </w:pPr>
      <w:r>
        <w:t xml:space="preserve"> </w:t>
      </w:r>
    </w:p>
    <w:p w14:paraId="5347F6F7" w14:textId="77777777" w:rsidR="00D1352F" w:rsidRDefault="009B1F56">
      <w:pPr>
        <w:pStyle w:val="Heading2"/>
        <w:spacing w:after="164"/>
        <w:ind w:left="0"/>
      </w:pPr>
      <w:bookmarkStart w:id="10" w:name="_Toc76719"/>
      <w:r>
        <w:rPr>
          <w:sz w:val="32"/>
        </w:rPr>
        <w:t xml:space="preserve">Part B - Terms and conditions </w:t>
      </w:r>
      <w:bookmarkEnd w:id="10"/>
    </w:p>
    <w:p w14:paraId="0ADA33EE" w14:textId="77777777" w:rsidR="00D1352F" w:rsidRDefault="009B1F56">
      <w:pPr>
        <w:pStyle w:val="Heading3"/>
        <w:ind w:left="0"/>
      </w:pPr>
      <w:bookmarkStart w:id="11" w:name="_Toc76720"/>
      <w:r>
        <w:t xml:space="preserve">1. Call-Off Contract start date and length </w:t>
      </w:r>
      <w:bookmarkEnd w:id="11"/>
    </w:p>
    <w:p w14:paraId="7006EEE6" w14:textId="77777777" w:rsidR="00D1352F" w:rsidRDefault="009B1F56">
      <w:pPr>
        <w:spacing w:after="263" w:line="259" w:lineRule="auto"/>
        <w:ind w:left="5" w:firstLine="0"/>
      </w:pPr>
      <w:r>
        <w:t xml:space="preserve"> </w:t>
      </w:r>
    </w:p>
    <w:p w14:paraId="5507EBA8" w14:textId="77777777" w:rsidR="00D1352F" w:rsidRDefault="009B1F56">
      <w:pPr>
        <w:tabs>
          <w:tab w:val="center" w:pos="5086"/>
        </w:tabs>
        <w:spacing w:after="46"/>
        <w:ind w:left="-10" w:firstLine="0"/>
      </w:pPr>
      <w:r>
        <w:t>1.1</w:t>
      </w:r>
      <w:r>
        <w:rPr>
          <w:rFonts w:ascii="Arial" w:eastAsia="Arial" w:hAnsi="Arial" w:cs="Arial"/>
        </w:rPr>
        <w:t xml:space="preserve"> </w:t>
      </w:r>
      <w:r>
        <w:rPr>
          <w:rFonts w:ascii="Arial" w:eastAsia="Arial" w:hAnsi="Arial" w:cs="Arial"/>
        </w:rPr>
        <w:tab/>
      </w:r>
      <w:r>
        <w:t xml:space="preserve">The Supplier must start providing the Services on the date specified in the Order Form. </w:t>
      </w:r>
    </w:p>
    <w:p w14:paraId="2BE880D9" w14:textId="77777777" w:rsidR="00D1352F" w:rsidRDefault="009B1F56">
      <w:pPr>
        <w:spacing w:after="41"/>
        <w:ind w:left="715" w:hanging="725"/>
      </w:pPr>
      <w:r>
        <w:t>1.2</w:t>
      </w:r>
      <w:r>
        <w:rPr>
          <w:rFonts w:ascii="Arial" w:eastAsia="Arial" w:hAnsi="Arial" w:cs="Arial"/>
        </w:rPr>
        <w:t xml:space="preserve"> </w:t>
      </w:r>
      <w:r>
        <w:rPr>
          <w:rFonts w:ascii="Arial" w:eastAsia="Arial" w:hAnsi="Arial" w:cs="Arial"/>
        </w:rPr>
        <w:tab/>
      </w:r>
      <w:r>
        <w:t xml:space="preserve">This Call-Off Contract will expire on the Expiry Date in the Order Form. It will be for up to 24 months from the Start Date unless Ended earlier under clause 18 or extended by the Buyer under clause 1.3. </w:t>
      </w:r>
    </w:p>
    <w:p w14:paraId="11A3BF21" w14:textId="77777777" w:rsidR="00D1352F" w:rsidRDefault="009B1F56">
      <w:pPr>
        <w:ind w:left="715" w:hanging="725"/>
      </w:pPr>
      <w:r>
        <w:t>1.3</w:t>
      </w:r>
      <w:r>
        <w:rPr>
          <w:rFonts w:ascii="Arial" w:eastAsia="Arial" w:hAnsi="Arial" w:cs="Arial"/>
        </w:rPr>
        <w:t xml:space="preserve"> </w:t>
      </w:r>
      <w:r>
        <w:rPr>
          <w:rFonts w:ascii="Arial" w:eastAsia="Arial" w:hAnsi="Arial" w:cs="Arial"/>
        </w:rPr>
        <w:tab/>
      </w:r>
      <w:r>
        <w:t xml:space="preserve">The Buyer can extend this Call-Off Contract, with written notice to the Supplier, by the period in the Order Form, as long as this is within the maximum permitted under the Framework Agreement of 2 periods of up to 12 months each. </w:t>
      </w:r>
    </w:p>
    <w:p w14:paraId="51E8149A" w14:textId="77777777" w:rsidR="00D1352F" w:rsidRDefault="009B1F56">
      <w:pPr>
        <w:ind w:left="715" w:hanging="725"/>
      </w:pPr>
      <w:r>
        <w:lastRenderedPageBreak/>
        <w:t>1.4</w:t>
      </w:r>
      <w:r>
        <w:rPr>
          <w:rFonts w:ascii="Arial" w:eastAsia="Arial" w:hAnsi="Arial" w:cs="Arial"/>
        </w:rPr>
        <w:t xml:space="preserve"> </w:t>
      </w:r>
      <w:r>
        <w:rPr>
          <w:rFonts w:ascii="Arial" w:eastAsia="Arial" w:hAnsi="Arial" w:cs="Arial"/>
        </w:rPr>
        <w:tab/>
      </w:r>
      <w:r>
        <w:t xml:space="preserve">The Parties must comply with the requirements under clauses 21.3 to 21.8 if the Buyer reserves the right in the Order Form to extend the contract beyond 24 months. </w:t>
      </w:r>
    </w:p>
    <w:p w14:paraId="4F6B39F3" w14:textId="77777777" w:rsidR="00D1352F" w:rsidRDefault="009B1F56">
      <w:pPr>
        <w:pStyle w:val="Heading3"/>
        <w:ind w:left="0"/>
      </w:pPr>
      <w:bookmarkStart w:id="12" w:name="_Toc76721"/>
      <w:r>
        <w:t xml:space="preserve">2. Incorporation of terms </w:t>
      </w:r>
      <w:bookmarkEnd w:id="12"/>
    </w:p>
    <w:p w14:paraId="5F9B0F98" w14:textId="77777777" w:rsidR="00D1352F" w:rsidRDefault="009B1F56">
      <w:pPr>
        <w:spacing w:after="258" w:line="259" w:lineRule="auto"/>
        <w:ind w:left="5" w:firstLine="0"/>
      </w:pPr>
      <w:r>
        <w:t xml:space="preserve"> </w:t>
      </w:r>
    </w:p>
    <w:p w14:paraId="5AB21EC5" w14:textId="77777777" w:rsidR="00D1352F" w:rsidRDefault="009B1F56">
      <w:pPr>
        <w:ind w:left="715" w:hanging="725"/>
      </w:pPr>
      <w:r>
        <w:t>2.1</w:t>
      </w:r>
      <w:r>
        <w:rPr>
          <w:rFonts w:ascii="Arial" w:eastAsia="Arial" w:hAnsi="Arial" w:cs="Arial"/>
        </w:rPr>
        <w:t xml:space="preserve"> </w:t>
      </w:r>
      <w:r>
        <w:t xml:space="preserve">The following Framework Agreement clauses (including clauses and defined terms referenced by them) as modified under clause 2.2 are incorporated as separate Call-Off Contract obligations and </w:t>
      </w:r>
    </w:p>
    <w:p w14:paraId="7E5362A0" w14:textId="77777777" w:rsidR="00D1352F" w:rsidRDefault="009B1F56">
      <w:pPr>
        <w:spacing w:after="6"/>
        <w:ind w:left="735"/>
      </w:pPr>
      <w:r>
        <w:t xml:space="preserve">apply between the Supplier and the Buyer: </w:t>
      </w:r>
    </w:p>
    <w:p w14:paraId="5FFB8604" w14:textId="77777777" w:rsidR="00D1352F" w:rsidRDefault="009B1F56">
      <w:pPr>
        <w:spacing w:after="61" w:line="259" w:lineRule="auto"/>
        <w:ind w:left="5" w:firstLine="0"/>
      </w:pPr>
      <w:r>
        <w:t xml:space="preserve"> </w:t>
      </w:r>
    </w:p>
    <w:p w14:paraId="4F5124E3" w14:textId="77777777" w:rsidR="00D1352F" w:rsidRDefault="009B1F56">
      <w:pPr>
        <w:numPr>
          <w:ilvl w:val="0"/>
          <w:numId w:val="4"/>
        </w:numPr>
        <w:spacing w:after="50"/>
        <w:ind w:hanging="360"/>
      </w:pPr>
      <w:r>
        <w:t xml:space="preserve">4.1 (Warranties and representations)  </w:t>
      </w:r>
    </w:p>
    <w:p w14:paraId="770105B5" w14:textId="77777777" w:rsidR="00D1352F" w:rsidRDefault="009B1F56">
      <w:pPr>
        <w:numPr>
          <w:ilvl w:val="0"/>
          <w:numId w:val="4"/>
        </w:numPr>
        <w:spacing w:after="51"/>
        <w:ind w:hanging="360"/>
      </w:pPr>
      <w:r>
        <w:t xml:space="preserve">4.2 to 4.7 (Liability)  </w:t>
      </w:r>
    </w:p>
    <w:p w14:paraId="7D44EA82" w14:textId="77777777" w:rsidR="00D1352F" w:rsidRDefault="009B1F56">
      <w:pPr>
        <w:numPr>
          <w:ilvl w:val="0"/>
          <w:numId w:val="4"/>
        </w:numPr>
        <w:spacing w:after="46"/>
        <w:ind w:hanging="360"/>
      </w:pPr>
      <w:r>
        <w:t xml:space="preserve">4.11 to 4.12 (IR35) </w:t>
      </w:r>
    </w:p>
    <w:p w14:paraId="57E583DF" w14:textId="77777777" w:rsidR="00D1352F" w:rsidRDefault="009B1F56">
      <w:pPr>
        <w:numPr>
          <w:ilvl w:val="0"/>
          <w:numId w:val="4"/>
        </w:numPr>
        <w:spacing w:after="51"/>
        <w:ind w:hanging="360"/>
      </w:pPr>
      <w:r>
        <w:t xml:space="preserve">5.4 to 5.5 (Force majeure) </w:t>
      </w:r>
    </w:p>
    <w:p w14:paraId="1B00EB97" w14:textId="77777777" w:rsidR="00D1352F" w:rsidRDefault="009B1F56">
      <w:pPr>
        <w:numPr>
          <w:ilvl w:val="0"/>
          <w:numId w:val="4"/>
        </w:numPr>
        <w:spacing w:after="51"/>
        <w:ind w:hanging="360"/>
      </w:pPr>
      <w:r>
        <w:t xml:space="preserve">5.8 (Continuing rights)  </w:t>
      </w:r>
    </w:p>
    <w:p w14:paraId="0D5AB0B6" w14:textId="77777777" w:rsidR="00D1352F" w:rsidRDefault="009B1F56">
      <w:pPr>
        <w:numPr>
          <w:ilvl w:val="0"/>
          <w:numId w:val="4"/>
        </w:numPr>
        <w:spacing w:after="45"/>
        <w:ind w:hanging="360"/>
      </w:pPr>
      <w:r>
        <w:t xml:space="preserve">5.9 to 5.11 (Change of control)  </w:t>
      </w:r>
    </w:p>
    <w:p w14:paraId="6B39FA13" w14:textId="77777777" w:rsidR="00D1352F" w:rsidRDefault="009B1F56">
      <w:pPr>
        <w:numPr>
          <w:ilvl w:val="0"/>
          <w:numId w:val="4"/>
        </w:numPr>
        <w:spacing w:after="51"/>
        <w:ind w:hanging="360"/>
      </w:pPr>
      <w:r>
        <w:t xml:space="preserve">5.12 (Fraud) </w:t>
      </w:r>
    </w:p>
    <w:p w14:paraId="2A3BA171" w14:textId="77777777" w:rsidR="00D1352F" w:rsidRDefault="009B1F56">
      <w:pPr>
        <w:numPr>
          <w:ilvl w:val="0"/>
          <w:numId w:val="4"/>
        </w:numPr>
        <w:spacing w:after="51"/>
        <w:ind w:hanging="360"/>
      </w:pPr>
      <w:r>
        <w:t xml:space="preserve">5.13 (Notice of fraud) </w:t>
      </w:r>
    </w:p>
    <w:p w14:paraId="4CAD2D50" w14:textId="77777777" w:rsidR="00D1352F" w:rsidRDefault="009B1F56">
      <w:pPr>
        <w:numPr>
          <w:ilvl w:val="0"/>
          <w:numId w:val="4"/>
        </w:numPr>
        <w:spacing w:after="51"/>
        <w:ind w:hanging="360"/>
      </w:pPr>
      <w:r>
        <w:t xml:space="preserve">7.1 to 7.2 (Transparency) </w:t>
      </w:r>
    </w:p>
    <w:p w14:paraId="2AB037EC" w14:textId="77777777" w:rsidR="00D1352F" w:rsidRDefault="009B1F56">
      <w:pPr>
        <w:numPr>
          <w:ilvl w:val="0"/>
          <w:numId w:val="4"/>
        </w:numPr>
        <w:spacing w:after="45"/>
        <w:ind w:hanging="360"/>
      </w:pPr>
      <w:r>
        <w:t xml:space="preserve">8.3 (Order of precedence) </w:t>
      </w:r>
    </w:p>
    <w:p w14:paraId="455E14C0" w14:textId="77777777" w:rsidR="00D1352F" w:rsidRDefault="009B1F56">
      <w:pPr>
        <w:numPr>
          <w:ilvl w:val="0"/>
          <w:numId w:val="4"/>
        </w:numPr>
        <w:spacing w:after="52"/>
        <w:ind w:hanging="360"/>
      </w:pPr>
      <w:r>
        <w:t xml:space="preserve">8.4 (Relationship) </w:t>
      </w:r>
    </w:p>
    <w:p w14:paraId="454EF68C" w14:textId="77777777" w:rsidR="00D1352F" w:rsidRDefault="009B1F56">
      <w:pPr>
        <w:numPr>
          <w:ilvl w:val="0"/>
          <w:numId w:val="4"/>
        </w:numPr>
        <w:spacing w:after="51"/>
        <w:ind w:hanging="360"/>
      </w:pPr>
      <w:r>
        <w:t xml:space="preserve">8.7 to 8.9 (Entire agreement) </w:t>
      </w:r>
    </w:p>
    <w:p w14:paraId="015528D0" w14:textId="77777777" w:rsidR="00D1352F" w:rsidRDefault="009B1F56">
      <w:pPr>
        <w:numPr>
          <w:ilvl w:val="0"/>
          <w:numId w:val="4"/>
        </w:numPr>
        <w:spacing w:after="46"/>
        <w:ind w:hanging="360"/>
      </w:pPr>
      <w:r>
        <w:t xml:space="preserve">8.10 (Law and jurisdiction) </w:t>
      </w:r>
    </w:p>
    <w:p w14:paraId="3B0B5FC5" w14:textId="77777777" w:rsidR="00D1352F" w:rsidRDefault="009B1F56">
      <w:pPr>
        <w:numPr>
          <w:ilvl w:val="0"/>
          <w:numId w:val="4"/>
        </w:numPr>
        <w:spacing w:after="51"/>
        <w:ind w:hanging="360"/>
      </w:pPr>
      <w:r>
        <w:t xml:space="preserve">8.11 to 8.12 (Legislative change) </w:t>
      </w:r>
    </w:p>
    <w:p w14:paraId="3E65E8DA" w14:textId="77777777" w:rsidR="00D1352F" w:rsidRDefault="009B1F56">
      <w:pPr>
        <w:numPr>
          <w:ilvl w:val="0"/>
          <w:numId w:val="4"/>
        </w:numPr>
        <w:spacing w:after="51"/>
        <w:ind w:hanging="360"/>
      </w:pPr>
      <w:r>
        <w:t xml:space="preserve">8.13 to 8.17 (Bribery and corruption) </w:t>
      </w:r>
    </w:p>
    <w:p w14:paraId="66A2C1CB" w14:textId="77777777" w:rsidR="00D1352F" w:rsidRDefault="009B1F56">
      <w:pPr>
        <w:numPr>
          <w:ilvl w:val="0"/>
          <w:numId w:val="4"/>
        </w:numPr>
        <w:spacing w:after="51"/>
        <w:ind w:hanging="360"/>
      </w:pPr>
      <w:r>
        <w:t xml:space="preserve">8.18 to 8.27 (Freedom of Information Act) </w:t>
      </w:r>
    </w:p>
    <w:p w14:paraId="0CF17758" w14:textId="77777777" w:rsidR="00D1352F" w:rsidRDefault="009B1F56">
      <w:pPr>
        <w:numPr>
          <w:ilvl w:val="0"/>
          <w:numId w:val="4"/>
        </w:numPr>
        <w:spacing w:after="46"/>
        <w:ind w:hanging="360"/>
      </w:pPr>
      <w:r>
        <w:t xml:space="preserve">8.28 to 8.29 (Promoting tax compliance)  </w:t>
      </w:r>
    </w:p>
    <w:p w14:paraId="267C2258" w14:textId="77777777" w:rsidR="00D1352F" w:rsidRDefault="009B1F56">
      <w:pPr>
        <w:numPr>
          <w:ilvl w:val="0"/>
          <w:numId w:val="4"/>
        </w:numPr>
        <w:spacing w:after="51"/>
        <w:ind w:hanging="360"/>
      </w:pPr>
      <w:r>
        <w:t xml:space="preserve">8.30 to 8.31 (Official Secrets Act) </w:t>
      </w:r>
    </w:p>
    <w:p w14:paraId="033E465D" w14:textId="77777777" w:rsidR="00D1352F" w:rsidRDefault="009B1F56">
      <w:pPr>
        <w:numPr>
          <w:ilvl w:val="0"/>
          <w:numId w:val="4"/>
        </w:numPr>
        <w:spacing w:after="51"/>
        <w:ind w:hanging="360"/>
      </w:pPr>
      <w:r>
        <w:t xml:space="preserve">8.32 to 8.35 (Transfer and subcontracting) </w:t>
      </w:r>
    </w:p>
    <w:p w14:paraId="071E20B3" w14:textId="77777777" w:rsidR="00D1352F" w:rsidRDefault="009B1F56">
      <w:pPr>
        <w:numPr>
          <w:ilvl w:val="0"/>
          <w:numId w:val="4"/>
        </w:numPr>
        <w:spacing w:after="46"/>
        <w:ind w:hanging="360"/>
      </w:pPr>
      <w:r>
        <w:t xml:space="preserve">8.38 to 8.41 (Complaints handling and resolution) </w:t>
      </w:r>
    </w:p>
    <w:p w14:paraId="29D92E60" w14:textId="77777777" w:rsidR="00D1352F" w:rsidRDefault="009B1F56">
      <w:pPr>
        <w:numPr>
          <w:ilvl w:val="0"/>
          <w:numId w:val="4"/>
        </w:numPr>
        <w:spacing w:after="51"/>
        <w:ind w:hanging="360"/>
      </w:pPr>
      <w:r>
        <w:t xml:space="preserve">8.42 to 8.48 (Conflicts of interest and ethical walls) </w:t>
      </w:r>
    </w:p>
    <w:p w14:paraId="0BD4DDF4" w14:textId="77777777" w:rsidR="00D1352F" w:rsidRDefault="009B1F56">
      <w:pPr>
        <w:numPr>
          <w:ilvl w:val="0"/>
          <w:numId w:val="4"/>
        </w:numPr>
        <w:spacing w:after="51"/>
        <w:ind w:hanging="360"/>
      </w:pPr>
      <w:r>
        <w:t xml:space="preserve">8.49 to 8.51 (Publicity and branding) </w:t>
      </w:r>
    </w:p>
    <w:p w14:paraId="00539001" w14:textId="77777777" w:rsidR="00D1352F" w:rsidRDefault="009B1F56">
      <w:pPr>
        <w:numPr>
          <w:ilvl w:val="0"/>
          <w:numId w:val="4"/>
        </w:numPr>
        <w:spacing w:after="51"/>
        <w:ind w:hanging="360"/>
      </w:pPr>
      <w:r>
        <w:t xml:space="preserve">8.52 to 8.54 (Equality and diversity) </w:t>
      </w:r>
    </w:p>
    <w:p w14:paraId="20C83498" w14:textId="77777777" w:rsidR="00D1352F" w:rsidRDefault="009B1F56">
      <w:pPr>
        <w:numPr>
          <w:ilvl w:val="0"/>
          <w:numId w:val="4"/>
        </w:numPr>
        <w:spacing w:after="46"/>
        <w:ind w:hanging="360"/>
      </w:pPr>
      <w:r>
        <w:t xml:space="preserve">8.57 to 8.58 (data protection) </w:t>
      </w:r>
    </w:p>
    <w:p w14:paraId="3B966C39" w14:textId="77777777" w:rsidR="00D1352F" w:rsidRDefault="009B1F56">
      <w:pPr>
        <w:numPr>
          <w:ilvl w:val="0"/>
          <w:numId w:val="4"/>
        </w:numPr>
        <w:spacing w:after="52"/>
        <w:ind w:hanging="360"/>
      </w:pPr>
      <w:r>
        <w:t xml:space="preserve">8.62 to 8.63 (Severability) </w:t>
      </w:r>
    </w:p>
    <w:p w14:paraId="14C28B62" w14:textId="77777777" w:rsidR="00D1352F" w:rsidRDefault="009B1F56">
      <w:pPr>
        <w:numPr>
          <w:ilvl w:val="0"/>
          <w:numId w:val="4"/>
        </w:numPr>
        <w:spacing w:after="50"/>
        <w:ind w:hanging="360"/>
      </w:pPr>
      <w:r>
        <w:t xml:space="preserve">8.64 to 8.77 (Managing disputes and Mediation)  </w:t>
      </w:r>
    </w:p>
    <w:p w14:paraId="0669E11B" w14:textId="77777777" w:rsidR="00D1352F" w:rsidRDefault="009B1F56">
      <w:pPr>
        <w:numPr>
          <w:ilvl w:val="0"/>
          <w:numId w:val="4"/>
        </w:numPr>
        <w:spacing w:after="51"/>
        <w:ind w:hanging="360"/>
      </w:pPr>
      <w:r>
        <w:lastRenderedPageBreak/>
        <w:t xml:space="preserve">8.78 to 8.86 (Confidentiality)  </w:t>
      </w:r>
    </w:p>
    <w:p w14:paraId="26ED8C9F" w14:textId="77777777" w:rsidR="00D1352F" w:rsidRDefault="009B1F56">
      <w:pPr>
        <w:numPr>
          <w:ilvl w:val="0"/>
          <w:numId w:val="4"/>
        </w:numPr>
        <w:spacing w:after="46"/>
        <w:ind w:hanging="360"/>
      </w:pPr>
      <w:r>
        <w:t xml:space="preserve">8.87 to 8.88 (Waiver and cumulative remedies) </w:t>
      </w:r>
    </w:p>
    <w:p w14:paraId="02387201" w14:textId="77777777" w:rsidR="00D1352F" w:rsidRDefault="009B1F56">
      <w:pPr>
        <w:numPr>
          <w:ilvl w:val="0"/>
          <w:numId w:val="4"/>
        </w:numPr>
        <w:spacing w:after="51"/>
        <w:ind w:hanging="360"/>
      </w:pPr>
      <w:r>
        <w:t xml:space="preserve">8.89 to 8.99 (Corporate Social Responsibility) </w:t>
      </w:r>
    </w:p>
    <w:p w14:paraId="4A7A335B" w14:textId="77777777" w:rsidR="00D1352F" w:rsidRDefault="009B1F56">
      <w:pPr>
        <w:numPr>
          <w:ilvl w:val="0"/>
          <w:numId w:val="4"/>
        </w:numPr>
        <w:spacing w:after="51"/>
        <w:ind w:hanging="360"/>
      </w:pPr>
      <w:r>
        <w:t xml:space="preserve">paragraphs 1 to 10 of the Framework Agreement glossary and interpretations </w:t>
      </w:r>
    </w:p>
    <w:p w14:paraId="4D10FD3B" w14:textId="77777777" w:rsidR="00D1352F" w:rsidRDefault="009B1F56">
      <w:pPr>
        <w:numPr>
          <w:ilvl w:val="0"/>
          <w:numId w:val="4"/>
        </w:numPr>
        <w:spacing w:after="208"/>
        <w:ind w:hanging="360"/>
      </w:pPr>
      <w:r>
        <w:t xml:space="preserve">any audit provisions from the Framework Agreement set out by the Buyer in the Order Form </w:t>
      </w:r>
    </w:p>
    <w:p w14:paraId="1FCFA2BE" w14:textId="77777777" w:rsidR="00D1352F" w:rsidRDefault="009B1F56">
      <w:pPr>
        <w:spacing w:after="62" w:line="259" w:lineRule="auto"/>
        <w:ind w:left="725" w:firstLine="0"/>
      </w:pPr>
      <w:r>
        <w:t xml:space="preserve"> </w:t>
      </w:r>
    </w:p>
    <w:p w14:paraId="7BA3127C" w14:textId="77777777" w:rsidR="00D1352F" w:rsidRDefault="009B1F56">
      <w:pPr>
        <w:tabs>
          <w:tab w:val="center" w:pos="4710"/>
        </w:tabs>
        <w:spacing w:after="6"/>
        <w:ind w:left="-10" w:firstLine="0"/>
      </w:pPr>
      <w:r>
        <w:t>2.2</w:t>
      </w:r>
      <w:r>
        <w:rPr>
          <w:rFonts w:ascii="Arial" w:eastAsia="Arial" w:hAnsi="Arial" w:cs="Arial"/>
        </w:rPr>
        <w:t xml:space="preserve"> </w:t>
      </w:r>
      <w:r>
        <w:rPr>
          <w:rFonts w:ascii="Arial" w:eastAsia="Arial" w:hAnsi="Arial" w:cs="Arial"/>
        </w:rPr>
        <w:tab/>
      </w:r>
      <w:r>
        <w:t xml:space="preserve">The Framework Agreement provisions in clause 2.1 will be modified as follows: </w:t>
      </w:r>
    </w:p>
    <w:p w14:paraId="3A09197B" w14:textId="77777777" w:rsidR="00D1352F" w:rsidRDefault="009B1F56">
      <w:pPr>
        <w:spacing w:after="61" w:line="259" w:lineRule="auto"/>
        <w:ind w:left="725" w:firstLine="0"/>
      </w:pPr>
      <w:r>
        <w:t xml:space="preserve"> </w:t>
      </w:r>
    </w:p>
    <w:p w14:paraId="0A235609" w14:textId="77777777" w:rsidR="00D1352F" w:rsidRDefault="009B1F56">
      <w:pPr>
        <w:numPr>
          <w:ilvl w:val="0"/>
          <w:numId w:val="4"/>
        </w:numPr>
        <w:spacing w:after="0" w:line="267" w:lineRule="auto"/>
        <w:ind w:hanging="360"/>
      </w:pPr>
      <w:r>
        <w:t xml:space="preserve">a reference to the ‘Framework Agreement’ will be a reference to the ‘Call-Off Contract’ </w:t>
      </w:r>
    </w:p>
    <w:p w14:paraId="08A83C4A" w14:textId="77777777" w:rsidR="00D1352F" w:rsidRDefault="009B1F56">
      <w:pPr>
        <w:numPr>
          <w:ilvl w:val="0"/>
          <w:numId w:val="4"/>
        </w:numPr>
        <w:spacing w:after="249" w:line="267" w:lineRule="auto"/>
        <w:ind w:hanging="360"/>
      </w:pPr>
      <w:r>
        <w:t xml:space="preserve">a reference to ‘CCS’ will be a reference to ‘the Buyer’ </w:t>
      </w:r>
    </w:p>
    <w:p w14:paraId="391D8C05" w14:textId="77777777" w:rsidR="00D1352F" w:rsidRDefault="009B1F56">
      <w:pPr>
        <w:numPr>
          <w:ilvl w:val="0"/>
          <w:numId w:val="4"/>
        </w:numPr>
        <w:spacing w:after="249" w:line="267" w:lineRule="auto"/>
        <w:ind w:hanging="360"/>
      </w:pPr>
      <w:r>
        <w:t xml:space="preserve">a reference to the ‘Parties’ and a ‘Party’ will be a reference to the Buyer and Supplier as Parties under this Call-Off Contract </w:t>
      </w:r>
    </w:p>
    <w:p w14:paraId="3D916AF1" w14:textId="77777777" w:rsidR="00D1352F" w:rsidRDefault="009B1F56">
      <w:pPr>
        <w:numPr>
          <w:ilvl w:val="1"/>
          <w:numId w:val="5"/>
        </w:numPr>
        <w:spacing w:after="10" w:line="267" w:lineRule="auto"/>
        <w:ind w:hanging="725"/>
      </w:pPr>
      <w:r>
        <w:t xml:space="preserve">The Parties acknowledge that they are required to complete the applicable Annexes contained in schedule 4 (Processing Data) of the Framework Agreement for the purposes of this Call-Off </w:t>
      </w:r>
    </w:p>
    <w:p w14:paraId="0EC07233" w14:textId="77777777" w:rsidR="00D1352F" w:rsidRDefault="009B1F56">
      <w:pPr>
        <w:spacing w:after="48" w:line="267" w:lineRule="auto"/>
        <w:ind w:right="1"/>
        <w:jc w:val="center"/>
      </w:pPr>
      <w:r>
        <w:t xml:space="preserve">Contract.  The applicable Annexes being reproduced at schedule 7 of this Call-Off Contract. </w:t>
      </w:r>
    </w:p>
    <w:p w14:paraId="07E9CF6B" w14:textId="77777777" w:rsidR="00D1352F" w:rsidRDefault="009B1F56">
      <w:pPr>
        <w:numPr>
          <w:ilvl w:val="1"/>
          <w:numId w:val="5"/>
        </w:numPr>
        <w:spacing w:after="48" w:line="267" w:lineRule="auto"/>
        <w:ind w:hanging="725"/>
      </w:pPr>
      <w:r>
        <w:t xml:space="preserve">The Framework Agreement incorporated clauses will be referred to as ‘incorporated Framework clause XX’, where ‘XX’ is the Framework Agreement clause number. </w:t>
      </w:r>
    </w:p>
    <w:p w14:paraId="2FC6FAE3" w14:textId="77777777" w:rsidR="00D1352F" w:rsidRDefault="009B1F56">
      <w:pPr>
        <w:numPr>
          <w:ilvl w:val="1"/>
          <w:numId w:val="5"/>
        </w:numPr>
        <w:spacing w:after="7"/>
        <w:ind w:hanging="725"/>
      </w:pPr>
      <w:r>
        <w:t xml:space="preserve">When an Order Form is signed, the terms and conditions agreed in it will be incorporated into this Call-Off Contract. </w:t>
      </w:r>
    </w:p>
    <w:p w14:paraId="7F93A716" w14:textId="77777777" w:rsidR="00D1352F" w:rsidRDefault="009B1F56">
      <w:pPr>
        <w:spacing w:after="267" w:line="259" w:lineRule="auto"/>
        <w:ind w:left="725" w:firstLine="0"/>
      </w:pPr>
      <w:r>
        <w:t xml:space="preserve"> </w:t>
      </w:r>
    </w:p>
    <w:p w14:paraId="5E7DE1EA" w14:textId="77777777" w:rsidR="00D1352F" w:rsidRDefault="009B1F56">
      <w:pPr>
        <w:pStyle w:val="Heading3"/>
        <w:ind w:left="0"/>
      </w:pPr>
      <w:bookmarkStart w:id="13" w:name="_Toc76722"/>
      <w:r>
        <w:t xml:space="preserve">3. Supply of services </w:t>
      </w:r>
      <w:bookmarkEnd w:id="13"/>
    </w:p>
    <w:p w14:paraId="1E50AFA4" w14:textId="77777777" w:rsidR="00D1352F" w:rsidRDefault="009B1F56">
      <w:pPr>
        <w:spacing w:after="258" w:line="259" w:lineRule="auto"/>
        <w:ind w:left="5" w:firstLine="0"/>
      </w:pPr>
      <w:r>
        <w:t xml:space="preserve"> </w:t>
      </w:r>
    </w:p>
    <w:p w14:paraId="186EF40F" w14:textId="77777777" w:rsidR="00D1352F" w:rsidRDefault="009B1F56">
      <w:pPr>
        <w:ind w:left="715" w:hanging="725"/>
      </w:pPr>
      <w:r>
        <w:t>3.1</w:t>
      </w:r>
      <w:r>
        <w:rPr>
          <w:rFonts w:ascii="Arial" w:eastAsia="Arial" w:hAnsi="Arial" w:cs="Arial"/>
        </w:rPr>
        <w:t xml:space="preserve"> </w:t>
      </w:r>
      <w:r>
        <w:rPr>
          <w:rFonts w:ascii="Arial" w:eastAsia="Arial" w:hAnsi="Arial" w:cs="Arial"/>
        </w:rPr>
        <w:tab/>
      </w:r>
      <w:r>
        <w:t xml:space="preserve">The Supplier agrees to supply the G-Cloud Services and any Additional Services under the terms of the Call-Off Contract and the Supplier’s Application. </w:t>
      </w:r>
    </w:p>
    <w:p w14:paraId="73958FE1" w14:textId="77777777" w:rsidR="00D1352F" w:rsidRDefault="009B1F56">
      <w:pPr>
        <w:ind w:left="715" w:hanging="725"/>
      </w:pPr>
      <w:r>
        <w:t>3.2</w:t>
      </w:r>
      <w:r>
        <w:rPr>
          <w:rFonts w:ascii="Arial" w:eastAsia="Arial" w:hAnsi="Arial" w:cs="Arial"/>
        </w:rPr>
        <w:t xml:space="preserve"> </w:t>
      </w:r>
      <w:r>
        <w:rPr>
          <w:rFonts w:ascii="Arial" w:eastAsia="Arial" w:hAnsi="Arial" w:cs="Arial"/>
        </w:rPr>
        <w:tab/>
      </w:r>
      <w:r>
        <w:t xml:space="preserve">The Supplier undertakes that each G-Cloud Service will meet the Buyer’s acceptance criteria, as defined in the Order Form. </w:t>
      </w:r>
    </w:p>
    <w:p w14:paraId="4BBD9FED" w14:textId="77777777" w:rsidR="00D1352F" w:rsidRDefault="009B1F56">
      <w:pPr>
        <w:pStyle w:val="Heading3"/>
        <w:ind w:left="0"/>
      </w:pPr>
      <w:bookmarkStart w:id="14" w:name="_Toc76723"/>
      <w:r>
        <w:t xml:space="preserve">4. Supplier staff </w:t>
      </w:r>
      <w:bookmarkEnd w:id="14"/>
    </w:p>
    <w:p w14:paraId="44AD243C" w14:textId="77777777" w:rsidR="00D1352F" w:rsidRDefault="009B1F56">
      <w:pPr>
        <w:spacing w:after="258" w:line="259" w:lineRule="auto"/>
        <w:ind w:left="5" w:firstLine="0"/>
      </w:pPr>
      <w:r>
        <w:t xml:space="preserve"> </w:t>
      </w:r>
    </w:p>
    <w:p w14:paraId="4153E32B" w14:textId="77777777" w:rsidR="00D1352F" w:rsidRDefault="009B1F56">
      <w:pPr>
        <w:tabs>
          <w:tab w:val="center" w:pos="1932"/>
        </w:tabs>
        <w:spacing w:after="11"/>
        <w:ind w:left="-10" w:firstLine="0"/>
      </w:pPr>
      <w:r>
        <w:t>4.1</w:t>
      </w:r>
      <w:r>
        <w:rPr>
          <w:rFonts w:ascii="Arial" w:eastAsia="Arial" w:hAnsi="Arial" w:cs="Arial"/>
        </w:rPr>
        <w:t xml:space="preserve"> </w:t>
      </w:r>
      <w:r>
        <w:rPr>
          <w:rFonts w:ascii="Arial" w:eastAsia="Arial" w:hAnsi="Arial" w:cs="Arial"/>
        </w:rPr>
        <w:tab/>
      </w:r>
      <w:r>
        <w:t xml:space="preserve">The Supplier Staff must: </w:t>
      </w:r>
    </w:p>
    <w:p w14:paraId="4A3ECC80" w14:textId="77777777" w:rsidR="00D1352F" w:rsidRDefault="009B1F56">
      <w:pPr>
        <w:spacing w:after="61" w:line="259" w:lineRule="auto"/>
        <w:ind w:left="725" w:firstLine="0"/>
      </w:pPr>
      <w:r>
        <w:t xml:space="preserve"> </w:t>
      </w:r>
    </w:p>
    <w:p w14:paraId="66382935" w14:textId="77777777" w:rsidR="00D1352F" w:rsidRDefault="009B1F56">
      <w:pPr>
        <w:numPr>
          <w:ilvl w:val="0"/>
          <w:numId w:val="6"/>
        </w:numPr>
        <w:spacing w:after="46"/>
        <w:ind w:hanging="360"/>
      </w:pPr>
      <w:r>
        <w:t xml:space="preserve">be appropriately experienced, </w:t>
      </w:r>
      <w:proofErr w:type="gramStart"/>
      <w:r>
        <w:t>qualified</w:t>
      </w:r>
      <w:proofErr w:type="gramEnd"/>
      <w:r>
        <w:t xml:space="preserve"> and trained to supply the Services </w:t>
      </w:r>
    </w:p>
    <w:p w14:paraId="1391C6E0" w14:textId="77777777" w:rsidR="00D1352F" w:rsidRDefault="009B1F56">
      <w:pPr>
        <w:numPr>
          <w:ilvl w:val="0"/>
          <w:numId w:val="6"/>
        </w:numPr>
        <w:spacing w:after="52"/>
        <w:ind w:hanging="360"/>
      </w:pPr>
      <w:r>
        <w:lastRenderedPageBreak/>
        <w:t xml:space="preserve">apply all due skill, </w:t>
      </w:r>
      <w:proofErr w:type="gramStart"/>
      <w:r>
        <w:t>care</w:t>
      </w:r>
      <w:proofErr w:type="gramEnd"/>
      <w:r>
        <w:t xml:space="preserve"> and diligence in faithfully performing those duties </w:t>
      </w:r>
    </w:p>
    <w:p w14:paraId="5A873313" w14:textId="77777777" w:rsidR="00D1352F" w:rsidRDefault="009B1F56">
      <w:pPr>
        <w:numPr>
          <w:ilvl w:val="0"/>
          <w:numId w:val="6"/>
        </w:numPr>
        <w:spacing w:after="45"/>
        <w:ind w:hanging="360"/>
      </w:pPr>
      <w:r>
        <w:t xml:space="preserve">obey all lawful instructions and reasonable directions of the Buyer and provide the Services to the reasonable satisfaction of the Buyer </w:t>
      </w:r>
    </w:p>
    <w:p w14:paraId="0FBF467C" w14:textId="77777777" w:rsidR="00D1352F" w:rsidRDefault="009B1F56">
      <w:pPr>
        <w:numPr>
          <w:ilvl w:val="0"/>
          <w:numId w:val="6"/>
        </w:numPr>
        <w:spacing w:after="46"/>
        <w:ind w:hanging="360"/>
      </w:pPr>
      <w:r>
        <w:t xml:space="preserve">respond to any enquiries about the Services as soon as reasonably possible </w:t>
      </w:r>
    </w:p>
    <w:p w14:paraId="37FFA9B6" w14:textId="77777777" w:rsidR="00D1352F" w:rsidRDefault="009B1F56">
      <w:pPr>
        <w:numPr>
          <w:ilvl w:val="0"/>
          <w:numId w:val="6"/>
        </w:numPr>
        <w:spacing w:after="11"/>
        <w:ind w:hanging="360"/>
      </w:pPr>
      <w:r>
        <w:t xml:space="preserve">complete any necessary Supplier Staff vetting as specified by the Buyer </w:t>
      </w:r>
    </w:p>
    <w:p w14:paraId="661E7A77" w14:textId="77777777" w:rsidR="00D1352F" w:rsidRDefault="009B1F56">
      <w:pPr>
        <w:spacing w:after="61" w:line="259" w:lineRule="auto"/>
        <w:ind w:left="1445" w:firstLine="0"/>
      </w:pPr>
      <w:r>
        <w:t xml:space="preserve"> </w:t>
      </w:r>
    </w:p>
    <w:p w14:paraId="3A4D0EC8" w14:textId="77777777" w:rsidR="00D1352F" w:rsidRDefault="009B1F56">
      <w:pPr>
        <w:numPr>
          <w:ilvl w:val="1"/>
          <w:numId w:val="7"/>
        </w:numPr>
        <w:spacing w:after="47"/>
        <w:ind w:hanging="725"/>
      </w:pPr>
      <w:r>
        <w:t xml:space="preserve">The Supplier must retain overall control of the Supplier Staff so that they are not considered to be employees, workers, </w:t>
      </w:r>
      <w:proofErr w:type="gramStart"/>
      <w:r>
        <w:t>agents</w:t>
      </w:r>
      <w:proofErr w:type="gramEnd"/>
      <w:r>
        <w:t xml:space="preserve"> or contractors of the Buyer. </w:t>
      </w:r>
    </w:p>
    <w:p w14:paraId="393CE98C" w14:textId="77777777" w:rsidR="00D1352F" w:rsidRDefault="009B1F56">
      <w:pPr>
        <w:numPr>
          <w:ilvl w:val="1"/>
          <w:numId w:val="7"/>
        </w:numPr>
        <w:spacing w:after="46"/>
        <w:ind w:hanging="725"/>
      </w:pPr>
      <w:r>
        <w:t xml:space="preserve">The Supplier may substitute any Supplier Staff </w:t>
      </w:r>
      <w:proofErr w:type="gramStart"/>
      <w:r>
        <w:t>as long as</w:t>
      </w:r>
      <w:proofErr w:type="gramEnd"/>
      <w:r>
        <w:t xml:space="preserve"> they have the equivalent experience and qualifications to the substituted staff member. </w:t>
      </w:r>
    </w:p>
    <w:p w14:paraId="70D85FFF" w14:textId="77777777" w:rsidR="00D1352F" w:rsidRDefault="009B1F56">
      <w:pPr>
        <w:numPr>
          <w:ilvl w:val="1"/>
          <w:numId w:val="7"/>
        </w:numPr>
        <w:spacing w:after="249" w:line="267" w:lineRule="auto"/>
        <w:ind w:hanging="725"/>
      </w:pPr>
      <w:r>
        <w:t xml:space="preserve">The Buyer may conduct IR35 Assessments using the ESI tool to assess whether the Supplier’s engagement under the Call-Off Contract is Inside or Outside IR35. </w:t>
      </w:r>
    </w:p>
    <w:p w14:paraId="37E7A60F" w14:textId="77777777" w:rsidR="00D1352F" w:rsidRDefault="009B1F56">
      <w:pPr>
        <w:numPr>
          <w:ilvl w:val="1"/>
          <w:numId w:val="7"/>
        </w:numPr>
        <w:ind w:hanging="725"/>
      </w:pPr>
      <w:r>
        <w:t xml:space="preserve">The Buyer may End this Call-Off Contract for Material Breach if the Supplier is delivering the Services Inside IR35. </w:t>
      </w:r>
    </w:p>
    <w:p w14:paraId="4CDA60FE" w14:textId="77777777" w:rsidR="00D1352F" w:rsidRDefault="009B1F56">
      <w:pPr>
        <w:numPr>
          <w:ilvl w:val="1"/>
          <w:numId w:val="7"/>
        </w:numPr>
        <w:spacing w:after="6"/>
        <w:ind w:hanging="725"/>
      </w:pPr>
      <w:r>
        <w:t xml:space="preserve">The Buyer may need the Supplier to complete an Indicative Test using the ESI tool before the Start Date or at any time during the provision of Services to provide a preliminary view of whether the </w:t>
      </w:r>
    </w:p>
    <w:p w14:paraId="70C7DE6A" w14:textId="77777777" w:rsidR="00D1352F" w:rsidRDefault="009B1F56">
      <w:pPr>
        <w:ind w:left="735"/>
      </w:pPr>
      <w:r>
        <w:t xml:space="preserve">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3EAC8929" w14:textId="77777777" w:rsidR="00D1352F" w:rsidRDefault="009B1F56">
      <w:pPr>
        <w:numPr>
          <w:ilvl w:val="1"/>
          <w:numId w:val="7"/>
        </w:numPr>
        <w:ind w:hanging="725"/>
      </w:pPr>
      <w:r>
        <w:t xml:space="preserve">If the Indicative Test indicates the delivery of the Services could potentially be Inside IR35, the Supplier must provide the Buyer with all relevant information needed to enable the Buyer to conduct its own IR35 Assessment.  </w:t>
      </w:r>
    </w:p>
    <w:p w14:paraId="7C16BF16" w14:textId="77777777" w:rsidR="00D1352F" w:rsidRDefault="009B1F56">
      <w:pPr>
        <w:numPr>
          <w:ilvl w:val="1"/>
          <w:numId w:val="7"/>
        </w:numPr>
        <w:ind w:hanging="725"/>
      </w:pPr>
      <w:r>
        <w:t xml:space="preserve">If it is determined by the Buyer that the Supplier is Outside IR35, the Buyer will provide the ESI reference number and a copy of the PDF to the Supplier. </w:t>
      </w:r>
    </w:p>
    <w:p w14:paraId="0FAD9CFD" w14:textId="77777777" w:rsidR="00D1352F" w:rsidRDefault="009B1F56">
      <w:pPr>
        <w:pStyle w:val="Heading3"/>
        <w:ind w:left="0"/>
      </w:pPr>
      <w:bookmarkStart w:id="15" w:name="_Toc76724"/>
      <w:r>
        <w:t xml:space="preserve">5. Due diligence </w:t>
      </w:r>
      <w:bookmarkEnd w:id="15"/>
    </w:p>
    <w:p w14:paraId="126C6244" w14:textId="77777777" w:rsidR="00D1352F" w:rsidRDefault="009B1F56">
      <w:pPr>
        <w:spacing w:after="258" w:line="259" w:lineRule="auto"/>
        <w:ind w:left="5" w:firstLine="0"/>
      </w:pPr>
      <w:r>
        <w:t xml:space="preserve"> </w:t>
      </w:r>
    </w:p>
    <w:p w14:paraId="630281B3" w14:textId="77777777" w:rsidR="00D1352F" w:rsidRDefault="009B1F56">
      <w:pPr>
        <w:tabs>
          <w:tab w:val="center" w:pos="4144"/>
        </w:tabs>
        <w:ind w:left="-10" w:firstLine="0"/>
      </w:pPr>
      <w:r>
        <w:t>5.1</w:t>
      </w:r>
      <w:r>
        <w:rPr>
          <w:rFonts w:ascii="Arial" w:eastAsia="Arial" w:hAnsi="Arial" w:cs="Arial"/>
        </w:rPr>
        <w:t xml:space="preserve"> </w:t>
      </w:r>
      <w:r>
        <w:rPr>
          <w:rFonts w:ascii="Arial" w:eastAsia="Arial" w:hAnsi="Arial" w:cs="Arial"/>
        </w:rPr>
        <w:tab/>
      </w:r>
      <w:r>
        <w:t xml:space="preserve">Both Parties agree that when </w:t>
      </w:r>
      <w:proofErr w:type="gramStart"/>
      <w:r>
        <w:t>entering into</w:t>
      </w:r>
      <w:proofErr w:type="gramEnd"/>
      <w:r>
        <w:t xml:space="preserve"> a Call-Off Contract they: </w:t>
      </w:r>
    </w:p>
    <w:p w14:paraId="7236964D" w14:textId="77777777" w:rsidR="00D1352F" w:rsidRDefault="009B1F56">
      <w:pPr>
        <w:numPr>
          <w:ilvl w:val="0"/>
          <w:numId w:val="8"/>
        </w:numPr>
        <w:spacing w:after="45"/>
        <w:ind w:hanging="360"/>
      </w:pPr>
      <w:r>
        <w:t xml:space="preserve">have made their own enquiries and are satisfied by the accuracy of any information supplied by the other Party </w:t>
      </w:r>
    </w:p>
    <w:p w14:paraId="333105DA" w14:textId="77777777" w:rsidR="00D1352F" w:rsidRDefault="009B1F56">
      <w:pPr>
        <w:numPr>
          <w:ilvl w:val="0"/>
          <w:numId w:val="8"/>
        </w:numPr>
        <w:spacing w:after="62" w:line="259" w:lineRule="auto"/>
        <w:ind w:hanging="360"/>
      </w:pPr>
      <w:r>
        <w:t xml:space="preserve">are confident that they can fulfil their obligations according to the Call-Off Contract terms </w:t>
      </w:r>
    </w:p>
    <w:p w14:paraId="7ABA5C06" w14:textId="77777777" w:rsidR="00D1352F" w:rsidRDefault="009B1F56">
      <w:pPr>
        <w:numPr>
          <w:ilvl w:val="0"/>
          <w:numId w:val="8"/>
        </w:numPr>
        <w:spacing w:after="46"/>
        <w:ind w:hanging="360"/>
      </w:pPr>
      <w:r>
        <w:t xml:space="preserve">have raised all due diligence questions before signing the Call-Off Contract </w:t>
      </w:r>
    </w:p>
    <w:p w14:paraId="5A695E98" w14:textId="77777777" w:rsidR="00D1352F" w:rsidRDefault="009B1F56">
      <w:pPr>
        <w:numPr>
          <w:ilvl w:val="0"/>
          <w:numId w:val="8"/>
        </w:numPr>
        <w:spacing w:after="11"/>
        <w:ind w:hanging="360"/>
      </w:pPr>
      <w:r>
        <w:t xml:space="preserve">have </w:t>
      </w:r>
      <w:proofErr w:type="gramStart"/>
      <w:r>
        <w:t>entered into</w:t>
      </w:r>
      <w:proofErr w:type="gramEnd"/>
      <w:r>
        <w:t xml:space="preserve"> the Call-Off Contract relying on its own due diligence </w:t>
      </w:r>
    </w:p>
    <w:p w14:paraId="175ED659" w14:textId="77777777" w:rsidR="00D1352F" w:rsidRDefault="009B1F56">
      <w:pPr>
        <w:spacing w:after="266" w:line="259" w:lineRule="auto"/>
        <w:ind w:left="5" w:firstLine="0"/>
      </w:pPr>
      <w:r>
        <w:t xml:space="preserve"> </w:t>
      </w:r>
    </w:p>
    <w:p w14:paraId="2C51C1BD" w14:textId="77777777" w:rsidR="00D1352F" w:rsidRDefault="009B1F56">
      <w:pPr>
        <w:pStyle w:val="Heading3"/>
        <w:ind w:left="0"/>
      </w:pPr>
      <w:bookmarkStart w:id="16" w:name="_Toc76725"/>
      <w:r>
        <w:lastRenderedPageBreak/>
        <w:t xml:space="preserve">6. Business continuity and disaster recovery </w:t>
      </w:r>
      <w:bookmarkEnd w:id="16"/>
    </w:p>
    <w:p w14:paraId="57824C58" w14:textId="77777777" w:rsidR="00D1352F" w:rsidRDefault="009B1F56">
      <w:pPr>
        <w:spacing w:after="259" w:line="259" w:lineRule="auto"/>
        <w:ind w:left="5" w:firstLine="0"/>
      </w:pPr>
      <w:r>
        <w:t xml:space="preserve"> </w:t>
      </w:r>
    </w:p>
    <w:p w14:paraId="3CB7C042" w14:textId="77777777" w:rsidR="00D1352F" w:rsidRDefault="009B1F56">
      <w:pPr>
        <w:ind w:left="715" w:hanging="725"/>
      </w:pPr>
      <w:r>
        <w:t>6.1</w:t>
      </w:r>
      <w:r>
        <w:rPr>
          <w:rFonts w:ascii="Arial" w:eastAsia="Arial" w:hAnsi="Arial" w:cs="Arial"/>
        </w:rPr>
        <w:t xml:space="preserve"> </w:t>
      </w:r>
      <w:r>
        <w:rPr>
          <w:rFonts w:ascii="Arial" w:eastAsia="Arial" w:hAnsi="Arial" w:cs="Arial"/>
        </w:rPr>
        <w:tab/>
      </w:r>
      <w:r>
        <w:t xml:space="preserve">The Supplier will have a clear business continuity and disaster recovery plan in their service descriptions. </w:t>
      </w:r>
    </w:p>
    <w:p w14:paraId="70577A37" w14:textId="77777777" w:rsidR="00D1352F" w:rsidRDefault="009B1F56">
      <w:pPr>
        <w:ind w:left="715" w:hanging="725"/>
      </w:pPr>
      <w:r>
        <w:t>6.2</w:t>
      </w:r>
      <w:r>
        <w:rPr>
          <w:rFonts w:ascii="Arial" w:eastAsia="Arial" w:hAnsi="Arial" w:cs="Arial"/>
        </w:rPr>
        <w:t xml:space="preserve"> </w:t>
      </w:r>
      <w:r>
        <w:rPr>
          <w:rFonts w:ascii="Arial" w:eastAsia="Arial" w:hAnsi="Arial" w:cs="Arial"/>
        </w:rPr>
        <w:tab/>
      </w:r>
      <w:r>
        <w:t xml:space="preserve">The Supplier’s business continuity and disaster recovery services are part of the Services and will be performed by the Supplier when required. </w:t>
      </w:r>
    </w:p>
    <w:p w14:paraId="66F892CE" w14:textId="77777777" w:rsidR="00D1352F" w:rsidRDefault="009B1F56">
      <w:pPr>
        <w:ind w:left="715" w:hanging="725"/>
      </w:pPr>
      <w:r>
        <w:t>6.3</w:t>
      </w:r>
      <w:r>
        <w:rPr>
          <w:rFonts w:ascii="Arial" w:eastAsia="Arial" w:hAnsi="Arial" w:cs="Arial"/>
        </w:rPr>
        <w:t xml:space="preserve"> </w:t>
      </w:r>
      <w:r>
        <w:rPr>
          <w:rFonts w:ascii="Arial" w:eastAsia="Arial" w:hAnsi="Arial" w:cs="Arial"/>
        </w:rPr>
        <w:tab/>
      </w:r>
      <w:r>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6924C85E" w14:textId="77777777" w:rsidR="00D1352F" w:rsidRDefault="009B1F56">
      <w:pPr>
        <w:pStyle w:val="Heading3"/>
        <w:ind w:left="0"/>
      </w:pPr>
      <w:bookmarkStart w:id="17" w:name="_Toc76726"/>
      <w:r>
        <w:t xml:space="preserve">7. Payment, VAT and Call-Off Contract charges </w:t>
      </w:r>
      <w:bookmarkEnd w:id="17"/>
    </w:p>
    <w:p w14:paraId="4327AEB1" w14:textId="77777777" w:rsidR="00D1352F" w:rsidRDefault="009B1F56">
      <w:pPr>
        <w:spacing w:after="258" w:line="259" w:lineRule="auto"/>
        <w:ind w:left="5" w:firstLine="0"/>
      </w:pPr>
      <w:r>
        <w:t xml:space="preserve"> </w:t>
      </w:r>
    </w:p>
    <w:p w14:paraId="64658F65" w14:textId="77777777" w:rsidR="00D1352F" w:rsidRDefault="009B1F56">
      <w:pPr>
        <w:spacing w:after="249" w:line="267" w:lineRule="auto"/>
        <w:ind w:left="715" w:hanging="725"/>
      </w:pPr>
      <w:r>
        <w:t>7.1</w:t>
      </w:r>
      <w:r>
        <w:rPr>
          <w:rFonts w:ascii="Arial" w:eastAsia="Arial" w:hAnsi="Arial" w:cs="Arial"/>
        </w:rPr>
        <w:t xml:space="preserve"> </w:t>
      </w:r>
      <w:r>
        <w:rPr>
          <w:rFonts w:ascii="Arial" w:eastAsia="Arial" w:hAnsi="Arial" w:cs="Arial"/>
        </w:rPr>
        <w:tab/>
      </w:r>
      <w:r>
        <w:t xml:space="preserve">The Buyer must pay the Charges following clauses 7.2 to 7.11 for the Supplier’s delivery of the Services. </w:t>
      </w:r>
    </w:p>
    <w:p w14:paraId="273B0064" w14:textId="77777777" w:rsidR="00D1352F" w:rsidRDefault="009B1F56">
      <w:pPr>
        <w:ind w:left="715" w:hanging="725"/>
      </w:pPr>
      <w:r>
        <w:t>7.2</w:t>
      </w:r>
      <w:r>
        <w:rPr>
          <w:rFonts w:ascii="Arial" w:eastAsia="Arial" w:hAnsi="Arial" w:cs="Arial"/>
        </w:rPr>
        <w:t xml:space="preserve"> </w:t>
      </w:r>
      <w:r>
        <w:rPr>
          <w:rFonts w:ascii="Arial" w:eastAsia="Arial" w:hAnsi="Arial" w:cs="Arial"/>
        </w:rPr>
        <w:tab/>
      </w:r>
      <w:r>
        <w:t xml:space="preserve">The Buyer will pay the Supplier within the number of days specified in the Order Form on receipt of a valid invoice. </w:t>
      </w:r>
    </w:p>
    <w:p w14:paraId="1D8AC8FB" w14:textId="77777777" w:rsidR="00D1352F" w:rsidRDefault="009B1F56">
      <w:pPr>
        <w:ind w:left="715" w:hanging="725"/>
      </w:pPr>
      <w:r>
        <w:t>7.3</w:t>
      </w:r>
      <w:r>
        <w:rPr>
          <w:rFonts w:ascii="Arial" w:eastAsia="Arial" w:hAnsi="Arial" w:cs="Arial"/>
        </w:rPr>
        <w:t xml:space="preserve"> </w:t>
      </w:r>
      <w:r>
        <w:rPr>
          <w:rFonts w:ascii="Arial" w:eastAsia="Arial" w:hAnsi="Arial" w:cs="Arial"/>
        </w:rPr>
        <w:tab/>
      </w:r>
      <w:r>
        <w:t xml:space="preserve">The Call-Off Contract Charges include all Charges for payment Processing. All invoices submitted to the Buyer for the Services will be exclusive of any Management Charge. </w:t>
      </w:r>
    </w:p>
    <w:p w14:paraId="704D180D" w14:textId="77777777" w:rsidR="00D1352F" w:rsidRDefault="009B1F56">
      <w:pPr>
        <w:ind w:left="715" w:hanging="725"/>
      </w:pPr>
      <w:r>
        <w:t>7.4</w:t>
      </w:r>
      <w:r>
        <w:rPr>
          <w:rFonts w:ascii="Arial" w:eastAsia="Arial" w:hAnsi="Arial" w:cs="Arial"/>
        </w:rPr>
        <w:t xml:space="preserve"> </w:t>
      </w:r>
      <w:r>
        <w:rPr>
          <w:rFonts w:ascii="Arial" w:eastAsia="Arial" w:hAnsi="Arial" w:cs="Arial"/>
        </w:rPr>
        <w:tab/>
      </w: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58A0A6E1" w14:textId="77777777" w:rsidR="00D1352F" w:rsidRDefault="009B1F56">
      <w:pPr>
        <w:ind w:left="715" w:hanging="725"/>
      </w:pPr>
      <w:r>
        <w:t>7.5</w:t>
      </w:r>
      <w:r>
        <w:rPr>
          <w:rFonts w:ascii="Arial" w:eastAsia="Arial" w:hAnsi="Arial" w:cs="Arial"/>
        </w:rPr>
        <w:t xml:space="preserve"> </w:t>
      </w:r>
      <w:r>
        <w:rPr>
          <w:rFonts w:ascii="Arial" w:eastAsia="Arial" w:hAnsi="Arial" w:cs="Arial"/>
        </w:rPr>
        <w:tab/>
      </w:r>
      <w:r>
        <w:t xml:space="preserve">The Supplier must ensure that each invoice contains a detailed breakdown of the G-Cloud Services supplied. The Buyer may request the Supplier provides further documentation to substantiate the invoice.  </w:t>
      </w:r>
    </w:p>
    <w:p w14:paraId="262EDED4" w14:textId="77777777" w:rsidR="00D1352F" w:rsidRDefault="009B1F56">
      <w:pPr>
        <w:ind w:left="715" w:hanging="725"/>
      </w:pPr>
      <w:r>
        <w:t>7.6</w:t>
      </w:r>
      <w:r>
        <w:rPr>
          <w:rFonts w:ascii="Arial" w:eastAsia="Arial" w:hAnsi="Arial" w:cs="Arial"/>
        </w:rPr>
        <w:t xml:space="preserve"> </w:t>
      </w:r>
      <w:r>
        <w:rPr>
          <w:rFonts w:ascii="Arial" w:eastAsia="Arial" w:hAnsi="Arial" w:cs="Arial"/>
        </w:rPr>
        <w:tab/>
      </w:r>
      <w:r>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 </w:t>
      </w:r>
    </w:p>
    <w:p w14:paraId="6F2743BA" w14:textId="77777777" w:rsidR="00D1352F" w:rsidRDefault="009B1F56">
      <w:pPr>
        <w:tabs>
          <w:tab w:val="center" w:pos="5247"/>
        </w:tabs>
        <w:ind w:left="-10" w:firstLine="0"/>
      </w:pPr>
      <w:r>
        <w:t>7.7</w:t>
      </w:r>
      <w:r>
        <w:rPr>
          <w:rFonts w:ascii="Arial" w:eastAsia="Arial" w:hAnsi="Arial" w:cs="Arial"/>
        </w:rPr>
        <w:t xml:space="preserve"> </w:t>
      </w:r>
      <w:r>
        <w:rPr>
          <w:rFonts w:ascii="Arial" w:eastAsia="Arial" w:hAnsi="Arial" w:cs="Arial"/>
        </w:rPr>
        <w:tab/>
      </w:r>
      <w:r>
        <w:t xml:space="preserve">All Charges payable by the Buyer to the Supplier will include VAT at the appropriate rate. </w:t>
      </w:r>
    </w:p>
    <w:p w14:paraId="505E392B" w14:textId="77777777" w:rsidR="00D1352F" w:rsidRDefault="009B1F56">
      <w:pPr>
        <w:ind w:left="715" w:hanging="725"/>
      </w:pPr>
      <w:r>
        <w:t>7.8</w:t>
      </w:r>
      <w:r>
        <w:rPr>
          <w:rFonts w:ascii="Arial" w:eastAsia="Arial" w:hAnsi="Arial" w:cs="Arial"/>
        </w:rPr>
        <w:t xml:space="preserve"> </w:t>
      </w:r>
      <w:r>
        <w:rPr>
          <w:rFonts w:ascii="Arial" w:eastAsia="Arial" w:hAnsi="Arial" w:cs="Arial"/>
        </w:rPr>
        <w:tab/>
      </w:r>
      <w:r>
        <w:t xml:space="preserve">The Supplier must add VAT to the Charges at the appropriate rate with visibility of the amount as a separate line item.  </w:t>
      </w:r>
    </w:p>
    <w:p w14:paraId="49C4178A" w14:textId="77777777" w:rsidR="00D1352F" w:rsidRDefault="009B1F56">
      <w:pPr>
        <w:ind w:left="715" w:hanging="725"/>
      </w:pPr>
      <w:r>
        <w:t>7.9</w:t>
      </w:r>
      <w:r>
        <w:rPr>
          <w:rFonts w:ascii="Arial" w:eastAsia="Arial" w:hAnsi="Arial" w:cs="Arial"/>
        </w:rPr>
        <w:t xml:space="preserve"> </w:t>
      </w:r>
      <w:r>
        <w:rPr>
          <w:rFonts w:ascii="Arial" w:eastAsia="Arial" w:hAnsi="Arial" w:cs="Arial"/>
        </w:rPr>
        <w:tab/>
      </w:r>
      <w:r>
        <w:t xml:space="preserve">The Supplier will indemnify the Buyer on demand against any liability arising from the Supplier's failure to account for or to pay any VAT on payments made to the Supplier under this Call-Off </w:t>
      </w:r>
      <w:r>
        <w:lastRenderedPageBreak/>
        <w:t xml:space="preserve">Contract. The Supplier must pay all sums to the Buyer at least 5 Working Days before the date on which the tax or other liability is payable by the Buyer.   </w:t>
      </w:r>
    </w:p>
    <w:p w14:paraId="02C7D8B6" w14:textId="77777777" w:rsidR="00D1352F" w:rsidRDefault="009B1F56">
      <w:pPr>
        <w:ind w:left="715" w:hanging="725"/>
      </w:pPr>
      <w:r>
        <w:t>7.10</w:t>
      </w:r>
      <w:r>
        <w:rPr>
          <w:rFonts w:ascii="Arial" w:eastAsia="Arial" w:hAnsi="Arial" w:cs="Arial"/>
        </w:rPr>
        <w:t xml:space="preserve"> </w:t>
      </w:r>
      <w:r>
        <w:rPr>
          <w:rFonts w:ascii="Arial" w:eastAsia="Arial" w:hAnsi="Arial" w:cs="Arial"/>
        </w:rPr>
        <w:tab/>
      </w: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47D16DD9" w14:textId="77777777" w:rsidR="00D1352F" w:rsidRDefault="009B1F56">
      <w:pPr>
        <w:ind w:left="715" w:hanging="725"/>
      </w:pPr>
      <w:r>
        <w:t>7.11</w:t>
      </w:r>
      <w:r>
        <w:rPr>
          <w:rFonts w:ascii="Arial" w:eastAsia="Arial" w:hAnsi="Arial" w:cs="Arial"/>
        </w:rPr>
        <w:t xml:space="preserve"> </w:t>
      </w:r>
      <w:r>
        <w:rPr>
          <w:rFonts w:ascii="Arial" w:eastAsia="Arial" w:hAnsi="Arial" w:cs="Arial"/>
        </w:rPr>
        <w:tab/>
      </w:r>
      <w:r>
        <w:t xml:space="preserve">If </w:t>
      </w:r>
      <w:proofErr w:type="gramStart"/>
      <w:r>
        <w:t>there’s</w:t>
      </w:r>
      <w:proofErr w:type="gramEnd"/>
      <w:r>
        <w:t xml:space="preserve">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486FEC5C" w14:textId="77777777" w:rsidR="00D1352F" w:rsidRDefault="009B1F56">
      <w:pPr>
        <w:ind w:left="715" w:hanging="725"/>
      </w:pPr>
      <w:r>
        <w:t>7.12</w:t>
      </w:r>
      <w:r>
        <w:rPr>
          <w:rFonts w:ascii="Arial" w:eastAsia="Arial" w:hAnsi="Arial" w:cs="Arial"/>
        </w:rPr>
        <w:t xml:space="preserve"> </w:t>
      </w:r>
      <w:r>
        <w:rPr>
          <w:rFonts w:ascii="Arial" w:eastAsia="Arial" w:hAnsi="Arial" w:cs="Arial"/>
        </w:rPr>
        <w:tab/>
      </w:r>
      <w:r>
        <w:t xml:space="preserve">Due to the nature of G-Cloud Services it </w:t>
      </w:r>
      <w:proofErr w:type="gramStart"/>
      <w:r>
        <w:t>isn’t</w:t>
      </w:r>
      <w:proofErr w:type="gramEnd"/>
      <w:r>
        <w:t xml:space="preserve"> possible in a static Order Form to exactly define the consumption of services over the duration of the Call-Off Contract. The Supplier agrees that the Buyer’s volumes indicated in the Order Form are indicative only. </w:t>
      </w:r>
    </w:p>
    <w:p w14:paraId="08CB5DB1" w14:textId="77777777" w:rsidR="00D1352F" w:rsidRDefault="009B1F56">
      <w:pPr>
        <w:pStyle w:val="Heading3"/>
        <w:ind w:left="0"/>
      </w:pPr>
      <w:bookmarkStart w:id="18" w:name="_Toc76727"/>
      <w:r>
        <w:t xml:space="preserve">8. Recovery of sums due and right of set-off </w:t>
      </w:r>
      <w:bookmarkEnd w:id="18"/>
    </w:p>
    <w:p w14:paraId="7CD601B9" w14:textId="77777777" w:rsidR="00D1352F" w:rsidRDefault="009B1F56">
      <w:pPr>
        <w:spacing w:after="258" w:line="259" w:lineRule="auto"/>
        <w:ind w:left="5" w:firstLine="0"/>
      </w:pPr>
      <w:r>
        <w:t xml:space="preserve"> </w:t>
      </w:r>
    </w:p>
    <w:p w14:paraId="390D1FC7" w14:textId="77777777" w:rsidR="00D1352F" w:rsidRDefault="009B1F56">
      <w:pPr>
        <w:ind w:left="715" w:hanging="725"/>
      </w:pPr>
      <w:r>
        <w:t>8.1</w:t>
      </w:r>
      <w:r>
        <w:rPr>
          <w:rFonts w:ascii="Arial" w:eastAsia="Arial" w:hAnsi="Arial" w:cs="Arial"/>
        </w:rPr>
        <w:t xml:space="preserve"> </w:t>
      </w:r>
      <w:r>
        <w:rPr>
          <w:rFonts w:ascii="Arial" w:eastAsia="Arial" w:hAnsi="Arial" w:cs="Arial"/>
        </w:rPr>
        <w:tab/>
      </w:r>
      <w:r>
        <w:t xml:space="preserve">If a Supplier owes money to the Buyer, the Buyer may deduct that sum from the Call-Off Contract Charges. </w:t>
      </w:r>
    </w:p>
    <w:p w14:paraId="4788DBA7" w14:textId="77777777" w:rsidR="00D1352F" w:rsidRDefault="009B1F56">
      <w:pPr>
        <w:pStyle w:val="Heading3"/>
        <w:ind w:left="0"/>
      </w:pPr>
      <w:bookmarkStart w:id="19" w:name="_Toc76728"/>
      <w:r>
        <w:t xml:space="preserve">9. Insurance </w:t>
      </w:r>
      <w:bookmarkEnd w:id="19"/>
    </w:p>
    <w:p w14:paraId="685F5EA5" w14:textId="77777777" w:rsidR="00D1352F" w:rsidRDefault="009B1F56">
      <w:pPr>
        <w:spacing w:after="258" w:line="259" w:lineRule="auto"/>
        <w:ind w:left="5" w:firstLine="0"/>
      </w:pPr>
      <w:r>
        <w:t xml:space="preserve"> </w:t>
      </w:r>
    </w:p>
    <w:p w14:paraId="2DBEDD00" w14:textId="77777777" w:rsidR="00D1352F" w:rsidRDefault="009B1F56">
      <w:pPr>
        <w:tabs>
          <w:tab w:val="center" w:pos="5476"/>
        </w:tabs>
        <w:ind w:left="-10" w:firstLine="0"/>
      </w:pPr>
      <w:r>
        <w:t>9.1</w:t>
      </w:r>
      <w:r>
        <w:rPr>
          <w:rFonts w:ascii="Arial" w:eastAsia="Arial" w:hAnsi="Arial" w:cs="Arial"/>
        </w:rPr>
        <w:t xml:space="preserve"> </w:t>
      </w:r>
      <w:r>
        <w:rPr>
          <w:rFonts w:ascii="Arial" w:eastAsia="Arial" w:hAnsi="Arial" w:cs="Arial"/>
        </w:rPr>
        <w:tab/>
      </w:r>
      <w:r>
        <w:t xml:space="preserve">The Supplier will maintain the insurances required by the Buyer including those in this clause. </w:t>
      </w:r>
    </w:p>
    <w:p w14:paraId="0E31028C" w14:textId="77777777" w:rsidR="00D1352F" w:rsidRDefault="009B1F56">
      <w:pPr>
        <w:tabs>
          <w:tab w:val="center" w:pos="2216"/>
        </w:tabs>
        <w:ind w:left="-10" w:firstLine="0"/>
      </w:pPr>
      <w:r>
        <w:t>9.2</w:t>
      </w:r>
      <w:r>
        <w:rPr>
          <w:rFonts w:ascii="Arial" w:eastAsia="Arial" w:hAnsi="Arial" w:cs="Arial"/>
        </w:rPr>
        <w:t xml:space="preserve"> </w:t>
      </w:r>
      <w:r>
        <w:rPr>
          <w:rFonts w:ascii="Arial" w:eastAsia="Arial" w:hAnsi="Arial" w:cs="Arial"/>
        </w:rPr>
        <w:tab/>
      </w:r>
      <w:r>
        <w:t xml:space="preserve">The Supplier will ensure that: </w:t>
      </w:r>
    </w:p>
    <w:p w14:paraId="093B7B85" w14:textId="77777777" w:rsidR="00D1352F" w:rsidRDefault="009B1F56">
      <w:pPr>
        <w:numPr>
          <w:ilvl w:val="0"/>
          <w:numId w:val="9"/>
        </w:numPr>
        <w:ind w:hanging="408"/>
      </w:pPr>
      <w: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9FE5BCE" w14:textId="77777777" w:rsidR="00D1352F" w:rsidRDefault="009B1F56">
      <w:pPr>
        <w:numPr>
          <w:ilvl w:val="0"/>
          <w:numId w:val="9"/>
        </w:numPr>
        <w:spacing w:after="249" w:line="267" w:lineRule="auto"/>
        <w:ind w:hanging="408"/>
      </w:pPr>
      <w:r>
        <w:t xml:space="preserve">the third-party public and products liability insurance contains an ‘indemnity to principals’ clause for the Buyer’s benefit  </w:t>
      </w:r>
    </w:p>
    <w:p w14:paraId="3E14DA68" w14:textId="77777777" w:rsidR="00D1352F" w:rsidRDefault="009B1F56">
      <w:pPr>
        <w:numPr>
          <w:ilvl w:val="0"/>
          <w:numId w:val="9"/>
        </w:numPr>
        <w:ind w:hanging="408"/>
      </w:pPr>
      <w:r>
        <w:t xml:space="preserve">all agents and professional consultants involved in the Services hold professional indemnity insurance to a minimum indemnity of £1,000,000 for each individual claim during the </w:t>
      </w:r>
      <w:proofErr w:type="spellStart"/>
      <w:r>
        <w:t>CallOff</w:t>
      </w:r>
      <w:proofErr w:type="spellEnd"/>
      <w:r>
        <w:t xml:space="preserve"> Contract, and for 6 years after the End or Expiry Date </w:t>
      </w:r>
    </w:p>
    <w:p w14:paraId="410BA930" w14:textId="77777777" w:rsidR="00D1352F" w:rsidRDefault="009B1F56">
      <w:pPr>
        <w:numPr>
          <w:ilvl w:val="0"/>
          <w:numId w:val="9"/>
        </w:numPr>
        <w:ind w:hanging="408"/>
      </w:pPr>
      <w:r>
        <w:lastRenderedPageBreak/>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766755E" w14:textId="77777777" w:rsidR="00D1352F" w:rsidRDefault="009B1F56">
      <w:pPr>
        <w:numPr>
          <w:ilvl w:val="1"/>
          <w:numId w:val="11"/>
        </w:numPr>
        <w:ind w:hanging="725"/>
      </w:pPr>
      <w:r>
        <w:t xml:space="preserve">If requested by the Buyer, the Supplier will obtain additional insurance policies, or extend existing policies bought under the Framework Agreement. </w:t>
      </w:r>
    </w:p>
    <w:p w14:paraId="30B19CAC" w14:textId="77777777" w:rsidR="00D1352F" w:rsidRDefault="009B1F56">
      <w:pPr>
        <w:numPr>
          <w:ilvl w:val="1"/>
          <w:numId w:val="11"/>
        </w:numPr>
        <w:ind w:hanging="725"/>
      </w:pPr>
      <w:r>
        <w:t xml:space="preserve">If requested by the Buyer, the Supplier will provide the following to show compliance with this clause: </w:t>
      </w:r>
    </w:p>
    <w:p w14:paraId="28D44056" w14:textId="77777777" w:rsidR="00D1352F" w:rsidRDefault="009B1F56">
      <w:pPr>
        <w:numPr>
          <w:ilvl w:val="0"/>
          <w:numId w:val="9"/>
        </w:numPr>
        <w:ind w:hanging="408"/>
      </w:pPr>
      <w:r>
        <w:t xml:space="preserve">a broker's verification of insurance </w:t>
      </w:r>
    </w:p>
    <w:p w14:paraId="71B4F283" w14:textId="77777777" w:rsidR="00D1352F" w:rsidRDefault="009B1F56">
      <w:pPr>
        <w:numPr>
          <w:ilvl w:val="0"/>
          <w:numId w:val="9"/>
        </w:numPr>
        <w:ind w:hanging="408"/>
      </w:pPr>
      <w:r>
        <w:t xml:space="preserve">receipts for the insurance premium </w:t>
      </w:r>
    </w:p>
    <w:p w14:paraId="45C89289" w14:textId="77777777" w:rsidR="00D1352F" w:rsidRDefault="009B1F56">
      <w:pPr>
        <w:numPr>
          <w:ilvl w:val="0"/>
          <w:numId w:val="9"/>
        </w:numPr>
        <w:ind w:hanging="408"/>
      </w:pPr>
      <w:r>
        <w:t xml:space="preserve">evidence of payment of the latest premiums due </w:t>
      </w:r>
    </w:p>
    <w:p w14:paraId="3AAA70DB" w14:textId="77777777" w:rsidR="00D1352F" w:rsidRDefault="009B1F56">
      <w:pPr>
        <w:ind w:left="715" w:hanging="725"/>
      </w:pPr>
      <w:r>
        <w:t>9.5</w:t>
      </w:r>
      <w:r>
        <w:rPr>
          <w:rFonts w:ascii="Arial" w:eastAsia="Arial" w:hAnsi="Arial" w:cs="Arial"/>
        </w:rPr>
        <w:t xml:space="preserve"> </w:t>
      </w:r>
      <w:r>
        <w:rPr>
          <w:rFonts w:ascii="Arial" w:eastAsia="Arial" w:hAnsi="Arial" w:cs="Arial"/>
        </w:rPr>
        <w:tab/>
      </w:r>
      <w:r>
        <w:t xml:space="preserve">Insurance will not relieve the Supplier of any liabilities under the Framework Agreement or this Call-Off Contract and the Supplier will: </w:t>
      </w:r>
    </w:p>
    <w:p w14:paraId="37B8484B" w14:textId="77777777" w:rsidR="00D1352F" w:rsidRDefault="009B1F56">
      <w:pPr>
        <w:numPr>
          <w:ilvl w:val="0"/>
          <w:numId w:val="9"/>
        </w:numPr>
        <w:ind w:hanging="408"/>
      </w:pPr>
      <w:r>
        <w:t xml:space="preserve">take all risk control measures using Good Industry Practice, including the investigation </w:t>
      </w:r>
    </w:p>
    <w:p w14:paraId="33BA2AB5" w14:textId="77777777" w:rsidR="00D1352F" w:rsidRDefault="009B1F56">
      <w:pPr>
        <w:spacing w:after="46"/>
        <w:ind w:left="1556"/>
      </w:pPr>
      <w:r>
        <w:t xml:space="preserve">and reports of claims to insurers </w:t>
      </w:r>
    </w:p>
    <w:p w14:paraId="080523D8" w14:textId="77777777" w:rsidR="00D1352F" w:rsidRDefault="009B1F56">
      <w:pPr>
        <w:numPr>
          <w:ilvl w:val="0"/>
          <w:numId w:val="9"/>
        </w:numPr>
        <w:spacing w:after="62" w:line="259" w:lineRule="auto"/>
        <w:ind w:hanging="408"/>
      </w:pPr>
      <w:r>
        <w:t xml:space="preserve">promptly notify the insurers in writing of any relevant material fact under any insurances  </w:t>
      </w:r>
    </w:p>
    <w:p w14:paraId="483CD0E3" w14:textId="77777777" w:rsidR="00D1352F" w:rsidRDefault="009B1F56">
      <w:pPr>
        <w:numPr>
          <w:ilvl w:val="0"/>
          <w:numId w:val="9"/>
        </w:numPr>
        <w:spacing w:after="6"/>
        <w:ind w:hanging="408"/>
      </w:pPr>
      <w:r>
        <w:t xml:space="preserve">hold all insurance policies and require any broker arranging the insurance to hold any insurance slips and other evidence of insurance </w:t>
      </w:r>
    </w:p>
    <w:p w14:paraId="60266FE0" w14:textId="77777777" w:rsidR="00D1352F" w:rsidRDefault="009B1F56">
      <w:pPr>
        <w:spacing w:after="56" w:line="259" w:lineRule="auto"/>
        <w:ind w:left="1546" w:firstLine="0"/>
      </w:pPr>
      <w:r>
        <w:t xml:space="preserve"> </w:t>
      </w:r>
    </w:p>
    <w:p w14:paraId="3D9ED54B" w14:textId="77777777" w:rsidR="00D1352F" w:rsidRDefault="009B1F56">
      <w:pPr>
        <w:numPr>
          <w:ilvl w:val="1"/>
          <w:numId w:val="10"/>
        </w:numPr>
        <w:ind w:hanging="725"/>
      </w:pPr>
      <w:r>
        <w:t xml:space="preserve">The Supplier will not do or omit to do anything, which would destroy or impair the legal validity of the insurance. </w:t>
      </w:r>
    </w:p>
    <w:p w14:paraId="11696DD3" w14:textId="77777777" w:rsidR="00D1352F" w:rsidRDefault="009B1F56">
      <w:pPr>
        <w:numPr>
          <w:ilvl w:val="1"/>
          <w:numId w:val="10"/>
        </w:numPr>
        <w:ind w:hanging="725"/>
      </w:pPr>
      <w:r>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14A6E762" w14:textId="77777777" w:rsidR="00D1352F" w:rsidRDefault="009B1F56">
      <w:pPr>
        <w:numPr>
          <w:ilvl w:val="1"/>
          <w:numId w:val="10"/>
        </w:numPr>
        <w:ind w:hanging="725"/>
      </w:pPr>
      <w:r>
        <w:t xml:space="preserve">The Supplier will be liable for the payment of any: </w:t>
      </w:r>
    </w:p>
    <w:p w14:paraId="62076920" w14:textId="77777777" w:rsidR="00D1352F" w:rsidRDefault="009B1F56">
      <w:pPr>
        <w:numPr>
          <w:ilvl w:val="0"/>
          <w:numId w:val="9"/>
        </w:numPr>
        <w:ind w:hanging="408"/>
      </w:pPr>
      <w:r>
        <w:t xml:space="preserve">premiums, which it will pay promptly </w:t>
      </w:r>
    </w:p>
    <w:p w14:paraId="5158D840" w14:textId="77777777" w:rsidR="00D1352F" w:rsidRDefault="009B1F56">
      <w:pPr>
        <w:numPr>
          <w:ilvl w:val="0"/>
          <w:numId w:val="9"/>
        </w:numPr>
        <w:ind w:hanging="408"/>
      </w:pPr>
      <w:r>
        <w:t xml:space="preserve">excess or deductibles and will not be entitled to recover this from the Buyer  </w:t>
      </w:r>
    </w:p>
    <w:p w14:paraId="586CF11B" w14:textId="77777777" w:rsidR="00D1352F" w:rsidRDefault="009B1F56">
      <w:pPr>
        <w:pStyle w:val="Heading3"/>
        <w:ind w:left="0"/>
      </w:pPr>
      <w:bookmarkStart w:id="20" w:name="_Toc76729"/>
      <w:r>
        <w:t xml:space="preserve">10. Confidentiality  </w:t>
      </w:r>
      <w:bookmarkEnd w:id="20"/>
    </w:p>
    <w:p w14:paraId="666A7B30" w14:textId="77777777" w:rsidR="00D1352F" w:rsidRDefault="009B1F56">
      <w:pPr>
        <w:spacing w:after="258" w:line="259" w:lineRule="auto"/>
        <w:ind w:left="5" w:firstLine="0"/>
      </w:pPr>
      <w:r>
        <w:t xml:space="preserve"> </w:t>
      </w:r>
    </w:p>
    <w:p w14:paraId="1E04CD3C" w14:textId="77777777" w:rsidR="00D1352F" w:rsidRDefault="009B1F56">
      <w:pPr>
        <w:ind w:left="715" w:hanging="725"/>
      </w:pPr>
      <w:r>
        <w:t>10.1</w:t>
      </w:r>
      <w:r>
        <w:rPr>
          <w:rFonts w:ascii="Arial" w:eastAsia="Arial" w:hAnsi="Arial" w:cs="Arial"/>
        </w:rPr>
        <w:t xml:space="preserve"> </w:t>
      </w:r>
      <w:r>
        <w:rPr>
          <w:rFonts w:ascii="Arial" w:eastAsia="Arial" w:hAnsi="Arial" w:cs="Arial"/>
        </w:rPr>
        <w:tab/>
      </w:r>
      <w:r>
        <w:t xml:space="preserve">Subject to clause 24.1 the Supplier must during and after the Term keep the Buyer fully indemnified against all Losses, damages, costs or expenses and other liabilities (including legal fees) </w:t>
      </w:r>
      <w:r>
        <w:lastRenderedPageBreak/>
        <w:t xml:space="preserve">arising from any breach of the Supplier's obligations under the Data Protection Legislation or under incorporated Framework Agreement clauses 8.78 to 8.86. The indemnity </w:t>
      </w:r>
      <w:proofErr w:type="gramStart"/>
      <w:r>
        <w:t>doesn’t</w:t>
      </w:r>
      <w:proofErr w:type="gramEnd"/>
      <w:r>
        <w:t xml:space="preserve"> apply to the extent that the Supplier breach is due to a Buyer’s instruction. </w:t>
      </w:r>
    </w:p>
    <w:p w14:paraId="394246BF" w14:textId="77777777" w:rsidR="00D1352F" w:rsidRDefault="009B1F56">
      <w:pPr>
        <w:pStyle w:val="Heading3"/>
        <w:ind w:left="0"/>
      </w:pPr>
      <w:bookmarkStart w:id="21" w:name="_Toc76730"/>
      <w:r>
        <w:t xml:space="preserve">11. Intellectual Property Rights </w:t>
      </w:r>
      <w:bookmarkEnd w:id="21"/>
    </w:p>
    <w:p w14:paraId="3EA0DFF5" w14:textId="77777777" w:rsidR="00D1352F" w:rsidRDefault="009B1F56">
      <w:pPr>
        <w:spacing w:after="258" w:line="259" w:lineRule="auto"/>
        <w:ind w:left="5" w:firstLine="0"/>
      </w:pPr>
      <w:r>
        <w:t xml:space="preserve"> </w:t>
      </w:r>
    </w:p>
    <w:p w14:paraId="3CBC9A4A" w14:textId="77777777" w:rsidR="00D1352F" w:rsidRDefault="009B1F56">
      <w:pPr>
        <w:ind w:left="715" w:hanging="725"/>
      </w:pPr>
      <w:r>
        <w:t>11.1</w:t>
      </w:r>
      <w:r>
        <w:rPr>
          <w:rFonts w:ascii="Arial" w:eastAsia="Arial" w:hAnsi="Arial" w:cs="Arial"/>
        </w:rPr>
        <w:t xml:space="preserve"> </w:t>
      </w:r>
      <w:r>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 </w:t>
      </w:r>
    </w:p>
    <w:p w14:paraId="2A77CC05" w14:textId="77777777" w:rsidR="00D1352F" w:rsidRDefault="009B1F56">
      <w:pPr>
        <w:ind w:left="715" w:hanging="725"/>
      </w:pPr>
      <w:r>
        <w:t>11.2</w:t>
      </w:r>
      <w:r>
        <w:rPr>
          <w:rFonts w:ascii="Arial" w:eastAsia="Arial" w:hAnsi="Arial" w:cs="Arial"/>
        </w:rPr>
        <w:t xml:space="preserve"> </w:t>
      </w:r>
      <w:r>
        <w:rPr>
          <w:rFonts w:ascii="Arial" w:eastAsia="Arial" w:hAnsi="Arial" w:cs="Arial"/>
        </w:rPr>
        <w:tab/>
      </w:r>
      <w:r>
        <w:t xml:space="preserve">The Supplier grants the Buyer a non-exclusive, transferable, perpetual, irrevocable, royalty-free licence to use the Project Specific IPRs and any Background IPRs embedded within the Project Specific IPRs for the Buyer’s ordinary business activities. </w:t>
      </w:r>
    </w:p>
    <w:p w14:paraId="50DAAC10" w14:textId="77777777" w:rsidR="00D1352F" w:rsidRDefault="009B1F56">
      <w:pPr>
        <w:ind w:left="715" w:hanging="725"/>
      </w:pPr>
      <w:r>
        <w:t>11.3</w:t>
      </w:r>
      <w:r>
        <w:rPr>
          <w:rFonts w:ascii="Arial" w:eastAsia="Arial" w:hAnsi="Arial" w:cs="Arial"/>
        </w:rPr>
        <w:t xml:space="preserve"> </w:t>
      </w:r>
      <w:r>
        <w:rPr>
          <w:rFonts w:ascii="Arial" w:eastAsia="Arial" w:hAnsi="Arial" w:cs="Arial"/>
        </w:rPr>
        <w:tab/>
      </w:r>
      <w:r>
        <w:t xml:space="preserve">The Supplier must obtain the grant of any third-party IPRs and Background IPRs so the Buyer can enjoy full use of the Project Specific IPRs, including the Buyer’s right to publish the IPR as open source.  </w:t>
      </w:r>
    </w:p>
    <w:p w14:paraId="7007D041" w14:textId="77777777" w:rsidR="00D1352F" w:rsidRDefault="009B1F56">
      <w:pPr>
        <w:spacing w:after="249" w:line="267" w:lineRule="auto"/>
        <w:ind w:left="715" w:hanging="725"/>
      </w:pPr>
      <w:r>
        <w:t>11.4</w:t>
      </w:r>
      <w:r>
        <w:rPr>
          <w:rFonts w:ascii="Arial" w:eastAsia="Arial" w:hAnsi="Arial" w:cs="Arial"/>
        </w:rPr>
        <w:t xml:space="preserve"> </w:t>
      </w:r>
      <w:r>
        <w:rPr>
          <w:rFonts w:ascii="Arial" w:eastAsia="Arial" w:hAnsi="Arial" w:cs="Arial"/>
        </w:rPr>
        <w:tab/>
      </w: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14:paraId="76CD43C6" w14:textId="77777777" w:rsidR="00D1352F" w:rsidRDefault="009B1F56">
      <w:pPr>
        <w:ind w:left="0"/>
      </w:pPr>
      <w:r>
        <w:t>11.5</w:t>
      </w:r>
      <w:r>
        <w:rPr>
          <w:rFonts w:ascii="Arial" w:eastAsia="Arial" w:hAnsi="Arial" w:cs="Arial"/>
        </w:rPr>
        <w:t xml:space="preserve"> </w:t>
      </w:r>
      <w:r>
        <w:rPr>
          <w:rFonts w:ascii="Arial" w:eastAsia="Arial" w:hAnsi="Arial" w:cs="Arial"/>
        </w:rPr>
        <w:tab/>
      </w:r>
      <w:r>
        <w:t xml:space="preserve">The Supplier will, on written demand, fully indemnify the Buyer and the Crown for all Losses which it may incur at any time from any claim of infringement or alleged infringement of a third party’s IPRs because of the: </w:t>
      </w:r>
    </w:p>
    <w:p w14:paraId="3BADEE01" w14:textId="77777777" w:rsidR="00D1352F" w:rsidRDefault="009B1F56">
      <w:pPr>
        <w:numPr>
          <w:ilvl w:val="0"/>
          <w:numId w:val="12"/>
        </w:numPr>
        <w:ind w:hanging="360"/>
      </w:pPr>
      <w:r>
        <w:t xml:space="preserve">rights granted to the Buyer under this Call-Off Contract </w:t>
      </w:r>
    </w:p>
    <w:p w14:paraId="1A906592" w14:textId="77777777" w:rsidR="00D1352F" w:rsidRDefault="009B1F56">
      <w:pPr>
        <w:numPr>
          <w:ilvl w:val="0"/>
          <w:numId w:val="12"/>
        </w:numPr>
        <w:spacing w:after="249" w:line="267" w:lineRule="auto"/>
        <w:ind w:hanging="360"/>
      </w:pPr>
      <w:r>
        <w:t xml:space="preserve">Supplier’s performance of the Services  </w:t>
      </w:r>
    </w:p>
    <w:p w14:paraId="30955746" w14:textId="77777777" w:rsidR="00D1352F" w:rsidRDefault="009B1F56">
      <w:pPr>
        <w:numPr>
          <w:ilvl w:val="0"/>
          <w:numId w:val="12"/>
        </w:numPr>
        <w:ind w:hanging="360"/>
      </w:pPr>
      <w:r>
        <w:t xml:space="preserve">use by the Buyer of the Services  </w:t>
      </w:r>
    </w:p>
    <w:p w14:paraId="6C41EBF9" w14:textId="77777777" w:rsidR="00D1352F" w:rsidRDefault="009B1F56">
      <w:pPr>
        <w:ind w:left="715" w:hanging="725"/>
      </w:pPr>
      <w:r>
        <w:t>11.6</w:t>
      </w:r>
      <w:r>
        <w:rPr>
          <w:rFonts w:ascii="Arial" w:eastAsia="Arial" w:hAnsi="Arial" w:cs="Arial"/>
        </w:rPr>
        <w:t xml:space="preserve"> </w:t>
      </w:r>
      <w:r>
        <w:rPr>
          <w:rFonts w:ascii="Arial" w:eastAsia="Arial" w:hAnsi="Arial" w:cs="Arial"/>
        </w:rPr>
        <w:tab/>
      </w:r>
      <w:r>
        <w:t xml:space="preserve">If an IPR Claim is made, or is likely to be made, the Supplier will immediately notify the Buyer in writing and must at its own expense after written approval from the Buyer, either: </w:t>
      </w:r>
    </w:p>
    <w:p w14:paraId="38069D9A" w14:textId="77777777" w:rsidR="00D1352F" w:rsidRDefault="009B1F56">
      <w:pPr>
        <w:numPr>
          <w:ilvl w:val="0"/>
          <w:numId w:val="12"/>
        </w:numPr>
        <w:ind w:hanging="360"/>
      </w:pPr>
      <w:r>
        <w:t xml:space="preserve">modify the relevant part of the Services without reducing its functionality or performance </w:t>
      </w:r>
    </w:p>
    <w:p w14:paraId="70D8F762" w14:textId="77777777" w:rsidR="00D1352F" w:rsidRDefault="009B1F56">
      <w:pPr>
        <w:numPr>
          <w:ilvl w:val="0"/>
          <w:numId w:val="12"/>
        </w:numPr>
        <w:ind w:hanging="36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4E974DA8" w14:textId="77777777" w:rsidR="00D1352F" w:rsidRDefault="009B1F56">
      <w:pPr>
        <w:numPr>
          <w:ilvl w:val="0"/>
          <w:numId w:val="12"/>
        </w:numPr>
        <w:ind w:hanging="360"/>
      </w:pPr>
      <w:r>
        <w:t xml:space="preserve">buy a licence to use and supply the Services which are the subject of the alleged infringement, on terms acceptable to the Buyer </w:t>
      </w:r>
    </w:p>
    <w:p w14:paraId="1D8B04F8" w14:textId="77777777" w:rsidR="00D1352F" w:rsidRDefault="009B1F56">
      <w:pPr>
        <w:tabs>
          <w:tab w:val="center" w:pos="3276"/>
        </w:tabs>
        <w:ind w:left="-10" w:firstLine="0"/>
      </w:pPr>
      <w:r>
        <w:t>11.7</w:t>
      </w:r>
      <w:r>
        <w:rPr>
          <w:rFonts w:ascii="Arial" w:eastAsia="Arial" w:hAnsi="Arial" w:cs="Arial"/>
        </w:rPr>
        <w:t xml:space="preserve"> </w:t>
      </w:r>
      <w:r>
        <w:rPr>
          <w:rFonts w:ascii="Arial" w:eastAsia="Arial" w:hAnsi="Arial" w:cs="Arial"/>
        </w:rPr>
        <w:tab/>
      </w:r>
      <w:r>
        <w:t xml:space="preserve">Clause 11.5 will not apply if the IPR Claim is from: </w:t>
      </w:r>
    </w:p>
    <w:p w14:paraId="794A56E3" w14:textId="77777777" w:rsidR="00D1352F" w:rsidRDefault="009B1F56">
      <w:pPr>
        <w:numPr>
          <w:ilvl w:val="0"/>
          <w:numId w:val="12"/>
        </w:numPr>
        <w:spacing w:after="249" w:line="267" w:lineRule="auto"/>
        <w:ind w:hanging="360"/>
      </w:pPr>
      <w:r>
        <w:lastRenderedPageBreak/>
        <w:t xml:space="preserve">the use of data supplied by the Buyer which the Supplier </w:t>
      </w:r>
      <w:proofErr w:type="gramStart"/>
      <w:r>
        <w:t>isn’t</w:t>
      </w:r>
      <w:proofErr w:type="gramEnd"/>
      <w:r>
        <w:t xml:space="preserve"> required to verify under this Call-Off Contract </w:t>
      </w:r>
    </w:p>
    <w:p w14:paraId="33F43688" w14:textId="77777777" w:rsidR="00D1352F" w:rsidRDefault="009B1F56">
      <w:pPr>
        <w:numPr>
          <w:ilvl w:val="0"/>
          <w:numId w:val="12"/>
        </w:numPr>
        <w:ind w:hanging="360"/>
      </w:pPr>
      <w:r>
        <w:t xml:space="preserve">other material provided by the Buyer necessary for the Services </w:t>
      </w:r>
    </w:p>
    <w:p w14:paraId="3ADCC0D2" w14:textId="77777777" w:rsidR="00D1352F" w:rsidRDefault="009B1F56">
      <w:pPr>
        <w:ind w:left="715" w:hanging="725"/>
      </w:pPr>
      <w:r>
        <w:t>11.8</w:t>
      </w:r>
      <w:r>
        <w:rPr>
          <w:rFonts w:ascii="Arial" w:eastAsia="Arial" w:hAnsi="Arial" w:cs="Arial"/>
        </w:rPr>
        <w:t xml:space="preserve"> </w:t>
      </w:r>
      <w:r>
        <w:rPr>
          <w:rFonts w:ascii="Arial" w:eastAsia="Arial" w:hAnsi="Arial" w:cs="Arial"/>
        </w:rPr>
        <w:tab/>
      </w:r>
      <w:r>
        <w:t xml:space="preserve">If the Supplier does not comply with clauses 11.2 to 11.6, the Buyer may End this Call-Off Contract for Material Breach. The Supplier will, on demand, refund the Buyer all the money paid for the affected Services. </w:t>
      </w:r>
    </w:p>
    <w:p w14:paraId="41DE01B8" w14:textId="77777777" w:rsidR="00D1352F" w:rsidRDefault="009B1F56">
      <w:pPr>
        <w:pStyle w:val="Heading3"/>
        <w:ind w:left="0"/>
      </w:pPr>
      <w:bookmarkStart w:id="22" w:name="_Toc76731"/>
      <w:r>
        <w:t xml:space="preserve">12. Protection of information </w:t>
      </w:r>
      <w:bookmarkEnd w:id="22"/>
    </w:p>
    <w:p w14:paraId="7CF4C9FB" w14:textId="77777777" w:rsidR="00D1352F" w:rsidRDefault="009B1F56">
      <w:pPr>
        <w:spacing w:after="257" w:line="259" w:lineRule="auto"/>
        <w:ind w:left="5" w:firstLine="0"/>
      </w:pPr>
      <w:r>
        <w:t xml:space="preserve"> </w:t>
      </w:r>
    </w:p>
    <w:p w14:paraId="55F58FBA" w14:textId="77777777" w:rsidR="00D1352F" w:rsidRDefault="009B1F56">
      <w:pPr>
        <w:tabs>
          <w:tab w:val="center" w:pos="1676"/>
        </w:tabs>
        <w:ind w:left="-10" w:firstLine="0"/>
      </w:pPr>
      <w:r>
        <w:t>12.1</w:t>
      </w:r>
      <w:r>
        <w:rPr>
          <w:rFonts w:ascii="Arial" w:eastAsia="Arial" w:hAnsi="Arial" w:cs="Arial"/>
        </w:rPr>
        <w:t xml:space="preserve"> </w:t>
      </w:r>
      <w:r>
        <w:rPr>
          <w:rFonts w:ascii="Arial" w:eastAsia="Arial" w:hAnsi="Arial" w:cs="Arial"/>
        </w:rPr>
        <w:tab/>
      </w:r>
      <w:r>
        <w:t xml:space="preserve">The Supplier must: </w:t>
      </w:r>
    </w:p>
    <w:p w14:paraId="4897C1FD" w14:textId="77777777" w:rsidR="00D1352F" w:rsidRDefault="009B1F56">
      <w:pPr>
        <w:numPr>
          <w:ilvl w:val="0"/>
          <w:numId w:val="13"/>
        </w:numPr>
        <w:spacing w:after="249" w:line="267" w:lineRule="auto"/>
        <w:ind w:hanging="360"/>
      </w:pPr>
      <w:r>
        <w:t xml:space="preserve">comply with the Buyer’s written instructions and this Call-Off Contract when Processing Buyer Personal Data </w:t>
      </w:r>
    </w:p>
    <w:p w14:paraId="00F9E493" w14:textId="77777777" w:rsidR="00D1352F" w:rsidRDefault="009B1F56">
      <w:pPr>
        <w:numPr>
          <w:ilvl w:val="0"/>
          <w:numId w:val="13"/>
        </w:numPr>
        <w:spacing w:after="6"/>
        <w:ind w:hanging="360"/>
      </w:pPr>
      <w:r>
        <w:t xml:space="preserve">only Process the Buyer Personal Data as necessary for the provision of the G-Cloud </w:t>
      </w:r>
    </w:p>
    <w:p w14:paraId="0DC290D4" w14:textId="77777777" w:rsidR="00D1352F" w:rsidRDefault="009B1F56">
      <w:pPr>
        <w:ind w:left="1455"/>
      </w:pPr>
      <w:r>
        <w:t xml:space="preserve">Services or as required by Law or any Regulatory Body </w:t>
      </w:r>
    </w:p>
    <w:p w14:paraId="7C3ADC0C" w14:textId="77777777" w:rsidR="00D1352F" w:rsidRDefault="009B1F56">
      <w:pPr>
        <w:numPr>
          <w:ilvl w:val="0"/>
          <w:numId w:val="13"/>
        </w:numPr>
        <w:ind w:hanging="360"/>
      </w:pPr>
      <w:r>
        <w:t xml:space="preserve">take reasonable steps to ensure that any Supplier Staff who have access to Buyer Personal Data act in compliance with Supplier's security processes </w:t>
      </w:r>
    </w:p>
    <w:p w14:paraId="7918A531" w14:textId="77777777" w:rsidR="00D1352F" w:rsidRDefault="009B1F56">
      <w:pPr>
        <w:ind w:left="0"/>
      </w:pPr>
      <w:r>
        <w:t>12.2</w:t>
      </w:r>
      <w:r>
        <w:rPr>
          <w:rFonts w:ascii="Arial" w:eastAsia="Arial" w:hAnsi="Arial" w:cs="Arial"/>
        </w:rPr>
        <w:t xml:space="preserve"> </w:t>
      </w:r>
      <w:r>
        <w:rPr>
          <w:rFonts w:ascii="Arial" w:eastAsia="Arial" w:hAnsi="Arial" w:cs="Arial"/>
        </w:rPr>
        <w:tab/>
      </w:r>
      <w:r>
        <w:t>The Supplier must fully assist with any complaint or request for Buyer Personal Data including by: ●</w:t>
      </w:r>
      <w:r>
        <w:rPr>
          <w:rFonts w:ascii="Arial" w:eastAsia="Arial" w:hAnsi="Arial" w:cs="Arial"/>
        </w:rPr>
        <w:t xml:space="preserve"> </w:t>
      </w:r>
      <w:r>
        <w:t xml:space="preserve">providing the Buyer with full details of the complaint or request </w:t>
      </w:r>
    </w:p>
    <w:p w14:paraId="41862F87" w14:textId="77777777" w:rsidR="00D1352F" w:rsidRDefault="009B1F56">
      <w:pPr>
        <w:numPr>
          <w:ilvl w:val="0"/>
          <w:numId w:val="13"/>
        </w:numPr>
        <w:ind w:hanging="360"/>
      </w:pPr>
      <w:r>
        <w:t xml:space="preserve">complying with a data access request within the timescales in the Data Protection Legislation and following the Buyer’s instructions </w:t>
      </w:r>
    </w:p>
    <w:p w14:paraId="53DA2914" w14:textId="77777777" w:rsidR="00D1352F" w:rsidRDefault="009B1F56">
      <w:pPr>
        <w:numPr>
          <w:ilvl w:val="0"/>
          <w:numId w:val="13"/>
        </w:numPr>
        <w:ind w:hanging="360"/>
      </w:pPr>
      <w:r>
        <w:t xml:space="preserve">providing the Buyer with any Buyer Personal Data it holds about a Data Subject (within the timescales required by the Buyer) </w:t>
      </w:r>
    </w:p>
    <w:p w14:paraId="7366D8B4" w14:textId="77777777" w:rsidR="00D1352F" w:rsidRDefault="009B1F56">
      <w:pPr>
        <w:numPr>
          <w:ilvl w:val="0"/>
          <w:numId w:val="13"/>
        </w:numPr>
        <w:ind w:hanging="360"/>
      </w:pPr>
      <w:r>
        <w:t xml:space="preserve">providing the Buyer with any information requested by the Data Subject </w:t>
      </w:r>
    </w:p>
    <w:p w14:paraId="4B945592" w14:textId="77777777" w:rsidR="00D1352F" w:rsidRDefault="009B1F56">
      <w:pPr>
        <w:ind w:left="715" w:hanging="725"/>
      </w:pPr>
      <w:r>
        <w:t>12.3</w:t>
      </w:r>
      <w:r>
        <w:rPr>
          <w:rFonts w:ascii="Arial" w:eastAsia="Arial" w:hAnsi="Arial" w:cs="Arial"/>
        </w:rPr>
        <w:t xml:space="preserve"> </w:t>
      </w:r>
      <w:r>
        <w:rPr>
          <w:rFonts w:ascii="Arial" w:eastAsia="Arial" w:hAnsi="Arial" w:cs="Arial"/>
        </w:rPr>
        <w:tab/>
      </w:r>
      <w:r>
        <w:t xml:space="preserve">The Supplier must get prior written consent from the Buyer to transfer Buyer Personal Data to any other person (including any Subcontractors) for the provision of the G-Cloud Services. </w:t>
      </w:r>
    </w:p>
    <w:p w14:paraId="14A39656" w14:textId="77777777" w:rsidR="00D1352F" w:rsidRDefault="009B1F56">
      <w:pPr>
        <w:pStyle w:val="Heading3"/>
        <w:ind w:left="0"/>
      </w:pPr>
      <w:bookmarkStart w:id="23" w:name="_Toc76732"/>
      <w:r>
        <w:t xml:space="preserve">13. Buyer data </w:t>
      </w:r>
      <w:bookmarkEnd w:id="23"/>
    </w:p>
    <w:p w14:paraId="62CB21FA" w14:textId="77777777" w:rsidR="00D1352F" w:rsidRDefault="009B1F56">
      <w:pPr>
        <w:spacing w:after="219" w:line="259" w:lineRule="auto"/>
        <w:ind w:left="5" w:firstLine="0"/>
      </w:pPr>
      <w:r>
        <w:t xml:space="preserve"> </w:t>
      </w:r>
    </w:p>
    <w:p w14:paraId="25E371A0" w14:textId="77777777" w:rsidR="00D1352F" w:rsidRDefault="009B1F56">
      <w:pPr>
        <w:spacing w:after="51"/>
        <w:ind w:left="0"/>
      </w:pPr>
      <w:r>
        <w:t xml:space="preserve">The Supplier must not remove any proprietary notices in the Buyer Data. </w:t>
      </w:r>
    </w:p>
    <w:p w14:paraId="218ADFFE" w14:textId="77777777" w:rsidR="00D1352F" w:rsidRDefault="009B1F56">
      <w:pPr>
        <w:tabs>
          <w:tab w:val="center" w:pos="5112"/>
        </w:tabs>
        <w:ind w:left="-10" w:firstLine="0"/>
      </w:pPr>
      <w:r>
        <w:t>13.1</w:t>
      </w:r>
      <w:r>
        <w:rPr>
          <w:rFonts w:ascii="Arial" w:eastAsia="Arial" w:hAnsi="Arial" w:cs="Arial"/>
        </w:rPr>
        <w:t xml:space="preserve"> </w:t>
      </w:r>
      <w:r>
        <w:rPr>
          <w:rFonts w:ascii="Arial" w:eastAsia="Arial" w:hAnsi="Arial" w:cs="Arial"/>
        </w:rPr>
        <w:tab/>
      </w:r>
      <w:r>
        <w:t xml:space="preserve">The Supplier will not store or use Buyer Data except if </w:t>
      </w:r>
      <w:proofErr w:type="gramStart"/>
      <w:r>
        <w:t>necessary</w:t>
      </w:r>
      <w:proofErr w:type="gramEnd"/>
      <w:r>
        <w:t xml:space="preserve"> to fulfil its obligations. </w:t>
      </w:r>
    </w:p>
    <w:p w14:paraId="67BFD715" w14:textId="77777777" w:rsidR="00D1352F" w:rsidRDefault="009B1F56">
      <w:pPr>
        <w:ind w:left="715" w:hanging="725"/>
      </w:pPr>
      <w:r>
        <w:lastRenderedPageBreak/>
        <w:t>13.2</w:t>
      </w:r>
      <w:r>
        <w:rPr>
          <w:rFonts w:ascii="Arial" w:eastAsia="Arial" w:hAnsi="Arial" w:cs="Arial"/>
        </w:rPr>
        <w:t xml:space="preserve"> </w:t>
      </w:r>
      <w:r>
        <w:rPr>
          <w:rFonts w:ascii="Arial" w:eastAsia="Arial" w:hAnsi="Arial" w:cs="Arial"/>
        </w:rPr>
        <w:tab/>
      </w:r>
      <w:r>
        <w:t xml:space="preserve">If Buyer Data is processed by the Supplier, the Supplier will supply the data to the Buyer as requested. </w:t>
      </w:r>
    </w:p>
    <w:p w14:paraId="45AB293B" w14:textId="77777777" w:rsidR="00D1352F" w:rsidRDefault="009B1F56">
      <w:pPr>
        <w:ind w:left="715" w:hanging="725"/>
      </w:pPr>
      <w:r>
        <w:t>13.3</w:t>
      </w:r>
      <w:r>
        <w:rPr>
          <w:rFonts w:ascii="Arial" w:eastAsia="Arial" w:hAnsi="Arial" w:cs="Arial"/>
        </w:rPr>
        <w:t xml:space="preserve"> </w:t>
      </w:r>
      <w:r>
        <w:rPr>
          <w:rFonts w:ascii="Arial" w:eastAsia="Arial" w:hAnsi="Arial" w:cs="Arial"/>
        </w:rPr>
        <w:tab/>
      </w:r>
      <w:r>
        <w:t xml:space="preserve">The Supplier must ensure that any Supplier system that holds any Buyer Data is a secure system that complies with the Supplier’s and Buyer’s security policy and all Buyer requirements in the Order Form.  </w:t>
      </w:r>
    </w:p>
    <w:p w14:paraId="525985CA" w14:textId="77777777" w:rsidR="00D1352F" w:rsidRDefault="009B1F56">
      <w:pPr>
        <w:ind w:left="715" w:hanging="725"/>
      </w:pPr>
      <w:r>
        <w:t>13.4</w:t>
      </w:r>
      <w:r>
        <w:rPr>
          <w:rFonts w:ascii="Arial" w:eastAsia="Arial" w:hAnsi="Arial" w:cs="Arial"/>
        </w:rPr>
        <w:t xml:space="preserve"> </w:t>
      </w:r>
      <w:r>
        <w:rPr>
          <w:rFonts w:ascii="Arial" w:eastAsia="Arial" w:hAnsi="Arial" w:cs="Arial"/>
        </w:rPr>
        <w:tab/>
      </w:r>
      <w:r>
        <w:t xml:space="preserve">The Supplier will preserve the integrity of Buyer Data processed by the Supplier and prevent its corruption and loss. </w:t>
      </w:r>
    </w:p>
    <w:p w14:paraId="4F6E698D" w14:textId="77777777" w:rsidR="00D1352F" w:rsidRDefault="009B1F56">
      <w:pPr>
        <w:ind w:left="715" w:hanging="725"/>
      </w:pPr>
      <w:r>
        <w:t>13.5</w:t>
      </w:r>
      <w:r>
        <w:rPr>
          <w:rFonts w:ascii="Arial" w:eastAsia="Arial" w:hAnsi="Arial" w:cs="Arial"/>
        </w:rPr>
        <w:t xml:space="preserve"> </w:t>
      </w:r>
      <w:r>
        <w:rPr>
          <w:rFonts w:ascii="Arial" w:eastAsia="Arial" w:hAnsi="Arial" w:cs="Arial"/>
        </w:rPr>
        <w:tab/>
      </w:r>
      <w:r>
        <w:t xml:space="preserve">The Supplier will ensure that any Supplier system which holds any protectively marked Buyer Data or other government data will comply with: </w:t>
      </w:r>
    </w:p>
    <w:p w14:paraId="59D437E3" w14:textId="77777777" w:rsidR="00D1352F" w:rsidRDefault="009B1F56">
      <w:pPr>
        <w:numPr>
          <w:ilvl w:val="0"/>
          <w:numId w:val="14"/>
        </w:numPr>
        <w:spacing w:after="242" w:line="274" w:lineRule="auto"/>
        <w:ind w:hanging="360"/>
      </w:pPr>
      <w:r>
        <w:t xml:space="preserve">the principles in the Security Policy Framework at </w:t>
      </w:r>
      <w:hyperlink r:id="rId15">
        <w:r>
          <w:rPr>
            <w:color w:val="1155CC"/>
            <w:u w:val="single" w:color="1155CC"/>
          </w:rPr>
          <w:t>https://www.gov.uk/government/publications/security</w:t>
        </w:r>
      </w:hyperlink>
      <w:hyperlink r:id="rId16">
        <w:r>
          <w:rPr>
            <w:color w:val="1155CC"/>
            <w:u w:val="single" w:color="1155CC"/>
          </w:rPr>
          <w:t>-</w:t>
        </w:r>
      </w:hyperlink>
      <w:hyperlink r:id="rId17">
        <w:r>
          <w:rPr>
            <w:color w:val="1155CC"/>
            <w:u w:val="single" w:color="1155CC"/>
          </w:rPr>
          <w:t>policy</w:t>
        </w:r>
      </w:hyperlink>
      <w:hyperlink r:id="rId18">
        <w:r>
          <w:rPr>
            <w:color w:val="1155CC"/>
            <w:u w:val="single" w:color="1155CC"/>
          </w:rPr>
          <w:t>-</w:t>
        </w:r>
      </w:hyperlink>
      <w:hyperlink r:id="rId19">
        <w:r>
          <w:rPr>
            <w:color w:val="1155CC"/>
            <w:u w:val="single" w:color="1155CC"/>
          </w:rPr>
          <w:t>framework</w:t>
        </w:r>
      </w:hyperlink>
      <w:hyperlink r:id="rId20">
        <w:r>
          <w:t xml:space="preserve"> </w:t>
        </w:r>
      </w:hyperlink>
      <w:r>
        <w:t xml:space="preserve">and the Government Security Classification policy at </w:t>
      </w:r>
      <w:hyperlink r:id="rId21">
        <w:r>
          <w:rPr>
            <w:color w:val="1155CC"/>
            <w:u w:val="single" w:color="1155CC"/>
          </w:rPr>
          <w:t>https://www.gov.uk/government/publications/government</w:t>
        </w:r>
      </w:hyperlink>
      <w:hyperlink r:id="rId22">
        <w:r>
          <w:rPr>
            <w:color w:val="1155CC"/>
            <w:u w:val="single" w:color="1155CC"/>
          </w:rPr>
          <w:t>-</w:t>
        </w:r>
      </w:hyperlink>
      <w:hyperlink r:id="rId23">
        <w:r>
          <w:rPr>
            <w:color w:val="1155CC"/>
            <w:u w:val="single" w:color="1155CC"/>
          </w:rPr>
          <w:t>security</w:t>
        </w:r>
      </w:hyperlink>
      <w:hyperlink r:id="rId24">
        <w:r>
          <w:rPr>
            <w:color w:val="1155CC"/>
            <w:u w:val="single" w:color="1155CC"/>
          </w:rPr>
          <w:t>-</w:t>
        </w:r>
      </w:hyperlink>
      <w:hyperlink r:id="rId25">
        <w:r>
          <w:rPr>
            <w:color w:val="1155CC"/>
            <w:u w:val="single" w:color="1155CC"/>
          </w:rPr>
          <w:t>classifications</w:t>
        </w:r>
      </w:hyperlink>
      <w:hyperlink r:id="rId26">
        <w:r>
          <w:t xml:space="preserve"> </w:t>
        </w:r>
      </w:hyperlink>
    </w:p>
    <w:p w14:paraId="3D70EE5C" w14:textId="77777777" w:rsidR="00D1352F" w:rsidRDefault="009B1F56">
      <w:pPr>
        <w:numPr>
          <w:ilvl w:val="0"/>
          <w:numId w:val="14"/>
        </w:numPr>
        <w:spacing w:after="11"/>
        <w:ind w:hanging="360"/>
      </w:pPr>
      <w:r>
        <w:t xml:space="preserve">guidance issued by the Centre for Protection of National Infrastructure on Risk </w:t>
      </w:r>
    </w:p>
    <w:p w14:paraId="307512AB" w14:textId="77777777" w:rsidR="00D1352F" w:rsidRDefault="009B1F56">
      <w:pPr>
        <w:spacing w:after="242" w:line="274" w:lineRule="auto"/>
        <w:ind w:left="1445" w:firstLine="0"/>
      </w:pPr>
      <w:r>
        <w:t xml:space="preserve">Management at </w:t>
      </w:r>
      <w:hyperlink r:id="rId27">
        <w:r>
          <w:rPr>
            <w:color w:val="1155CC"/>
            <w:u w:val="single" w:color="1155CC"/>
          </w:rPr>
          <w:t>https://www.cpni.gov.uk/content/adopt</w:t>
        </w:r>
      </w:hyperlink>
      <w:hyperlink r:id="rId28">
        <w:r>
          <w:rPr>
            <w:color w:val="1155CC"/>
            <w:u w:val="single" w:color="1155CC"/>
          </w:rPr>
          <w:t>-</w:t>
        </w:r>
      </w:hyperlink>
      <w:hyperlink r:id="rId29">
        <w:r>
          <w:rPr>
            <w:color w:val="1155CC"/>
            <w:u w:val="single" w:color="1155CC"/>
          </w:rPr>
          <w:t>risk</w:t>
        </w:r>
      </w:hyperlink>
      <w:hyperlink r:id="rId30">
        <w:r>
          <w:rPr>
            <w:color w:val="1155CC"/>
            <w:u w:val="single" w:color="1155CC"/>
          </w:rPr>
          <w:t>-</w:t>
        </w:r>
      </w:hyperlink>
      <w:hyperlink r:id="rId31">
        <w:r>
          <w:rPr>
            <w:color w:val="1155CC"/>
            <w:u w:val="single" w:color="1155CC"/>
          </w:rPr>
          <w:t>management</w:t>
        </w:r>
      </w:hyperlink>
      <w:hyperlink r:id="rId32">
        <w:r>
          <w:rPr>
            <w:color w:val="1155CC"/>
            <w:u w:val="single" w:color="1155CC"/>
          </w:rPr>
          <w:t>-</w:t>
        </w:r>
      </w:hyperlink>
      <w:hyperlink r:id="rId33">
        <w:r>
          <w:rPr>
            <w:color w:val="1155CC"/>
            <w:u w:val="single" w:color="1155CC"/>
          </w:rPr>
          <w:t>approach</w:t>
        </w:r>
      </w:hyperlink>
      <w:hyperlink r:id="rId34">
        <w:r>
          <w:t xml:space="preserve"> </w:t>
        </w:r>
      </w:hyperlink>
      <w:r>
        <w:t xml:space="preserve">and Protection of Sensitive Information and Assets at </w:t>
      </w:r>
      <w:hyperlink r:id="rId35">
        <w:r>
          <w:rPr>
            <w:color w:val="1155CC"/>
            <w:u w:val="single" w:color="1155CC"/>
          </w:rPr>
          <w:t>https://www.cpni.gov.uk/protection</w:t>
        </w:r>
      </w:hyperlink>
      <w:hyperlink r:id="rId36"/>
      <w:hyperlink r:id="rId37">
        <w:r>
          <w:rPr>
            <w:color w:val="1155CC"/>
            <w:u w:val="single" w:color="1155CC"/>
          </w:rPr>
          <w:t>sensitive</w:t>
        </w:r>
      </w:hyperlink>
      <w:hyperlink r:id="rId38">
        <w:r>
          <w:rPr>
            <w:color w:val="1155CC"/>
            <w:u w:val="single" w:color="1155CC"/>
          </w:rPr>
          <w:t>-</w:t>
        </w:r>
      </w:hyperlink>
      <w:hyperlink r:id="rId39">
        <w:r>
          <w:rPr>
            <w:color w:val="1155CC"/>
            <w:u w:val="single" w:color="1155CC"/>
          </w:rPr>
          <w:t>information</w:t>
        </w:r>
      </w:hyperlink>
      <w:hyperlink r:id="rId40">
        <w:r>
          <w:rPr>
            <w:color w:val="1155CC"/>
            <w:u w:val="single" w:color="1155CC"/>
          </w:rPr>
          <w:t>-</w:t>
        </w:r>
      </w:hyperlink>
      <w:hyperlink r:id="rId41">
        <w:r>
          <w:rPr>
            <w:color w:val="1155CC"/>
            <w:u w:val="single" w:color="1155CC"/>
          </w:rPr>
          <w:t>and</w:t>
        </w:r>
      </w:hyperlink>
      <w:hyperlink r:id="rId42">
        <w:r>
          <w:rPr>
            <w:color w:val="1155CC"/>
            <w:u w:val="single" w:color="1155CC"/>
          </w:rPr>
          <w:t>-</w:t>
        </w:r>
      </w:hyperlink>
      <w:hyperlink r:id="rId43">
        <w:r>
          <w:rPr>
            <w:color w:val="1155CC"/>
            <w:u w:val="single" w:color="1155CC"/>
          </w:rPr>
          <w:t>assets</w:t>
        </w:r>
      </w:hyperlink>
      <w:hyperlink r:id="rId44">
        <w:r>
          <w:t xml:space="preserve"> </w:t>
        </w:r>
      </w:hyperlink>
      <w:r>
        <w:t xml:space="preserve"> </w:t>
      </w:r>
    </w:p>
    <w:p w14:paraId="1659FC65" w14:textId="77777777" w:rsidR="00D1352F" w:rsidRDefault="009B1F56">
      <w:pPr>
        <w:numPr>
          <w:ilvl w:val="0"/>
          <w:numId w:val="14"/>
        </w:numPr>
        <w:spacing w:after="249" w:line="267" w:lineRule="auto"/>
        <w:ind w:hanging="360"/>
      </w:pPr>
      <w:r>
        <w:t xml:space="preserve">the National Cyber Security Centre’s (NCSC) information risk management guidance, available at </w:t>
      </w:r>
      <w:hyperlink r:id="rId45">
        <w:r>
          <w:rPr>
            <w:color w:val="1155CC"/>
            <w:u w:val="single" w:color="1155CC"/>
          </w:rPr>
          <w:t>https://www.ncsc.gov.uk/collection/risk</w:t>
        </w:r>
      </w:hyperlink>
      <w:hyperlink r:id="rId46">
        <w:r>
          <w:rPr>
            <w:color w:val="1155CC"/>
            <w:u w:val="single" w:color="1155CC"/>
          </w:rPr>
          <w:t>-</w:t>
        </w:r>
      </w:hyperlink>
      <w:hyperlink r:id="rId47">
        <w:r>
          <w:rPr>
            <w:color w:val="1155CC"/>
            <w:u w:val="single" w:color="1155CC"/>
          </w:rPr>
          <w:t>management</w:t>
        </w:r>
      </w:hyperlink>
      <w:hyperlink r:id="rId48">
        <w:r>
          <w:rPr>
            <w:color w:val="1155CC"/>
            <w:u w:val="single" w:color="1155CC"/>
          </w:rPr>
          <w:t>-</w:t>
        </w:r>
      </w:hyperlink>
      <w:hyperlink r:id="rId49">
        <w:r>
          <w:rPr>
            <w:color w:val="1155CC"/>
            <w:u w:val="single" w:color="1155CC"/>
          </w:rPr>
          <w:t>collection</w:t>
        </w:r>
      </w:hyperlink>
      <w:hyperlink r:id="rId50">
        <w:r>
          <w:t xml:space="preserve"> </w:t>
        </w:r>
      </w:hyperlink>
    </w:p>
    <w:p w14:paraId="1534731B" w14:textId="77777777" w:rsidR="00D1352F" w:rsidRDefault="009B1F56">
      <w:pPr>
        <w:numPr>
          <w:ilvl w:val="0"/>
          <w:numId w:val="14"/>
        </w:numPr>
        <w:ind w:hanging="360"/>
      </w:pPr>
      <w:r>
        <w:t>government best practice</w:t>
      </w:r>
      <w:hyperlink r:id="rId51">
        <w:r>
          <w:t xml:space="preserve"> </w:t>
        </w:r>
      </w:hyperlink>
      <w:hyperlink r:id="rId52">
        <w:r>
          <w:t>in</w:t>
        </w:r>
      </w:hyperlink>
      <w:hyperlink r:id="rId53">
        <w:r>
          <w:t xml:space="preserve"> </w:t>
        </w:r>
      </w:hyperlink>
      <w:hyperlink r:id="rId54">
        <w:r>
          <w:t>th</w:t>
        </w:r>
      </w:hyperlink>
      <w:r>
        <w:t xml:space="preserve">e design and implementation of system components, </w:t>
      </w:r>
    </w:p>
    <w:p w14:paraId="18308011" w14:textId="77777777" w:rsidR="00D1352F" w:rsidRDefault="009B1F56">
      <w:pPr>
        <w:ind w:left="1455"/>
      </w:pPr>
      <w:r>
        <w:t xml:space="preserve">including network principles, security design principles for digital services and the secure email blueprint, available at </w:t>
      </w:r>
      <w:hyperlink r:id="rId55">
        <w:r>
          <w:rPr>
            <w:color w:val="1155CC"/>
            <w:u w:val="single" w:color="1155CC"/>
          </w:rPr>
          <w:t>https://www.gov.uk/government/publications/technology</w:t>
        </w:r>
      </w:hyperlink>
      <w:hyperlink r:id="rId56"/>
      <w:hyperlink r:id="rId57">
        <w:r>
          <w:rPr>
            <w:color w:val="1155CC"/>
            <w:u w:val="single" w:color="1155CC"/>
          </w:rPr>
          <w:t>code</w:t>
        </w:r>
      </w:hyperlink>
      <w:hyperlink r:id="rId58">
        <w:r>
          <w:rPr>
            <w:color w:val="1155CC"/>
            <w:u w:val="single" w:color="1155CC"/>
          </w:rPr>
          <w:t>-</w:t>
        </w:r>
      </w:hyperlink>
      <w:hyperlink r:id="rId59">
        <w:r>
          <w:rPr>
            <w:color w:val="1155CC"/>
            <w:u w:val="single" w:color="1155CC"/>
          </w:rPr>
          <w:t>of</w:t>
        </w:r>
      </w:hyperlink>
      <w:hyperlink r:id="rId60">
        <w:r>
          <w:rPr>
            <w:color w:val="1155CC"/>
            <w:u w:val="single" w:color="1155CC"/>
          </w:rPr>
          <w:t>-</w:t>
        </w:r>
      </w:hyperlink>
      <w:hyperlink r:id="rId61">
        <w:r>
          <w:rPr>
            <w:color w:val="1155CC"/>
            <w:u w:val="single" w:color="1155CC"/>
          </w:rPr>
          <w:t>practice/technology</w:t>
        </w:r>
      </w:hyperlink>
      <w:hyperlink r:id="rId62">
        <w:r>
          <w:rPr>
            <w:color w:val="1155CC"/>
            <w:u w:val="single" w:color="1155CC"/>
          </w:rPr>
          <w:t>-</w:t>
        </w:r>
      </w:hyperlink>
      <w:hyperlink r:id="rId63">
        <w:r>
          <w:rPr>
            <w:color w:val="1155CC"/>
            <w:u w:val="single" w:color="1155CC"/>
          </w:rPr>
          <w:t>code</w:t>
        </w:r>
      </w:hyperlink>
      <w:hyperlink r:id="rId64">
        <w:r>
          <w:rPr>
            <w:color w:val="1155CC"/>
            <w:u w:val="single" w:color="1155CC"/>
          </w:rPr>
          <w:t>-</w:t>
        </w:r>
      </w:hyperlink>
      <w:hyperlink r:id="rId65">
        <w:r>
          <w:rPr>
            <w:color w:val="1155CC"/>
            <w:u w:val="single" w:color="1155CC"/>
          </w:rPr>
          <w:t>of</w:t>
        </w:r>
      </w:hyperlink>
      <w:hyperlink r:id="rId66">
        <w:r>
          <w:rPr>
            <w:color w:val="1155CC"/>
            <w:u w:val="single" w:color="1155CC"/>
          </w:rPr>
          <w:t>-</w:t>
        </w:r>
      </w:hyperlink>
      <w:hyperlink r:id="rId67">
        <w:r>
          <w:rPr>
            <w:color w:val="1155CC"/>
            <w:u w:val="single" w:color="1155CC"/>
          </w:rPr>
          <w:t>practice</w:t>
        </w:r>
      </w:hyperlink>
      <w:hyperlink r:id="rId68">
        <w:r>
          <w:t xml:space="preserve"> </w:t>
        </w:r>
      </w:hyperlink>
    </w:p>
    <w:p w14:paraId="17ADDAEE" w14:textId="77777777" w:rsidR="00D1352F" w:rsidRDefault="009B1F56">
      <w:pPr>
        <w:numPr>
          <w:ilvl w:val="0"/>
          <w:numId w:val="14"/>
        </w:numPr>
        <w:ind w:hanging="360"/>
      </w:pPr>
      <w:r>
        <w:t xml:space="preserve">the security requirements of cloud services using the NCSC Cloud Security Principles and accompanying guidance at </w:t>
      </w:r>
      <w:hyperlink r:id="rId69">
        <w:r>
          <w:rPr>
            <w:color w:val="1155CC"/>
            <w:u w:val="single" w:color="1155CC"/>
          </w:rPr>
          <w:t>https://www.ncsc.gov.uk/guidance/implementing</w:t>
        </w:r>
      </w:hyperlink>
      <w:hyperlink r:id="rId70">
        <w:r>
          <w:rPr>
            <w:color w:val="1155CC"/>
            <w:u w:val="single" w:color="1155CC"/>
          </w:rPr>
          <w:t>-</w:t>
        </w:r>
      </w:hyperlink>
      <w:hyperlink r:id="rId71">
        <w:r>
          <w:rPr>
            <w:color w:val="1155CC"/>
            <w:u w:val="single" w:color="1155CC"/>
          </w:rPr>
          <w:t>cloud</w:t>
        </w:r>
      </w:hyperlink>
      <w:hyperlink r:id="rId72"/>
      <w:hyperlink r:id="rId73">
        <w:r>
          <w:rPr>
            <w:color w:val="1155CC"/>
            <w:u w:val="single" w:color="1155CC"/>
          </w:rPr>
          <w:t>security</w:t>
        </w:r>
      </w:hyperlink>
      <w:hyperlink r:id="rId74">
        <w:r>
          <w:rPr>
            <w:color w:val="1155CC"/>
            <w:u w:val="single" w:color="1155CC"/>
          </w:rPr>
          <w:t>-</w:t>
        </w:r>
      </w:hyperlink>
      <w:hyperlink r:id="rId75">
        <w:r>
          <w:rPr>
            <w:color w:val="1155CC"/>
            <w:u w:val="single" w:color="1155CC"/>
          </w:rPr>
          <w:t>principles</w:t>
        </w:r>
      </w:hyperlink>
      <w:hyperlink r:id="rId76">
        <w:r>
          <w:t xml:space="preserve"> </w:t>
        </w:r>
      </w:hyperlink>
      <w:r>
        <w:t xml:space="preserve"> </w:t>
      </w:r>
    </w:p>
    <w:p w14:paraId="03B48C45" w14:textId="77777777" w:rsidR="00D1352F" w:rsidRDefault="009B1F56">
      <w:pPr>
        <w:numPr>
          <w:ilvl w:val="1"/>
          <w:numId w:val="15"/>
        </w:numPr>
        <w:ind w:hanging="725"/>
      </w:pPr>
      <w:r>
        <w:t xml:space="preserve">The Buyer will specify any security requirements for this project in the Order Form. </w:t>
      </w:r>
    </w:p>
    <w:p w14:paraId="4075E232" w14:textId="77777777" w:rsidR="00D1352F" w:rsidRDefault="009B1F56">
      <w:pPr>
        <w:numPr>
          <w:ilvl w:val="1"/>
          <w:numId w:val="15"/>
        </w:numPr>
        <w:ind w:hanging="725"/>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w:t>
      </w:r>
      <w:r>
        <w:lastRenderedPageBreak/>
        <w:t xml:space="preserve">Data was caused by the action or omission of the Supplier) comply with any remedial action reasonably proposed by the Buyer. </w:t>
      </w:r>
    </w:p>
    <w:p w14:paraId="05737BAC" w14:textId="77777777" w:rsidR="00D1352F" w:rsidRDefault="009B1F56">
      <w:pPr>
        <w:numPr>
          <w:ilvl w:val="1"/>
          <w:numId w:val="15"/>
        </w:numPr>
        <w:spacing w:after="11"/>
        <w:ind w:hanging="725"/>
      </w:pPr>
      <w:r>
        <w:t xml:space="preserve">The Supplier agrees to use the appropriate organisational, </w:t>
      </w:r>
      <w:proofErr w:type="gramStart"/>
      <w:r>
        <w:t>operational</w:t>
      </w:r>
      <w:proofErr w:type="gramEnd"/>
      <w:r>
        <w:t xml:space="preserve"> and technological processes </w:t>
      </w:r>
    </w:p>
    <w:p w14:paraId="3A5C315A" w14:textId="77777777" w:rsidR="00D1352F" w:rsidRDefault="009B1F56">
      <w:pPr>
        <w:ind w:left="735"/>
      </w:pPr>
      <w:r>
        <w:t xml:space="preserve">to keep the Buyer Data safe from unauthorised use or access, loss, destruction, </w:t>
      </w:r>
      <w:proofErr w:type="gramStart"/>
      <w:r>
        <w:t>theft</w:t>
      </w:r>
      <w:proofErr w:type="gramEnd"/>
      <w:r>
        <w:t xml:space="preserve"> or disclosure. </w:t>
      </w:r>
    </w:p>
    <w:p w14:paraId="7DDE288D" w14:textId="77777777" w:rsidR="00D1352F" w:rsidRDefault="009B1F56">
      <w:pPr>
        <w:numPr>
          <w:ilvl w:val="1"/>
          <w:numId w:val="15"/>
        </w:numPr>
        <w:ind w:hanging="725"/>
      </w:pPr>
      <w:r>
        <w:t xml:space="preserve">The provisions of this clause 13 will apply during the term of this Call-Off Contract and for as long as the Supplier holds the Buyer’s Data. </w:t>
      </w:r>
    </w:p>
    <w:p w14:paraId="4EC6A7C7" w14:textId="77777777" w:rsidR="00D1352F" w:rsidRDefault="009B1F56">
      <w:pPr>
        <w:pStyle w:val="Heading3"/>
        <w:ind w:left="0"/>
      </w:pPr>
      <w:bookmarkStart w:id="24" w:name="_Toc76733"/>
      <w:r>
        <w:t xml:space="preserve">14. Standards and quality </w:t>
      </w:r>
      <w:bookmarkEnd w:id="24"/>
    </w:p>
    <w:p w14:paraId="361F4F31" w14:textId="77777777" w:rsidR="00D1352F" w:rsidRDefault="009B1F56">
      <w:pPr>
        <w:spacing w:after="258" w:line="259" w:lineRule="auto"/>
        <w:ind w:left="5" w:firstLine="0"/>
      </w:pPr>
      <w:r>
        <w:t xml:space="preserve"> </w:t>
      </w:r>
    </w:p>
    <w:p w14:paraId="6A2DD2BB" w14:textId="77777777" w:rsidR="00D1352F" w:rsidRDefault="009B1F56">
      <w:pPr>
        <w:ind w:left="715" w:hanging="725"/>
      </w:pPr>
      <w:r>
        <w:t>14.1</w:t>
      </w:r>
      <w:r>
        <w:rPr>
          <w:rFonts w:ascii="Arial" w:eastAsia="Arial" w:hAnsi="Arial" w:cs="Arial"/>
        </w:rPr>
        <w:t xml:space="preserve"> </w:t>
      </w:r>
      <w:r>
        <w:rPr>
          <w:rFonts w:ascii="Arial" w:eastAsia="Arial" w:hAnsi="Arial" w:cs="Arial"/>
        </w:rPr>
        <w:tab/>
      </w:r>
      <w:r>
        <w:t xml:space="preserve">The Supplier will comply with any standards in this Call-Off Contract, the Order </w:t>
      </w:r>
      <w:proofErr w:type="gramStart"/>
      <w:r>
        <w:t>Form</w:t>
      </w:r>
      <w:proofErr w:type="gramEnd"/>
      <w:r>
        <w:t xml:space="preserve"> and the Framework Agreement. </w:t>
      </w:r>
    </w:p>
    <w:p w14:paraId="7AFA3828" w14:textId="77777777" w:rsidR="00D1352F" w:rsidRDefault="009B1F56">
      <w:pPr>
        <w:ind w:left="715" w:hanging="725"/>
      </w:pPr>
      <w:r>
        <w:t>14.2</w:t>
      </w:r>
      <w:r>
        <w:rPr>
          <w:rFonts w:ascii="Arial" w:eastAsia="Arial" w:hAnsi="Arial" w:cs="Arial"/>
        </w:rPr>
        <w:t xml:space="preserve"> </w:t>
      </w:r>
      <w:r>
        <w:rPr>
          <w:rFonts w:ascii="Arial" w:eastAsia="Arial" w:hAnsi="Arial" w:cs="Arial"/>
        </w:rPr>
        <w:tab/>
      </w:r>
      <w:hyperlink r:id="rId77">
        <w:r>
          <w:t xml:space="preserve">The Supplier will deliver the Services in a way that enables the Buyer to comply with its </w:t>
        </w:r>
      </w:hyperlink>
      <w:hyperlink r:id="rId78">
        <w:r>
          <w:t xml:space="preserve">obligations under the Technology Code of Practice, which is available at </w:t>
        </w:r>
      </w:hyperlink>
      <w:hyperlink r:id="rId79">
        <w:r>
          <w:rPr>
            <w:color w:val="1155CC"/>
            <w:u w:val="single" w:color="1155CC"/>
          </w:rPr>
          <w:t>https://www.gov.uk/government/publications/technology</w:t>
        </w:r>
      </w:hyperlink>
      <w:hyperlink r:id="rId80">
        <w:r>
          <w:rPr>
            <w:color w:val="1155CC"/>
            <w:u w:val="single" w:color="1155CC"/>
          </w:rPr>
          <w:t>-</w:t>
        </w:r>
      </w:hyperlink>
      <w:hyperlink r:id="rId81">
        <w:r>
          <w:rPr>
            <w:color w:val="1155CC"/>
            <w:u w:val="single" w:color="1155CC"/>
          </w:rPr>
          <w:t>code</w:t>
        </w:r>
      </w:hyperlink>
      <w:hyperlink r:id="rId82">
        <w:r>
          <w:rPr>
            <w:color w:val="1155CC"/>
            <w:u w:val="single" w:color="1155CC"/>
          </w:rPr>
          <w:t>-</w:t>
        </w:r>
      </w:hyperlink>
      <w:hyperlink r:id="rId83">
        <w:r>
          <w:rPr>
            <w:color w:val="1155CC"/>
            <w:u w:val="single" w:color="1155CC"/>
          </w:rPr>
          <w:t>of</w:t>
        </w:r>
      </w:hyperlink>
      <w:hyperlink r:id="rId84">
        <w:r>
          <w:rPr>
            <w:color w:val="1155CC"/>
            <w:u w:val="single" w:color="1155CC"/>
          </w:rPr>
          <w:t>-</w:t>
        </w:r>
      </w:hyperlink>
      <w:hyperlink r:id="rId85">
        <w:r>
          <w:rPr>
            <w:color w:val="1155CC"/>
            <w:u w:val="single" w:color="1155CC"/>
          </w:rPr>
          <w:t>practice/technology</w:t>
        </w:r>
      </w:hyperlink>
      <w:hyperlink r:id="rId86">
        <w:r>
          <w:rPr>
            <w:color w:val="1155CC"/>
            <w:u w:val="single" w:color="1155CC"/>
          </w:rPr>
          <w:t>-</w:t>
        </w:r>
      </w:hyperlink>
      <w:hyperlink r:id="rId87">
        <w:r>
          <w:rPr>
            <w:color w:val="1155CC"/>
            <w:u w:val="single" w:color="1155CC"/>
          </w:rPr>
          <w:t>code</w:t>
        </w:r>
      </w:hyperlink>
      <w:hyperlink r:id="rId88">
        <w:r>
          <w:rPr>
            <w:color w:val="1155CC"/>
            <w:u w:val="single" w:color="1155CC"/>
          </w:rPr>
          <w:t>-</w:t>
        </w:r>
      </w:hyperlink>
      <w:hyperlink r:id="rId89">
        <w:r>
          <w:rPr>
            <w:color w:val="1155CC"/>
            <w:u w:val="single" w:color="1155CC"/>
          </w:rPr>
          <w:t>of</w:t>
        </w:r>
      </w:hyperlink>
      <w:hyperlink r:id="rId90"/>
      <w:hyperlink r:id="rId91">
        <w:r>
          <w:rPr>
            <w:color w:val="1155CC"/>
            <w:u w:val="single" w:color="1155CC"/>
          </w:rPr>
          <w:t>practice</w:t>
        </w:r>
      </w:hyperlink>
      <w:hyperlink r:id="rId92">
        <w:r>
          <w:t xml:space="preserve"> </w:t>
        </w:r>
      </w:hyperlink>
    </w:p>
    <w:p w14:paraId="6C4949C5" w14:textId="77777777" w:rsidR="00D1352F" w:rsidRDefault="009B1F56">
      <w:pPr>
        <w:ind w:left="715" w:hanging="725"/>
      </w:pPr>
      <w:r>
        <w:t>14.3</w:t>
      </w:r>
      <w:r>
        <w:rPr>
          <w:rFonts w:ascii="Arial" w:eastAsia="Arial" w:hAnsi="Arial" w:cs="Arial"/>
        </w:rPr>
        <w:t xml:space="preserve"> </w:t>
      </w:r>
      <w:r>
        <w:rPr>
          <w:rFonts w:ascii="Arial" w:eastAsia="Arial" w:hAnsi="Arial" w:cs="Arial"/>
        </w:rPr>
        <w:tab/>
      </w:r>
      <w:r>
        <w:t xml:space="preserve">If requested by the Buyer, the Supplier must, at its own cost, ensure that the G-Cloud Services comply with the requirements in the PSN Code of Practice. </w:t>
      </w:r>
    </w:p>
    <w:p w14:paraId="529FF27E" w14:textId="77777777" w:rsidR="00D1352F" w:rsidRDefault="009B1F56">
      <w:pPr>
        <w:ind w:left="715" w:hanging="725"/>
      </w:pPr>
      <w:r>
        <w:t>14.4</w:t>
      </w:r>
      <w:r>
        <w:rPr>
          <w:rFonts w:ascii="Arial" w:eastAsia="Arial" w:hAnsi="Arial" w:cs="Arial"/>
        </w:rPr>
        <w:t xml:space="preserve"> </w:t>
      </w:r>
      <w:r>
        <w:rPr>
          <w:rFonts w:ascii="Arial" w:eastAsia="Arial" w:hAnsi="Arial" w:cs="Arial"/>
        </w:rPr>
        <w:tab/>
      </w:r>
      <w:r>
        <w:t xml:space="preserve">If any PSN Services are Subcontracted by the Supplier, the Supplier must ensure that the services have the relevant PSN compliance certification. </w:t>
      </w:r>
    </w:p>
    <w:p w14:paraId="5D26A337" w14:textId="77777777" w:rsidR="00D1352F" w:rsidRDefault="009B1F56">
      <w:pPr>
        <w:tabs>
          <w:tab w:val="center" w:pos="5170"/>
        </w:tabs>
        <w:spacing w:after="6"/>
        <w:ind w:left="-10" w:firstLine="0"/>
      </w:pPr>
      <w:r>
        <w:t>14.5</w:t>
      </w:r>
      <w:r>
        <w:rPr>
          <w:rFonts w:ascii="Arial" w:eastAsia="Arial" w:hAnsi="Arial" w:cs="Arial"/>
        </w:rPr>
        <w:t xml:space="preserve"> </w:t>
      </w:r>
      <w:r>
        <w:rPr>
          <w:rFonts w:ascii="Arial" w:eastAsia="Arial" w:hAnsi="Arial" w:cs="Arial"/>
        </w:rPr>
        <w:tab/>
      </w:r>
      <w:r>
        <w:t xml:space="preserve">The Supplier must immediately disconnect its G-Cloud Services from the PSN if the PSN </w:t>
      </w:r>
    </w:p>
    <w:p w14:paraId="2E504DD9" w14:textId="77777777" w:rsidR="00D1352F" w:rsidRDefault="009B1F56">
      <w:pPr>
        <w:ind w:left="735"/>
      </w:pPr>
      <w:r>
        <w:t>Authority considers there is a risk to the PSN’s security and the Supplier agrees that the Buyer and the PSN Authority will not be liable for any actions, damages, costs, and any other Supplier liabilities which may arise</w:t>
      </w:r>
      <w:hyperlink r:id="rId93">
        <w:r>
          <w:t>.</w:t>
        </w:r>
      </w:hyperlink>
      <w:hyperlink r:id="rId94">
        <w:r>
          <w:t xml:space="preserve"> </w:t>
        </w:r>
      </w:hyperlink>
    </w:p>
    <w:p w14:paraId="59C741A4" w14:textId="77777777" w:rsidR="00D1352F" w:rsidRDefault="009B1F56">
      <w:pPr>
        <w:pStyle w:val="Heading3"/>
        <w:ind w:left="0"/>
      </w:pPr>
      <w:bookmarkStart w:id="25" w:name="_Toc76734"/>
      <w:r>
        <w:t xml:space="preserve">15. Open source </w:t>
      </w:r>
      <w:bookmarkEnd w:id="25"/>
    </w:p>
    <w:p w14:paraId="4C2E192D" w14:textId="77777777" w:rsidR="00D1352F" w:rsidRDefault="009B1F56">
      <w:pPr>
        <w:spacing w:after="258" w:line="259" w:lineRule="auto"/>
        <w:ind w:left="5" w:firstLine="0"/>
      </w:pPr>
      <w:r>
        <w:t xml:space="preserve"> </w:t>
      </w:r>
    </w:p>
    <w:p w14:paraId="1F88C311" w14:textId="77777777" w:rsidR="00D1352F" w:rsidRDefault="009B1F56">
      <w:pPr>
        <w:ind w:left="715" w:hanging="725"/>
      </w:pPr>
      <w:r>
        <w:t>15.1</w:t>
      </w:r>
      <w:r>
        <w:rPr>
          <w:rFonts w:ascii="Arial" w:eastAsia="Arial" w:hAnsi="Arial" w:cs="Arial"/>
        </w:rPr>
        <w:t xml:space="preserve"> </w:t>
      </w:r>
      <w:r>
        <w:rPr>
          <w:rFonts w:ascii="Arial" w:eastAsia="Arial" w:hAnsi="Arial" w:cs="Arial"/>
        </w:rPr>
        <w:tab/>
      </w:r>
      <w:r>
        <w:t xml:space="preserve">All software created for the Buyer must be suitable for publication as open source, unless otherwise agreed by the Buyer. </w:t>
      </w:r>
    </w:p>
    <w:p w14:paraId="5CB03658" w14:textId="77777777" w:rsidR="00D1352F" w:rsidRDefault="009B1F56">
      <w:pPr>
        <w:ind w:left="715" w:hanging="725"/>
      </w:pPr>
      <w:r>
        <w:t>15.2</w:t>
      </w:r>
      <w:r>
        <w:rPr>
          <w:rFonts w:ascii="Arial" w:eastAsia="Arial" w:hAnsi="Arial" w:cs="Arial"/>
        </w:rPr>
        <w:t xml:space="preserve"> </w:t>
      </w:r>
      <w:r>
        <w:rPr>
          <w:rFonts w:ascii="Arial" w:eastAsia="Arial" w:hAnsi="Arial" w:cs="Arial"/>
        </w:rPr>
        <w:tab/>
      </w:r>
      <w:r>
        <w:t xml:space="preserve">If software needs to be converted before publication as open source, the Supplier must also provide the converted format unless otherwise agreed by the Buyer. </w:t>
      </w:r>
    </w:p>
    <w:p w14:paraId="6F21BFA2" w14:textId="77777777" w:rsidR="00D1352F" w:rsidRDefault="009B1F56">
      <w:pPr>
        <w:pStyle w:val="Heading3"/>
        <w:ind w:left="0"/>
      </w:pPr>
      <w:bookmarkStart w:id="26" w:name="_Toc76735"/>
      <w:r>
        <w:t xml:space="preserve">16. Security </w:t>
      </w:r>
      <w:bookmarkEnd w:id="26"/>
    </w:p>
    <w:p w14:paraId="7CC198BE" w14:textId="77777777" w:rsidR="00D1352F" w:rsidRDefault="009B1F56">
      <w:pPr>
        <w:spacing w:after="258" w:line="259" w:lineRule="auto"/>
        <w:ind w:left="5" w:firstLine="0"/>
      </w:pPr>
      <w:r>
        <w:t xml:space="preserve"> </w:t>
      </w:r>
    </w:p>
    <w:p w14:paraId="2A0DAAA2" w14:textId="77777777" w:rsidR="00D1352F" w:rsidRDefault="009B1F56">
      <w:pPr>
        <w:tabs>
          <w:tab w:val="center" w:pos="5502"/>
        </w:tabs>
        <w:spacing w:after="11"/>
        <w:ind w:left="-10" w:firstLine="0"/>
      </w:pPr>
      <w:r>
        <w:lastRenderedPageBreak/>
        <w:t>16.1</w:t>
      </w:r>
      <w:r>
        <w:rPr>
          <w:rFonts w:ascii="Arial" w:eastAsia="Arial" w:hAnsi="Arial" w:cs="Arial"/>
        </w:rPr>
        <w:t xml:space="preserve"> </w:t>
      </w:r>
      <w:r>
        <w:rPr>
          <w:rFonts w:ascii="Arial" w:eastAsia="Arial" w:hAnsi="Arial" w:cs="Arial"/>
        </w:rPr>
        <w:tab/>
      </w:r>
      <w:r>
        <w:t xml:space="preserve">If requested to do so by the Buyer, before </w:t>
      </w:r>
      <w:proofErr w:type="gramStart"/>
      <w:r>
        <w:t>entering into</w:t>
      </w:r>
      <w:proofErr w:type="gramEnd"/>
      <w:r>
        <w:t xml:space="preserve"> this Call-Off Contract the Supplier will, </w:t>
      </w:r>
    </w:p>
    <w:p w14:paraId="6957DB32" w14:textId="77777777" w:rsidR="00D1352F" w:rsidRDefault="009B1F56">
      <w:pPr>
        <w:spacing w:after="6"/>
        <w:ind w:left="735"/>
      </w:pPr>
      <w:r>
        <w:t xml:space="preserve">within 15 Working Days of the date of this Call-Off Contract, develop (and obtain the Buyer’s written approval of) a Security Management Plan and an Information Security Management </w:t>
      </w:r>
    </w:p>
    <w:p w14:paraId="6A80FEE7" w14:textId="77777777" w:rsidR="00D1352F" w:rsidRDefault="009B1F56">
      <w:pPr>
        <w:spacing w:after="11"/>
        <w:ind w:left="735"/>
      </w:pPr>
      <w:r>
        <w:t xml:space="preserve">System. After Buyer approval the Security Management Plan and Information Security </w:t>
      </w:r>
    </w:p>
    <w:p w14:paraId="71BFD9C7" w14:textId="77777777" w:rsidR="00D1352F" w:rsidRDefault="009B1F56">
      <w:pPr>
        <w:ind w:left="735"/>
      </w:pPr>
      <w:r>
        <w:t xml:space="preserve">Management System will apply during the Term of this Call-Off Contract. Both plans will comply with the Buyer’s security policy and protect all aspects and processes associated with the delivery of the Services. </w:t>
      </w:r>
    </w:p>
    <w:p w14:paraId="68129CC7" w14:textId="77777777" w:rsidR="00D1352F" w:rsidRDefault="009B1F56">
      <w:pPr>
        <w:ind w:left="715" w:hanging="725"/>
      </w:pPr>
      <w:r>
        <w:t>16.2</w:t>
      </w:r>
      <w:r>
        <w:rPr>
          <w:rFonts w:ascii="Arial" w:eastAsia="Arial" w:hAnsi="Arial" w:cs="Arial"/>
        </w:rPr>
        <w:t xml:space="preserve"> </w:t>
      </w:r>
      <w:r>
        <w:rPr>
          <w:rFonts w:ascii="Arial" w:eastAsia="Arial" w:hAnsi="Arial" w:cs="Arial"/>
        </w:rPr>
        <w:tab/>
      </w:r>
      <w:r>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 </w:t>
      </w:r>
    </w:p>
    <w:p w14:paraId="2D15774E" w14:textId="77777777" w:rsidR="00D1352F" w:rsidRDefault="009B1F56">
      <w:pPr>
        <w:ind w:left="715" w:hanging="725"/>
      </w:pPr>
      <w:r>
        <w:t>16.3</w:t>
      </w:r>
      <w:r>
        <w:rPr>
          <w:rFonts w:ascii="Arial" w:eastAsia="Arial" w:hAnsi="Arial" w:cs="Arial"/>
        </w:rPr>
        <w:t xml:space="preserve"> </w:t>
      </w:r>
      <w:r>
        <w:rPr>
          <w:rFonts w:ascii="Arial" w:eastAsia="Arial" w:hAnsi="Arial" w:cs="Arial"/>
        </w:rPr>
        <w:tab/>
      </w:r>
      <w:r>
        <w:t xml:space="preserve">If Malicious Software causes loss of operational efficiency or loss or corruption of Service Data, the Supplier will help the Buyer to mitigate any losses and restore the Services to operating efficiency as soon as possible. </w:t>
      </w:r>
    </w:p>
    <w:p w14:paraId="2B8EAC3A" w14:textId="77777777" w:rsidR="00D1352F" w:rsidRDefault="009B1F56">
      <w:pPr>
        <w:tabs>
          <w:tab w:val="center" w:pos="2601"/>
        </w:tabs>
        <w:ind w:left="-10" w:firstLine="0"/>
      </w:pPr>
      <w:r>
        <w:t>16.4</w:t>
      </w:r>
      <w:r>
        <w:rPr>
          <w:rFonts w:ascii="Arial" w:eastAsia="Arial" w:hAnsi="Arial" w:cs="Arial"/>
        </w:rPr>
        <w:t xml:space="preserve"> </w:t>
      </w:r>
      <w:r>
        <w:rPr>
          <w:rFonts w:ascii="Arial" w:eastAsia="Arial" w:hAnsi="Arial" w:cs="Arial"/>
        </w:rPr>
        <w:tab/>
      </w:r>
      <w:r>
        <w:t xml:space="preserve">Responsibility for costs will be at the: </w:t>
      </w:r>
    </w:p>
    <w:p w14:paraId="1B71EC16" w14:textId="77777777" w:rsidR="00D1352F" w:rsidRDefault="009B1F56">
      <w:pPr>
        <w:numPr>
          <w:ilvl w:val="0"/>
          <w:numId w:val="16"/>
        </w:numPr>
        <w:spacing w:after="13" w:line="267" w:lineRule="auto"/>
        <w:ind w:hanging="360"/>
      </w:pPr>
      <w:r>
        <w:t xml:space="preserve">Supplier’s expense if the Malicious Software originates from the Supplier software or the </w:t>
      </w:r>
    </w:p>
    <w:p w14:paraId="7C7AD89D" w14:textId="77777777" w:rsidR="00D1352F" w:rsidRDefault="009B1F56">
      <w:pPr>
        <w:spacing w:after="11"/>
        <w:ind w:left="1455"/>
      </w:pPr>
      <w:r>
        <w:t xml:space="preserve">Service Data while the Service Data was under the control of the Supplier, unless the </w:t>
      </w:r>
    </w:p>
    <w:p w14:paraId="0FD4E9F6" w14:textId="77777777" w:rsidR="00D1352F" w:rsidRDefault="009B1F56">
      <w:pPr>
        <w:ind w:left="1455"/>
      </w:pPr>
      <w:r>
        <w:t xml:space="preserve">Supplier can demonstrate that it was already present, not quarantined or identified by the Buyer when provided </w:t>
      </w:r>
    </w:p>
    <w:p w14:paraId="76203DA2" w14:textId="77777777" w:rsidR="00D1352F" w:rsidRDefault="009B1F56">
      <w:pPr>
        <w:numPr>
          <w:ilvl w:val="0"/>
          <w:numId w:val="16"/>
        </w:numPr>
        <w:spacing w:after="249" w:line="267" w:lineRule="auto"/>
        <w:ind w:hanging="360"/>
      </w:pPr>
      <w:r>
        <w:t xml:space="preserve">Buyer’s expense if the Malicious Software originates from the Buyer software or the Service Data, while the Service Data was under the Buyer’s control </w:t>
      </w:r>
    </w:p>
    <w:p w14:paraId="4DE963B1" w14:textId="77777777" w:rsidR="00D1352F" w:rsidRDefault="009B1F56">
      <w:pPr>
        <w:numPr>
          <w:ilvl w:val="1"/>
          <w:numId w:val="17"/>
        </w:numPr>
        <w:ind w:hanging="725"/>
      </w:pPr>
      <w: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 </w:t>
      </w:r>
    </w:p>
    <w:p w14:paraId="0DA25040" w14:textId="77777777" w:rsidR="00D1352F" w:rsidRDefault="009B1F56">
      <w:pPr>
        <w:numPr>
          <w:ilvl w:val="1"/>
          <w:numId w:val="17"/>
        </w:numPr>
        <w:spacing w:after="249" w:line="267" w:lineRule="auto"/>
        <w:ind w:hanging="725"/>
      </w:pPr>
      <w:r>
        <w:t xml:space="preserve">Any system development by the Supplier should also comply with the government’s ‘10 Steps to Cyber Security’ guidance, available at </w:t>
      </w:r>
      <w:hyperlink r:id="rId95">
        <w:r>
          <w:rPr>
            <w:color w:val="1155CC"/>
            <w:u w:val="single" w:color="1155CC"/>
          </w:rPr>
          <w:t>https://www.ncsc.gov.uk/guidance/10</w:t>
        </w:r>
      </w:hyperlink>
      <w:hyperlink r:id="rId96">
        <w:r>
          <w:rPr>
            <w:color w:val="1155CC"/>
            <w:u w:val="single" w:color="1155CC"/>
          </w:rPr>
          <w:t>-</w:t>
        </w:r>
      </w:hyperlink>
      <w:hyperlink r:id="rId97">
        <w:r>
          <w:rPr>
            <w:color w:val="1155CC"/>
            <w:u w:val="single" w:color="1155CC"/>
          </w:rPr>
          <w:t>steps</w:t>
        </w:r>
      </w:hyperlink>
      <w:hyperlink r:id="rId98">
        <w:r>
          <w:rPr>
            <w:color w:val="1155CC"/>
            <w:u w:val="single" w:color="1155CC"/>
          </w:rPr>
          <w:t>-</w:t>
        </w:r>
      </w:hyperlink>
      <w:hyperlink r:id="rId99">
        <w:r>
          <w:rPr>
            <w:color w:val="1155CC"/>
            <w:u w:val="single" w:color="1155CC"/>
          </w:rPr>
          <w:t>cyber</w:t>
        </w:r>
      </w:hyperlink>
      <w:hyperlink r:id="rId100">
        <w:r>
          <w:rPr>
            <w:color w:val="1155CC"/>
            <w:u w:val="single" w:color="1155CC"/>
          </w:rPr>
          <w:t>-</w:t>
        </w:r>
      </w:hyperlink>
      <w:hyperlink r:id="rId101">
        <w:r>
          <w:rPr>
            <w:color w:val="1155CC"/>
            <w:u w:val="single" w:color="1155CC"/>
          </w:rPr>
          <w:t>security</w:t>
        </w:r>
      </w:hyperlink>
      <w:hyperlink r:id="rId102">
        <w:r>
          <w:t xml:space="preserve"> </w:t>
        </w:r>
      </w:hyperlink>
    </w:p>
    <w:p w14:paraId="26ED5DA6" w14:textId="77777777" w:rsidR="00D1352F" w:rsidRDefault="009B1F56">
      <w:pPr>
        <w:numPr>
          <w:ilvl w:val="1"/>
          <w:numId w:val="17"/>
        </w:numPr>
        <w:ind w:hanging="725"/>
      </w:pPr>
      <w:r>
        <w:t xml:space="preserve">If a Buyer has requested in the Order Form that the Supplier has a Cyber Essentials certificate, the Supplier must provide the Buyer with a valid Cyber Essentials certificate (or equivalent) required for the Services before the Start Date.  </w:t>
      </w:r>
    </w:p>
    <w:p w14:paraId="7B2E7E32" w14:textId="77777777" w:rsidR="00D1352F" w:rsidRDefault="009B1F56">
      <w:pPr>
        <w:pStyle w:val="Heading2"/>
        <w:ind w:left="0"/>
      </w:pPr>
      <w:bookmarkStart w:id="27" w:name="_Toc76736"/>
      <w:r>
        <w:t xml:space="preserve">17. Guarantee </w:t>
      </w:r>
      <w:bookmarkEnd w:id="27"/>
    </w:p>
    <w:p w14:paraId="41AC3CA6" w14:textId="77777777" w:rsidR="00D1352F" w:rsidRDefault="009B1F56">
      <w:pPr>
        <w:spacing w:after="263" w:line="259" w:lineRule="auto"/>
        <w:ind w:left="5" w:firstLine="0"/>
      </w:pPr>
      <w:r>
        <w:t xml:space="preserve"> </w:t>
      </w:r>
    </w:p>
    <w:p w14:paraId="079F8925" w14:textId="77777777" w:rsidR="00D1352F" w:rsidRDefault="009B1F56">
      <w:pPr>
        <w:ind w:left="715" w:hanging="725"/>
      </w:pPr>
      <w:r>
        <w:lastRenderedPageBreak/>
        <w:t>17.1</w:t>
      </w:r>
      <w:r>
        <w:rPr>
          <w:rFonts w:ascii="Arial" w:eastAsia="Arial" w:hAnsi="Arial" w:cs="Arial"/>
        </w:rPr>
        <w:t xml:space="preserve"> </w:t>
      </w:r>
      <w:r>
        <w:rPr>
          <w:rFonts w:ascii="Arial" w:eastAsia="Arial" w:hAnsi="Arial" w:cs="Arial"/>
        </w:rPr>
        <w:tab/>
      </w:r>
      <w:r>
        <w:t xml:space="preserve">If this Call-Off Contract is conditional on receipt of a Guarantee that is acceptable to the Buyer, the Supplier must give the Buyer on or before the Start Date: </w:t>
      </w:r>
    </w:p>
    <w:p w14:paraId="0E5D05F2" w14:textId="77777777" w:rsidR="00D1352F" w:rsidRDefault="009B1F56">
      <w:pPr>
        <w:numPr>
          <w:ilvl w:val="0"/>
          <w:numId w:val="18"/>
        </w:numPr>
        <w:ind w:hanging="360"/>
      </w:pPr>
      <w:r>
        <w:t xml:space="preserve">an executed Guarantee in the form at Schedule 5  </w:t>
      </w:r>
    </w:p>
    <w:p w14:paraId="21B9BC8E" w14:textId="77777777" w:rsidR="00D1352F" w:rsidRDefault="009B1F56">
      <w:pPr>
        <w:numPr>
          <w:ilvl w:val="0"/>
          <w:numId w:val="18"/>
        </w:numPr>
        <w:ind w:hanging="360"/>
      </w:pPr>
      <w:r>
        <w:t xml:space="preserve">a certified copy of the passed resolution or board minutes of the guarantor approving the execution of the Guarantee </w:t>
      </w:r>
    </w:p>
    <w:p w14:paraId="6D834A6E" w14:textId="77777777" w:rsidR="00D1352F" w:rsidRDefault="009B1F56">
      <w:pPr>
        <w:pStyle w:val="Heading2"/>
        <w:ind w:left="0"/>
      </w:pPr>
      <w:bookmarkStart w:id="28" w:name="_Toc76737"/>
      <w:r>
        <w:t xml:space="preserve">18. Ending the Call-Off Contract </w:t>
      </w:r>
      <w:bookmarkEnd w:id="28"/>
    </w:p>
    <w:p w14:paraId="60CB5CAA" w14:textId="77777777" w:rsidR="00D1352F" w:rsidRDefault="009B1F56">
      <w:pPr>
        <w:spacing w:after="258" w:line="259" w:lineRule="auto"/>
        <w:ind w:left="5" w:firstLine="0"/>
      </w:pPr>
      <w:r>
        <w:t xml:space="preserve"> </w:t>
      </w:r>
    </w:p>
    <w:p w14:paraId="74AEC597" w14:textId="77777777" w:rsidR="00D1352F" w:rsidRDefault="009B1F56">
      <w:pPr>
        <w:spacing w:after="249" w:line="267" w:lineRule="auto"/>
        <w:ind w:left="715" w:hanging="725"/>
      </w:pPr>
      <w:r>
        <w:t>18.1</w:t>
      </w:r>
      <w:r>
        <w:rPr>
          <w:rFonts w:ascii="Arial" w:eastAsia="Arial" w:hAnsi="Arial" w:cs="Arial"/>
        </w:rPr>
        <w:t xml:space="preserve"> </w:t>
      </w:r>
      <w:r>
        <w:rPr>
          <w:rFonts w:ascii="Arial" w:eastAsia="Arial" w:hAnsi="Arial" w:cs="Arial"/>
        </w:rPr>
        <w:tab/>
      </w:r>
      <w:r>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 </w:t>
      </w:r>
    </w:p>
    <w:p w14:paraId="6FDF17E8" w14:textId="77777777" w:rsidR="00D1352F" w:rsidRDefault="009B1F56">
      <w:pPr>
        <w:tabs>
          <w:tab w:val="center" w:pos="2042"/>
        </w:tabs>
        <w:ind w:left="-10" w:firstLine="0"/>
      </w:pPr>
      <w:r>
        <w:t>18.2</w:t>
      </w:r>
      <w:r>
        <w:rPr>
          <w:rFonts w:ascii="Arial" w:eastAsia="Arial" w:hAnsi="Arial" w:cs="Arial"/>
        </w:rPr>
        <w:t xml:space="preserve"> </w:t>
      </w:r>
      <w:r>
        <w:rPr>
          <w:rFonts w:ascii="Arial" w:eastAsia="Arial" w:hAnsi="Arial" w:cs="Arial"/>
        </w:rPr>
        <w:tab/>
      </w:r>
      <w:r>
        <w:t xml:space="preserve">The Parties agree that the: </w:t>
      </w:r>
    </w:p>
    <w:p w14:paraId="5CA50867" w14:textId="77777777" w:rsidR="00D1352F" w:rsidRDefault="009B1F56">
      <w:pPr>
        <w:numPr>
          <w:ilvl w:val="0"/>
          <w:numId w:val="19"/>
        </w:numPr>
        <w:ind w:hanging="360"/>
      </w:pPr>
      <w:r>
        <w:t xml:space="preserve">Buyer’s right to End the Call-Off Contract under clause 18.1 is reasonable considering the type of cloud Service being provided </w:t>
      </w:r>
    </w:p>
    <w:p w14:paraId="424051A0" w14:textId="77777777" w:rsidR="00D1352F" w:rsidRDefault="009B1F56">
      <w:pPr>
        <w:numPr>
          <w:ilvl w:val="0"/>
          <w:numId w:val="19"/>
        </w:numPr>
        <w:ind w:hanging="360"/>
      </w:pPr>
      <w:r>
        <w:t xml:space="preserve">Call-Off Contract Charges paid during the notice period is reasonable compensation and covers all the Supplier’s avoidable costs or Losses </w:t>
      </w:r>
    </w:p>
    <w:p w14:paraId="38884AC8" w14:textId="77777777" w:rsidR="00D1352F" w:rsidRDefault="009B1F56">
      <w:pPr>
        <w:numPr>
          <w:ilvl w:val="1"/>
          <w:numId w:val="20"/>
        </w:numPr>
        <w:ind w:hanging="725"/>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5FA9A476" w14:textId="77777777" w:rsidR="00D1352F" w:rsidRDefault="009B1F56">
      <w:pPr>
        <w:numPr>
          <w:ilvl w:val="1"/>
          <w:numId w:val="20"/>
        </w:numPr>
        <w:ind w:hanging="725"/>
      </w:pPr>
      <w:r>
        <w:t xml:space="preserve">The Buyer will have the right to End this Call-Off Contract at any time with immediate effect by written notice to the Supplier if either the Supplier commits: </w:t>
      </w:r>
    </w:p>
    <w:p w14:paraId="0A17197D" w14:textId="77777777" w:rsidR="00D1352F" w:rsidRDefault="009B1F56">
      <w:pPr>
        <w:numPr>
          <w:ilvl w:val="0"/>
          <w:numId w:val="19"/>
        </w:numPr>
        <w:ind w:hanging="360"/>
      </w:pPr>
      <w:r>
        <w:t xml:space="preserve">a Supplier Default and if the Supplier Default cannot, in the reasonable opinion of the Buyer, be remedied </w:t>
      </w:r>
    </w:p>
    <w:p w14:paraId="333982FD" w14:textId="77777777" w:rsidR="00D1352F" w:rsidRDefault="009B1F56">
      <w:pPr>
        <w:numPr>
          <w:ilvl w:val="0"/>
          <w:numId w:val="19"/>
        </w:numPr>
        <w:ind w:hanging="360"/>
      </w:pPr>
      <w:r>
        <w:t xml:space="preserve">any fraud </w:t>
      </w:r>
    </w:p>
    <w:p w14:paraId="4062EEB0" w14:textId="77777777" w:rsidR="00D1352F" w:rsidRDefault="009B1F56">
      <w:pPr>
        <w:tabs>
          <w:tab w:val="center" w:pos="5435"/>
        </w:tabs>
        <w:ind w:left="-10" w:firstLine="0"/>
      </w:pPr>
      <w:r>
        <w:t>18.5</w:t>
      </w:r>
      <w:r>
        <w:rPr>
          <w:rFonts w:ascii="Arial" w:eastAsia="Arial" w:hAnsi="Arial" w:cs="Arial"/>
        </w:rPr>
        <w:t xml:space="preserve"> </w:t>
      </w:r>
      <w:r>
        <w:rPr>
          <w:rFonts w:ascii="Arial" w:eastAsia="Arial" w:hAnsi="Arial" w:cs="Arial"/>
        </w:rPr>
        <w:tab/>
      </w:r>
      <w:r>
        <w:t xml:space="preserve">A Party can End this Call-Off Contract at any time with immediate effect by written notice if: </w:t>
      </w:r>
    </w:p>
    <w:p w14:paraId="2E6BBA6B" w14:textId="77777777" w:rsidR="00D1352F" w:rsidRDefault="009B1F56">
      <w:pPr>
        <w:numPr>
          <w:ilvl w:val="0"/>
          <w:numId w:val="19"/>
        </w:numPr>
        <w:ind w:hanging="360"/>
      </w:pPr>
      <w:r>
        <w:t xml:space="preserve">the other Party commits a Material Breach of any term of this Call-Off Contract (other than failure to pay any amounts due) and, if that breach is remediable, fails to remedy it within 15 Working Days of being notified in writing to do so </w:t>
      </w:r>
    </w:p>
    <w:p w14:paraId="75DB6499" w14:textId="77777777" w:rsidR="00D1352F" w:rsidRDefault="009B1F56">
      <w:pPr>
        <w:numPr>
          <w:ilvl w:val="0"/>
          <w:numId w:val="19"/>
        </w:numPr>
        <w:ind w:hanging="360"/>
      </w:pPr>
      <w:r>
        <w:lastRenderedPageBreak/>
        <w:t xml:space="preserve">an Insolvency Event of the other Party happens </w:t>
      </w:r>
    </w:p>
    <w:p w14:paraId="7CAF3797" w14:textId="77777777" w:rsidR="00D1352F" w:rsidRDefault="009B1F56">
      <w:pPr>
        <w:numPr>
          <w:ilvl w:val="0"/>
          <w:numId w:val="19"/>
        </w:numPr>
        <w:ind w:hanging="360"/>
      </w:pPr>
      <w:r>
        <w:t xml:space="preserve">the other Party ceases or threatens to cease to carry </w:t>
      </w:r>
      <w:proofErr w:type="gramStart"/>
      <w:r>
        <w:t>on the whole</w:t>
      </w:r>
      <w:proofErr w:type="gramEnd"/>
      <w:r>
        <w:t xml:space="preserve"> or any material part of its business </w:t>
      </w:r>
    </w:p>
    <w:p w14:paraId="68F49F5A" w14:textId="77777777" w:rsidR="00D1352F" w:rsidRDefault="009B1F56">
      <w:pPr>
        <w:numPr>
          <w:ilvl w:val="1"/>
          <w:numId w:val="21"/>
        </w:numPr>
        <w:ind w:hanging="725"/>
      </w:pPr>
      <w:r>
        <w:t xml:space="preserve">If the Buyer fails to pay the Supplier undisputed sums of money when due, the Supplier must notify the Buyer and allow the Buyer 5 Working Days to pay. If the Buyer </w:t>
      </w:r>
      <w:proofErr w:type="gramStart"/>
      <w:r>
        <w:t>doesn’t</w:t>
      </w:r>
      <w:proofErr w:type="gramEnd"/>
      <w:r>
        <w:t xml:space="preserve"> pay within 5 Working Days, the Supplier may End this Call-Off Contract by giving the length of notice in the Order Form. </w:t>
      </w:r>
    </w:p>
    <w:p w14:paraId="0B923782" w14:textId="77777777" w:rsidR="00D1352F" w:rsidRDefault="009B1F56">
      <w:pPr>
        <w:numPr>
          <w:ilvl w:val="1"/>
          <w:numId w:val="21"/>
        </w:numPr>
        <w:spacing w:after="249" w:line="267" w:lineRule="auto"/>
        <w:ind w:hanging="725"/>
      </w:pPr>
      <w:r>
        <w:t xml:space="preserve">A Party who </w:t>
      </w:r>
      <w:proofErr w:type="gramStart"/>
      <w:r>
        <w:t>isn’t</w:t>
      </w:r>
      <w:proofErr w:type="gramEnd"/>
      <w:r>
        <w:t xml:space="preserve"> relying on a Force Majeure event will have the right to End this Call-Off Contract if clause 23.1 applies. </w:t>
      </w:r>
    </w:p>
    <w:p w14:paraId="03683AB7" w14:textId="77777777" w:rsidR="00D1352F" w:rsidRDefault="009B1F56">
      <w:pPr>
        <w:pStyle w:val="Heading2"/>
        <w:ind w:left="0"/>
      </w:pPr>
      <w:bookmarkStart w:id="29" w:name="_Toc76738"/>
      <w:r>
        <w:t xml:space="preserve">19. Consequences of suspension, ending and expiry </w:t>
      </w:r>
      <w:bookmarkEnd w:id="29"/>
    </w:p>
    <w:p w14:paraId="50A132B4" w14:textId="77777777" w:rsidR="00D1352F" w:rsidRDefault="009B1F56">
      <w:pPr>
        <w:spacing w:after="258" w:line="259" w:lineRule="auto"/>
        <w:ind w:left="5" w:firstLine="0"/>
      </w:pPr>
      <w:r>
        <w:t xml:space="preserve"> </w:t>
      </w:r>
    </w:p>
    <w:p w14:paraId="53231462" w14:textId="77777777" w:rsidR="00D1352F" w:rsidRDefault="009B1F56">
      <w:pPr>
        <w:ind w:left="715" w:hanging="725"/>
      </w:pPr>
      <w:r>
        <w:t>19.1</w:t>
      </w:r>
      <w:r>
        <w:rPr>
          <w:rFonts w:ascii="Arial" w:eastAsia="Arial" w:hAnsi="Arial" w:cs="Arial"/>
        </w:rPr>
        <w:t xml:space="preserve"> </w:t>
      </w:r>
      <w:r>
        <w:t xml:space="preserve">If a Buyer has the right to End a Call-Off Contract, it may elect to suspend this Call-Off Contract or any part of it. </w:t>
      </w:r>
    </w:p>
    <w:p w14:paraId="03D1CA26" w14:textId="77777777" w:rsidR="00D1352F" w:rsidRDefault="009B1F56">
      <w:pPr>
        <w:ind w:left="715" w:hanging="725"/>
      </w:pPr>
      <w:r>
        <w:t>19.2</w:t>
      </w:r>
      <w:r>
        <w:rPr>
          <w:rFonts w:ascii="Arial" w:eastAsia="Arial" w:hAnsi="Arial" w:cs="Arial"/>
        </w:rPr>
        <w:t xml:space="preserve"> </w:t>
      </w:r>
      <w:r>
        <w:rPr>
          <w:rFonts w:ascii="Arial" w:eastAsia="Arial" w:hAnsi="Arial" w:cs="Arial"/>
        </w:rPr>
        <w:tab/>
      </w:r>
      <w:r>
        <w:t xml:space="preserve">Even if a notice has been served to End this Call-Off Contract or any part of it, the Supplier must continue to provide the Ordered G-Cloud Services until the dates set out in the notice. </w:t>
      </w:r>
    </w:p>
    <w:p w14:paraId="2244BF6A" w14:textId="77777777" w:rsidR="00D1352F" w:rsidRDefault="009B1F56">
      <w:pPr>
        <w:ind w:left="715" w:hanging="725"/>
      </w:pPr>
      <w:r>
        <w:t>19.3</w:t>
      </w:r>
      <w:r>
        <w:rPr>
          <w:rFonts w:ascii="Arial" w:eastAsia="Arial" w:hAnsi="Arial" w:cs="Arial"/>
        </w:rPr>
        <w:t xml:space="preserve"> </w:t>
      </w:r>
      <w:r>
        <w:rPr>
          <w:rFonts w:ascii="Arial" w:eastAsia="Arial" w:hAnsi="Arial" w:cs="Arial"/>
        </w:rPr>
        <w:tab/>
      </w:r>
      <w:r>
        <w:t xml:space="preserve">The rights and obligations of the Parties will cease on the Expiry Date or End Date (whichever applies) of this Call-Off Contract, except those continuing provisions described in clause 19.4. </w:t>
      </w:r>
    </w:p>
    <w:p w14:paraId="42701468" w14:textId="77777777" w:rsidR="00D1352F" w:rsidRDefault="009B1F56">
      <w:pPr>
        <w:tabs>
          <w:tab w:val="center" w:pos="3589"/>
        </w:tabs>
        <w:ind w:left="-10" w:firstLine="0"/>
      </w:pPr>
      <w:r>
        <w:t>19.4</w:t>
      </w:r>
      <w:r>
        <w:rPr>
          <w:rFonts w:ascii="Arial" w:eastAsia="Arial" w:hAnsi="Arial" w:cs="Arial"/>
        </w:rPr>
        <w:t xml:space="preserve"> </w:t>
      </w:r>
      <w:r>
        <w:rPr>
          <w:rFonts w:ascii="Arial" w:eastAsia="Arial" w:hAnsi="Arial" w:cs="Arial"/>
        </w:rPr>
        <w:tab/>
      </w:r>
      <w:r>
        <w:t xml:space="preserve">Ending or expiry of this Call-Off Contract will not affect: </w:t>
      </w:r>
    </w:p>
    <w:p w14:paraId="60CBBDE2" w14:textId="77777777" w:rsidR="00D1352F" w:rsidRDefault="009B1F56">
      <w:pPr>
        <w:numPr>
          <w:ilvl w:val="0"/>
          <w:numId w:val="22"/>
        </w:numPr>
        <w:ind w:hanging="408"/>
      </w:pPr>
      <w:r>
        <w:t xml:space="preserve">any rights, remedies or obligations accrued before its Ending or expiration </w:t>
      </w:r>
    </w:p>
    <w:p w14:paraId="03407AB8" w14:textId="77777777" w:rsidR="00D1352F" w:rsidRDefault="009B1F56">
      <w:pPr>
        <w:numPr>
          <w:ilvl w:val="0"/>
          <w:numId w:val="22"/>
        </w:numPr>
        <w:ind w:hanging="408"/>
      </w:pPr>
      <w:r>
        <w:t xml:space="preserve">the right of either Party to recover any amount outstanding at the time of Ending or expiry </w:t>
      </w:r>
    </w:p>
    <w:p w14:paraId="5BB0A2BC" w14:textId="77777777" w:rsidR="00D1352F" w:rsidRDefault="009B1F56">
      <w:pPr>
        <w:numPr>
          <w:ilvl w:val="0"/>
          <w:numId w:val="22"/>
        </w:numPr>
        <w:spacing w:after="6"/>
        <w:ind w:hanging="408"/>
      </w:pPr>
      <w:r>
        <w:t xml:space="preserve">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w:t>
      </w:r>
    </w:p>
    <w:p w14:paraId="225FE17D" w14:textId="77777777" w:rsidR="00D1352F" w:rsidRDefault="009B1F56">
      <w:pPr>
        <w:spacing w:after="62" w:line="259" w:lineRule="auto"/>
        <w:ind w:left="10" w:right="85"/>
        <w:jc w:val="right"/>
      </w:pPr>
      <w:r>
        <w:t xml:space="preserve">(Conflicts of interest and ethical walls) and 8.87 to 8.88 (Waiver and cumulative remedies) </w:t>
      </w:r>
    </w:p>
    <w:p w14:paraId="535A4510" w14:textId="77777777" w:rsidR="00D1352F" w:rsidRDefault="009B1F56">
      <w:pPr>
        <w:numPr>
          <w:ilvl w:val="0"/>
          <w:numId w:val="22"/>
        </w:numPr>
        <w:spacing w:after="7"/>
        <w:ind w:hanging="408"/>
      </w:pPr>
      <w:r>
        <w:t xml:space="preserve">any other provision of the Framework Agreement or this Call-Off Contract which expressly or by implication is in force even if it Ends or expires </w:t>
      </w:r>
    </w:p>
    <w:p w14:paraId="491849AF" w14:textId="77777777" w:rsidR="00D1352F" w:rsidRDefault="009B1F56">
      <w:pPr>
        <w:spacing w:after="61" w:line="259" w:lineRule="auto"/>
        <w:ind w:left="1546" w:firstLine="0"/>
      </w:pPr>
      <w:r>
        <w:t xml:space="preserve"> </w:t>
      </w:r>
    </w:p>
    <w:p w14:paraId="43CF945E" w14:textId="77777777" w:rsidR="00D1352F" w:rsidRDefault="009B1F56">
      <w:pPr>
        <w:tabs>
          <w:tab w:val="center" w:pos="4265"/>
        </w:tabs>
        <w:ind w:left="-10" w:firstLine="0"/>
      </w:pPr>
      <w:r>
        <w:t>19.5</w:t>
      </w:r>
      <w:r>
        <w:rPr>
          <w:rFonts w:ascii="Arial" w:eastAsia="Arial" w:hAnsi="Arial" w:cs="Arial"/>
        </w:rPr>
        <w:t xml:space="preserve"> </w:t>
      </w:r>
      <w:r>
        <w:rPr>
          <w:rFonts w:ascii="Arial" w:eastAsia="Arial" w:hAnsi="Arial" w:cs="Arial"/>
        </w:rPr>
        <w:tab/>
      </w:r>
      <w:r>
        <w:t xml:space="preserve">At the end of the Call-Off Contract Term, the Supplier must promptly: </w:t>
      </w:r>
    </w:p>
    <w:p w14:paraId="0D7BB32B" w14:textId="77777777" w:rsidR="00D1352F" w:rsidRDefault="009B1F56">
      <w:pPr>
        <w:numPr>
          <w:ilvl w:val="0"/>
          <w:numId w:val="22"/>
        </w:numPr>
        <w:ind w:hanging="408"/>
      </w:pPr>
      <w:r>
        <w:lastRenderedPageBreak/>
        <w:t xml:space="preserve">return all Buyer Data including all copies of Buyer software, code and any other software licensed by the Buyer to the Supplier under it </w:t>
      </w:r>
    </w:p>
    <w:p w14:paraId="5D952401" w14:textId="77777777" w:rsidR="00D1352F" w:rsidRDefault="009B1F56">
      <w:pPr>
        <w:numPr>
          <w:ilvl w:val="0"/>
          <w:numId w:val="22"/>
        </w:numPr>
        <w:ind w:hanging="408"/>
      </w:pPr>
      <w:r>
        <w:t xml:space="preserve">return any materials created by the Supplier under this Call-Off Contract if the IPRs are owned by the Buyer </w:t>
      </w:r>
    </w:p>
    <w:p w14:paraId="3D931AB9" w14:textId="77777777" w:rsidR="00D1352F" w:rsidRDefault="009B1F56">
      <w:pPr>
        <w:numPr>
          <w:ilvl w:val="0"/>
          <w:numId w:val="22"/>
        </w:numPr>
        <w:ind w:hanging="408"/>
      </w:pPr>
      <w:r>
        <w:t xml:space="preserve">stop using the Buyer Data and, at the direction of the Buyer, provide the Buyer with a complete and uncorrupted version in electronic form in the formats and on media agreed with the Buyer </w:t>
      </w:r>
    </w:p>
    <w:p w14:paraId="4F74F54F" w14:textId="77777777" w:rsidR="00D1352F" w:rsidRDefault="009B1F56">
      <w:pPr>
        <w:numPr>
          <w:ilvl w:val="0"/>
          <w:numId w:val="22"/>
        </w:numPr>
        <w:ind w:hanging="408"/>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4F3CA30" w14:textId="77777777" w:rsidR="00D1352F" w:rsidRDefault="009B1F56">
      <w:pPr>
        <w:numPr>
          <w:ilvl w:val="0"/>
          <w:numId w:val="22"/>
        </w:numPr>
        <w:ind w:hanging="408"/>
      </w:pPr>
      <w:r>
        <w:t xml:space="preserve">work with the Buyer on any ongoing work  </w:t>
      </w:r>
    </w:p>
    <w:p w14:paraId="27A08242" w14:textId="77777777" w:rsidR="00D1352F" w:rsidRDefault="009B1F56">
      <w:pPr>
        <w:numPr>
          <w:ilvl w:val="0"/>
          <w:numId w:val="22"/>
        </w:numPr>
        <w:ind w:hanging="408"/>
      </w:pPr>
      <w:r>
        <w:t xml:space="preserve">return any sums prepaid for Services which have not been delivered to the Buyer, within 10 Working Days of the End or Expiry Date </w:t>
      </w:r>
    </w:p>
    <w:p w14:paraId="53B1EA41" w14:textId="77777777" w:rsidR="00D1352F" w:rsidRDefault="009B1F56">
      <w:pPr>
        <w:numPr>
          <w:ilvl w:val="1"/>
          <w:numId w:val="23"/>
        </w:numPr>
        <w:ind w:right="32" w:hanging="725"/>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6B749601" w14:textId="77777777" w:rsidR="00D1352F" w:rsidRDefault="009B1F56">
      <w:pPr>
        <w:numPr>
          <w:ilvl w:val="1"/>
          <w:numId w:val="23"/>
        </w:numPr>
        <w:spacing w:after="240" w:line="275" w:lineRule="auto"/>
        <w:ind w:right="32" w:hanging="725"/>
      </w:pPr>
      <w:r>
        <w:t xml:space="preserve">All licences, leases and authorisations granted by the Buyer to the Supplier will cease at the end of the Call-Off Contract Term without the need for the Buyer to serve notice except if this Call-Off Contract states otherwise. </w:t>
      </w:r>
    </w:p>
    <w:p w14:paraId="72AB8EC2" w14:textId="77777777" w:rsidR="00D1352F" w:rsidRDefault="009B1F56">
      <w:pPr>
        <w:pStyle w:val="Heading2"/>
        <w:ind w:left="0"/>
      </w:pPr>
      <w:bookmarkStart w:id="30" w:name="_Toc76739"/>
      <w:r>
        <w:t xml:space="preserve">20. Notices </w:t>
      </w:r>
      <w:bookmarkEnd w:id="30"/>
    </w:p>
    <w:p w14:paraId="3A90A5FB" w14:textId="77777777" w:rsidR="00D1352F" w:rsidRDefault="009B1F56">
      <w:pPr>
        <w:spacing w:after="258" w:line="259" w:lineRule="auto"/>
        <w:ind w:left="5" w:firstLine="0"/>
      </w:pPr>
      <w:r>
        <w:t xml:space="preserve"> </w:t>
      </w:r>
    </w:p>
    <w:p w14:paraId="5A3C719D" w14:textId="77777777" w:rsidR="00D1352F" w:rsidRDefault="009B1F56">
      <w:pPr>
        <w:spacing w:after="0"/>
        <w:ind w:left="715" w:hanging="725"/>
      </w:pPr>
      <w:r>
        <w:t>20.1</w:t>
      </w:r>
      <w:r>
        <w:rPr>
          <w:rFonts w:ascii="Arial" w:eastAsia="Arial" w:hAnsi="Arial" w:cs="Arial"/>
        </w:rPr>
        <w:t xml:space="preserve"> </w:t>
      </w:r>
      <w:r>
        <w:rPr>
          <w:rFonts w:ascii="Arial" w:eastAsia="Arial" w:hAnsi="Arial" w:cs="Arial"/>
        </w:rPr>
        <w:tab/>
      </w:r>
      <w:r>
        <w:t xml:space="preserve">Any notices sent must be in writing. </w:t>
      </w:r>
      <w:proofErr w:type="gramStart"/>
      <w:r>
        <w:t>For the purpose of</w:t>
      </w:r>
      <w:proofErr w:type="gramEnd"/>
      <w:r>
        <w:t xml:space="preserve"> this clause, an email is accepted as being 'in writing'. </w:t>
      </w:r>
    </w:p>
    <w:tbl>
      <w:tblPr>
        <w:tblStyle w:val="TableGrid"/>
        <w:tblW w:w="9916" w:type="dxa"/>
        <w:tblInd w:w="730" w:type="dxa"/>
        <w:tblCellMar>
          <w:top w:w="68" w:type="dxa"/>
          <w:left w:w="115" w:type="dxa"/>
          <w:right w:w="106" w:type="dxa"/>
        </w:tblCellMar>
        <w:tblLook w:val="04A0" w:firstRow="1" w:lastRow="0" w:firstColumn="1" w:lastColumn="0" w:noHBand="0" w:noVBand="1"/>
      </w:tblPr>
      <w:tblGrid>
        <w:gridCol w:w="3303"/>
        <w:gridCol w:w="3309"/>
        <w:gridCol w:w="3304"/>
      </w:tblGrid>
      <w:tr w:rsidR="00D1352F" w14:paraId="7DAB54D3" w14:textId="77777777">
        <w:trPr>
          <w:trHeight w:val="326"/>
        </w:trPr>
        <w:tc>
          <w:tcPr>
            <w:tcW w:w="3304" w:type="dxa"/>
            <w:tcBorders>
              <w:top w:val="single" w:sz="4" w:space="0" w:color="000000"/>
              <w:left w:val="single" w:sz="4" w:space="0" w:color="000000"/>
              <w:bottom w:val="single" w:sz="4" w:space="0" w:color="000000"/>
              <w:right w:val="single" w:sz="4" w:space="0" w:color="000000"/>
            </w:tcBorders>
          </w:tcPr>
          <w:p w14:paraId="5BDF6F4C" w14:textId="77777777" w:rsidR="00D1352F" w:rsidRDefault="009B1F56">
            <w:pPr>
              <w:spacing w:after="0" w:line="259" w:lineRule="auto"/>
              <w:ind w:left="0" w:firstLine="0"/>
            </w:pPr>
            <w:r>
              <w:t xml:space="preserve">Manner of delivery </w:t>
            </w:r>
          </w:p>
        </w:tc>
        <w:tc>
          <w:tcPr>
            <w:tcW w:w="3309" w:type="dxa"/>
            <w:tcBorders>
              <w:top w:val="single" w:sz="4" w:space="0" w:color="000000"/>
              <w:left w:val="single" w:sz="4" w:space="0" w:color="000000"/>
              <w:bottom w:val="single" w:sz="4" w:space="0" w:color="000000"/>
              <w:right w:val="single" w:sz="4" w:space="0" w:color="000000"/>
            </w:tcBorders>
          </w:tcPr>
          <w:p w14:paraId="25BD9997" w14:textId="77777777" w:rsidR="00D1352F" w:rsidRDefault="009B1F56">
            <w:pPr>
              <w:spacing w:after="0" w:line="259" w:lineRule="auto"/>
              <w:ind w:left="5" w:firstLine="0"/>
            </w:pPr>
            <w:r>
              <w:t xml:space="preserve">Deemed time of delivery </w:t>
            </w:r>
          </w:p>
        </w:tc>
        <w:tc>
          <w:tcPr>
            <w:tcW w:w="3304" w:type="dxa"/>
            <w:tcBorders>
              <w:top w:val="single" w:sz="4" w:space="0" w:color="000000"/>
              <w:left w:val="single" w:sz="4" w:space="0" w:color="000000"/>
              <w:bottom w:val="single" w:sz="4" w:space="0" w:color="000000"/>
              <w:right w:val="single" w:sz="4" w:space="0" w:color="000000"/>
            </w:tcBorders>
          </w:tcPr>
          <w:p w14:paraId="75BA0DAB" w14:textId="77777777" w:rsidR="00D1352F" w:rsidRDefault="009B1F56">
            <w:pPr>
              <w:spacing w:after="0" w:line="259" w:lineRule="auto"/>
              <w:ind w:left="0" w:firstLine="0"/>
            </w:pPr>
            <w:r>
              <w:t xml:space="preserve">Proof of service </w:t>
            </w:r>
          </w:p>
        </w:tc>
      </w:tr>
      <w:tr w:rsidR="00D1352F" w14:paraId="29E8E091" w14:textId="77777777">
        <w:trPr>
          <w:trHeight w:val="961"/>
        </w:trPr>
        <w:tc>
          <w:tcPr>
            <w:tcW w:w="3304" w:type="dxa"/>
            <w:tcBorders>
              <w:top w:val="single" w:sz="4" w:space="0" w:color="000000"/>
              <w:left w:val="single" w:sz="4" w:space="0" w:color="000000"/>
              <w:bottom w:val="single" w:sz="4" w:space="0" w:color="000000"/>
              <w:right w:val="single" w:sz="4" w:space="0" w:color="000000"/>
            </w:tcBorders>
          </w:tcPr>
          <w:p w14:paraId="30E21EA9" w14:textId="77777777" w:rsidR="00D1352F" w:rsidRDefault="009B1F56">
            <w:pPr>
              <w:spacing w:after="0" w:line="259" w:lineRule="auto"/>
              <w:ind w:left="0" w:firstLine="0"/>
            </w:pPr>
            <w:r>
              <w:t xml:space="preserve">Email </w:t>
            </w:r>
          </w:p>
        </w:tc>
        <w:tc>
          <w:tcPr>
            <w:tcW w:w="3309" w:type="dxa"/>
            <w:tcBorders>
              <w:top w:val="single" w:sz="4" w:space="0" w:color="000000"/>
              <w:left w:val="single" w:sz="4" w:space="0" w:color="000000"/>
              <w:bottom w:val="single" w:sz="4" w:space="0" w:color="000000"/>
              <w:right w:val="single" w:sz="4" w:space="0" w:color="000000"/>
            </w:tcBorders>
          </w:tcPr>
          <w:p w14:paraId="6DBF048C" w14:textId="77777777" w:rsidR="00D1352F" w:rsidRDefault="009B1F56">
            <w:pPr>
              <w:spacing w:after="0" w:line="259" w:lineRule="auto"/>
              <w:ind w:left="5" w:firstLine="0"/>
            </w:pPr>
            <w:r>
              <w:t xml:space="preserve">9am on the first Working Day after sending </w:t>
            </w:r>
          </w:p>
        </w:tc>
        <w:tc>
          <w:tcPr>
            <w:tcW w:w="3304" w:type="dxa"/>
            <w:tcBorders>
              <w:top w:val="single" w:sz="4" w:space="0" w:color="000000"/>
              <w:left w:val="single" w:sz="4" w:space="0" w:color="000000"/>
              <w:bottom w:val="single" w:sz="4" w:space="0" w:color="000000"/>
              <w:right w:val="single" w:sz="4" w:space="0" w:color="000000"/>
            </w:tcBorders>
          </w:tcPr>
          <w:p w14:paraId="541E4FD1" w14:textId="77777777" w:rsidR="00D1352F" w:rsidRDefault="009B1F56">
            <w:pPr>
              <w:spacing w:after="0" w:line="259" w:lineRule="auto"/>
              <w:ind w:left="0" w:firstLine="0"/>
            </w:pPr>
            <w:r>
              <w:t xml:space="preserve">Sent by pdf to the correct email address without getting an error message </w:t>
            </w:r>
          </w:p>
        </w:tc>
      </w:tr>
    </w:tbl>
    <w:p w14:paraId="65FBD3C5" w14:textId="77777777" w:rsidR="00D1352F" w:rsidRDefault="009B1F56">
      <w:pPr>
        <w:spacing w:after="258" w:line="259" w:lineRule="auto"/>
        <w:ind w:left="5" w:firstLine="0"/>
      </w:pPr>
      <w:r>
        <w:t xml:space="preserve"> </w:t>
      </w:r>
    </w:p>
    <w:p w14:paraId="08F81625" w14:textId="77777777" w:rsidR="00D1352F" w:rsidRDefault="009B1F56">
      <w:pPr>
        <w:ind w:left="0"/>
      </w:pPr>
      <w:r>
        <w:t>20.2</w:t>
      </w:r>
      <w:r>
        <w:rPr>
          <w:rFonts w:ascii="Arial" w:eastAsia="Arial" w:hAnsi="Arial" w:cs="Arial"/>
        </w:rPr>
        <w:t xml:space="preserve"> </w:t>
      </w:r>
      <w:r>
        <w:rPr>
          <w:rFonts w:ascii="Arial" w:eastAsia="Arial" w:hAnsi="Arial" w:cs="Arial"/>
        </w:rPr>
        <w:tab/>
      </w:r>
      <w:r>
        <w:t xml:space="preserve">This clause does not apply to any legal action or other method of dispute resolution which should be sent to the addresses in the Order Form (other than a dispute notice under this Call-Off Contract). </w:t>
      </w:r>
    </w:p>
    <w:p w14:paraId="30763A4C" w14:textId="77777777" w:rsidR="00D1352F" w:rsidRDefault="009B1F56">
      <w:pPr>
        <w:pStyle w:val="Heading2"/>
        <w:ind w:left="0"/>
      </w:pPr>
      <w:bookmarkStart w:id="31" w:name="_Toc76740"/>
      <w:r>
        <w:lastRenderedPageBreak/>
        <w:t xml:space="preserve">21. Exit plan </w:t>
      </w:r>
      <w:bookmarkEnd w:id="31"/>
    </w:p>
    <w:p w14:paraId="42A73992" w14:textId="77777777" w:rsidR="00D1352F" w:rsidRDefault="009B1F56">
      <w:pPr>
        <w:spacing w:after="258" w:line="259" w:lineRule="auto"/>
        <w:ind w:left="5" w:firstLine="0"/>
      </w:pPr>
      <w:r>
        <w:t xml:space="preserve"> </w:t>
      </w:r>
    </w:p>
    <w:p w14:paraId="24586637" w14:textId="77777777" w:rsidR="00D1352F" w:rsidRDefault="009B1F56">
      <w:pPr>
        <w:ind w:left="715" w:hanging="725"/>
      </w:pPr>
      <w:r>
        <w:t>21.1</w:t>
      </w:r>
      <w:r>
        <w:rPr>
          <w:rFonts w:ascii="Arial" w:eastAsia="Arial" w:hAnsi="Arial" w:cs="Arial"/>
        </w:rPr>
        <w:t xml:space="preserve"> </w:t>
      </w:r>
      <w:r>
        <w:rPr>
          <w:rFonts w:ascii="Arial" w:eastAsia="Arial" w:hAnsi="Arial" w:cs="Arial"/>
        </w:rPr>
        <w:tab/>
      </w:r>
      <w:r>
        <w:t xml:space="preserve">The Supplier must provide an exit plan in its Application which ensures continuity of service and the Supplier will follow it. </w:t>
      </w:r>
    </w:p>
    <w:p w14:paraId="6E560D17" w14:textId="77777777" w:rsidR="00D1352F" w:rsidRDefault="009B1F56">
      <w:pPr>
        <w:ind w:left="715" w:hanging="725"/>
      </w:pPr>
      <w:r>
        <w:t>21.2</w:t>
      </w:r>
      <w:r>
        <w:rPr>
          <w:rFonts w:ascii="Arial" w:eastAsia="Arial" w:hAnsi="Arial" w:cs="Arial"/>
        </w:rPr>
        <w:t xml:space="preserve"> </w:t>
      </w:r>
      <w:r>
        <w:rPr>
          <w:rFonts w:ascii="Arial" w:eastAsia="Arial" w:hAnsi="Arial" w:cs="Arial"/>
        </w:rPr>
        <w:tab/>
      </w:r>
      <w:r>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764125A3" w14:textId="77777777" w:rsidR="00D1352F" w:rsidRDefault="009B1F56">
      <w:pPr>
        <w:ind w:left="715" w:hanging="725"/>
      </w:pPr>
      <w:r>
        <w:t>21.3</w:t>
      </w:r>
      <w:r>
        <w:rPr>
          <w:rFonts w:ascii="Arial" w:eastAsia="Arial" w:hAnsi="Arial" w:cs="Arial"/>
        </w:rPr>
        <w:t xml:space="preserve"> </w:t>
      </w:r>
      <w:r>
        <w:rPr>
          <w:rFonts w:ascii="Arial" w:eastAsia="Arial" w:hAnsi="Arial" w:cs="Arial"/>
        </w:rPr>
        <w:tab/>
      </w:r>
      <w: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C4DC8D7" w14:textId="77777777" w:rsidR="00D1352F" w:rsidRDefault="009B1F56">
      <w:pPr>
        <w:ind w:left="715" w:hanging="725"/>
      </w:pPr>
      <w:r>
        <w:t>21.4</w:t>
      </w:r>
      <w:r>
        <w:rPr>
          <w:rFonts w:ascii="Arial" w:eastAsia="Arial" w:hAnsi="Arial" w:cs="Arial"/>
        </w:rPr>
        <w:t xml:space="preserve"> </w:t>
      </w:r>
      <w:r>
        <w:rPr>
          <w:rFonts w:ascii="Arial" w:eastAsia="Arial" w:hAnsi="Arial" w:cs="Arial"/>
        </w:rPr>
        <w:tab/>
      </w: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F1EA5DE" w14:textId="77777777" w:rsidR="00D1352F" w:rsidRDefault="009B1F56">
      <w:pPr>
        <w:ind w:left="715" w:hanging="725"/>
      </w:pPr>
      <w:r>
        <w:t>21.5</w:t>
      </w:r>
      <w:r>
        <w:rPr>
          <w:rFonts w:ascii="Arial" w:eastAsia="Arial" w:hAnsi="Arial" w:cs="Arial"/>
        </w:rPr>
        <w:t xml:space="preserve"> </w:t>
      </w:r>
      <w:r>
        <w:rPr>
          <w:rFonts w:ascii="Arial" w:eastAsia="Arial" w:hAnsi="Arial" w:cs="Arial"/>
        </w:rPr>
        <w:tab/>
      </w:r>
      <w:r>
        <w:t xml:space="preserve">Before submitting the additional exit plan to the Buyer for approval, the Supplier will work with the Buyer to ensure that the additional exit plan is aligned with the Buyer’s own exit plan and strategy. </w:t>
      </w:r>
    </w:p>
    <w:p w14:paraId="25CDED3F" w14:textId="77777777" w:rsidR="00D1352F" w:rsidRDefault="009B1F56">
      <w:pPr>
        <w:spacing w:after="249" w:line="267" w:lineRule="auto"/>
        <w:ind w:left="715" w:hanging="725"/>
      </w:pPr>
      <w:r>
        <w:t>21.6</w:t>
      </w:r>
      <w:r>
        <w:rPr>
          <w:rFonts w:ascii="Arial" w:eastAsia="Arial" w:hAnsi="Arial" w:cs="Arial"/>
        </w:rPr>
        <w:t xml:space="preserve"> </w:t>
      </w:r>
      <w:r>
        <w:rPr>
          <w:rFonts w:ascii="Arial" w:eastAsia="Arial" w:hAnsi="Arial" w:cs="Arial"/>
        </w:rPr>
        <w:tab/>
      </w:r>
      <w: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68135B2F" w14:textId="77777777" w:rsidR="00D1352F" w:rsidRDefault="009B1F56">
      <w:pPr>
        <w:numPr>
          <w:ilvl w:val="0"/>
          <w:numId w:val="24"/>
        </w:numPr>
        <w:ind w:hanging="360"/>
      </w:pPr>
      <w:r>
        <w:t xml:space="preserve">the Buyer will be able to transfer the Services to a replacement supplier before the expiry or Ending of the extension period on terms that are commercially reasonable and acceptable to the Buyer </w:t>
      </w:r>
    </w:p>
    <w:p w14:paraId="499DF6FC" w14:textId="77777777" w:rsidR="00D1352F" w:rsidRDefault="009B1F56">
      <w:pPr>
        <w:numPr>
          <w:ilvl w:val="0"/>
          <w:numId w:val="24"/>
        </w:numPr>
        <w:ind w:hanging="360"/>
      </w:pPr>
      <w:r>
        <w:t xml:space="preserve">there will be no adverse impact on service continuity </w:t>
      </w:r>
    </w:p>
    <w:p w14:paraId="4C190460" w14:textId="77777777" w:rsidR="00D1352F" w:rsidRDefault="009B1F56">
      <w:pPr>
        <w:numPr>
          <w:ilvl w:val="0"/>
          <w:numId w:val="24"/>
        </w:numPr>
        <w:spacing w:after="249" w:line="267" w:lineRule="auto"/>
        <w:ind w:hanging="360"/>
      </w:pPr>
      <w:r>
        <w:t xml:space="preserve">there is no vendor lock-in to the Supplier’s Service at exit </w:t>
      </w:r>
    </w:p>
    <w:p w14:paraId="76C9C71D" w14:textId="77777777" w:rsidR="00D1352F" w:rsidRDefault="009B1F56">
      <w:pPr>
        <w:numPr>
          <w:ilvl w:val="0"/>
          <w:numId w:val="24"/>
        </w:numPr>
        <w:ind w:hanging="360"/>
      </w:pPr>
      <w:r>
        <w:t xml:space="preserve">it enables the Buyer to meet its obligations under the Technology Code </w:t>
      </w:r>
      <w:proofErr w:type="gramStart"/>
      <w:r>
        <w:t>Of</w:t>
      </w:r>
      <w:proofErr w:type="gramEnd"/>
      <w:r>
        <w:t xml:space="preserve"> Practice </w:t>
      </w:r>
    </w:p>
    <w:p w14:paraId="35E8A77C" w14:textId="77777777" w:rsidR="00D1352F" w:rsidRDefault="009B1F56">
      <w:pPr>
        <w:numPr>
          <w:ilvl w:val="1"/>
          <w:numId w:val="25"/>
        </w:numPr>
        <w:spacing w:after="41"/>
        <w:ind w:hanging="725"/>
      </w:pPr>
      <w:r>
        <w:t xml:space="preserve">If approval is obtained by the Buyer to extend the Term, then the Supplier will comply with its obligations in the additional exit plan. </w:t>
      </w:r>
    </w:p>
    <w:p w14:paraId="396E14F1" w14:textId="77777777" w:rsidR="00D1352F" w:rsidRDefault="009B1F56">
      <w:pPr>
        <w:numPr>
          <w:ilvl w:val="1"/>
          <w:numId w:val="25"/>
        </w:numPr>
        <w:ind w:hanging="725"/>
      </w:pPr>
      <w:r>
        <w:t xml:space="preserve">The additional exit plan must set out full details of timescales, activities and roles and responsibilities of the Parties for: </w:t>
      </w:r>
    </w:p>
    <w:p w14:paraId="4F2633AC" w14:textId="77777777" w:rsidR="00D1352F" w:rsidRDefault="009B1F56">
      <w:pPr>
        <w:numPr>
          <w:ilvl w:val="0"/>
          <w:numId w:val="24"/>
        </w:numPr>
        <w:spacing w:after="245" w:line="267" w:lineRule="auto"/>
        <w:ind w:hanging="360"/>
      </w:pPr>
      <w:r>
        <w:lastRenderedPageBreak/>
        <w:t xml:space="preserve">the transfer to the Buyer of any technical information, instructions, </w:t>
      </w:r>
      <w:proofErr w:type="gramStart"/>
      <w:r>
        <w:t>manuals</w:t>
      </w:r>
      <w:proofErr w:type="gramEnd"/>
      <w:r>
        <w:t xml:space="preserve"> and code reasonably required by the Buyer to enable a smooth migration from the Supplier </w:t>
      </w:r>
    </w:p>
    <w:p w14:paraId="07992A53" w14:textId="77777777" w:rsidR="00D1352F" w:rsidRDefault="009B1F56">
      <w:pPr>
        <w:numPr>
          <w:ilvl w:val="0"/>
          <w:numId w:val="24"/>
        </w:numPr>
        <w:ind w:hanging="360"/>
      </w:pPr>
      <w:r>
        <w:t xml:space="preserve">the strategy for exportation and migration of Buyer Data from the Supplier system to the Buyer or a replacement supplier, including conversion to open standards or other standards required by the Buyer </w:t>
      </w:r>
    </w:p>
    <w:p w14:paraId="19F967A7" w14:textId="77777777" w:rsidR="00D1352F" w:rsidRDefault="009B1F56">
      <w:pPr>
        <w:numPr>
          <w:ilvl w:val="0"/>
          <w:numId w:val="24"/>
        </w:numPr>
        <w:ind w:hanging="360"/>
      </w:pPr>
      <w:r>
        <w:t xml:space="preserve">the transfer of Project Specific IPR items and other Buyer customisations, configurations and databases to the Buyer or a replacement supplier </w:t>
      </w:r>
    </w:p>
    <w:p w14:paraId="100A3FAC" w14:textId="77777777" w:rsidR="00D1352F" w:rsidRDefault="009B1F56">
      <w:pPr>
        <w:numPr>
          <w:ilvl w:val="0"/>
          <w:numId w:val="24"/>
        </w:numPr>
        <w:ind w:hanging="360"/>
      </w:pPr>
      <w:r>
        <w:t xml:space="preserve">the testing and assurance strategy for exported Buyer Data </w:t>
      </w:r>
    </w:p>
    <w:p w14:paraId="74396054" w14:textId="77777777" w:rsidR="00D1352F" w:rsidRDefault="009B1F56">
      <w:pPr>
        <w:numPr>
          <w:ilvl w:val="0"/>
          <w:numId w:val="24"/>
        </w:numPr>
        <w:ind w:hanging="360"/>
      </w:pPr>
      <w:r>
        <w:t xml:space="preserve">if relevant, TUPE-related activity to comply with the TUPE regulations </w:t>
      </w:r>
    </w:p>
    <w:p w14:paraId="58317538" w14:textId="77777777" w:rsidR="00D1352F" w:rsidRDefault="009B1F56">
      <w:pPr>
        <w:numPr>
          <w:ilvl w:val="0"/>
          <w:numId w:val="24"/>
        </w:numPr>
        <w:spacing w:after="202"/>
        <w:ind w:hanging="360"/>
      </w:pPr>
      <w:r>
        <w:t xml:space="preserve">any other activities and information which is reasonably required to ensure continuity of Service during the exit period and an orderly transition  </w:t>
      </w:r>
    </w:p>
    <w:p w14:paraId="7C6AC52C" w14:textId="77777777" w:rsidR="00D1352F" w:rsidRDefault="009B1F56">
      <w:pPr>
        <w:spacing w:after="262" w:line="259" w:lineRule="auto"/>
        <w:ind w:left="1445" w:firstLine="0"/>
      </w:pPr>
      <w:r>
        <w:t xml:space="preserve"> </w:t>
      </w:r>
    </w:p>
    <w:p w14:paraId="271B3567" w14:textId="77777777" w:rsidR="00D1352F" w:rsidRDefault="009B1F56">
      <w:pPr>
        <w:pStyle w:val="Heading2"/>
        <w:ind w:left="0"/>
      </w:pPr>
      <w:bookmarkStart w:id="32" w:name="_Toc76741"/>
      <w:r>
        <w:t xml:space="preserve">22. Handover to replacement supplier </w:t>
      </w:r>
      <w:bookmarkEnd w:id="32"/>
    </w:p>
    <w:p w14:paraId="59DC732E" w14:textId="77777777" w:rsidR="00D1352F" w:rsidRDefault="009B1F56">
      <w:pPr>
        <w:spacing w:after="258" w:line="259" w:lineRule="auto"/>
        <w:ind w:left="5" w:firstLine="0"/>
      </w:pPr>
      <w:r>
        <w:t xml:space="preserve"> </w:t>
      </w:r>
    </w:p>
    <w:p w14:paraId="793B7F7A" w14:textId="77777777" w:rsidR="00D1352F" w:rsidRDefault="009B1F56">
      <w:pPr>
        <w:tabs>
          <w:tab w:val="center" w:pos="5414"/>
        </w:tabs>
        <w:ind w:left="-10" w:firstLine="0"/>
      </w:pPr>
      <w:r>
        <w:t>22.1</w:t>
      </w:r>
      <w:r>
        <w:rPr>
          <w:rFonts w:ascii="Arial" w:eastAsia="Arial" w:hAnsi="Arial" w:cs="Arial"/>
        </w:rPr>
        <w:t xml:space="preserve"> </w:t>
      </w:r>
      <w:r>
        <w:rPr>
          <w:rFonts w:ascii="Arial" w:eastAsia="Arial" w:hAnsi="Arial" w:cs="Arial"/>
        </w:rPr>
        <w:tab/>
      </w:r>
      <w:r>
        <w:t xml:space="preserve">At least 10 Working Days before the Expiry Date or End Date, the Supplier must provide any: </w:t>
      </w:r>
    </w:p>
    <w:p w14:paraId="7A966E5E" w14:textId="77777777" w:rsidR="00D1352F" w:rsidRDefault="009B1F56">
      <w:pPr>
        <w:numPr>
          <w:ilvl w:val="0"/>
          <w:numId w:val="26"/>
        </w:numPr>
        <w:ind w:hanging="360"/>
      </w:pPr>
      <w:r>
        <w:t xml:space="preserve">data (including Buyer Data), Buyer Personal Data and Buyer Confidential Information in the Supplier’s possession, </w:t>
      </w:r>
      <w:proofErr w:type="gramStart"/>
      <w:r>
        <w:t>power</w:t>
      </w:r>
      <w:proofErr w:type="gramEnd"/>
      <w:r>
        <w:t xml:space="preserve"> or control </w:t>
      </w:r>
    </w:p>
    <w:p w14:paraId="78150082" w14:textId="77777777" w:rsidR="00D1352F" w:rsidRDefault="009B1F56">
      <w:pPr>
        <w:numPr>
          <w:ilvl w:val="0"/>
          <w:numId w:val="26"/>
        </w:numPr>
        <w:ind w:hanging="360"/>
      </w:pPr>
      <w:r>
        <w:t xml:space="preserve">other information reasonably requested by the Buyer </w:t>
      </w:r>
    </w:p>
    <w:p w14:paraId="58C17EE0" w14:textId="77777777" w:rsidR="00D1352F" w:rsidRDefault="009B1F56">
      <w:pPr>
        <w:numPr>
          <w:ilvl w:val="1"/>
          <w:numId w:val="27"/>
        </w:numPr>
        <w:ind w:hanging="725"/>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122D36C3" w14:textId="77777777" w:rsidR="00D1352F" w:rsidRDefault="009B1F56">
      <w:pPr>
        <w:numPr>
          <w:ilvl w:val="1"/>
          <w:numId w:val="27"/>
        </w:numPr>
        <w:ind w:hanging="725"/>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6B9A9314" w14:textId="77777777" w:rsidR="00D1352F" w:rsidRDefault="009B1F56">
      <w:pPr>
        <w:pStyle w:val="Heading2"/>
        <w:ind w:left="0"/>
      </w:pPr>
      <w:bookmarkStart w:id="33" w:name="_Toc76742"/>
      <w:r>
        <w:t xml:space="preserve">23. Force majeure </w:t>
      </w:r>
      <w:bookmarkEnd w:id="33"/>
    </w:p>
    <w:p w14:paraId="240967F8" w14:textId="77777777" w:rsidR="00D1352F" w:rsidRDefault="009B1F56">
      <w:pPr>
        <w:spacing w:after="259" w:line="259" w:lineRule="auto"/>
        <w:ind w:left="5" w:firstLine="0"/>
      </w:pPr>
      <w:r>
        <w:t xml:space="preserve"> </w:t>
      </w:r>
    </w:p>
    <w:p w14:paraId="17E658C2" w14:textId="77777777" w:rsidR="00D1352F" w:rsidRDefault="009B1F56">
      <w:pPr>
        <w:ind w:left="715" w:hanging="725"/>
      </w:pPr>
      <w:r>
        <w:lastRenderedPageBreak/>
        <w:t>23.1</w:t>
      </w:r>
      <w:r>
        <w:rPr>
          <w:rFonts w:ascii="Arial" w:eastAsia="Arial" w:hAnsi="Arial" w:cs="Arial"/>
        </w:rPr>
        <w:t xml:space="preserve"> </w:t>
      </w:r>
      <w:r>
        <w:rPr>
          <w:rFonts w:ascii="Arial" w:eastAsia="Arial" w:hAnsi="Arial" w:cs="Arial"/>
        </w:rPr>
        <w:tab/>
      </w:r>
      <w:r>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7AE7BEC6" w14:textId="77777777" w:rsidR="00D1352F" w:rsidRDefault="009B1F56">
      <w:pPr>
        <w:pStyle w:val="Heading2"/>
        <w:ind w:left="0"/>
      </w:pPr>
      <w:bookmarkStart w:id="34" w:name="_Toc76743"/>
      <w:r>
        <w:t xml:space="preserve">24. Liability </w:t>
      </w:r>
      <w:bookmarkEnd w:id="34"/>
    </w:p>
    <w:p w14:paraId="278EA9E4" w14:textId="77777777" w:rsidR="00D1352F" w:rsidRDefault="009B1F56">
      <w:pPr>
        <w:spacing w:after="258" w:line="259" w:lineRule="auto"/>
        <w:ind w:left="5" w:firstLine="0"/>
      </w:pPr>
      <w:r>
        <w:t xml:space="preserve"> </w:t>
      </w:r>
    </w:p>
    <w:p w14:paraId="27186253" w14:textId="77777777" w:rsidR="00D1352F" w:rsidRDefault="009B1F56">
      <w:pPr>
        <w:ind w:left="715" w:hanging="725"/>
      </w:pPr>
      <w:r>
        <w:t>24.1</w:t>
      </w:r>
      <w:r>
        <w:rPr>
          <w:rFonts w:ascii="Arial" w:eastAsia="Arial" w:hAnsi="Arial" w:cs="Arial"/>
        </w:rPr>
        <w:t xml:space="preserve"> </w:t>
      </w:r>
      <w:r>
        <w:rPr>
          <w:rFonts w:ascii="Arial" w:eastAsia="Arial" w:hAnsi="Arial" w:cs="Arial"/>
        </w:rPr>
        <w:tab/>
      </w:r>
      <w:r>
        <w:t xml:space="preserve">Subject to incorporated Framework Agreement clauses 4.2 to 4.7, each Party's Yearly total liability for defaults under or in connection with this Call-Off Contract (whether expressed as an indemnity or otherwise) will be set as follows:  </w:t>
      </w:r>
    </w:p>
    <w:p w14:paraId="6D80E377" w14:textId="77777777" w:rsidR="00D1352F" w:rsidRDefault="009B1F56">
      <w:pPr>
        <w:numPr>
          <w:ilvl w:val="0"/>
          <w:numId w:val="28"/>
        </w:numPr>
        <w:ind w:hanging="360"/>
      </w:pPr>
      <w:r>
        <w:t xml:space="preserve">Property: for all defaults resulting in direct loss to the property (including technical infrastructure, assets, IPR or equipment but excluding any loss or damage to Buyer Data) of the other Party, will not exceed the amount in the Order Form </w:t>
      </w:r>
    </w:p>
    <w:p w14:paraId="04A339DB" w14:textId="77777777" w:rsidR="00D1352F" w:rsidRDefault="009B1F56">
      <w:pPr>
        <w:numPr>
          <w:ilvl w:val="0"/>
          <w:numId w:val="28"/>
        </w:numPr>
        <w:ind w:hanging="360"/>
      </w:pPr>
      <w:r>
        <w:t xml:space="preserve">Buyer Data: for all defaults resulting in direct loss, destruction, corruption, </w:t>
      </w:r>
      <w:proofErr w:type="gramStart"/>
      <w:r>
        <w:t>degradation</w:t>
      </w:r>
      <w:proofErr w:type="gramEnd"/>
      <w:r>
        <w:t xml:space="preserve"> or damage to any Buyer Data caused by the Supplier's default will not exceed the amount in the Order Form </w:t>
      </w:r>
    </w:p>
    <w:p w14:paraId="04EF3026" w14:textId="77777777" w:rsidR="00D1352F" w:rsidRDefault="009B1F56">
      <w:pPr>
        <w:numPr>
          <w:ilvl w:val="0"/>
          <w:numId w:val="28"/>
        </w:numPr>
        <w:spacing w:after="6"/>
        <w:ind w:hanging="360"/>
      </w:pPr>
      <w:r>
        <w:t xml:space="preserve">Other defaults: for all other defaults, claims, </w:t>
      </w:r>
      <w:proofErr w:type="gramStart"/>
      <w:r>
        <w:t>Losses</w:t>
      </w:r>
      <w:proofErr w:type="gramEnd"/>
      <w:r>
        <w:t xml:space="preserve"> or damages, whether arising from breach of contract, misrepresentation (whether under common law or statute), tort </w:t>
      </w:r>
    </w:p>
    <w:p w14:paraId="6716CE03" w14:textId="77777777" w:rsidR="00D1352F" w:rsidRDefault="009B1F56">
      <w:pPr>
        <w:spacing w:after="203"/>
        <w:ind w:left="1455"/>
      </w:pPr>
      <w:r>
        <w:t xml:space="preserve">(including negligence), breach of statutory duty or otherwise will not exceed the amount in the Order Form </w:t>
      </w:r>
    </w:p>
    <w:p w14:paraId="70EA295F" w14:textId="77777777" w:rsidR="00D1352F" w:rsidRDefault="009B1F56">
      <w:pPr>
        <w:spacing w:after="266" w:line="259" w:lineRule="auto"/>
        <w:ind w:left="1445" w:firstLine="0"/>
      </w:pPr>
      <w:r>
        <w:t xml:space="preserve"> </w:t>
      </w:r>
    </w:p>
    <w:p w14:paraId="62420B02" w14:textId="77777777" w:rsidR="00D1352F" w:rsidRDefault="009B1F56">
      <w:pPr>
        <w:pStyle w:val="Heading2"/>
        <w:ind w:left="0"/>
      </w:pPr>
      <w:bookmarkStart w:id="35" w:name="_Toc76744"/>
      <w:r>
        <w:t xml:space="preserve">25. Premises </w:t>
      </w:r>
      <w:bookmarkEnd w:id="35"/>
    </w:p>
    <w:p w14:paraId="1AAD4257" w14:textId="77777777" w:rsidR="00D1352F" w:rsidRDefault="009B1F56">
      <w:pPr>
        <w:spacing w:after="263" w:line="259" w:lineRule="auto"/>
        <w:ind w:left="5" w:firstLine="0"/>
      </w:pPr>
      <w:r>
        <w:t xml:space="preserve"> </w:t>
      </w:r>
    </w:p>
    <w:p w14:paraId="03D6CBB1" w14:textId="77777777" w:rsidR="00D1352F" w:rsidRDefault="009B1F56">
      <w:pPr>
        <w:ind w:left="715" w:hanging="725"/>
      </w:pPr>
      <w:r>
        <w:t>25.1</w:t>
      </w:r>
      <w:r>
        <w:rPr>
          <w:rFonts w:ascii="Arial" w:eastAsia="Arial" w:hAnsi="Arial" w:cs="Arial"/>
        </w:rPr>
        <w:t xml:space="preserve"> </w:t>
      </w:r>
      <w:r>
        <w:rPr>
          <w:rFonts w:ascii="Arial" w:eastAsia="Arial" w:hAnsi="Arial" w:cs="Arial"/>
        </w:rPr>
        <w:tab/>
      </w:r>
      <w:r>
        <w:t xml:space="preserve">If either Party uses the other Party’s premises, that Party is liable for all loss or damage it causes to the premises. It is responsible for repairing any damage to the premises or any objects on the premises, other than fair wear and tear. </w:t>
      </w:r>
    </w:p>
    <w:p w14:paraId="6250EEBC" w14:textId="77777777" w:rsidR="00D1352F" w:rsidRDefault="009B1F56">
      <w:pPr>
        <w:ind w:left="715" w:hanging="725"/>
      </w:pPr>
      <w:r>
        <w:t>25.2</w:t>
      </w:r>
      <w:r>
        <w:rPr>
          <w:rFonts w:ascii="Arial" w:eastAsia="Arial" w:hAnsi="Arial" w:cs="Arial"/>
        </w:rPr>
        <w:t xml:space="preserve"> </w:t>
      </w:r>
      <w:r>
        <w:rPr>
          <w:rFonts w:ascii="Arial" w:eastAsia="Arial" w:hAnsi="Arial" w:cs="Arial"/>
        </w:rPr>
        <w:tab/>
      </w:r>
      <w:r>
        <w:t xml:space="preserve">The Supplier will use the Buyer’s premises solely for the performance of its obligations under this Call-Off Contract. </w:t>
      </w:r>
    </w:p>
    <w:p w14:paraId="55E38D4B" w14:textId="77777777" w:rsidR="00D1352F" w:rsidRDefault="009B1F56">
      <w:pPr>
        <w:tabs>
          <w:tab w:val="center" w:pos="5243"/>
        </w:tabs>
        <w:spacing w:after="249" w:line="267" w:lineRule="auto"/>
        <w:ind w:left="-10" w:firstLine="0"/>
      </w:pPr>
      <w:r>
        <w:t>25.3</w:t>
      </w:r>
      <w:r>
        <w:rPr>
          <w:rFonts w:ascii="Arial" w:eastAsia="Arial" w:hAnsi="Arial" w:cs="Arial"/>
        </w:rPr>
        <w:t xml:space="preserve"> </w:t>
      </w:r>
      <w:r>
        <w:rPr>
          <w:rFonts w:ascii="Arial" w:eastAsia="Arial" w:hAnsi="Arial" w:cs="Arial"/>
        </w:rPr>
        <w:tab/>
      </w:r>
      <w:r>
        <w:t xml:space="preserve">The Supplier will vacate the Buyer’s premises when the Call-Off Contract Ends or expires. </w:t>
      </w:r>
    </w:p>
    <w:p w14:paraId="15B05EC6" w14:textId="77777777" w:rsidR="00D1352F" w:rsidRDefault="009B1F56">
      <w:pPr>
        <w:tabs>
          <w:tab w:val="center" w:pos="4211"/>
        </w:tabs>
        <w:ind w:left="-10" w:firstLine="0"/>
      </w:pPr>
      <w:r>
        <w:t>25.4</w:t>
      </w:r>
      <w:r>
        <w:rPr>
          <w:rFonts w:ascii="Arial" w:eastAsia="Arial" w:hAnsi="Arial" w:cs="Arial"/>
        </w:rPr>
        <w:t xml:space="preserve"> </w:t>
      </w:r>
      <w:r>
        <w:rPr>
          <w:rFonts w:ascii="Arial" w:eastAsia="Arial" w:hAnsi="Arial" w:cs="Arial"/>
        </w:rPr>
        <w:tab/>
      </w:r>
      <w:r>
        <w:t xml:space="preserve">This clause does not create a tenancy or exclusive right of occupation. </w:t>
      </w:r>
    </w:p>
    <w:p w14:paraId="2A309451" w14:textId="77777777" w:rsidR="00D1352F" w:rsidRDefault="009B1F56">
      <w:pPr>
        <w:tabs>
          <w:tab w:val="center" w:pos="3185"/>
        </w:tabs>
        <w:spacing w:after="249" w:line="267" w:lineRule="auto"/>
        <w:ind w:left="-10" w:firstLine="0"/>
      </w:pPr>
      <w:r>
        <w:t>25.5</w:t>
      </w:r>
      <w:r>
        <w:rPr>
          <w:rFonts w:ascii="Arial" w:eastAsia="Arial" w:hAnsi="Arial" w:cs="Arial"/>
        </w:rPr>
        <w:t xml:space="preserve"> </w:t>
      </w:r>
      <w:r>
        <w:rPr>
          <w:rFonts w:ascii="Arial" w:eastAsia="Arial" w:hAnsi="Arial" w:cs="Arial"/>
        </w:rPr>
        <w:tab/>
      </w:r>
      <w:r>
        <w:t xml:space="preserve">While on the Buyer’s premises, the Supplier will: </w:t>
      </w:r>
    </w:p>
    <w:p w14:paraId="24B6BEB8" w14:textId="77777777" w:rsidR="00D1352F" w:rsidRDefault="009B1F56">
      <w:pPr>
        <w:numPr>
          <w:ilvl w:val="0"/>
          <w:numId w:val="29"/>
        </w:numPr>
        <w:ind w:hanging="360"/>
      </w:pPr>
      <w:r>
        <w:t xml:space="preserve">comply with any security requirements at the premises and not do anything to weaken the security of the premises </w:t>
      </w:r>
    </w:p>
    <w:p w14:paraId="11BF63C6" w14:textId="77777777" w:rsidR="00D1352F" w:rsidRDefault="009B1F56">
      <w:pPr>
        <w:numPr>
          <w:ilvl w:val="0"/>
          <w:numId w:val="29"/>
        </w:numPr>
        <w:ind w:hanging="360"/>
      </w:pPr>
      <w:r>
        <w:lastRenderedPageBreak/>
        <w:t xml:space="preserve">comply with Buyer requirements for the conduct of personnel </w:t>
      </w:r>
    </w:p>
    <w:p w14:paraId="76636EFB" w14:textId="77777777" w:rsidR="00D1352F" w:rsidRDefault="009B1F56">
      <w:pPr>
        <w:numPr>
          <w:ilvl w:val="0"/>
          <w:numId w:val="29"/>
        </w:numPr>
        <w:ind w:hanging="360"/>
      </w:pPr>
      <w:r>
        <w:t xml:space="preserve">comply with any health and safety measures implemented by the Buyer </w:t>
      </w:r>
    </w:p>
    <w:p w14:paraId="5FA57B08" w14:textId="77777777" w:rsidR="00D1352F" w:rsidRDefault="009B1F56">
      <w:pPr>
        <w:numPr>
          <w:ilvl w:val="0"/>
          <w:numId w:val="29"/>
        </w:numPr>
        <w:ind w:hanging="360"/>
      </w:pPr>
      <w:r>
        <w:t xml:space="preserve">immediately notify the Buyer of any incident on the premises that causes any damage to </w:t>
      </w:r>
    </w:p>
    <w:p w14:paraId="6A6DD8D1" w14:textId="77777777" w:rsidR="00D1352F" w:rsidRDefault="009B1F56">
      <w:pPr>
        <w:ind w:left="1455"/>
      </w:pPr>
      <w:r>
        <w:t xml:space="preserve">Property which could cause personal injury </w:t>
      </w:r>
    </w:p>
    <w:p w14:paraId="1323ADE2" w14:textId="77777777" w:rsidR="00D1352F" w:rsidRDefault="009B1F56">
      <w:pPr>
        <w:ind w:left="715" w:hanging="725"/>
      </w:pPr>
      <w:r>
        <w:t>25.6</w:t>
      </w:r>
      <w:r>
        <w:rPr>
          <w:rFonts w:ascii="Arial" w:eastAsia="Arial" w:hAnsi="Arial" w:cs="Arial"/>
        </w:rPr>
        <w:t xml:space="preserve"> </w:t>
      </w:r>
      <w:r>
        <w:rPr>
          <w:rFonts w:ascii="Arial" w:eastAsia="Arial" w:hAnsi="Arial" w:cs="Arial"/>
        </w:rPr>
        <w:tab/>
      </w:r>
      <w:r>
        <w:t xml:space="preserve">The Supplier will ensure that its health and safety policy statement (as required by the Health and Safety at Work etc Act 1974) is made available to the Buyer on request. </w:t>
      </w:r>
    </w:p>
    <w:p w14:paraId="5AD2766A" w14:textId="77777777" w:rsidR="00D1352F" w:rsidRDefault="009B1F56">
      <w:pPr>
        <w:pStyle w:val="Heading2"/>
        <w:ind w:left="0"/>
      </w:pPr>
      <w:bookmarkStart w:id="36" w:name="_Toc76745"/>
      <w:r>
        <w:t xml:space="preserve">26. Equipment </w:t>
      </w:r>
      <w:bookmarkEnd w:id="36"/>
    </w:p>
    <w:p w14:paraId="5715AD01" w14:textId="77777777" w:rsidR="00D1352F" w:rsidRDefault="009B1F56">
      <w:pPr>
        <w:spacing w:after="263" w:line="259" w:lineRule="auto"/>
        <w:ind w:left="5" w:firstLine="0"/>
      </w:pPr>
      <w:r>
        <w:t xml:space="preserve"> </w:t>
      </w:r>
    </w:p>
    <w:p w14:paraId="759AD9CC" w14:textId="77777777" w:rsidR="00D1352F" w:rsidRDefault="009B1F56">
      <w:pPr>
        <w:ind w:left="715" w:hanging="725"/>
      </w:pPr>
      <w:r>
        <w:t>26.1</w:t>
      </w:r>
      <w:r>
        <w:rPr>
          <w:rFonts w:ascii="Arial" w:eastAsia="Arial" w:hAnsi="Arial" w:cs="Arial"/>
        </w:rPr>
        <w:t xml:space="preserve"> </w:t>
      </w:r>
      <w:r>
        <w:t xml:space="preserve">The Supplier is responsible for providing any Equipment which the Supplier requires to provide the Services.  </w:t>
      </w:r>
    </w:p>
    <w:p w14:paraId="50A27087" w14:textId="77777777" w:rsidR="00D1352F" w:rsidRDefault="009B1F56">
      <w:pPr>
        <w:ind w:left="715" w:hanging="725"/>
      </w:pPr>
      <w:r>
        <w:t>26.2</w:t>
      </w:r>
      <w:r>
        <w:rPr>
          <w:rFonts w:ascii="Arial" w:eastAsia="Arial" w:hAnsi="Arial" w:cs="Arial"/>
        </w:rPr>
        <w:t xml:space="preserve"> </w:t>
      </w:r>
      <w:r>
        <w:rPr>
          <w:rFonts w:ascii="Arial" w:eastAsia="Arial" w:hAnsi="Arial" w:cs="Arial"/>
        </w:rPr>
        <w:tab/>
      </w:r>
      <w:r>
        <w:t xml:space="preserve">Any Equipment brought onto the premises will be at the Supplier's own risk and the Buyer will have no liability for any loss of, or damage to, any Equipment. </w:t>
      </w:r>
    </w:p>
    <w:p w14:paraId="02C3C9FB" w14:textId="77777777" w:rsidR="00D1352F" w:rsidRDefault="009B1F56">
      <w:pPr>
        <w:ind w:left="715" w:hanging="725"/>
      </w:pPr>
      <w:r>
        <w:t>26.3</w:t>
      </w:r>
      <w:r>
        <w:rPr>
          <w:rFonts w:ascii="Arial" w:eastAsia="Arial" w:hAnsi="Arial" w:cs="Arial"/>
        </w:rPr>
        <w:t xml:space="preserve"> </w:t>
      </w:r>
      <w:r>
        <w:rPr>
          <w:rFonts w:ascii="Arial" w:eastAsia="Arial" w:hAnsi="Arial" w:cs="Arial"/>
        </w:rPr>
        <w:tab/>
      </w:r>
      <w:r>
        <w:t xml:space="preserve">When the Call-Off Contract Ends or expires, the Supplier will remove the Equipment and any other materials leaving the premises in a safe and clean condition. </w:t>
      </w:r>
    </w:p>
    <w:p w14:paraId="2C285AFB" w14:textId="77777777" w:rsidR="00D1352F" w:rsidRDefault="009B1F56">
      <w:pPr>
        <w:pStyle w:val="Heading2"/>
        <w:ind w:left="0"/>
      </w:pPr>
      <w:bookmarkStart w:id="37" w:name="_Toc76746"/>
      <w:r>
        <w:t xml:space="preserve">27. The Contracts (Rights of Third Parties) Act 1999 </w:t>
      </w:r>
      <w:bookmarkEnd w:id="37"/>
    </w:p>
    <w:p w14:paraId="23371CE3" w14:textId="77777777" w:rsidR="00D1352F" w:rsidRDefault="009B1F56">
      <w:pPr>
        <w:spacing w:after="258" w:line="259" w:lineRule="auto"/>
        <w:ind w:left="5" w:firstLine="0"/>
      </w:pPr>
      <w:r>
        <w:t xml:space="preserve"> </w:t>
      </w:r>
    </w:p>
    <w:p w14:paraId="145C08CF" w14:textId="77777777" w:rsidR="00D1352F" w:rsidRDefault="009B1F56">
      <w:pPr>
        <w:spacing w:after="208"/>
        <w:ind w:left="715" w:hanging="725"/>
      </w:pPr>
      <w:r>
        <w:t>27.1</w:t>
      </w:r>
      <w:r>
        <w:rPr>
          <w:rFonts w:ascii="Arial" w:eastAsia="Arial" w:hAnsi="Arial" w:cs="Arial"/>
        </w:rPr>
        <w:t xml:space="preserve"> </w:t>
      </w:r>
      <w:r>
        <w:rPr>
          <w:rFonts w:ascii="Arial" w:eastAsia="Arial" w:hAnsi="Arial" w:cs="Arial"/>
        </w:rPr>
        <w:tab/>
      </w:r>
      <w:r>
        <w:t xml:space="preserve">Except as specified in clause 29.8, a person who </w:t>
      </w:r>
      <w:proofErr w:type="gramStart"/>
      <w:r>
        <w:t>isn’t</w:t>
      </w:r>
      <w:proofErr w:type="gramEnd"/>
      <w:r>
        <w:t xml:space="preserve"> Party to this Call-Off Contract has no right under the Contracts (Rights of Third Parties) Act 1999 to enforce any of its terms. This does not affect any right or remedy of any person which exists or is available otherwise. </w:t>
      </w:r>
    </w:p>
    <w:p w14:paraId="29CAA699" w14:textId="77777777" w:rsidR="00D1352F" w:rsidRDefault="009B1F56">
      <w:pPr>
        <w:spacing w:after="262" w:line="259" w:lineRule="auto"/>
        <w:ind w:left="725" w:firstLine="0"/>
      </w:pPr>
      <w:r>
        <w:t xml:space="preserve"> </w:t>
      </w:r>
    </w:p>
    <w:p w14:paraId="5E65F44D" w14:textId="77777777" w:rsidR="00D1352F" w:rsidRDefault="009B1F56">
      <w:pPr>
        <w:pStyle w:val="Heading2"/>
        <w:ind w:left="0"/>
      </w:pPr>
      <w:bookmarkStart w:id="38" w:name="_Toc76747"/>
      <w:r>
        <w:t xml:space="preserve">28. Environmental requirements </w:t>
      </w:r>
      <w:bookmarkEnd w:id="38"/>
    </w:p>
    <w:p w14:paraId="085A1B12" w14:textId="77777777" w:rsidR="00D1352F" w:rsidRDefault="009B1F56">
      <w:pPr>
        <w:spacing w:after="263" w:line="259" w:lineRule="auto"/>
        <w:ind w:left="5" w:firstLine="0"/>
      </w:pPr>
      <w:r>
        <w:t xml:space="preserve"> </w:t>
      </w:r>
    </w:p>
    <w:p w14:paraId="03CD4700" w14:textId="77777777" w:rsidR="00D1352F" w:rsidRDefault="009B1F56">
      <w:pPr>
        <w:ind w:left="715" w:hanging="725"/>
      </w:pPr>
      <w:r>
        <w:t>28.1</w:t>
      </w:r>
      <w:r>
        <w:rPr>
          <w:rFonts w:ascii="Arial" w:eastAsia="Arial" w:hAnsi="Arial" w:cs="Arial"/>
        </w:rPr>
        <w:t xml:space="preserve"> </w:t>
      </w:r>
      <w:r>
        <w:rPr>
          <w:rFonts w:ascii="Arial" w:eastAsia="Arial" w:hAnsi="Arial" w:cs="Arial"/>
        </w:rPr>
        <w:tab/>
      </w:r>
      <w:r>
        <w:t xml:space="preserve">The Buyer will provide a copy of its environmental policy to the Supplier on request, which the Supplier will comply with. </w:t>
      </w:r>
    </w:p>
    <w:p w14:paraId="75298D15" w14:textId="77777777" w:rsidR="00D1352F" w:rsidRDefault="009B1F56">
      <w:pPr>
        <w:ind w:left="715" w:hanging="725"/>
      </w:pPr>
      <w:r>
        <w:t>28.2</w:t>
      </w:r>
      <w:r>
        <w:rPr>
          <w:rFonts w:ascii="Arial" w:eastAsia="Arial" w:hAnsi="Arial" w:cs="Arial"/>
        </w:rPr>
        <w:t xml:space="preserve"> </w:t>
      </w:r>
      <w:r>
        <w:rPr>
          <w:rFonts w:ascii="Arial" w:eastAsia="Arial" w:hAnsi="Arial" w:cs="Arial"/>
        </w:rPr>
        <w:tab/>
      </w:r>
      <w:r>
        <w:t xml:space="preserve">The Supplier must provide reasonable support to enable Buyers to work in an environmentally friendly way, for example by helping them recycle or lower their carbon footprint. </w:t>
      </w:r>
    </w:p>
    <w:p w14:paraId="561666C6" w14:textId="77777777" w:rsidR="00D1352F" w:rsidRDefault="009B1F56">
      <w:pPr>
        <w:pStyle w:val="Heading2"/>
        <w:ind w:left="0"/>
      </w:pPr>
      <w:bookmarkStart w:id="39" w:name="_Toc76748"/>
      <w:r>
        <w:t xml:space="preserve">29. The Employment Regulations (TUPE) </w:t>
      </w:r>
      <w:bookmarkEnd w:id="39"/>
    </w:p>
    <w:p w14:paraId="3471956B" w14:textId="77777777" w:rsidR="00D1352F" w:rsidRDefault="009B1F56">
      <w:pPr>
        <w:spacing w:after="263" w:line="259" w:lineRule="auto"/>
        <w:ind w:left="5" w:firstLine="0"/>
      </w:pPr>
      <w:r>
        <w:t xml:space="preserve"> </w:t>
      </w:r>
    </w:p>
    <w:p w14:paraId="047DFB66" w14:textId="77777777" w:rsidR="00D1352F" w:rsidRDefault="009B1F56">
      <w:pPr>
        <w:ind w:left="715" w:hanging="725"/>
      </w:pPr>
      <w:r>
        <w:lastRenderedPageBreak/>
        <w:t>29.1</w:t>
      </w:r>
      <w:r>
        <w:rPr>
          <w:rFonts w:ascii="Arial" w:eastAsia="Arial" w:hAnsi="Arial" w:cs="Arial"/>
        </w:rPr>
        <w:t xml:space="preserve"> </w:t>
      </w:r>
      <w:r>
        <w:rPr>
          <w:rFonts w:ascii="Arial" w:eastAsia="Arial" w:hAnsi="Arial" w:cs="Arial"/>
        </w:rPr>
        <w:tab/>
      </w:r>
      <w: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0221D24" w14:textId="77777777" w:rsidR="00D1352F" w:rsidRDefault="009B1F56">
      <w:pPr>
        <w:ind w:left="715" w:hanging="725"/>
      </w:pPr>
      <w:r>
        <w:t>29.2</w:t>
      </w:r>
      <w:r>
        <w:rPr>
          <w:rFonts w:ascii="Arial" w:eastAsia="Arial" w:hAnsi="Arial" w:cs="Arial"/>
        </w:rPr>
        <w:t xml:space="preserve"> </w:t>
      </w:r>
      <w:r>
        <w:rPr>
          <w:rFonts w:ascii="Arial" w:eastAsia="Arial" w:hAnsi="Arial" w:cs="Arial"/>
        </w:rPr>
        <w:tab/>
      </w:r>
      <w:r>
        <w:t xml:space="preserve">Twelve months before this Call-Off Contract expires, or after the Buyer has given notice to End it, and within 28 days of the Buyer’s request, the Supplier will fully and accurately disclose to the </w:t>
      </w:r>
    </w:p>
    <w:p w14:paraId="67C4EAE8" w14:textId="77777777" w:rsidR="00D1352F" w:rsidRDefault="009B1F56">
      <w:pPr>
        <w:spacing w:after="116" w:line="364" w:lineRule="auto"/>
        <w:ind w:left="735"/>
      </w:pPr>
      <w:r>
        <w:t>Buyer all staff information including, but not limited to, the total number of staff assigned for the purposes of TUPE to the Services. For each person identified the Supplier must provide details of:  ●</w:t>
      </w:r>
      <w:r>
        <w:rPr>
          <w:rFonts w:ascii="Arial" w:eastAsia="Arial" w:hAnsi="Arial" w:cs="Arial"/>
        </w:rPr>
        <w:t xml:space="preserve"> </w:t>
      </w:r>
      <w:r>
        <w:t xml:space="preserve">the activities they perform </w:t>
      </w:r>
    </w:p>
    <w:p w14:paraId="0874B7CD" w14:textId="77777777" w:rsidR="00D1352F" w:rsidRDefault="009B1F56">
      <w:pPr>
        <w:numPr>
          <w:ilvl w:val="0"/>
          <w:numId w:val="30"/>
        </w:numPr>
        <w:ind w:hanging="360"/>
      </w:pPr>
      <w:r>
        <w:t xml:space="preserve">age </w:t>
      </w:r>
    </w:p>
    <w:p w14:paraId="00BBEE12" w14:textId="77777777" w:rsidR="00D1352F" w:rsidRDefault="009B1F56">
      <w:pPr>
        <w:numPr>
          <w:ilvl w:val="0"/>
          <w:numId w:val="30"/>
        </w:numPr>
        <w:ind w:hanging="360"/>
      </w:pPr>
      <w:r>
        <w:t xml:space="preserve">start date  </w:t>
      </w:r>
    </w:p>
    <w:p w14:paraId="44A8DDAA" w14:textId="77777777" w:rsidR="00D1352F" w:rsidRDefault="009B1F56">
      <w:pPr>
        <w:numPr>
          <w:ilvl w:val="0"/>
          <w:numId w:val="30"/>
        </w:numPr>
        <w:ind w:hanging="360"/>
      </w:pPr>
      <w:r>
        <w:t xml:space="preserve">place of work </w:t>
      </w:r>
    </w:p>
    <w:p w14:paraId="1D4C9449" w14:textId="77777777" w:rsidR="00D1352F" w:rsidRDefault="009B1F56">
      <w:pPr>
        <w:numPr>
          <w:ilvl w:val="0"/>
          <w:numId w:val="30"/>
        </w:numPr>
        <w:ind w:hanging="360"/>
      </w:pPr>
      <w:r>
        <w:t xml:space="preserve">notice period </w:t>
      </w:r>
    </w:p>
    <w:p w14:paraId="1DE16513" w14:textId="77777777" w:rsidR="00D1352F" w:rsidRDefault="009B1F56">
      <w:pPr>
        <w:numPr>
          <w:ilvl w:val="0"/>
          <w:numId w:val="30"/>
        </w:numPr>
        <w:ind w:hanging="360"/>
      </w:pPr>
      <w:r>
        <w:t xml:space="preserve">redundancy payment entitlement </w:t>
      </w:r>
    </w:p>
    <w:p w14:paraId="6AEF585A" w14:textId="77777777" w:rsidR="00D1352F" w:rsidRDefault="009B1F56">
      <w:pPr>
        <w:numPr>
          <w:ilvl w:val="0"/>
          <w:numId w:val="30"/>
        </w:numPr>
        <w:ind w:hanging="360"/>
      </w:pPr>
      <w:r>
        <w:t xml:space="preserve">salary, </w:t>
      </w:r>
      <w:proofErr w:type="gramStart"/>
      <w:r>
        <w:t>benefits</w:t>
      </w:r>
      <w:proofErr w:type="gramEnd"/>
      <w:r>
        <w:t xml:space="preserve"> and pension entitlements </w:t>
      </w:r>
    </w:p>
    <w:p w14:paraId="7B1D5559" w14:textId="77777777" w:rsidR="00D1352F" w:rsidRDefault="009B1F56">
      <w:pPr>
        <w:numPr>
          <w:ilvl w:val="0"/>
          <w:numId w:val="30"/>
        </w:numPr>
        <w:ind w:hanging="360"/>
      </w:pPr>
      <w:r>
        <w:t xml:space="preserve">employment status </w:t>
      </w:r>
    </w:p>
    <w:p w14:paraId="2F6043D3" w14:textId="77777777" w:rsidR="00D1352F" w:rsidRDefault="009B1F56">
      <w:pPr>
        <w:numPr>
          <w:ilvl w:val="0"/>
          <w:numId w:val="30"/>
        </w:numPr>
        <w:ind w:hanging="360"/>
      </w:pPr>
      <w:r>
        <w:t xml:space="preserve">identity of employer </w:t>
      </w:r>
    </w:p>
    <w:p w14:paraId="1B16BF4F" w14:textId="77777777" w:rsidR="00D1352F" w:rsidRDefault="009B1F56">
      <w:pPr>
        <w:numPr>
          <w:ilvl w:val="0"/>
          <w:numId w:val="30"/>
        </w:numPr>
        <w:ind w:hanging="360"/>
      </w:pPr>
      <w:r>
        <w:t xml:space="preserve">working arrangements </w:t>
      </w:r>
    </w:p>
    <w:p w14:paraId="52B60261" w14:textId="77777777" w:rsidR="00D1352F" w:rsidRDefault="009B1F56">
      <w:pPr>
        <w:numPr>
          <w:ilvl w:val="0"/>
          <w:numId w:val="30"/>
        </w:numPr>
        <w:ind w:hanging="360"/>
      </w:pPr>
      <w:r>
        <w:t xml:space="preserve">outstanding liabilities </w:t>
      </w:r>
    </w:p>
    <w:p w14:paraId="2B86246C" w14:textId="77777777" w:rsidR="00D1352F" w:rsidRDefault="009B1F56">
      <w:pPr>
        <w:numPr>
          <w:ilvl w:val="0"/>
          <w:numId w:val="30"/>
        </w:numPr>
        <w:ind w:hanging="360"/>
      </w:pPr>
      <w:r>
        <w:t xml:space="preserve">sickness absence </w:t>
      </w:r>
    </w:p>
    <w:p w14:paraId="54300D43" w14:textId="77777777" w:rsidR="00D1352F" w:rsidRDefault="009B1F56">
      <w:pPr>
        <w:numPr>
          <w:ilvl w:val="0"/>
          <w:numId w:val="30"/>
        </w:numPr>
        <w:ind w:hanging="360"/>
      </w:pPr>
      <w:r>
        <w:t xml:space="preserve">copies of all relevant employment contracts and related documents </w:t>
      </w:r>
    </w:p>
    <w:p w14:paraId="5279AEDC" w14:textId="77777777" w:rsidR="00D1352F" w:rsidRDefault="009B1F56">
      <w:pPr>
        <w:numPr>
          <w:ilvl w:val="0"/>
          <w:numId w:val="30"/>
        </w:numPr>
        <w:ind w:hanging="360"/>
      </w:pPr>
      <w:r>
        <w:t xml:space="preserve">all information required under regulation 11 of TUPE or as reasonably requested by the Buyer  </w:t>
      </w:r>
    </w:p>
    <w:p w14:paraId="213620DD" w14:textId="77777777" w:rsidR="00D1352F" w:rsidRDefault="009B1F56">
      <w:pPr>
        <w:numPr>
          <w:ilvl w:val="1"/>
          <w:numId w:val="31"/>
        </w:numPr>
        <w:ind w:hanging="725"/>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34978A30" w14:textId="77777777" w:rsidR="00D1352F" w:rsidRDefault="009B1F56">
      <w:pPr>
        <w:numPr>
          <w:ilvl w:val="1"/>
          <w:numId w:val="31"/>
        </w:numPr>
        <w:ind w:hanging="725"/>
      </w:pPr>
      <w:r>
        <w:lastRenderedPageBreak/>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349D2D5A" w14:textId="77777777" w:rsidR="00D1352F" w:rsidRDefault="009B1F56">
      <w:pPr>
        <w:numPr>
          <w:ilvl w:val="1"/>
          <w:numId w:val="31"/>
        </w:numPr>
        <w:ind w:hanging="725"/>
      </w:pPr>
      <w:r>
        <w:t xml:space="preserve">The Supplier will co-operate with the re-tendering of this Call-Off Contract by allowing the Replacement Supplier to communicate with and meet the affected employees or their representatives. </w:t>
      </w:r>
    </w:p>
    <w:p w14:paraId="0CE1AE57" w14:textId="77777777" w:rsidR="00D1352F" w:rsidRDefault="009B1F56">
      <w:pPr>
        <w:numPr>
          <w:ilvl w:val="1"/>
          <w:numId w:val="31"/>
        </w:numPr>
        <w:ind w:hanging="725"/>
      </w:pPr>
      <w:r>
        <w:t xml:space="preserve">The Supplier will indemnify the Buyer or any Replacement Supplier for all Loss arising from both: </w:t>
      </w:r>
    </w:p>
    <w:p w14:paraId="48E9EE83" w14:textId="77777777" w:rsidR="00D1352F" w:rsidRDefault="009B1F56">
      <w:pPr>
        <w:numPr>
          <w:ilvl w:val="0"/>
          <w:numId w:val="30"/>
        </w:numPr>
        <w:ind w:hanging="360"/>
      </w:pPr>
      <w:r>
        <w:t xml:space="preserve">its failure to comply with the provisions of this clause </w:t>
      </w:r>
    </w:p>
    <w:p w14:paraId="516FE630" w14:textId="77777777" w:rsidR="00D1352F" w:rsidRDefault="009B1F56">
      <w:pPr>
        <w:numPr>
          <w:ilvl w:val="0"/>
          <w:numId w:val="30"/>
        </w:numPr>
        <w:ind w:hanging="36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4CDEAE08" w14:textId="77777777" w:rsidR="00D1352F" w:rsidRDefault="009B1F56">
      <w:pPr>
        <w:numPr>
          <w:ilvl w:val="1"/>
          <w:numId w:val="32"/>
        </w:numPr>
        <w:ind w:hanging="725"/>
      </w:pPr>
      <w:r>
        <w:t xml:space="preserve">The provisions of this clause apply during the Term of this Call-Off Contract and indefinitely after it Ends or expires. </w:t>
      </w:r>
    </w:p>
    <w:p w14:paraId="15C746A5" w14:textId="77777777" w:rsidR="00D1352F" w:rsidRDefault="009B1F56">
      <w:pPr>
        <w:numPr>
          <w:ilvl w:val="1"/>
          <w:numId w:val="32"/>
        </w:numPr>
        <w:ind w:hanging="725"/>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18EDE456" w14:textId="77777777" w:rsidR="00D1352F" w:rsidRDefault="009B1F56">
      <w:pPr>
        <w:pStyle w:val="Heading2"/>
        <w:ind w:left="0"/>
      </w:pPr>
      <w:bookmarkStart w:id="40" w:name="_Toc76749"/>
      <w:r>
        <w:t xml:space="preserve">30. Additional G-Cloud services </w:t>
      </w:r>
      <w:bookmarkEnd w:id="40"/>
    </w:p>
    <w:p w14:paraId="795D7A26" w14:textId="77777777" w:rsidR="00D1352F" w:rsidRDefault="009B1F56">
      <w:pPr>
        <w:spacing w:after="258" w:line="259" w:lineRule="auto"/>
        <w:ind w:left="5" w:firstLine="0"/>
      </w:pPr>
      <w:r>
        <w:t xml:space="preserve"> </w:t>
      </w:r>
    </w:p>
    <w:p w14:paraId="12240BE1" w14:textId="77777777" w:rsidR="00D1352F" w:rsidRDefault="009B1F56">
      <w:pPr>
        <w:ind w:left="715" w:hanging="725"/>
      </w:pPr>
      <w:r>
        <w:t>30.1</w:t>
      </w:r>
      <w:r>
        <w:rPr>
          <w:rFonts w:ascii="Arial" w:eastAsia="Arial" w:hAnsi="Arial" w:cs="Arial"/>
        </w:rPr>
        <w:t xml:space="preserve"> </w:t>
      </w:r>
      <w:r>
        <w:rPr>
          <w:rFonts w:ascii="Arial" w:eastAsia="Arial" w:hAnsi="Arial" w:cs="Arial"/>
        </w:rPr>
        <w:tab/>
      </w:r>
      <w:r>
        <w:t xml:space="preserve">The Buyer may require the Supplier to provide Additional Services. The Buyer </w:t>
      </w:r>
      <w:proofErr w:type="gramStart"/>
      <w:r>
        <w:t>doesn’t</w:t>
      </w:r>
      <w:proofErr w:type="gramEnd"/>
      <w:r>
        <w:t xml:space="preserve"> have to buy any Additional Services from the Supplier and can buy services that are the same as or similar to the Additional Services from any third party.  </w:t>
      </w:r>
    </w:p>
    <w:p w14:paraId="0BE864D3" w14:textId="77777777" w:rsidR="00D1352F" w:rsidRDefault="009B1F56">
      <w:pPr>
        <w:ind w:left="715" w:hanging="725"/>
      </w:pPr>
      <w:r>
        <w:t>30.2</w:t>
      </w:r>
      <w:r>
        <w:rPr>
          <w:rFonts w:ascii="Arial" w:eastAsia="Arial" w:hAnsi="Arial" w:cs="Arial"/>
        </w:rPr>
        <w:t xml:space="preserve"> </w:t>
      </w:r>
      <w:r>
        <w:rPr>
          <w:rFonts w:ascii="Arial" w:eastAsia="Arial" w:hAnsi="Arial" w:cs="Arial"/>
        </w:rPr>
        <w:tab/>
      </w:r>
      <w:r>
        <w:t xml:space="preserve">If reasonably requested to do so by the Buyer in the Order Form, the Supplier must provide and monitor performance of the Additional Services using an Implementation Plan. </w:t>
      </w:r>
    </w:p>
    <w:p w14:paraId="6D709AF6" w14:textId="77777777" w:rsidR="00D1352F" w:rsidRDefault="009B1F56">
      <w:pPr>
        <w:pStyle w:val="Heading2"/>
        <w:ind w:left="0"/>
      </w:pPr>
      <w:bookmarkStart w:id="41" w:name="_Toc76750"/>
      <w:r>
        <w:t xml:space="preserve">31. Collaboration </w:t>
      </w:r>
      <w:bookmarkEnd w:id="41"/>
    </w:p>
    <w:p w14:paraId="13F5C4EF" w14:textId="77777777" w:rsidR="00D1352F" w:rsidRDefault="009B1F56">
      <w:pPr>
        <w:spacing w:after="258" w:line="259" w:lineRule="auto"/>
        <w:ind w:left="5" w:firstLine="0"/>
      </w:pPr>
      <w:r>
        <w:t xml:space="preserve"> </w:t>
      </w:r>
    </w:p>
    <w:p w14:paraId="5690B826" w14:textId="77777777" w:rsidR="00D1352F" w:rsidRDefault="009B1F56">
      <w:pPr>
        <w:tabs>
          <w:tab w:val="center" w:pos="5104"/>
        </w:tabs>
        <w:spacing w:after="11"/>
        <w:ind w:left="-10" w:firstLine="0"/>
      </w:pPr>
      <w:r>
        <w:t>31.1</w:t>
      </w:r>
      <w:r>
        <w:rPr>
          <w:rFonts w:ascii="Arial" w:eastAsia="Arial" w:hAnsi="Arial" w:cs="Arial"/>
        </w:rPr>
        <w:t xml:space="preserve"> </w:t>
      </w:r>
      <w:r>
        <w:rPr>
          <w:rFonts w:ascii="Arial" w:eastAsia="Arial" w:hAnsi="Arial" w:cs="Arial"/>
        </w:rPr>
        <w:tab/>
      </w:r>
      <w:r>
        <w:t xml:space="preserve">If the Buyer has specified in the Order Form that it requires the Supplier to </w:t>
      </w:r>
      <w:proofErr w:type="gramStart"/>
      <w:r>
        <w:t>enter into</w:t>
      </w:r>
      <w:proofErr w:type="gramEnd"/>
      <w:r>
        <w:t xml:space="preserve"> a </w:t>
      </w:r>
    </w:p>
    <w:p w14:paraId="08F573E8" w14:textId="77777777" w:rsidR="00D1352F" w:rsidRDefault="009B1F56">
      <w:pPr>
        <w:ind w:left="735"/>
      </w:pPr>
      <w:r>
        <w:t xml:space="preserve">Collaboration Agreement, the Supplier must give the Buyer an executed Collaboration Agreement before the Start Date. </w:t>
      </w:r>
    </w:p>
    <w:p w14:paraId="4B6C468D" w14:textId="77777777" w:rsidR="00D1352F" w:rsidRDefault="009B1F56">
      <w:pPr>
        <w:tabs>
          <w:tab w:val="center" w:pos="5005"/>
        </w:tabs>
        <w:ind w:left="-10" w:firstLine="0"/>
      </w:pPr>
      <w:r>
        <w:t>31.2</w:t>
      </w:r>
      <w:r>
        <w:rPr>
          <w:rFonts w:ascii="Arial" w:eastAsia="Arial" w:hAnsi="Arial" w:cs="Arial"/>
        </w:rPr>
        <w:t xml:space="preserve"> </w:t>
      </w:r>
      <w:r>
        <w:rPr>
          <w:rFonts w:ascii="Arial" w:eastAsia="Arial" w:hAnsi="Arial" w:cs="Arial"/>
        </w:rPr>
        <w:tab/>
      </w:r>
      <w:r>
        <w:t xml:space="preserve">In addition to any obligations under the Collaboration Agreement, the Supplier must: </w:t>
      </w:r>
    </w:p>
    <w:p w14:paraId="13DB5CB4" w14:textId="77777777" w:rsidR="00D1352F" w:rsidRDefault="009B1F56">
      <w:pPr>
        <w:numPr>
          <w:ilvl w:val="0"/>
          <w:numId w:val="33"/>
        </w:numPr>
        <w:ind w:hanging="360"/>
      </w:pPr>
      <w:r>
        <w:t xml:space="preserve">work proactively and in good faith with each of the Buyer’s contractors </w:t>
      </w:r>
    </w:p>
    <w:p w14:paraId="618011D2" w14:textId="77777777" w:rsidR="00D1352F" w:rsidRDefault="009B1F56">
      <w:pPr>
        <w:numPr>
          <w:ilvl w:val="0"/>
          <w:numId w:val="33"/>
        </w:numPr>
        <w:spacing w:after="249" w:line="267" w:lineRule="auto"/>
        <w:ind w:hanging="360"/>
      </w:pPr>
      <w:r>
        <w:lastRenderedPageBreak/>
        <w:t xml:space="preserve">co-operate and share information with the Buyer’s contractors to enable the efficient operation of the Buyer’s ICT services and G-Cloud Services </w:t>
      </w:r>
    </w:p>
    <w:p w14:paraId="09389A7B" w14:textId="77777777" w:rsidR="00D1352F" w:rsidRDefault="009B1F56">
      <w:pPr>
        <w:pStyle w:val="Heading2"/>
        <w:ind w:left="0"/>
      </w:pPr>
      <w:bookmarkStart w:id="42" w:name="_Toc76751"/>
      <w:r>
        <w:t xml:space="preserve">32. Variation process </w:t>
      </w:r>
      <w:bookmarkEnd w:id="42"/>
    </w:p>
    <w:p w14:paraId="5B8B1774" w14:textId="77777777" w:rsidR="00D1352F" w:rsidRDefault="009B1F56">
      <w:pPr>
        <w:spacing w:after="263" w:line="259" w:lineRule="auto"/>
        <w:ind w:left="5" w:firstLine="0"/>
      </w:pPr>
      <w:r>
        <w:t xml:space="preserve"> </w:t>
      </w:r>
    </w:p>
    <w:p w14:paraId="020FB4E1" w14:textId="77777777" w:rsidR="00D1352F" w:rsidRDefault="009B1F56">
      <w:pPr>
        <w:ind w:left="715" w:hanging="725"/>
      </w:pPr>
      <w:r>
        <w:t>32.1</w:t>
      </w:r>
      <w:r>
        <w:rPr>
          <w:rFonts w:ascii="Arial" w:eastAsia="Arial" w:hAnsi="Arial" w:cs="Arial"/>
        </w:rPr>
        <w:t xml:space="preserve"> </w:t>
      </w:r>
      <w:r>
        <w:rPr>
          <w:rFonts w:ascii="Arial" w:eastAsia="Arial" w:hAnsi="Arial" w:cs="Arial"/>
        </w:rPr>
        <w:tab/>
      </w:r>
      <w:r>
        <w:t xml:space="preserve">The Buyer can request in writing a change to this Call-Off Contract if it </w:t>
      </w:r>
      <w:proofErr w:type="gramStart"/>
      <w:r>
        <w:t>isn’t</w:t>
      </w:r>
      <w:proofErr w:type="gramEnd"/>
      <w:r>
        <w:t xml:space="preserve"> a material change to the Framework Agreement/or this Call-Off Contract. Once implemented, it is called a Variation. </w:t>
      </w:r>
    </w:p>
    <w:p w14:paraId="2F9AD941" w14:textId="77777777" w:rsidR="00D1352F" w:rsidRDefault="009B1F56">
      <w:pPr>
        <w:ind w:left="715" w:hanging="725"/>
      </w:pPr>
      <w:r>
        <w:t>32.2</w:t>
      </w:r>
      <w:r>
        <w:rPr>
          <w:rFonts w:ascii="Arial" w:eastAsia="Arial" w:hAnsi="Arial" w:cs="Arial"/>
        </w:rPr>
        <w:t xml:space="preserve"> </w:t>
      </w:r>
      <w:r>
        <w:rPr>
          <w:rFonts w:ascii="Arial" w:eastAsia="Arial" w:hAnsi="Arial" w:cs="Arial"/>
        </w:rPr>
        <w:tab/>
      </w:r>
      <w:r>
        <w:t xml:space="preserve">The Supplier must notify the Buyer immediately in writing of any proposed changes to their </w:t>
      </w:r>
      <w:proofErr w:type="spellStart"/>
      <w:r>
        <w:t>GCloud</w:t>
      </w:r>
      <w:proofErr w:type="spellEnd"/>
      <w:r>
        <w:t xml:space="preserve"> Services or their delivery by submitting a Variation request. This includes any changes in the Supplier’s supply chain. </w:t>
      </w:r>
    </w:p>
    <w:p w14:paraId="628D7153" w14:textId="77777777" w:rsidR="00D1352F" w:rsidRDefault="009B1F56">
      <w:pPr>
        <w:tabs>
          <w:tab w:val="center" w:pos="5089"/>
        </w:tabs>
        <w:spacing w:after="249" w:line="267" w:lineRule="auto"/>
        <w:ind w:left="-10" w:firstLine="0"/>
      </w:pPr>
      <w:r>
        <w:t>32.3</w:t>
      </w:r>
      <w:r>
        <w:rPr>
          <w:rFonts w:ascii="Arial" w:eastAsia="Arial" w:hAnsi="Arial" w:cs="Arial"/>
        </w:rPr>
        <w:t xml:space="preserve"> </w:t>
      </w:r>
      <w:r>
        <w:rPr>
          <w:rFonts w:ascii="Arial" w:eastAsia="Arial" w:hAnsi="Arial" w:cs="Arial"/>
        </w:rPr>
        <w:tab/>
      </w:r>
      <w:r>
        <w:t xml:space="preserve">If Either Party </w:t>
      </w:r>
      <w:proofErr w:type="gramStart"/>
      <w:r>
        <w:t>can’t</w:t>
      </w:r>
      <w:proofErr w:type="gramEnd"/>
      <w:r>
        <w:t xml:space="preserve"> agree to or provide the Variation, the Buyer may agree to continue </w:t>
      </w:r>
    </w:p>
    <w:p w14:paraId="67415E68" w14:textId="77777777" w:rsidR="00D1352F" w:rsidRDefault="009B1F56">
      <w:pPr>
        <w:spacing w:after="208"/>
        <w:ind w:left="735"/>
      </w:pPr>
      <w:r>
        <w:t xml:space="preserve">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 </w:t>
      </w:r>
    </w:p>
    <w:p w14:paraId="51CFB324" w14:textId="77777777" w:rsidR="00D1352F" w:rsidRDefault="009B1F56">
      <w:pPr>
        <w:spacing w:after="262" w:line="259" w:lineRule="auto"/>
        <w:ind w:left="725" w:firstLine="0"/>
      </w:pPr>
      <w:r>
        <w:t xml:space="preserve"> </w:t>
      </w:r>
    </w:p>
    <w:p w14:paraId="2818537B" w14:textId="77777777" w:rsidR="00D1352F" w:rsidRDefault="009B1F56">
      <w:pPr>
        <w:pStyle w:val="Heading2"/>
        <w:ind w:left="0"/>
      </w:pPr>
      <w:bookmarkStart w:id="43" w:name="_Toc76752"/>
      <w:r>
        <w:t xml:space="preserve">33. Data Protection Legislation (GDPR) </w:t>
      </w:r>
      <w:bookmarkEnd w:id="43"/>
    </w:p>
    <w:p w14:paraId="484762A3" w14:textId="77777777" w:rsidR="00D1352F" w:rsidRDefault="009B1F56">
      <w:pPr>
        <w:spacing w:after="223" w:line="259" w:lineRule="auto"/>
        <w:ind w:left="5" w:firstLine="0"/>
      </w:pPr>
      <w:r>
        <w:t xml:space="preserve"> </w:t>
      </w:r>
    </w:p>
    <w:p w14:paraId="759FCF98" w14:textId="77777777" w:rsidR="00D1352F" w:rsidRDefault="009B1F56">
      <w:pPr>
        <w:spacing w:after="203"/>
        <w:ind w:left="700" w:hanging="710"/>
      </w:pPr>
      <w: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0EEBE5E5" w14:textId="77777777" w:rsidR="00D1352F" w:rsidRDefault="009B1F56">
      <w:pPr>
        <w:spacing w:after="305" w:line="259" w:lineRule="auto"/>
        <w:ind w:left="5" w:firstLine="0"/>
      </w:pPr>
      <w:r>
        <w:t xml:space="preserve"> </w:t>
      </w:r>
    </w:p>
    <w:p w14:paraId="0ADF366C" w14:textId="77777777" w:rsidR="00D1352F" w:rsidRDefault="009B1F56">
      <w:pPr>
        <w:pStyle w:val="Heading1"/>
        <w:ind w:left="0" w:right="0"/>
      </w:pPr>
      <w:bookmarkStart w:id="44" w:name="_Toc76753"/>
      <w:r>
        <w:t xml:space="preserve">Schedule 3 - Collaboration agreement </w:t>
      </w:r>
      <w:bookmarkEnd w:id="44"/>
    </w:p>
    <w:p w14:paraId="30377180" w14:textId="77777777" w:rsidR="00D1352F" w:rsidRDefault="009B1F56">
      <w:pPr>
        <w:spacing w:after="312" w:line="259" w:lineRule="auto"/>
        <w:ind w:left="15"/>
      </w:pPr>
      <w:r>
        <w:rPr>
          <w:rFonts w:ascii="Arial" w:eastAsia="Arial" w:hAnsi="Arial" w:cs="Arial"/>
        </w:rPr>
        <w:t xml:space="preserve">Not used </w:t>
      </w:r>
    </w:p>
    <w:p w14:paraId="5A0A120A" w14:textId="77777777" w:rsidR="00D1352F" w:rsidRDefault="009B1F56">
      <w:pPr>
        <w:pStyle w:val="Heading1"/>
        <w:ind w:left="0" w:right="0"/>
      </w:pPr>
      <w:bookmarkStart w:id="45" w:name="_Toc76754"/>
      <w:r>
        <w:t xml:space="preserve">Schedule 4 - Alternative clauses </w:t>
      </w:r>
      <w:bookmarkEnd w:id="45"/>
    </w:p>
    <w:p w14:paraId="4F6301F8" w14:textId="77777777" w:rsidR="00D1352F" w:rsidRDefault="009B1F56">
      <w:pPr>
        <w:spacing w:after="316" w:line="259" w:lineRule="auto"/>
        <w:ind w:left="15"/>
      </w:pPr>
      <w:r>
        <w:rPr>
          <w:rFonts w:ascii="Arial" w:eastAsia="Arial" w:hAnsi="Arial" w:cs="Arial"/>
        </w:rPr>
        <w:t xml:space="preserve">Not used </w:t>
      </w:r>
    </w:p>
    <w:p w14:paraId="244F55FF" w14:textId="77777777" w:rsidR="00D1352F" w:rsidRDefault="009B1F56">
      <w:pPr>
        <w:pStyle w:val="Heading1"/>
        <w:ind w:left="0" w:right="0"/>
      </w:pPr>
      <w:bookmarkStart w:id="46" w:name="_Toc76755"/>
      <w:r>
        <w:t xml:space="preserve">Schedule 5 - Guarantee </w:t>
      </w:r>
      <w:bookmarkEnd w:id="46"/>
    </w:p>
    <w:p w14:paraId="12A2D561" w14:textId="77777777" w:rsidR="00D1352F" w:rsidRDefault="009B1F56">
      <w:pPr>
        <w:spacing w:after="318" w:line="259" w:lineRule="auto"/>
        <w:ind w:left="15"/>
      </w:pPr>
      <w:r>
        <w:rPr>
          <w:rFonts w:ascii="Arial" w:eastAsia="Arial" w:hAnsi="Arial" w:cs="Arial"/>
        </w:rPr>
        <w:t xml:space="preserve">Not used </w:t>
      </w:r>
    </w:p>
    <w:p w14:paraId="0BE0B77E" w14:textId="77777777" w:rsidR="00D1352F" w:rsidRDefault="009B1F56">
      <w:pPr>
        <w:pStyle w:val="Heading1"/>
        <w:spacing w:after="78"/>
        <w:ind w:left="0" w:right="0"/>
      </w:pPr>
      <w:bookmarkStart w:id="47" w:name="_Toc76756"/>
      <w:r>
        <w:t>Schedule 6 - Glossary and interpretations</w:t>
      </w:r>
      <w:r>
        <w:rPr>
          <w:sz w:val="20"/>
        </w:rPr>
        <w:t xml:space="preserve"> </w:t>
      </w:r>
      <w:bookmarkEnd w:id="47"/>
    </w:p>
    <w:p w14:paraId="46EC1AAA" w14:textId="77777777" w:rsidR="00D1352F" w:rsidRDefault="009B1F56">
      <w:pPr>
        <w:spacing w:after="0" w:line="259" w:lineRule="auto"/>
        <w:ind w:left="5" w:firstLine="0"/>
      </w:pPr>
      <w:r>
        <w:rPr>
          <w:sz w:val="20"/>
        </w:rPr>
        <w:t xml:space="preserve">In this Call-Off Contract the following expressions mean: </w:t>
      </w:r>
    </w:p>
    <w:tbl>
      <w:tblPr>
        <w:tblStyle w:val="TableGrid"/>
        <w:tblW w:w="10593" w:type="dxa"/>
        <w:tblInd w:w="10" w:type="dxa"/>
        <w:tblCellMar>
          <w:top w:w="156" w:type="dxa"/>
          <w:left w:w="101" w:type="dxa"/>
          <w:right w:w="106" w:type="dxa"/>
        </w:tblCellMar>
        <w:tblLook w:val="04A0" w:firstRow="1" w:lastRow="0" w:firstColumn="1" w:lastColumn="0" w:noHBand="0" w:noVBand="1"/>
      </w:tblPr>
      <w:tblGrid>
        <w:gridCol w:w="3436"/>
        <w:gridCol w:w="7157"/>
      </w:tblGrid>
      <w:tr w:rsidR="00D1352F" w14:paraId="54AB1909" w14:textId="77777777">
        <w:trPr>
          <w:trHeight w:val="473"/>
        </w:trPr>
        <w:tc>
          <w:tcPr>
            <w:tcW w:w="3436" w:type="dxa"/>
            <w:tcBorders>
              <w:top w:val="single" w:sz="4" w:space="0" w:color="000000"/>
              <w:left w:val="single" w:sz="4" w:space="0" w:color="000000"/>
              <w:bottom w:val="single" w:sz="6" w:space="0" w:color="000000"/>
              <w:right w:val="single" w:sz="6" w:space="0" w:color="000000"/>
            </w:tcBorders>
            <w:vAlign w:val="center"/>
          </w:tcPr>
          <w:p w14:paraId="6AC7C6F1" w14:textId="77777777" w:rsidR="00D1352F" w:rsidRDefault="009B1F56">
            <w:pPr>
              <w:spacing w:after="0" w:line="259" w:lineRule="auto"/>
              <w:ind w:left="10" w:firstLine="0"/>
              <w:jc w:val="center"/>
            </w:pPr>
            <w:r>
              <w:rPr>
                <w:sz w:val="20"/>
              </w:rPr>
              <w:lastRenderedPageBreak/>
              <w:t xml:space="preserve">Expression </w:t>
            </w:r>
          </w:p>
        </w:tc>
        <w:tc>
          <w:tcPr>
            <w:tcW w:w="7157" w:type="dxa"/>
            <w:tcBorders>
              <w:top w:val="single" w:sz="4" w:space="0" w:color="000000"/>
              <w:left w:val="single" w:sz="6" w:space="0" w:color="000000"/>
              <w:bottom w:val="single" w:sz="6" w:space="0" w:color="000000"/>
              <w:right w:val="single" w:sz="4" w:space="0" w:color="000000"/>
            </w:tcBorders>
            <w:vAlign w:val="center"/>
          </w:tcPr>
          <w:p w14:paraId="0D280DEE" w14:textId="77777777" w:rsidR="00D1352F" w:rsidRDefault="009B1F56">
            <w:pPr>
              <w:spacing w:after="0" w:line="259" w:lineRule="auto"/>
              <w:ind w:left="10" w:firstLine="0"/>
              <w:jc w:val="center"/>
            </w:pPr>
            <w:r>
              <w:rPr>
                <w:sz w:val="20"/>
              </w:rPr>
              <w:t xml:space="preserve">Meaning </w:t>
            </w:r>
          </w:p>
        </w:tc>
      </w:tr>
      <w:tr w:rsidR="00D1352F" w14:paraId="2B98F3F7" w14:textId="77777777">
        <w:trPr>
          <w:trHeight w:val="734"/>
        </w:trPr>
        <w:tc>
          <w:tcPr>
            <w:tcW w:w="3436" w:type="dxa"/>
            <w:tcBorders>
              <w:top w:val="single" w:sz="6" w:space="0" w:color="000000"/>
              <w:left w:val="single" w:sz="4" w:space="0" w:color="000000"/>
              <w:bottom w:val="single" w:sz="6" w:space="0" w:color="000000"/>
              <w:right w:val="single" w:sz="6" w:space="0" w:color="000000"/>
            </w:tcBorders>
          </w:tcPr>
          <w:p w14:paraId="42EC433D" w14:textId="77777777" w:rsidR="00D1352F" w:rsidRDefault="009B1F56">
            <w:pPr>
              <w:spacing w:after="0" w:line="259" w:lineRule="auto"/>
              <w:ind w:left="0" w:firstLine="0"/>
            </w:pPr>
            <w:r>
              <w:rPr>
                <w:sz w:val="20"/>
              </w:rPr>
              <w:t xml:space="preserve">Additional Services </w:t>
            </w:r>
          </w:p>
        </w:tc>
        <w:tc>
          <w:tcPr>
            <w:tcW w:w="7157" w:type="dxa"/>
            <w:tcBorders>
              <w:top w:val="single" w:sz="6" w:space="0" w:color="000000"/>
              <w:left w:val="single" w:sz="6" w:space="0" w:color="000000"/>
              <w:bottom w:val="single" w:sz="6" w:space="0" w:color="000000"/>
              <w:right w:val="single" w:sz="4" w:space="0" w:color="000000"/>
            </w:tcBorders>
            <w:vAlign w:val="center"/>
          </w:tcPr>
          <w:p w14:paraId="7CDC543F" w14:textId="77777777" w:rsidR="00D1352F" w:rsidRDefault="009B1F56">
            <w:pPr>
              <w:spacing w:after="0" w:line="259" w:lineRule="auto"/>
              <w:ind w:left="2" w:firstLine="0"/>
            </w:pPr>
            <w:r>
              <w:rPr>
                <w:sz w:val="20"/>
              </w:rPr>
              <w:t xml:space="preserve">Any services ancillary to the G-Cloud Services that are in the scope of Framework Agreement Section 2 (Services Offered) which a Buyer may request. </w:t>
            </w:r>
          </w:p>
        </w:tc>
      </w:tr>
      <w:tr w:rsidR="00D1352F" w14:paraId="14204A03" w14:textId="77777777">
        <w:trPr>
          <w:trHeight w:val="999"/>
        </w:trPr>
        <w:tc>
          <w:tcPr>
            <w:tcW w:w="3436" w:type="dxa"/>
            <w:tcBorders>
              <w:top w:val="single" w:sz="6" w:space="0" w:color="000000"/>
              <w:left w:val="single" w:sz="4" w:space="0" w:color="000000"/>
              <w:bottom w:val="single" w:sz="6" w:space="0" w:color="000000"/>
              <w:right w:val="single" w:sz="6" w:space="0" w:color="000000"/>
            </w:tcBorders>
          </w:tcPr>
          <w:p w14:paraId="25D426F8" w14:textId="77777777" w:rsidR="00D1352F" w:rsidRDefault="009B1F56">
            <w:pPr>
              <w:spacing w:after="0" w:line="259" w:lineRule="auto"/>
              <w:ind w:left="0" w:firstLine="0"/>
            </w:pPr>
            <w:r>
              <w:rPr>
                <w:sz w:val="20"/>
              </w:rPr>
              <w:t xml:space="preserve">Agreed Work Package </w:t>
            </w:r>
          </w:p>
        </w:tc>
        <w:tc>
          <w:tcPr>
            <w:tcW w:w="7157" w:type="dxa"/>
            <w:tcBorders>
              <w:top w:val="single" w:sz="6" w:space="0" w:color="000000"/>
              <w:left w:val="single" w:sz="6" w:space="0" w:color="000000"/>
              <w:bottom w:val="single" w:sz="6" w:space="0" w:color="000000"/>
              <w:right w:val="single" w:sz="4" w:space="0" w:color="000000"/>
            </w:tcBorders>
            <w:vAlign w:val="center"/>
          </w:tcPr>
          <w:p w14:paraId="56E7C292" w14:textId="77777777" w:rsidR="00D1352F" w:rsidRDefault="009B1F56">
            <w:pPr>
              <w:spacing w:after="0" w:line="259" w:lineRule="auto"/>
              <w:ind w:left="2" w:right="44" w:firstLine="0"/>
              <w:jc w:val="both"/>
            </w:pPr>
            <w:r>
              <w:rPr>
                <w:sz w:val="20"/>
              </w:rPr>
              <w:t xml:space="preserve">The individual Services agreed between the Parties to be delivered in line with the Supplier response in Part 2 in the RFQ Template in Annex B and subject to receipt by the Supplier of a corresponding purchase order from the Buyer. </w:t>
            </w:r>
          </w:p>
        </w:tc>
      </w:tr>
      <w:tr w:rsidR="00D1352F" w14:paraId="27A1652D" w14:textId="77777777">
        <w:trPr>
          <w:trHeight w:val="734"/>
        </w:trPr>
        <w:tc>
          <w:tcPr>
            <w:tcW w:w="3436" w:type="dxa"/>
            <w:tcBorders>
              <w:top w:val="single" w:sz="6" w:space="0" w:color="000000"/>
              <w:left w:val="single" w:sz="4" w:space="0" w:color="000000"/>
              <w:bottom w:val="single" w:sz="6" w:space="0" w:color="000000"/>
              <w:right w:val="single" w:sz="6" w:space="0" w:color="000000"/>
            </w:tcBorders>
          </w:tcPr>
          <w:p w14:paraId="35C408F1" w14:textId="77777777" w:rsidR="00D1352F" w:rsidRDefault="009B1F56">
            <w:pPr>
              <w:spacing w:after="0" w:line="259" w:lineRule="auto"/>
              <w:ind w:left="0" w:firstLine="0"/>
            </w:pPr>
            <w:r>
              <w:rPr>
                <w:sz w:val="20"/>
              </w:rPr>
              <w:t xml:space="preserve">Admission Agreement </w:t>
            </w:r>
          </w:p>
        </w:tc>
        <w:tc>
          <w:tcPr>
            <w:tcW w:w="7157" w:type="dxa"/>
            <w:tcBorders>
              <w:top w:val="single" w:sz="6" w:space="0" w:color="000000"/>
              <w:left w:val="single" w:sz="6" w:space="0" w:color="000000"/>
              <w:bottom w:val="single" w:sz="6" w:space="0" w:color="000000"/>
              <w:right w:val="single" w:sz="4" w:space="0" w:color="000000"/>
            </w:tcBorders>
            <w:vAlign w:val="center"/>
          </w:tcPr>
          <w:p w14:paraId="3C97D3B4" w14:textId="77777777" w:rsidR="00D1352F" w:rsidRDefault="009B1F56">
            <w:pPr>
              <w:spacing w:after="0" w:line="259" w:lineRule="auto"/>
              <w:ind w:left="2" w:firstLine="0"/>
              <w:jc w:val="both"/>
            </w:pPr>
            <w:r>
              <w:rPr>
                <w:sz w:val="20"/>
              </w:rPr>
              <w:t xml:space="preserve">The agreement to be entered into to enable the Supplier to participate in the relevant Civil Service pension scheme(s). </w:t>
            </w:r>
          </w:p>
        </w:tc>
      </w:tr>
      <w:tr w:rsidR="00D1352F" w14:paraId="27AFADC7" w14:textId="77777777">
        <w:trPr>
          <w:trHeight w:val="735"/>
        </w:trPr>
        <w:tc>
          <w:tcPr>
            <w:tcW w:w="3436" w:type="dxa"/>
            <w:tcBorders>
              <w:top w:val="single" w:sz="6" w:space="0" w:color="000000"/>
              <w:left w:val="single" w:sz="4" w:space="0" w:color="000000"/>
              <w:bottom w:val="single" w:sz="6" w:space="0" w:color="000000"/>
              <w:right w:val="single" w:sz="6" w:space="0" w:color="000000"/>
            </w:tcBorders>
          </w:tcPr>
          <w:p w14:paraId="75B33F71" w14:textId="77777777" w:rsidR="00D1352F" w:rsidRDefault="009B1F56">
            <w:pPr>
              <w:spacing w:after="0" w:line="259" w:lineRule="auto"/>
              <w:ind w:left="0" w:firstLine="0"/>
            </w:pPr>
            <w:r>
              <w:rPr>
                <w:sz w:val="20"/>
              </w:rPr>
              <w:t xml:space="preserve">Application </w:t>
            </w:r>
          </w:p>
        </w:tc>
        <w:tc>
          <w:tcPr>
            <w:tcW w:w="7157" w:type="dxa"/>
            <w:tcBorders>
              <w:top w:val="single" w:sz="6" w:space="0" w:color="000000"/>
              <w:left w:val="single" w:sz="6" w:space="0" w:color="000000"/>
              <w:bottom w:val="single" w:sz="6" w:space="0" w:color="000000"/>
              <w:right w:val="single" w:sz="4" w:space="0" w:color="000000"/>
            </w:tcBorders>
            <w:vAlign w:val="center"/>
          </w:tcPr>
          <w:p w14:paraId="7895D8EB" w14:textId="77777777" w:rsidR="00D1352F" w:rsidRDefault="009B1F56">
            <w:pPr>
              <w:spacing w:after="0" w:line="259" w:lineRule="auto"/>
              <w:ind w:left="2" w:firstLine="0"/>
              <w:jc w:val="both"/>
            </w:pPr>
            <w:r>
              <w:rPr>
                <w:sz w:val="20"/>
              </w:rPr>
              <w:t xml:space="preserve">The response submitted by the Supplier to the Invitation to Tender (known as the Invitation to Apply on the Digital Marketplace). </w:t>
            </w:r>
          </w:p>
        </w:tc>
      </w:tr>
      <w:tr w:rsidR="00D1352F" w14:paraId="170E6680" w14:textId="77777777">
        <w:trPr>
          <w:trHeight w:val="744"/>
        </w:trPr>
        <w:tc>
          <w:tcPr>
            <w:tcW w:w="3436" w:type="dxa"/>
            <w:tcBorders>
              <w:top w:val="single" w:sz="6" w:space="0" w:color="000000"/>
              <w:left w:val="single" w:sz="4" w:space="0" w:color="000000"/>
              <w:bottom w:val="single" w:sz="6" w:space="0" w:color="000000"/>
              <w:right w:val="single" w:sz="6" w:space="0" w:color="000000"/>
            </w:tcBorders>
          </w:tcPr>
          <w:p w14:paraId="19AA6F41" w14:textId="77777777" w:rsidR="00D1352F" w:rsidRDefault="009B1F56">
            <w:pPr>
              <w:spacing w:after="0" w:line="259" w:lineRule="auto"/>
              <w:ind w:left="0" w:firstLine="0"/>
            </w:pPr>
            <w:r>
              <w:rPr>
                <w:sz w:val="20"/>
              </w:rPr>
              <w:t xml:space="preserve">Audit </w:t>
            </w:r>
          </w:p>
        </w:tc>
        <w:tc>
          <w:tcPr>
            <w:tcW w:w="7157" w:type="dxa"/>
            <w:tcBorders>
              <w:top w:val="single" w:sz="6" w:space="0" w:color="000000"/>
              <w:left w:val="single" w:sz="6" w:space="0" w:color="000000"/>
              <w:bottom w:val="single" w:sz="6" w:space="0" w:color="000000"/>
              <w:right w:val="single" w:sz="4" w:space="0" w:color="000000"/>
            </w:tcBorders>
            <w:vAlign w:val="center"/>
          </w:tcPr>
          <w:p w14:paraId="3A7AE0CA" w14:textId="77777777" w:rsidR="00D1352F" w:rsidRDefault="009B1F56">
            <w:pPr>
              <w:spacing w:after="0" w:line="259" w:lineRule="auto"/>
              <w:ind w:left="2" w:firstLine="0"/>
            </w:pPr>
            <w:r>
              <w:rPr>
                <w:sz w:val="20"/>
              </w:rPr>
              <w:t xml:space="preserve">An audit carried out under the incorporated Framework Agreement clauses specified by the Buyer in the Order (if any). </w:t>
            </w:r>
          </w:p>
        </w:tc>
      </w:tr>
      <w:tr w:rsidR="00D1352F" w14:paraId="6475DCCC"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1E7EEA0F" w14:textId="77777777" w:rsidR="00D1352F" w:rsidRDefault="009B1F56">
            <w:pPr>
              <w:spacing w:after="0" w:line="259" w:lineRule="auto"/>
              <w:ind w:left="0" w:firstLine="0"/>
            </w:pPr>
            <w:r>
              <w:rPr>
                <w:sz w:val="20"/>
              </w:rPr>
              <w:t xml:space="preserve">Background IPRs </w:t>
            </w:r>
          </w:p>
        </w:tc>
        <w:tc>
          <w:tcPr>
            <w:tcW w:w="7157" w:type="dxa"/>
            <w:tcBorders>
              <w:top w:val="single" w:sz="6" w:space="0" w:color="000000"/>
              <w:left w:val="single" w:sz="6" w:space="0" w:color="000000"/>
              <w:bottom w:val="single" w:sz="6" w:space="0" w:color="000000"/>
              <w:right w:val="single" w:sz="4" w:space="0" w:color="000000"/>
            </w:tcBorders>
            <w:vAlign w:val="center"/>
          </w:tcPr>
          <w:p w14:paraId="05E605B6" w14:textId="77777777" w:rsidR="00D1352F" w:rsidRDefault="009B1F56">
            <w:pPr>
              <w:spacing w:after="0" w:line="259" w:lineRule="auto"/>
              <w:ind w:left="2" w:firstLine="0"/>
            </w:pPr>
            <w:r>
              <w:rPr>
                <w:sz w:val="20"/>
              </w:rPr>
              <w:t xml:space="preserve">For each Party, IPRs: </w:t>
            </w:r>
          </w:p>
        </w:tc>
      </w:tr>
    </w:tbl>
    <w:p w14:paraId="18A47B78" w14:textId="77777777" w:rsidR="00D1352F" w:rsidRDefault="00D1352F">
      <w:pPr>
        <w:spacing w:after="0" w:line="259" w:lineRule="auto"/>
        <w:ind w:left="-701" w:right="28" w:firstLine="0"/>
      </w:pPr>
    </w:p>
    <w:tbl>
      <w:tblPr>
        <w:tblStyle w:val="TableGrid"/>
        <w:tblW w:w="10593" w:type="dxa"/>
        <w:tblInd w:w="10" w:type="dxa"/>
        <w:tblCellMar>
          <w:top w:w="156" w:type="dxa"/>
          <w:left w:w="101" w:type="dxa"/>
          <w:right w:w="54" w:type="dxa"/>
        </w:tblCellMar>
        <w:tblLook w:val="04A0" w:firstRow="1" w:lastRow="0" w:firstColumn="1" w:lastColumn="0" w:noHBand="0" w:noVBand="1"/>
      </w:tblPr>
      <w:tblGrid>
        <w:gridCol w:w="3436"/>
        <w:gridCol w:w="7157"/>
      </w:tblGrid>
      <w:tr w:rsidR="00D1352F" w14:paraId="7CB66642" w14:textId="77777777">
        <w:trPr>
          <w:trHeight w:val="2847"/>
        </w:trPr>
        <w:tc>
          <w:tcPr>
            <w:tcW w:w="3436" w:type="dxa"/>
            <w:tcBorders>
              <w:top w:val="single" w:sz="6" w:space="0" w:color="000000"/>
              <w:left w:val="single" w:sz="4" w:space="0" w:color="000000"/>
              <w:bottom w:val="single" w:sz="6" w:space="0" w:color="000000"/>
              <w:right w:val="single" w:sz="6" w:space="0" w:color="000000"/>
            </w:tcBorders>
          </w:tcPr>
          <w:p w14:paraId="792159A5" w14:textId="77777777" w:rsidR="00D1352F" w:rsidRDefault="00D1352F">
            <w:pPr>
              <w:spacing w:after="160" w:line="259" w:lineRule="auto"/>
              <w:ind w:left="0" w:firstLine="0"/>
            </w:pPr>
          </w:p>
        </w:tc>
        <w:tc>
          <w:tcPr>
            <w:tcW w:w="7157" w:type="dxa"/>
            <w:tcBorders>
              <w:top w:val="single" w:sz="6" w:space="0" w:color="000000"/>
              <w:left w:val="single" w:sz="6" w:space="0" w:color="000000"/>
              <w:bottom w:val="single" w:sz="6" w:space="0" w:color="000000"/>
              <w:right w:val="single" w:sz="4" w:space="0" w:color="000000"/>
            </w:tcBorders>
            <w:vAlign w:val="center"/>
          </w:tcPr>
          <w:p w14:paraId="0F7911D8" w14:textId="77777777" w:rsidR="00D1352F" w:rsidRDefault="009B1F56">
            <w:pPr>
              <w:spacing w:after="9" w:line="259" w:lineRule="auto"/>
              <w:ind w:left="2" w:firstLine="0"/>
            </w:pPr>
            <w:r>
              <w:rPr>
                <w:sz w:val="20"/>
              </w:rPr>
              <w:t xml:space="preserve"> </w:t>
            </w:r>
          </w:p>
          <w:p w14:paraId="32AE4B89" w14:textId="77777777" w:rsidR="00D1352F" w:rsidRDefault="009B1F56">
            <w:pPr>
              <w:numPr>
                <w:ilvl w:val="0"/>
                <w:numId w:val="44"/>
              </w:numPr>
              <w:spacing w:after="34" w:line="237" w:lineRule="auto"/>
              <w:ind w:right="12" w:hanging="360"/>
            </w:pPr>
            <w:r>
              <w:rPr>
                <w:sz w:val="20"/>
              </w:rPr>
              <w:t xml:space="preserve">owned by that Party before the date of this Call-Off Contract (as may be enhanced and/or modified but not </w:t>
            </w:r>
            <w:proofErr w:type="gramStart"/>
            <w:r>
              <w:rPr>
                <w:sz w:val="20"/>
              </w:rPr>
              <w:t>as a consequence of</w:t>
            </w:r>
            <w:proofErr w:type="gramEnd"/>
            <w:r>
              <w:rPr>
                <w:sz w:val="20"/>
              </w:rPr>
              <w:t xml:space="preserve"> the Services) including IPRs contained in any of the Party's Know-How, documentation and processes  </w:t>
            </w:r>
          </w:p>
          <w:p w14:paraId="639485DB" w14:textId="77777777" w:rsidR="00D1352F" w:rsidRDefault="009B1F56">
            <w:pPr>
              <w:numPr>
                <w:ilvl w:val="0"/>
                <w:numId w:val="44"/>
              </w:numPr>
              <w:spacing w:after="0" w:line="259" w:lineRule="auto"/>
              <w:ind w:right="12" w:hanging="360"/>
            </w:pPr>
            <w:r>
              <w:rPr>
                <w:sz w:val="20"/>
              </w:rPr>
              <w:t xml:space="preserve">created by the Party independently of this Call-Off Contract, or </w:t>
            </w:r>
          </w:p>
          <w:p w14:paraId="53E02083" w14:textId="77777777" w:rsidR="00D1352F" w:rsidRDefault="009B1F56">
            <w:pPr>
              <w:spacing w:after="0" w:line="259" w:lineRule="auto"/>
              <w:ind w:left="2" w:firstLine="0"/>
            </w:pPr>
            <w:r>
              <w:rPr>
                <w:sz w:val="20"/>
              </w:rPr>
              <w:t xml:space="preserve"> </w:t>
            </w:r>
          </w:p>
          <w:p w14:paraId="584C2864" w14:textId="77777777" w:rsidR="00D1352F" w:rsidRDefault="009B1F56">
            <w:pPr>
              <w:spacing w:after="0" w:line="259" w:lineRule="auto"/>
              <w:ind w:left="2" w:right="344" w:firstLine="0"/>
              <w:jc w:val="both"/>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software. </w:t>
            </w:r>
          </w:p>
        </w:tc>
      </w:tr>
      <w:tr w:rsidR="00D1352F" w14:paraId="44F74028" w14:textId="77777777">
        <w:trPr>
          <w:trHeight w:val="476"/>
        </w:trPr>
        <w:tc>
          <w:tcPr>
            <w:tcW w:w="3436" w:type="dxa"/>
            <w:tcBorders>
              <w:top w:val="single" w:sz="6" w:space="0" w:color="000000"/>
              <w:left w:val="single" w:sz="4" w:space="0" w:color="000000"/>
              <w:bottom w:val="single" w:sz="6" w:space="0" w:color="000000"/>
              <w:right w:val="single" w:sz="6" w:space="0" w:color="000000"/>
            </w:tcBorders>
            <w:vAlign w:val="center"/>
          </w:tcPr>
          <w:p w14:paraId="7C7DDB53" w14:textId="77777777" w:rsidR="00D1352F" w:rsidRDefault="009B1F56">
            <w:pPr>
              <w:spacing w:after="0" w:line="259" w:lineRule="auto"/>
              <w:ind w:left="0" w:firstLine="0"/>
            </w:pPr>
            <w:r>
              <w:rPr>
                <w:sz w:val="20"/>
              </w:rPr>
              <w:t xml:space="preserve">Buyer </w:t>
            </w:r>
          </w:p>
        </w:tc>
        <w:tc>
          <w:tcPr>
            <w:tcW w:w="7157" w:type="dxa"/>
            <w:tcBorders>
              <w:top w:val="single" w:sz="6" w:space="0" w:color="000000"/>
              <w:left w:val="single" w:sz="6" w:space="0" w:color="000000"/>
              <w:bottom w:val="single" w:sz="6" w:space="0" w:color="000000"/>
              <w:right w:val="single" w:sz="4" w:space="0" w:color="000000"/>
            </w:tcBorders>
            <w:vAlign w:val="center"/>
          </w:tcPr>
          <w:p w14:paraId="0353E7FB" w14:textId="77777777" w:rsidR="00D1352F" w:rsidRDefault="009B1F56">
            <w:pPr>
              <w:spacing w:after="0" w:line="259" w:lineRule="auto"/>
              <w:ind w:left="2" w:firstLine="0"/>
            </w:pPr>
            <w:r>
              <w:rPr>
                <w:sz w:val="20"/>
              </w:rPr>
              <w:t xml:space="preserve">The contracting authority ordering services as set out in the Order Form. </w:t>
            </w:r>
          </w:p>
        </w:tc>
      </w:tr>
      <w:tr w:rsidR="00D1352F" w14:paraId="373DB25D"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5C650C4F" w14:textId="77777777" w:rsidR="00D1352F" w:rsidRDefault="009B1F56">
            <w:pPr>
              <w:spacing w:after="0" w:line="259" w:lineRule="auto"/>
              <w:ind w:left="0" w:firstLine="0"/>
            </w:pPr>
            <w:r>
              <w:rPr>
                <w:sz w:val="20"/>
              </w:rPr>
              <w:t xml:space="preserve">Buyer Data </w:t>
            </w:r>
          </w:p>
        </w:tc>
        <w:tc>
          <w:tcPr>
            <w:tcW w:w="7157" w:type="dxa"/>
            <w:tcBorders>
              <w:top w:val="single" w:sz="6" w:space="0" w:color="000000"/>
              <w:left w:val="single" w:sz="6" w:space="0" w:color="000000"/>
              <w:bottom w:val="single" w:sz="6" w:space="0" w:color="000000"/>
              <w:right w:val="single" w:sz="4" w:space="0" w:color="000000"/>
            </w:tcBorders>
            <w:vAlign w:val="center"/>
          </w:tcPr>
          <w:p w14:paraId="2B961202" w14:textId="77777777" w:rsidR="00D1352F" w:rsidRDefault="009B1F56">
            <w:pPr>
              <w:spacing w:after="0" w:line="259" w:lineRule="auto"/>
              <w:ind w:left="2" w:firstLine="0"/>
            </w:pPr>
            <w:r>
              <w:rPr>
                <w:sz w:val="20"/>
              </w:rPr>
              <w:t xml:space="preserve">All data supplied by the Buyer to the Supplier including Personal Data and Service Data that is owned and managed by the Buyer. </w:t>
            </w:r>
          </w:p>
        </w:tc>
      </w:tr>
      <w:tr w:rsidR="00D1352F" w14:paraId="3EFD7B4D"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54F0793E" w14:textId="77777777" w:rsidR="00D1352F" w:rsidRDefault="009B1F56">
            <w:pPr>
              <w:spacing w:after="0" w:line="259" w:lineRule="auto"/>
              <w:ind w:left="0" w:firstLine="0"/>
            </w:pPr>
            <w:r>
              <w:rPr>
                <w:sz w:val="20"/>
              </w:rPr>
              <w:t xml:space="preserve">Buyer Personal Data </w:t>
            </w:r>
          </w:p>
        </w:tc>
        <w:tc>
          <w:tcPr>
            <w:tcW w:w="7157" w:type="dxa"/>
            <w:tcBorders>
              <w:top w:val="single" w:sz="6" w:space="0" w:color="000000"/>
              <w:left w:val="single" w:sz="6" w:space="0" w:color="000000"/>
              <w:bottom w:val="single" w:sz="6" w:space="0" w:color="000000"/>
              <w:right w:val="single" w:sz="4" w:space="0" w:color="000000"/>
            </w:tcBorders>
            <w:vAlign w:val="center"/>
          </w:tcPr>
          <w:p w14:paraId="28682919" w14:textId="77777777" w:rsidR="00D1352F" w:rsidRDefault="009B1F56">
            <w:pPr>
              <w:spacing w:after="0" w:line="259" w:lineRule="auto"/>
              <w:ind w:left="2" w:firstLine="0"/>
            </w:pPr>
            <w:r>
              <w:rPr>
                <w:sz w:val="20"/>
              </w:rPr>
              <w:t xml:space="preserve">The personal data supplied by the Buyer to the Supplier for purposes of, or in connection with, this Call-Off Contract.  </w:t>
            </w:r>
          </w:p>
        </w:tc>
      </w:tr>
      <w:tr w:rsidR="00D1352F" w14:paraId="01961A1E" w14:textId="77777777">
        <w:trPr>
          <w:trHeight w:val="476"/>
        </w:trPr>
        <w:tc>
          <w:tcPr>
            <w:tcW w:w="3436" w:type="dxa"/>
            <w:tcBorders>
              <w:top w:val="single" w:sz="6" w:space="0" w:color="000000"/>
              <w:left w:val="single" w:sz="4" w:space="0" w:color="000000"/>
              <w:bottom w:val="single" w:sz="6" w:space="0" w:color="000000"/>
              <w:right w:val="single" w:sz="6" w:space="0" w:color="000000"/>
            </w:tcBorders>
            <w:vAlign w:val="center"/>
          </w:tcPr>
          <w:p w14:paraId="1D6FFCEF" w14:textId="77777777" w:rsidR="00D1352F" w:rsidRDefault="009B1F56">
            <w:pPr>
              <w:spacing w:after="0" w:line="259" w:lineRule="auto"/>
              <w:ind w:left="0" w:firstLine="0"/>
            </w:pPr>
            <w:r>
              <w:rPr>
                <w:sz w:val="20"/>
              </w:rPr>
              <w:t xml:space="preserve">Buyer Representative </w:t>
            </w:r>
          </w:p>
        </w:tc>
        <w:tc>
          <w:tcPr>
            <w:tcW w:w="7157" w:type="dxa"/>
            <w:tcBorders>
              <w:top w:val="single" w:sz="6" w:space="0" w:color="000000"/>
              <w:left w:val="single" w:sz="6" w:space="0" w:color="000000"/>
              <w:bottom w:val="single" w:sz="6" w:space="0" w:color="000000"/>
              <w:right w:val="single" w:sz="4" w:space="0" w:color="000000"/>
            </w:tcBorders>
            <w:vAlign w:val="center"/>
          </w:tcPr>
          <w:p w14:paraId="6C472CFF" w14:textId="77777777" w:rsidR="00D1352F" w:rsidRDefault="009B1F56">
            <w:pPr>
              <w:spacing w:after="0" w:line="259" w:lineRule="auto"/>
              <w:ind w:left="2" w:firstLine="0"/>
            </w:pPr>
            <w:r>
              <w:rPr>
                <w:sz w:val="20"/>
              </w:rPr>
              <w:t xml:space="preserve">The representative appointed by the Buyer under this Call-Off Contract. </w:t>
            </w:r>
          </w:p>
        </w:tc>
      </w:tr>
      <w:tr w:rsidR="00D1352F" w14:paraId="5EF04451" w14:textId="77777777">
        <w:trPr>
          <w:trHeight w:val="744"/>
        </w:trPr>
        <w:tc>
          <w:tcPr>
            <w:tcW w:w="3436" w:type="dxa"/>
            <w:tcBorders>
              <w:top w:val="single" w:sz="6" w:space="0" w:color="000000"/>
              <w:left w:val="single" w:sz="4" w:space="0" w:color="000000"/>
              <w:bottom w:val="single" w:sz="6" w:space="0" w:color="000000"/>
              <w:right w:val="single" w:sz="6" w:space="0" w:color="000000"/>
            </w:tcBorders>
          </w:tcPr>
          <w:p w14:paraId="76749E87" w14:textId="77777777" w:rsidR="00D1352F" w:rsidRDefault="009B1F56">
            <w:pPr>
              <w:spacing w:after="0" w:line="259" w:lineRule="auto"/>
              <w:ind w:left="0" w:firstLine="0"/>
            </w:pPr>
            <w:r>
              <w:rPr>
                <w:sz w:val="20"/>
              </w:rPr>
              <w:t xml:space="preserve">Buyer Software </w:t>
            </w:r>
          </w:p>
        </w:tc>
        <w:tc>
          <w:tcPr>
            <w:tcW w:w="7157" w:type="dxa"/>
            <w:tcBorders>
              <w:top w:val="single" w:sz="6" w:space="0" w:color="000000"/>
              <w:left w:val="single" w:sz="6" w:space="0" w:color="000000"/>
              <w:bottom w:val="single" w:sz="6" w:space="0" w:color="000000"/>
              <w:right w:val="single" w:sz="4" w:space="0" w:color="000000"/>
            </w:tcBorders>
            <w:vAlign w:val="center"/>
          </w:tcPr>
          <w:p w14:paraId="72F292A2" w14:textId="77777777" w:rsidR="00D1352F" w:rsidRDefault="009B1F56">
            <w:pPr>
              <w:spacing w:after="0" w:line="259" w:lineRule="auto"/>
              <w:ind w:left="2" w:firstLine="0"/>
              <w:jc w:val="both"/>
            </w:pPr>
            <w:r>
              <w:rPr>
                <w:sz w:val="20"/>
              </w:rPr>
              <w:t xml:space="preserve">Software owned by or licensed to the Buyer (other than under this Agreement), which is or will be used by the Supplier to provide the Services. </w:t>
            </w:r>
          </w:p>
        </w:tc>
      </w:tr>
      <w:tr w:rsidR="00D1352F" w14:paraId="2454E84C" w14:textId="77777777">
        <w:trPr>
          <w:trHeight w:val="1263"/>
        </w:trPr>
        <w:tc>
          <w:tcPr>
            <w:tcW w:w="3436" w:type="dxa"/>
            <w:tcBorders>
              <w:top w:val="single" w:sz="6" w:space="0" w:color="000000"/>
              <w:left w:val="single" w:sz="4" w:space="0" w:color="000000"/>
              <w:bottom w:val="single" w:sz="6" w:space="0" w:color="000000"/>
              <w:right w:val="single" w:sz="6" w:space="0" w:color="000000"/>
            </w:tcBorders>
          </w:tcPr>
          <w:p w14:paraId="4279ADD1" w14:textId="77777777" w:rsidR="00D1352F" w:rsidRDefault="009B1F56">
            <w:pPr>
              <w:spacing w:after="0" w:line="259" w:lineRule="auto"/>
              <w:ind w:left="0" w:firstLine="0"/>
            </w:pPr>
            <w:r>
              <w:rPr>
                <w:sz w:val="20"/>
              </w:rPr>
              <w:lastRenderedPageBreak/>
              <w:t xml:space="preserve">Call-Off Contract </w:t>
            </w:r>
          </w:p>
        </w:tc>
        <w:tc>
          <w:tcPr>
            <w:tcW w:w="7157" w:type="dxa"/>
            <w:tcBorders>
              <w:top w:val="single" w:sz="6" w:space="0" w:color="000000"/>
              <w:left w:val="single" w:sz="6" w:space="0" w:color="000000"/>
              <w:bottom w:val="single" w:sz="6" w:space="0" w:color="000000"/>
              <w:right w:val="single" w:sz="4" w:space="0" w:color="000000"/>
            </w:tcBorders>
            <w:vAlign w:val="center"/>
          </w:tcPr>
          <w:p w14:paraId="510E1553" w14:textId="77777777" w:rsidR="00D1352F" w:rsidRDefault="009B1F56">
            <w:pPr>
              <w:spacing w:after="0" w:line="259" w:lineRule="auto"/>
              <w:ind w:left="2" w:firstLine="0"/>
            </w:pPr>
            <w:r>
              <w:rPr>
                <w:sz w:val="20"/>
              </w:rP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D1352F" w14:paraId="040AFB44" w14:textId="77777777">
        <w:trPr>
          <w:trHeight w:val="744"/>
        </w:trPr>
        <w:tc>
          <w:tcPr>
            <w:tcW w:w="3436" w:type="dxa"/>
            <w:tcBorders>
              <w:top w:val="single" w:sz="6" w:space="0" w:color="000000"/>
              <w:left w:val="single" w:sz="4" w:space="0" w:color="000000"/>
              <w:bottom w:val="single" w:sz="6" w:space="0" w:color="000000"/>
              <w:right w:val="single" w:sz="6" w:space="0" w:color="000000"/>
            </w:tcBorders>
          </w:tcPr>
          <w:p w14:paraId="68606899" w14:textId="77777777" w:rsidR="00D1352F" w:rsidRDefault="009B1F56">
            <w:pPr>
              <w:spacing w:after="0" w:line="259" w:lineRule="auto"/>
              <w:ind w:left="0" w:firstLine="0"/>
            </w:pPr>
            <w:r>
              <w:rPr>
                <w:sz w:val="20"/>
              </w:rPr>
              <w:t xml:space="preserve">Charges </w:t>
            </w:r>
          </w:p>
        </w:tc>
        <w:tc>
          <w:tcPr>
            <w:tcW w:w="7157" w:type="dxa"/>
            <w:tcBorders>
              <w:top w:val="single" w:sz="6" w:space="0" w:color="000000"/>
              <w:left w:val="single" w:sz="6" w:space="0" w:color="000000"/>
              <w:bottom w:val="single" w:sz="6" w:space="0" w:color="000000"/>
              <w:right w:val="single" w:sz="4" w:space="0" w:color="000000"/>
            </w:tcBorders>
            <w:vAlign w:val="center"/>
          </w:tcPr>
          <w:p w14:paraId="5599B03D" w14:textId="77777777" w:rsidR="00D1352F" w:rsidRDefault="009B1F56">
            <w:pPr>
              <w:spacing w:after="0" w:line="259" w:lineRule="auto"/>
              <w:ind w:left="2" w:firstLine="0"/>
            </w:pPr>
            <w:r>
              <w:rPr>
                <w:sz w:val="20"/>
              </w:rPr>
              <w:t xml:space="preserve">The prices (excluding any applicable VAT), payable to the Supplier by the Buyer under this Call-Off Contract. </w:t>
            </w:r>
          </w:p>
        </w:tc>
      </w:tr>
      <w:tr w:rsidR="00D1352F" w14:paraId="6617557D" w14:textId="77777777">
        <w:trPr>
          <w:trHeight w:val="1263"/>
        </w:trPr>
        <w:tc>
          <w:tcPr>
            <w:tcW w:w="3436" w:type="dxa"/>
            <w:tcBorders>
              <w:top w:val="single" w:sz="6" w:space="0" w:color="000000"/>
              <w:left w:val="single" w:sz="4" w:space="0" w:color="000000"/>
              <w:bottom w:val="single" w:sz="6" w:space="0" w:color="000000"/>
              <w:right w:val="single" w:sz="6" w:space="0" w:color="000000"/>
            </w:tcBorders>
          </w:tcPr>
          <w:p w14:paraId="345610C8" w14:textId="77777777" w:rsidR="00D1352F" w:rsidRDefault="009B1F56">
            <w:pPr>
              <w:spacing w:after="0" w:line="259" w:lineRule="auto"/>
              <w:ind w:left="0" w:firstLine="0"/>
            </w:pPr>
            <w:r>
              <w:rPr>
                <w:sz w:val="20"/>
              </w:rPr>
              <w:t xml:space="preserve">Collaboration Agreement </w:t>
            </w:r>
          </w:p>
        </w:tc>
        <w:tc>
          <w:tcPr>
            <w:tcW w:w="7157" w:type="dxa"/>
            <w:tcBorders>
              <w:top w:val="single" w:sz="6" w:space="0" w:color="000000"/>
              <w:left w:val="single" w:sz="6" w:space="0" w:color="000000"/>
              <w:bottom w:val="single" w:sz="6" w:space="0" w:color="000000"/>
              <w:right w:val="single" w:sz="4" w:space="0" w:color="000000"/>
            </w:tcBorders>
            <w:vAlign w:val="center"/>
          </w:tcPr>
          <w:p w14:paraId="64CEA185" w14:textId="77777777" w:rsidR="00D1352F" w:rsidRDefault="009B1F56">
            <w:pPr>
              <w:spacing w:after="0" w:line="259" w:lineRule="auto"/>
              <w:ind w:left="2" w:firstLine="0"/>
            </w:pPr>
            <w:r>
              <w:rPr>
                <w:sz w:val="2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D1352F" w14:paraId="319D2196" w14:textId="77777777">
        <w:trPr>
          <w:trHeight w:val="1004"/>
        </w:trPr>
        <w:tc>
          <w:tcPr>
            <w:tcW w:w="3436" w:type="dxa"/>
            <w:tcBorders>
              <w:top w:val="single" w:sz="6" w:space="0" w:color="000000"/>
              <w:left w:val="single" w:sz="4" w:space="0" w:color="000000"/>
              <w:bottom w:val="single" w:sz="6" w:space="0" w:color="000000"/>
              <w:right w:val="single" w:sz="6" w:space="0" w:color="000000"/>
            </w:tcBorders>
          </w:tcPr>
          <w:p w14:paraId="28378503" w14:textId="77777777" w:rsidR="00D1352F" w:rsidRDefault="009B1F56">
            <w:pPr>
              <w:spacing w:after="0" w:line="259" w:lineRule="auto"/>
              <w:ind w:left="0" w:firstLine="0"/>
            </w:pPr>
            <w:r>
              <w:rPr>
                <w:sz w:val="20"/>
              </w:rPr>
              <w:t xml:space="preserve">Commercially Sensitive Information </w:t>
            </w:r>
          </w:p>
        </w:tc>
        <w:tc>
          <w:tcPr>
            <w:tcW w:w="7157" w:type="dxa"/>
            <w:tcBorders>
              <w:top w:val="single" w:sz="6" w:space="0" w:color="000000"/>
              <w:left w:val="single" w:sz="6" w:space="0" w:color="000000"/>
              <w:bottom w:val="single" w:sz="6" w:space="0" w:color="000000"/>
              <w:right w:val="single" w:sz="4" w:space="0" w:color="000000"/>
            </w:tcBorders>
            <w:vAlign w:val="center"/>
          </w:tcPr>
          <w:p w14:paraId="74F68D71" w14:textId="77777777" w:rsidR="00D1352F" w:rsidRDefault="009B1F56">
            <w:pPr>
              <w:spacing w:after="0" w:line="259" w:lineRule="auto"/>
              <w:ind w:left="2" w:firstLine="0"/>
            </w:pPr>
            <w:r>
              <w:rPr>
                <w:sz w:val="20"/>
              </w:rPr>
              <w:t xml:space="preserve">Information, which the Buyer has been notified about by the Supplier in writing before the Start Date with full details of why the Information is deemed to be commercially sensitive. </w:t>
            </w:r>
          </w:p>
        </w:tc>
      </w:tr>
      <w:tr w:rsidR="00D1352F" w14:paraId="50D93507" w14:textId="77777777">
        <w:trPr>
          <w:trHeight w:val="2324"/>
        </w:trPr>
        <w:tc>
          <w:tcPr>
            <w:tcW w:w="3436" w:type="dxa"/>
            <w:tcBorders>
              <w:top w:val="single" w:sz="6" w:space="0" w:color="000000"/>
              <w:left w:val="single" w:sz="4" w:space="0" w:color="000000"/>
              <w:bottom w:val="single" w:sz="6" w:space="0" w:color="000000"/>
              <w:right w:val="single" w:sz="6" w:space="0" w:color="000000"/>
            </w:tcBorders>
          </w:tcPr>
          <w:p w14:paraId="741E42F1" w14:textId="77777777" w:rsidR="00D1352F" w:rsidRDefault="009B1F56">
            <w:pPr>
              <w:spacing w:after="0" w:line="259" w:lineRule="auto"/>
              <w:ind w:left="0" w:firstLine="0"/>
            </w:pPr>
            <w:r>
              <w:rPr>
                <w:sz w:val="20"/>
              </w:rPr>
              <w:t xml:space="preserve">Confidential Information </w:t>
            </w:r>
          </w:p>
        </w:tc>
        <w:tc>
          <w:tcPr>
            <w:tcW w:w="7157" w:type="dxa"/>
            <w:tcBorders>
              <w:top w:val="single" w:sz="6" w:space="0" w:color="000000"/>
              <w:left w:val="single" w:sz="6" w:space="0" w:color="000000"/>
              <w:bottom w:val="single" w:sz="6" w:space="0" w:color="000000"/>
              <w:right w:val="single" w:sz="4" w:space="0" w:color="000000"/>
            </w:tcBorders>
            <w:vAlign w:val="center"/>
          </w:tcPr>
          <w:p w14:paraId="47FB1462" w14:textId="77777777" w:rsidR="00D1352F" w:rsidRDefault="009B1F56">
            <w:pPr>
              <w:spacing w:after="33" w:line="237" w:lineRule="auto"/>
              <w:ind w:left="2" w:firstLine="0"/>
              <w:jc w:val="both"/>
            </w:pPr>
            <w:r>
              <w:rPr>
                <w:sz w:val="20"/>
              </w:rPr>
              <w:t xml:space="preserve">Data, personal </w:t>
            </w:r>
            <w:proofErr w:type="gramStart"/>
            <w:r>
              <w:rPr>
                <w:sz w:val="20"/>
              </w:rPr>
              <w:t>data</w:t>
            </w:r>
            <w:proofErr w:type="gramEnd"/>
            <w:r>
              <w:rPr>
                <w:sz w:val="20"/>
              </w:rPr>
              <w:t xml:space="preserve"> and any information, which may include (but isn’t limited to) any: </w:t>
            </w:r>
          </w:p>
          <w:p w14:paraId="0649BEC2" w14:textId="77777777" w:rsidR="00D1352F" w:rsidRDefault="009B1F56">
            <w:pPr>
              <w:numPr>
                <w:ilvl w:val="0"/>
                <w:numId w:val="45"/>
              </w:numPr>
              <w:spacing w:after="36" w:line="235" w:lineRule="auto"/>
              <w:ind w:hanging="360"/>
            </w:pPr>
            <w:r>
              <w:rPr>
                <w:sz w:val="20"/>
              </w:rPr>
              <w:t xml:space="preserve">information about business, affairs, developments, trade secrets, knowhow, personnel, and third parties, including all Intellectual Property Rights (IPRs), together with all information derived from any of the above </w:t>
            </w:r>
          </w:p>
          <w:p w14:paraId="5627D312" w14:textId="77777777" w:rsidR="00D1352F" w:rsidRDefault="009B1F56">
            <w:pPr>
              <w:numPr>
                <w:ilvl w:val="0"/>
                <w:numId w:val="45"/>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 </w:t>
            </w:r>
          </w:p>
        </w:tc>
      </w:tr>
      <w:tr w:rsidR="00D1352F" w14:paraId="4BC5CA02" w14:textId="77777777">
        <w:trPr>
          <w:trHeight w:val="740"/>
        </w:trPr>
        <w:tc>
          <w:tcPr>
            <w:tcW w:w="3436" w:type="dxa"/>
            <w:tcBorders>
              <w:top w:val="single" w:sz="6" w:space="0" w:color="000000"/>
              <w:left w:val="single" w:sz="4" w:space="0" w:color="000000"/>
              <w:bottom w:val="single" w:sz="6" w:space="0" w:color="000000"/>
              <w:right w:val="single" w:sz="6" w:space="0" w:color="000000"/>
            </w:tcBorders>
          </w:tcPr>
          <w:p w14:paraId="37D41F11" w14:textId="77777777" w:rsidR="00D1352F" w:rsidRDefault="009B1F56">
            <w:pPr>
              <w:spacing w:after="0" w:line="259" w:lineRule="auto"/>
              <w:ind w:left="0" w:firstLine="0"/>
            </w:pPr>
            <w:r>
              <w:rPr>
                <w:sz w:val="20"/>
              </w:rPr>
              <w:t xml:space="preserve">Control </w:t>
            </w:r>
          </w:p>
        </w:tc>
        <w:tc>
          <w:tcPr>
            <w:tcW w:w="7157" w:type="dxa"/>
            <w:tcBorders>
              <w:top w:val="single" w:sz="6" w:space="0" w:color="000000"/>
              <w:left w:val="single" w:sz="6" w:space="0" w:color="000000"/>
              <w:bottom w:val="single" w:sz="6" w:space="0" w:color="000000"/>
              <w:right w:val="single" w:sz="4" w:space="0" w:color="000000"/>
            </w:tcBorders>
            <w:vAlign w:val="center"/>
          </w:tcPr>
          <w:p w14:paraId="5FB89AA1" w14:textId="77777777" w:rsidR="00D1352F" w:rsidRDefault="009B1F56">
            <w:pPr>
              <w:spacing w:after="0" w:line="259" w:lineRule="auto"/>
              <w:ind w:left="2" w:firstLine="0"/>
            </w:pPr>
            <w:r>
              <w:rPr>
                <w:sz w:val="20"/>
              </w:rPr>
              <w:t xml:space="preserve">‘Control’ as defined in section 1124 and 450 of the Corporation Tax </w:t>
            </w:r>
          </w:p>
          <w:p w14:paraId="4810E8F5" w14:textId="77777777" w:rsidR="00D1352F" w:rsidRDefault="009B1F56">
            <w:pPr>
              <w:spacing w:after="0" w:line="259" w:lineRule="auto"/>
              <w:ind w:left="2" w:firstLine="0"/>
            </w:pPr>
            <w:r>
              <w:rPr>
                <w:sz w:val="20"/>
              </w:rPr>
              <w:t xml:space="preserve">Act 2010. 'Controls' and 'Controlled' will be interpreted accordingly. </w:t>
            </w:r>
          </w:p>
        </w:tc>
      </w:tr>
      <w:tr w:rsidR="00D1352F" w14:paraId="2F752FBF"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7DE381BE" w14:textId="77777777" w:rsidR="00D1352F" w:rsidRDefault="009B1F56">
            <w:pPr>
              <w:spacing w:after="0" w:line="259" w:lineRule="auto"/>
              <w:ind w:left="0" w:firstLine="0"/>
            </w:pPr>
            <w:r>
              <w:rPr>
                <w:sz w:val="20"/>
              </w:rPr>
              <w:t xml:space="preserve">Controller </w:t>
            </w:r>
          </w:p>
        </w:tc>
        <w:tc>
          <w:tcPr>
            <w:tcW w:w="7157" w:type="dxa"/>
            <w:tcBorders>
              <w:top w:val="single" w:sz="6" w:space="0" w:color="000000"/>
              <w:left w:val="single" w:sz="6" w:space="0" w:color="000000"/>
              <w:bottom w:val="single" w:sz="6" w:space="0" w:color="000000"/>
              <w:right w:val="single" w:sz="4" w:space="0" w:color="000000"/>
            </w:tcBorders>
            <w:vAlign w:val="center"/>
          </w:tcPr>
          <w:p w14:paraId="1BF5601E" w14:textId="77777777" w:rsidR="00D1352F" w:rsidRDefault="009B1F56">
            <w:pPr>
              <w:spacing w:after="0" w:line="259" w:lineRule="auto"/>
              <w:ind w:left="2" w:firstLine="0"/>
            </w:pPr>
            <w:r>
              <w:rPr>
                <w:color w:val="353535"/>
                <w:sz w:val="20"/>
              </w:rPr>
              <w:t>Takes the meaning given in the GDPR.</w:t>
            </w:r>
            <w:r>
              <w:rPr>
                <w:sz w:val="20"/>
              </w:rPr>
              <w:t xml:space="preserve"> </w:t>
            </w:r>
          </w:p>
        </w:tc>
      </w:tr>
      <w:tr w:rsidR="00D1352F" w14:paraId="6BCC66F5"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3DB58BDA" w14:textId="77777777" w:rsidR="00D1352F" w:rsidRDefault="009B1F56">
            <w:pPr>
              <w:spacing w:after="0" w:line="259" w:lineRule="auto"/>
              <w:ind w:left="0" w:firstLine="0"/>
            </w:pPr>
            <w:r>
              <w:rPr>
                <w:sz w:val="20"/>
              </w:rPr>
              <w:t xml:space="preserve">Crown </w:t>
            </w:r>
          </w:p>
        </w:tc>
        <w:tc>
          <w:tcPr>
            <w:tcW w:w="7157" w:type="dxa"/>
            <w:tcBorders>
              <w:top w:val="single" w:sz="6" w:space="0" w:color="000000"/>
              <w:left w:val="single" w:sz="6" w:space="0" w:color="000000"/>
              <w:bottom w:val="single" w:sz="6" w:space="0" w:color="000000"/>
              <w:right w:val="single" w:sz="4" w:space="0" w:color="000000"/>
            </w:tcBorders>
            <w:vAlign w:val="center"/>
          </w:tcPr>
          <w:p w14:paraId="78C2FF63" w14:textId="77777777" w:rsidR="00D1352F" w:rsidRDefault="009B1F56">
            <w:pPr>
              <w:spacing w:after="0" w:line="259" w:lineRule="auto"/>
              <w:ind w:left="2" w:firstLine="0"/>
            </w:pPr>
            <w:r>
              <w:rPr>
                <w:sz w:val="20"/>
              </w:rPr>
              <w:t xml:space="preserve">The government of the United Kingdom (including the Northern Ireland Assembly </w:t>
            </w:r>
          </w:p>
        </w:tc>
      </w:tr>
    </w:tbl>
    <w:p w14:paraId="1B96B7B9" w14:textId="77777777" w:rsidR="00D1352F" w:rsidRDefault="00D1352F">
      <w:pPr>
        <w:spacing w:after="0" w:line="259" w:lineRule="auto"/>
        <w:ind w:left="-701" w:right="28" w:firstLine="0"/>
      </w:pPr>
    </w:p>
    <w:tbl>
      <w:tblPr>
        <w:tblStyle w:val="TableGrid"/>
        <w:tblW w:w="10593" w:type="dxa"/>
        <w:tblInd w:w="10" w:type="dxa"/>
        <w:tblCellMar>
          <w:top w:w="156" w:type="dxa"/>
          <w:left w:w="101" w:type="dxa"/>
          <w:right w:w="70" w:type="dxa"/>
        </w:tblCellMar>
        <w:tblLook w:val="04A0" w:firstRow="1" w:lastRow="0" w:firstColumn="1" w:lastColumn="0" w:noHBand="0" w:noVBand="1"/>
      </w:tblPr>
      <w:tblGrid>
        <w:gridCol w:w="3436"/>
        <w:gridCol w:w="7157"/>
      </w:tblGrid>
      <w:tr w:rsidR="00D1352F" w14:paraId="4D7D8307" w14:textId="77777777">
        <w:trPr>
          <w:trHeight w:val="1262"/>
        </w:trPr>
        <w:tc>
          <w:tcPr>
            <w:tcW w:w="3436" w:type="dxa"/>
            <w:tcBorders>
              <w:top w:val="single" w:sz="6" w:space="0" w:color="000000"/>
              <w:left w:val="single" w:sz="4" w:space="0" w:color="000000"/>
              <w:bottom w:val="single" w:sz="6" w:space="0" w:color="000000"/>
              <w:right w:val="single" w:sz="6" w:space="0" w:color="000000"/>
            </w:tcBorders>
          </w:tcPr>
          <w:p w14:paraId="0012EB49" w14:textId="77777777" w:rsidR="00D1352F" w:rsidRDefault="009B1F56">
            <w:pPr>
              <w:spacing w:after="0" w:line="259" w:lineRule="auto"/>
              <w:ind w:left="0" w:firstLine="0"/>
            </w:pPr>
            <w:r>
              <w:rPr>
                <w:sz w:val="20"/>
              </w:rPr>
              <w:t xml:space="preserve"> </w:t>
            </w:r>
          </w:p>
        </w:tc>
        <w:tc>
          <w:tcPr>
            <w:tcW w:w="7157" w:type="dxa"/>
            <w:tcBorders>
              <w:top w:val="single" w:sz="6" w:space="0" w:color="000000"/>
              <w:left w:val="single" w:sz="6" w:space="0" w:color="000000"/>
              <w:bottom w:val="single" w:sz="6" w:space="0" w:color="000000"/>
              <w:right w:val="single" w:sz="4" w:space="0" w:color="000000"/>
            </w:tcBorders>
            <w:vAlign w:val="center"/>
          </w:tcPr>
          <w:p w14:paraId="70D8F009" w14:textId="77777777" w:rsidR="00D1352F" w:rsidRDefault="009B1F56">
            <w:pPr>
              <w:spacing w:after="0" w:line="259" w:lineRule="auto"/>
              <w:ind w:left="2" w:firstLine="0"/>
            </w:pPr>
            <w:r>
              <w:rPr>
                <w:sz w:val="20"/>
              </w:rPr>
              <w:t xml:space="preserve">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particular bodies, persons, commissions or agencies carrying out functions on its behalf. </w:t>
            </w:r>
          </w:p>
        </w:tc>
      </w:tr>
      <w:tr w:rsidR="00D1352F" w14:paraId="20753385" w14:textId="77777777">
        <w:trPr>
          <w:trHeight w:val="1268"/>
        </w:trPr>
        <w:tc>
          <w:tcPr>
            <w:tcW w:w="3436" w:type="dxa"/>
            <w:tcBorders>
              <w:top w:val="single" w:sz="6" w:space="0" w:color="000000"/>
              <w:left w:val="single" w:sz="4" w:space="0" w:color="000000"/>
              <w:bottom w:val="single" w:sz="6" w:space="0" w:color="000000"/>
              <w:right w:val="single" w:sz="6" w:space="0" w:color="000000"/>
            </w:tcBorders>
          </w:tcPr>
          <w:p w14:paraId="63189176" w14:textId="77777777" w:rsidR="00D1352F" w:rsidRDefault="009B1F56">
            <w:pPr>
              <w:spacing w:after="0" w:line="259" w:lineRule="auto"/>
              <w:ind w:left="0" w:firstLine="0"/>
            </w:pPr>
            <w:r>
              <w:rPr>
                <w:sz w:val="20"/>
              </w:rPr>
              <w:t xml:space="preserve">Data Loss Event </w:t>
            </w:r>
          </w:p>
        </w:tc>
        <w:tc>
          <w:tcPr>
            <w:tcW w:w="7157" w:type="dxa"/>
            <w:tcBorders>
              <w:top w:val="single" w:sz="6" w:space="0" w:color="000000"/>
              <w:left w:val="single" w:sz="6" w:space="0" w:color="000000"/>
              <w:bottom w:val="single" w:sz="6" w:space="0" w:color="000000"/>
              <w:right w:val="single" w:sz="4" w:space="0" w:color="000000"/>
            </w:tcBorders>
            <w:vAlign w:val="center"/>
          </w:tcPr>
          <w:p w14:paraId="4091479D" w14:textId="77777777" w:rsidR="00D1352F" w:rsidRDefault="009B1F56">
            <w:pPr>
              <w:spacing w:after="0" w:line="259" w:lineRule="auto"/>
              <w:ind w:left="2" w:firstLine="0"/>
            </w:pPr>
            <w:r>
              <w:rPr>
                <w:sz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D1352F" w14:paraId="7CC60BA7" w14:textId="77777777">
        <w:trPr>
          <w:trHeight w:val="740"/>
        </w:trPr>
        <w:tc>
          <w:tcPr>
            <w:tcW w:w="3436" w:type="dxa"/>
            <w:tcBorders>
              <w:top w:val="single" w:sz="6" w:space="0" w:color="000000"/>
              <w:left w:val="single" w:sz="4" w:space="0" w:color="000000"/>
              <w:bottom w:val="single" w:sz="6" w:space="0" w:color="000000"/>
              <w:right w:val="single" w:sz="6" w:space="0" w:color="000000"/>
            </w:tcBorders>
          </w:tcPr>
          <w:p w14:paraId="4B4634DB" w14:textId="77777777" w:rsidR="00D1352F" w:rsidRDefault="009B1F56">
            <w:pPr>
              <w:spacing w:after="0" w:line="259" w:lineRule="auto"/>
              <w:ind w:left="0" w:firstLine="0"/>
            </w:pPr>
            <w:r>
              <w:rPr>
                <w:color w:val="353535"/>
                <w:sz w:val="20"/>
              </w:rPr>
              <w:t xml:space="preserve">Data Protection Impact Assessment </w:t>
            </w:r>
          </w:p>
        </w:tc>
        <w:tc>
          <w:tcPr>
            <w:tcW w:w="7157" w:type="dxa"/>
            <w:tcBorders>
              <w:top w:val="single" w:sz="6" w:space="0" w:color="000000"/>
              <w:left w:val="single" w:sz="6" w:space="0" w:color="000000"/>
              <w:bottom w:val="single" w:sz="6" w:space="0" w:color="000000"/>
              <w:right w:val="single" w:sz="4" w:space="0" w:color="000000"/>
            </w:tcBorders>
            <w:vAlign w:val="center"/>
          </w:tcPr>
          <w:p w14:paraId="5F669098" w14:textId="77777777" w:rsidR="00D1352F" w:rsidRDefault="009B1F56">
            <w:pPr>
              <w:spacing w:after="0" w:line="259" w:lineRule="auto"/>
              <w:ind w:left="2" w:firstLine="0"/>
              <w:jc w:val="both"/>
            </w:pPr>
            <w:r>
              <w:rPr>
                <w:color w:val="353535"/>
                <w:sz w:val="20"/>
              </w:rPr>
              <w:t xml:space="preserve">An assessment by the Controller of the impact of the envisaged Processing on the protection of Personal Data. </w:t>
            </w:r>
          </w:p>
        </w:tc>
      </w:tr>
      <w:tr w:rsidR="00D1352F" w14:paraId="45A66044" w14:textId="77777777">
        <w:trPr>
          <w:trHeight w:val="2588"/>
        </w:trPr>
        <w:tc>
          <w:tcPr>
            <w:tcW w:w="3436" w:type="dxa"/>
            <w:tcBorders>
              <w:top w:val="single" w:sz="6" w:space="0" w:color="000000"/>
              <w:left w:val="single" w:sz="4" w:space="0" w:color="000000"/>
              <w:bottom w:val="single" w:sz="6" w:space="0" w:color="000000"/>
              <w:right w:val="single" w:sz="6" w:space="0" w:color="000000"/>
            </w:tcBorders>
          </w:tcPr>
          <w:p w14:paraId="54BA1036" w14:textId="77777777" w:rsidR="00D1352F" w:rsidRDefault="009B1F56">
            <w:pPr>
              <w:spacing w:after="0" w:line="259" w:lineRule="auto"/>
              <w:ind w:left="0" w:firstLine="0"/>
            </w:pPr>
            <w:r>
              <w:rPr>
                <w:sz w:val="20"/>
              </w:rPr>
              <w:lastRenderedPageBreak/>
              <w:t xml:space="preserve">Data Protection Legislation (DPL) </w:t>
            </w:r>
          </w:p>
        </w:tc>
        <w:tc>
          <w:tcPr>
            <w:tcW w:w="7157" w:type="dxa"/>
            <w:tcBorders>
              <w:top w:val="single" w:sz="6" w:space="0" w:color="000000"/>
              <w:left w:val="single" w:sz="6" w:space="0" w:color="000000"/>
              <w:bottom w:val="single" w:sz="6" w:space="0" w:color="000000"/>
              <w:right w:val="single" w:sz="4" w:space="0" w:color="000000"/>
            </w:tcBorders>
            <w:vAlign w:val="center"/>
          </w:tcPr>
          <w:p w14:paraId="010CBBEA" w14:textId="77777777" w:rsidR="00D1352F" w:rsidRDefault="009B1F56">
            <w:pPr>
              <w:tabs>
                <w:tab w:val="center" w:pos="1457"/>
                <w:tab w:val="center" w:pos="3604"/>
              </w:tabs>
              <w:spacing w:after="0" w:line="259" w:lineRule="auto"/>
              <w:ind w:left="0" w:firstLine="0"/>
            </w:pPr>
            <w:r>
              <w:rPr>
                <w:rFonts w:ascii="Calibri" w:eastAsia="Calibri" w:hAnsi="Calibri" w:cs="Calibri"/>
                <w:sz w:val="22"/>
              </w:rPr>
              <w:tab/>
            </w:r>
            <w:r>
              <w:rPr>
                <w:sz w:val="20"/>
              </w:rPr>
              <w:t xml:space="preserve">Data Protection Legislation means: </w:t>
            </w:r>
            <w:r>
              <w:rPr>
                <w:sz w:val="20"/>
              </w:rPr>
              <w:tab/>
              <w:t xml:space="preserve"> </w:t>
            </w:r>
          </w:p>
          <w:p w14:paraId="6091C0BF" w14:textId="77777777" w:rsidR="00D1352F" w:rsidRDefault="009B1F56">
            <w:pPr>
              <w:spacing w:after="9" w:line="259" w:lineRule="auto"/>
              <w:ind w:left="2" w:firstLine="0"/>
            </w:pPr>
            <w:r>
              <w:rPr>
                <w:sz w:val="20"/>
              </w:rPr>
              <w:t xml:space="preserve"> </w:t>
            </w:r>
          </w:p>
          <w:p w14:paraId="529C36D4" w14:textId="77777777" w:rsidR="00D1352F" w:rsidRDefault="009B1F56">
            <w:pPr>
              <w:numPr>
                <w:ilvl w:val="0"/>
                <w:numId w:val="46"/>
              </w:numPr>
              <w:spacing w:after="0" w:line="259" w:lineRule="auto"/>
              <w:ind w:left="1082" w:right="90" w:hanging="720"/>
              <w:jc w:val="both"/>
            </w:pPr>
            <w:r>
              <w:rPr>
                <w:sz w:val="20"/>
              </w:rPr>
              <w:t>(</w:t>
            </w:r>
            <w:proofErr w:type="spellStart"/>
            <w:r>
              <w:rPr>
                <w:sz w:val="20"/>
              </w:rPr>
              <w:t>i</w:t>
            </w:r>
            <w:proofErr w:type="spellEnd"/>
            <w:r>
              <w:rPr>
                <w:sz w:val="20"/>
              </w:rPr>
              <w:t xml:space="preserve">) the GDPR, the LED and any applicable national implementing </w:t>
            </w:r>
          </w:p>
          <w:p w14:paraId="4DF04758" w14:textId="77777777" w:rsidR="00D1352F" w:rsidRDefault="009B1F56">
            <w:pPr>
              <w:spacing w:after="9" w:line="259" w:lineRule="auto"/>
              <w:ind w:left="1083" w:firstLine="0"/>
            </w:pPr>
            <w:r>
              <w:rPr>
                <w:sz w:val="20"/>
              </w:rPr>
              <w:t xml:space="preserve">Laws as amended from time to time  </w:t>
            </w:r>
          </w:p>
          <w:p w14:paraId="15EDDD21" w14:textId="77777777" w:rsidR="00D1352F" w:rsidRDefault="009B1F56">
            <w:pPr>
              <w:numPr>
                <w:ilvl w:val="0"/>
                <w:numId w:val="46"/>
              </w:numPr>
              <w:spacing w:after="37" w:line="234" w:lineRule="auto"/>
              <w:ind w:left="1082" w:right="90" w:hanging="720"/>
              <w:jc w:val="both"/>
            </w:pPr>
            <w:r>
              <w:rPr>
                <w:sz w:val="20"/>
              </w:rPr>
              <w:t xml:space="preserve">(ii) the DPA 2018 [subject to Royal Assent] to the extent that it relates to Processing of personal data and </w:t>
            </w:r>
            <w:proofErr w:type="gramStart"/>
            <w:r>
              <w:rPr>
                <w:sz w:val="20"/>
              </w:rPr>
              <w:t>privacy;</w:t>
            </w:r>
            <w:proofErr w:type="gramEnd"/>
            <w:r>
              <w:rPr>
                <w:sz w:val="20"/>
              </w:rPr>
              <w:t xml:space="preserve"> </w:t>
            </w:r>
          </w:p>
          <w:p w14:paraId="6148EC84" w14:textId="77777777" w:rsidR="00D1352F" w:rsidRDefault="009B1F56">
            <w:pPr>
              <w:numPr>
                <w:ilvl w:val="0"/>
                <w:numId w:val="46"/>
              </w:numPr>
              <w:spacing w:after="0" w:line="259" w:lineRule="auto"/>
              <w:ind w:left="1082" w:right="90" w:hanging="720"/>
              <w:jc w:val="both"/>
            </w:pPr>
            <w:r>
              <w:rPr>
                <w:sz w:val="20"/>
              </w:rPr>
              <w:t xml:space="preserve">(iii) all applicable Law about the Processing of personal data and privacy including if applicable legally binding guidance and codes of practice issued by the Information </w:t>
            </w:r>
            <w:proofErr w:type="gramStart"/>
            <w:r>
              <w:rPr>
                <w:sz w:val="20"/>
              </w:rPr>
              <w:t>Commissioner .</w:t>
            </w:r>
            <w:proofErr w:type="gramEnd"/>
            <w:r>
              <w:rPr>
                <w:sz w:val="20"/>
              </w:rPr>
              <w:t xml:space="preserve">    </w:t>
            </w:r>
          </w:p>
        </w:tc>
      </w:tr>
      <w:tr w:rsidR="00D1352F" w14:paraId="6ADAFF41"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1AC7E227" w14:textId="77777777" w:rsidR="00D1352F" w:rsidRDefault="009B1F56">
            <w:pPr>
              <w:spacing w:after="0" w:line="259" w:lineRule="auto"/>
              <w:ind w:left="0" w:firstLine="0"/>
            </w:pPr>
            <w:r>
              <w:rPr>
                <w:sz w:val="20"/>
              </w:rPr>
              <w:t xml:space="preserve">Data Subject </w:t>
            </w:r>
          </w:p>
        </w:tc>
        <w:tc>
          <w:tcPr>
            <w:tcW w:w="7157" w:type="dxa"/>
            <w:tcBorders>
              <w:top w:val="single" w:sz="6" w:space="0" w:color="000000"/>
              <w:left w:val="single" w:sz="6" w:space="0" w:color="000000"/>
              <w:bottom w:val="single" w:sz="6" w:space="0" w:color="000000"/>
              <w:right w:val="single" w:sz="4" w:space="0" w:color="000000"/>
            </w:tcBorders>
            <w:vAlign w:val="center"/>
          </w:tcPr>
          <w:p w14:paraId="013BB6A8" w14:textId="77777777" w:rsidR="00D1352F" w:rsidRDefault="009B1F56">
            <w:pPr>
              <w:spacing w:after="0" w:line="259" w:lineRule="auto"/>
              <w:ind w:left="2" w:firstLine="0"/>
            </w:pPr>
            <w:r>
              <w:rPr>
                <w:color w:val="353535"/>
                <w:sz w:val="20"/>
              </w:rPr>
              <w:t>Takes the meaning given in the GDPR</w:t>
            </w:r>
            <w:r>
              <w:rPr>
                <w:sz w:val="20"/>
              </w:rPr>
              <w:t xml:space="preserve"> </w:t>
            </w:r>
          </w:p>
        </w:tc>
      </w:tr>
      <w:tr w:rsidR="00D1352F" w14:paraId="4BA57C8F" w14:textId="77777777">
        <w:trPr>
          <w:trHeight w:val="2967"/>
        </w:trPr>
        <w:tc>
          <w:tcPr>
            <w:tcW w:w="3436" w:type="dxa"/>
            <w:tcBorders>
              <w:top w:val="single" w:sz="6" w:space="0" w:color="000000"/>
              <w:left w:val="single" w:sz="4" w:space="0" w:color="000000"/>
              <w:bottom w:val="single" w:sz="6" w:space="0" w:color="000000"/>
              <w:right w:val="single" w:sz="6" w:space="0" w:color="000000"/>
            </w:tcBorders>
          </w:tcPr>
          <w:p w14:paraId="6E7F519B" w14:textId="77777777" w:rsidR="00D1352F" w:rsidRDefault="009B1F56">
            <w:pPr>
              <w:spacing w:after="0" w:line="259" w:lineRule="auto"/>
              <w:ind w:left="0" w:firstLine="0"/>
            </w:pPr>
            <w:r>
              <w:rPr>
                <w:sz w:val="20"/>
              </w:rPr>
              <w:t xml:space="preserve">Default </w:t>
            </w:r>
          </w:p>
        </w:tc>
        <w:tc>
          <w:tcPr>
            <w:tcW w:w="7157" w:type="dxa"/>
            <w:tcBorders>
              <w:top w:val="single" w:sz="6" w:space="0" w:color="000000"/>
              <w:left w:val="single" w:sz="6" w:space="0" w:color="000000"/>
              <w:bottom w:val="single" w:sz="6" w:space="0" w:color="000000"/>
              <w:right w:val="single" w:sz="4" w:space="0" w:color="000000"/>
            </w:tcBorders>
            <w:vAlign w:val="center"/>
          </w:tcPr>
          <w:p w14:paraId="256A8964" w14:textId="77777777" w:rsidR="00D1352F" w:rsidRDefault="009B1F56">
            <w:pPr>
              <w:spacing w:after="4" w:line="259" w:lineRule="auto"/>
              <w:ind w:left="2" w:firstLine="0"/>
            </w:pPr>
            <w:r>
              <w:rPr>
                <w:sz w:val="20"/>
              </w:rPr>
              <w:t xml:space="preserve">Default is any: </w:t>
            </w:r>
          </w:p>
          <w:p w14:paraId="03259254" w14:textId="77777777" w:rsidR="00D1352F" w:rsidRDefault="009B1F56">
            <w:pPr>
              <w:numPr>
                <w:ilvl w:val="0"/>
                <w:numId w:val="47"/>
              </w:numPr>
              <w:spacing w:after="33" w:line="237" w:lineRule="auto"/>
              <w:ind w:hanging="360"/>
            </w:pPr>
            <w:r>
              <w:rPr>
                <w:sz w:val="20"/>
              </w:rPr>
              <w:t xml:space="preserve">breach of the obligations of the Supplier (including any fundamental breach or breach of a fundamental term) </w:t>
            </w:r>
          </w:p>
          <w:p w14:paraId="536B618D" w14:textId="77777777" w:rsidR="00D1352F" w:rsidRDefault="009B1F56">
            <w:pPr>
              <w:numPr>
                <w:ilvl w:val="0"/>
                <w:numId w:val="47"/>
              </w:numPr>
              <w:spacing w:after="0" w:line="237" w:lineRule="auto"/>
              <w:ind w:hanging="360"/>
            </w:pPr>
            <w:r>
              <w:rPr>
                <w:sz w:val="20"/>
              </w:rPr>
              <w:t xml:space="preserve">other default, </w:t>
            </w:r>
            <w:proofErr w:type="gramStart"/>
            <w:r>
              <w:rPr>
                <w:sz w:val="20"/>
              </w:rPr>
              <w:t>negligence</w:t>
            </w:r>
            <w:proofErr w:type="gramEnd"/>
            <w:r>
              <w:rPr>
                <w:sz w:val="20"/>
              </w:rPr>
              <w:t xml:space="preserve"> or negligent statement of the Supplier, of its Subcontractors or any Supplier Staff (whether by act or omission), in connection with or in relation to this Call-Off Contract </w:t>
            </w:r>
          </w:p>
          <w:p w14:paraId="598A518A" w14:textId="77777777" w:rsidR="00D1352F" w:rsidRDefault="009B1F56">
            <w:pPr>
              <w:spacing w:after="0" w:line="259" w:lineRule="auto"/>
              <w:ind w:left="2" w:firstLine="0"/>
            </w:pPr>
            <w:r>
              <w:rPr>
                <w:sz w:val="20"/>
              </w:rPr>
              <w:t xml:space="preserve"> </w:t>
            </w:r>
          </w:p>
          <w:p w14:paraId="2A66FA85" w14:textId="77777777" w:rsidR="00D1352F" w:rsidRDefault="009B1F56">
            <w:pPr>
              <w:spacing w:after="0" w:line="259" w:lineRule="auto"/>
              <w:ind w:left="2" w:firstLine="0"/>
            </w:pPr>
            <w:r>
              <w:rPr>
                <w:sz w:val="20"/>
              </w:rPr>
              <w:t xml:space="preserve">Unless otherwise specified in the Framework Agreement the Supplier is liable to CCS for a Default of the Framework Agreement and in relation to a Default of the Call-Off Contract, the Supplier is liable to the Buyer. </w:t>
            </w:r>
          </w:p>
        </w:tc>
      </w:tr>
      <w:tr w:rsidR="00D1352F" w14:paraId="0910BE4B" w14:textId="77777777">
        <w:trPr>
          <w:trHeight w:val="740"/>
        </w:trPr>
        <w:tc>
          <w:tcPr>
            <w:tcW w:w="3436" w:type="dxa"/>
            <w:tcBorders>
              <w:top w:val="single" w:sz="6" w:space="0" w:color="000000"/>
              <w:left w:val="single" w:sz="4" w:space="0" w:color="000000"/>
              <w:bottom w:val="single" w:sz="6" w:space="0" w:color="000000"/>
              <w:right w:val="single" w:sz="6" w:space="0" w:color="000000"/>
            </w:tcBorders>
          </w:tcPr>
          <w:p w14:paraId="26A8554A" w14:textId="77777777" w:rsidR="00D1352F" w:rsidRDefault="009B1F56">
            <w:pPr>
              <w:spacing w:after="0" w:line="259" w:lineRule="auto"/>
              <w:ind w:left="0" w:firstLine="0"/>
            </w:pPr>
            <w:r>
              <w:rPr>
                <w:sz w:val="20"/>
              </w:rPr>
              <w:t xml:space="preserve">Deliverable(s) </w:t>
            </w:r>
          </w:p>
        </w:tc>
        <w:tc>
          <w:tcPr>
            <w:tcW w:w="7157" w:type="dxa"/>
            <w:tcBorders>
              <w:top w:val="single" w:sz="6" w:space="0" w:color="000000"/>
              <w:left w:val="single" w:sz="6" w:space="0" w:color="000000"/>
              <w:bottom w:val="single" w:sz="6" w:space="0" w:color="000000"/>
              <w:right w:val="single" w:sz="4" w:space="0" w:color="000000"/>
            </w:tcBorders>
            <w:vAlign w:val="center"/>
          </w:tcPr>
          <w:p w14:paraId="22DCBB78" w14:textId="77777777" w:rsidR="00D1352F" w:rsidRDefault="009B1F56">
            <w:pPr>
              <w:spacing w:after="0" w:line="259" w:lineRule="auto"/>
              <w:ind w:left="2" w:firstLine="0"/>
            </w:pPr>
            <w:r>
              <w:rPr>
                <w:sz w:val="20"/>
              </w:rPr>
              <w:t xml:space="preserve">The G-Cloud Services the Buyer contracts the Supplier to provide under this </w:t>
            </w:r>
            <w:proofErr w:type="spellStart"/>
            <w:r>
              <w:rPr>
                <w:sz w:val="20"/>
              </w:rPr>
              <w:t>CallOff</w:t>
            </w:r>
            <w:proofErr w:type="spellEnd"/>
            <w:r>
              <w:rPr>
                <w:sz w:val="20"/>
              </w:rPr>
              <w:t xml:space="preserve"> Contract. </w:t>
            </w:r>
          </w:p>
        </w:tc>
      </w:tr>
      <w:tr w:rsidR="00D1352F" w14:paraId="2A031925"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6260F299" w14:textId="77777777" w:rsidR="00D1352F" w:rsidRDefault="009B1F56">
            <w:pPr>
              <w:spacing w:after="0" w:line="259" w:lineRule="auto"/>
              <w:ind w:left="0" w:firstLine="0"/>
            </w:pPr>
            <w:r>
              <w:rPr>
                <w:sz w:val="20"/>
              </w:rPr>
              <w:t xml:space="preserve">Digital Marketplace </w:t>
            </w:r>
          </w:p>
        </w:tc>
        <w:tc>
          <w:tcPr>
            <w:tcW w:w="7157" w:type="dxa"/>
            <w:tcBorders>
              <w:top w:val="single" w:sz="6" w:space="0" w:color="000000"/>
              <w:left w:val="single" w:sz="6" w:space="0" w:color="000000"/>
              <w:bottom w:val="single" w:sz="6" w:space="0" w:color="000000"/>
              <w:right w:val="single" w:sz="4" w:space="0" w:color="000000"/>
            </w:tcBorders>
            <w:vAlign w:val="center"/>
          </w:tcPr>
          <w:p w14:paraId="3C47CFFE" w14:textId="77777777" w:rsidR="00D1352F" w:rsidRDefault="009B1F56">
            <w:pPr>
              <w:spacing w:after="0" w:line="259" w:lineRule="auto"/>
              <w:ind w:left="2" w:firstLine="0"/>
            </w:pPr>
            <w:r>
              <w:rPr>
                <w:sz w:val="20"/>
              </w:rPr>
              <w:t xml:space="preserve">The government marketplace where Services are available for Buyers to buy. </w:t>
            </w:r>
            <w:hyperlink r:id="rId103">
              <w:r>
                <w:rPr>
                  <w:sz w:val="20"/>
                </w:rPr>
                <w:t>(</w:t>
              </w:r>
            </w:hyperlink>
            <w:hyperlink r:id="rId104">
              <w:r>
                <w:rPr>
                  <w:color w:val="1155CC"/>
                  <w:sz w:val="20"/>
                  <w:u w:val="single" w:color="1155CC"/>
                </w:rPr>
                <w:t>https://www.digitalmarketplace.service.gov.uk</w:t>
              </w:r>
            </w:hyperlink>
            <w:hyperlink r:id="rId105">
              <w:r>
                <w:rPr>
                  <w:sz w:val="20"/>
                </w:rPr>
                <w:t>/</w:t>
              </w:r>
            </w:hyperlink>
            <w:r>
              <w:rPr>
                <w:sz w:val="20"/>
              </w:rPr>
              <w:t xml:space="preserve">) </w:t>
            </w:r>
          </w:p>
        </w:tc>
      </w:tr>
      <w:tr w:rsidR="00D1352F" w14:paraId="4315DA6C"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53E85A0F" w14:textId="77777777" w:rsidR="00D1352F" w:rsidRDefault="009B1F56">
            <w:pPr>
              <w:spacing w:after="0" w:line="259" w:lineRule="auto"/>
              <w:ind w:left="0" w:firstLine="0"/>
            </w:pPr>
            <w:r>
              <w:rPr>
                <w:sz w:val="20"/>
              </w:rPr>
              <w:t xml:space="preserve">DPA 2018 </w:t>
            </w:r>
          </w:p>
        </w:tc>
        <w:tc>
          <w:tcPr>
            <w:tcW w:w="7157" w:type="dxa"/>
            <w:tcBorders>
              <w:top w:val="single" w:sz="6" w:space="0" w:color="000000"/>
              <w:left w:val="single" w:sz="6" w:space="0" w:color="000000"/>
              <w:bottom w:val="single" w:sz="6" w:space="0" w:color="000000"/>
              <w:right w:val="single" w:sz="4" w:space="0" w:color="000000"/>
            </w:tcBorders>
            <w:vAlign w:val="center"/>
          </w:tcPr>
          <w:p w14:paraId="13D3E571" w14:textId="77777777" w:rsidR="00D1352F" w:rsidRDefault="009B1F56">
            <w:pPr>
              <w:spacing w:after="0" w:line="259" w:lineRule="auto"/>
              <w:ind w:left="2" w:firstLine="0"/>
            </w:pPr>
            <w:r>
              <w:rPr>
                <w:color w:val="353535"/>
                <w:sz w:val="20"/>
              </w:rPr>
              <w:t>Data Protection Act 2018.</w:t>
            </w:r>
            <w:r>
              <w:rPr>
                <w:sz w:val="20"/>
              </w:rPr>
              <w:t xml:space="preserve"> </w:t>
            </w:r>
          </w:p>
        </w:tc>
      </w:tr>
      <w:tr w:rsidR="00D1352F" w14:paraId="0E8DA7E5" w14:textId="77777777">
        <w:trPr>
          <w:trHeight w:val="740"/>
        </w:trPr>
        <w:tc>
          <w:tcPr>
            <w:tcW w:w="3436" w:type="dxa"/>
            <w:tcBorders>
              <w:top w:val="single" w:sz="6" w:space="0" w:color="000000"/>
              <w:left w:val="single" w:sz="4" w:space="0" w:color="000000"/>
              <w:bottom w:val="single" w:sz="6" w:space="0" w:color="000000"/>
              <w:right w:val="single" w:sz="6" w:space="0" w:color="000000"/>
            </w:tcBorders>
          </w:tcPr>
          <w:p w14:paraId="386927D1" w14:textId="77777777" w:rsidR="00D1352F" w:rsidRDefault="009B1F56">
            <w:pPr>
              <w:spacing w:after="0" w:line="259" w:lineRule="auto"/>
              <w:ind w:left="0" w:firstLine="0"/>
            </w:pPr>
            <w:r>
              <w:rPr>
                <w:sz w:val="20"/>
              </w:rPr>
              <w:t xml:space="preserve">Employment Regulations </w:t>
            </w:r>
          </w:p>
        </w:tc>
        <w:tc>
          <w:tcPr>
            <w:tcW w:w="7157" w:type="dxa"/>
            <w:tcBorders>
              <w:top w:val="single" w:sz="6" w:space="0" w:color="000000"/>
              <w:left w:val="single" w:sz="6" w:space="0" w:color="000000"/>
              <w:bottom w:val="single" w:sz="6" w:space="0" w:color="000000"/>
              <w:right w:val="single" w:sz="4" w:space="0" w:color="000000"/>
            </w:tcBorders>
            <w:vAlign w:val="center"/>
          </w:tcPr>
          <w:p w14:paraId="35295AD0" w14:textId="77777777" w:rsidR="00D1352F" w:rsidRDefault="009B1F56">
            <w:pPr>
              <w:spacing w:after="0" w:line="259" w:lineRule="auto"/>
              <w:ind w:left="2" w:firstLine="0"/>
            </w:pPr>
            <w:r>
              <w:rPr>
                <w:sz w:val="20"/>
              </w:rPr>
              <w:t xml:space="preserve">The Transfer of Undertakings (Protection of Employment) Regulations 2006 (SI 2006/246) (‘TUPE’) which implements the Acquired Rights Directive. </w:t>
            </w:r>
          </w:p>
        </w:tc>
      </w:tr>
      <w:tr w:rsidR="00D1352F" w14:paraId="296A6ECA" w14:textId="77777777">
        <w:trPr>
          <w:trHeight w:val="480"/>
        </w:trPr>
        <w:tc>
          <w:tcPr>
            <w:tcW w:w="3436" w:type="dxa"/>
            <w:tcBorders>
              <w:top w:val="single" w:sz="6" w:space="0" w:color="000000"/>
              <w:left w:val="single" w:sz="4" w:space="0" w:color="000000"/>
              <w:bottom w:val="single" w:sz="6" w:space="0" w:color="000000"/>
              <w:right w:val="single" w:sz="6" w:space="0" w:color="000000"/>
            </w:tcBorders>
            <w:vAlign w:val="center"/>
          </w:tcPr>
          <w:p w14:paraId="6B6EB6DC" w14:textId="77777777" w:rsidR="00D1352F" w:rsidRDefault="009B1F56">
            <w:pPr>
              <w:spacing w:after="0" w:line="259" w:lineRule="auto"/>
              <w:ind w:left="0" w:firstLine="0"/>
            </w:pPr>
            <w:r>
              <w:rPr>
                <w:sz w:val="20"/>
              </w:rPr>
              <w:t xml:space="preserve">End </w:t>
            </w:r>
          </w:p>
        </w:tc>
        <w:tc>
          <w:tcPr>
            <w:tcW w:w="7157" w:type="dxa"/>
            <w:tcBorders>
              <w:top w:val="single" w:sz="6" w:space="0" w:color="000000"/>
              <w:left w:val="single" w:sz="6" w:space="0" w:color="000000"/>
              <w:bottom w:val="single" w:sz="6" w:space="0" w:color="000000"/>
              <w:right w:val="single" w:sz="4" w:space="0" w:color="000000"/>
            </w:tcBorders>
            <w:vAlign w:val="center"/>
          </w:tcPr>
          <w:p w14:paraId="1169F861" w14:textId="77777777" w:rsidR="00D1352F" w:rsidRDefault="009B1F56">
            <w:pPr>
              <w:spacing w:after="0" w:line="259" w:lineRule="auto"/>
              <w:ind w:left="2" w:firstLine="0"/>
            </w:pPr>
            <w:r>
              <w:rPr>
                <w:sz w:val="20"/>
              </w:rPr>
              <w:t xml:space="preserve">Means to terminate; and Ended and Ending are construed accordingly. </w:t>
            </w:r>
          </w:p>
        </w:tc>
      </w:tr>
      <w:tr w:rsidR="00D1352F" w14:paraId="1A01E1D1" w14:textId="77777777">
        <w:trPr>
          <w:trHeight w:val="1004"/>
        </w:trPr>
        <w:tc>
          <w:tcPr>
            <w:tcW w:w="3436" w:type="dxa"/>
            <w:tcBorders>
              <w:top w:val="single" w:sz="6" w:space="0" w:color="000000"/>
              <w:left w:val="single" w:sz="4" w:space="0" w:color="000000"/>
              <w:bottom w:val="single" w:sz="6" w:space="0" w:color="000000"/>
              <w:right w:val="single" w:sz="6" w:space="0" w:color="000000"/>
            </w:tcBorders>
          </w:tcPr>
          <w:p w14:paraId="73291525" w14:textId="77777777" w:rsidR="00D1352F" w:rsidRDefault="009B1F56">
            <w:pPr>
              <w:spacing w:after="0" w:line="259" w:lineRule="auto"/>
              <w:ind w:left="0" w:firstLine="0"/>
            </w:pPr>
            <w:r>
              <w:rPr>
                <w:sz w:val="20"/>
              </w:rPr>
              <w:t xml:space="preserve">Environmental Information Regulations or EIR </w:t>
            </w:r>
          </w:p>
        </w:tc>
        <w:tc>
          <w:tcPr>
            <w:tcW w:w="7157" w:type="dxa"/>
            <w:tcBorders>
              <w:top w:val="single" w:sz="6" w:space="0" w:color="000000"/>
              <w:left w:val="single" w:sz="6" w:space="0" w:color="000000"/>
              <w:bottom w:val="single" w:sz="6" w:space="0" w:color="000000"/>
              <w:right w:val="single" w:sz="4" w:space="0" w:color="000000"/>
            </w:tcBorders>
            <w:vAlign w:val="center"/>
          </w:tcPr>
          <w:p w14:paraId="0A1D1D83" w14:textId="77777777" w:rsidR="00D1352F" w:rsidRDefault="009B1F56">
            <w:pPr>
              <w:spacing w:after="0" w:line="259" w:lineRule="auto"/>
              <w:ind w:left="2" w:firstLine="0"/>
            </w:pPr>
            <w:r>
              <w:rPr>
                <w:sz w:val="20"/>
              </w:rPr>
              <w:t xml:space="preserve">The Environmental Information Regulations 2004 together with any guidance or codes of practice issued by the Information Commissioner or relevant Government department about the regulations. </w:t>
            </w:r>
          </w:p>
        </w:tc>
      </w:tr>
      <w:tr w:rsidR="00D1352F" w14:paraId="469E8412"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5540BD61" w14:textId="77777777" w:rsidR="00D1352F" w:rsidRDefault="009B1F56">
            <w:pPr>
              <w:spacing w:after="0" w:line="259" w:lineRule="auto"/>
              <w:ind w:left="0" w:firstLine="0"/>
            </w:pPr>
            <w:r>
              <w:rPr>
                <w:sz w:val="20"/>
              </w:rPr>
              <w:t xml:space="preserve">Equipment </w:t>
            </w:r>
          </w:p>
        </w:tc>
        <w:tc>
          <w:tcPr>
            <w:tcW w:w="7157" w:type="dxa"/>
            <w:tcBorders>
              <w:top w:val="single" w:sz="6" w:space="0" w:color="000000"/>
              <w:left w:val="single" w:sz="6" w:space="0" w:color="000000"/>
              <w:bottom w:val="single" w:sz="6" w:space="0" w:color="000000"/>
              <w:right w:val="single" w:sz="4" w:space="0" w:color="000000"/>
            </w:tcBorders>
            <w:vAlign w:val="center"/>
          </w:tcPr>
          <w:p w14:paraId="2FAE23C2" w14:textId="77777777" w:rsidR="00D1352F" w:rsidRDefault="009B1F56">
            <w:pPr>
              <w:spacing w:after="0" w:line="259" w:lineRule="auto"/>
              <w:ind w:left="2" w:firstLine="0"/>
              <w:jc w:val="both"/>
            </w:pPr>
            <w:r>
              <w:rPr>
                <w:sz w:val="20"/>
              </w:rPr>
              <w:t xml:space="preserve">The Supplier’s hardware, computer and telecoms devices, plant, </w:t>
            </w:r>
            <w:proofErr w:type="gramStart"/>
            <w:r>
              <w:rPr>
                <w:sz w:val="20"/>
              </w:rPr>
              <w:t>materials</w:t>
            </w:r>
            <w:proofErr w:type="gramEnd"/>
            <w:r>
              <w:rPr>
                <w:sz w:val="20"/>
              </w:rPr>
              <w:t xml:space="preserve"> and such other items supplied and used by the Supplier (but not hired, leased or loaned from </w:t>
            </w:r>
          </w:p>
        </w:tc>
      </w:tr>
    </w:tbl>
    <w:p w14:paraId="4A3D8207" w14:textId="77777777" w:rsidR="00D1352F" w:rsidRDefault="00D1352F">
      <w:pPr>
        <w:spacing w:after="0" w:line="259" w:lineRule="auto"/>
        <w:ind w:left="-701" w:right="28" w:firstLine="0"/>
      </w:pPr>
    </w:p>
    <w:tbl>
      <w:tblPr>
        <w:tblStyle w:val="TableGrid"/>
        <w:tblW w:w="10593" w:type="dxa"/>
        <w:tblInd w:w="10" w:type="dxa"/>
        <w:tblCellMar>
          <w:top w:w="156" w:type="dxa"/>
          <w:left w:w="101" w:type="dxa"/>
          <w:right w:w="67" w:type="dxa"/>
        </w:tblCellMar>
        <w:tblLook w:val="04A0" w:firstRow="1" w:lastRow="0" w:firstColumn="1" w:lastColumn="0" w:noHBand="0" w:noVBand="1"/>
      </w:tblPr>
      <w:tblGrid>
        <w:gridCol w:w="3436"/>
        <w:gridCol w:w="7157"/>
      </w:tblGrid>
      <w:tr w:rsidR="00D1352F" w14:paraId="7A2E69F4"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34B21811" w14:textId="77777777" w:rsidR="00D1352F" w:rsidRDefault="00D1352F">
            <w:pPr>
              <w:spacing w:after="160" w:line="259" w:lineRule="auto"/>
              <w:ind w:left="0" w:firstLine="0"/>
            </w:pPr>
          </w:p>
        </w:tc>
        <w:tc>
          <w:tcPr>
            <w:tcW w:w="7157" w:type="dxa"/>
            <w:tcBorders>
              <w:top w:val="single" w:sz="6" w:space="0" w:color="000000"/>
              <w:left w:val="single" w:sz="6" w:space="0" w:color="000000"/>
              <w:bottom w:val="single" w:sz="6" w:space="0" w:color="000000"/>
              <w:right w:val="single" w:sz="4" w:space="0" w:color="000000"/>
            </w:tcBorders>
            <w:vAlign w:val="center"/>
          </w:tcPr>
          <w:p w14:paraId="2F520FA1" w14:textId="77777777" w:rsidR="00D1352F" w:rsidRDefault="009B1F56">
            <w:pPr>
              <w:spacing w:after="0" w:line="259" w:lineRule="auto"/>
              <w:ind w:left="2" w:firstLine="0"/>
            </w:pPr>
            <w:r>
              <w:rPr>
                <w:sz w:val="20"/>
              </w:rPr>
              <w:t xml:space="preserve">CCS or the Buyer) in the performance of its obligations under this Call-Off Contract. </w:t>
            </w:r>
          </w:p>
        </w:tc>
      </w:tr>
      <w:tr w:rsidR="00D1352F" w14:paraId="7653C4FC"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61A3A701" w14:textId="77777777" w:rsidR="00D1352F" w:rsidRDefault="009B1F56">
            <w:pPr>
              <w:spacing w:after="0" w:line="259" w:lineRule="auto"/>
              <w:ind w:left="0" w:firstLine="0"/>
            </w:pPr>
            <w:r>
              <w:rPr>
                <w:sz w:val="20"/>
              </w:rPr>
              <w:lastRenderedPageBreak/>
              <w:t xml:space="preserve">ESI Reference Number </w:t>
            </w:r>
          </w:p>
        </w:tc>
        <w:tc>
          <w:tcPr>
            <w:tcW w:w="7157" w:type="dxa"/>
            <w:tcBorders>
              <w:top w:val="single" w:sz="6" w:space="0" w:color="000000"/>
              <w:left w:val="single" w:sz="6" w:space="0" w:color="000000"/>
              <w:bottom w:val="single" w:sz="6" w:space="0" w:color="000000"/>
              <w:right w:val="single" w:sz="4" w:space="0" w:color="000000"/>
            </w:tcBorders>
            <w:vAlign w:val="center"/>
          </w:tcPr>
          <w:p w14:paraId="5E4ACAD2" w14:textId="77777777" w:rsidR="00D1352F" w:rsidRDefault="009B1F56">
            <w:pPr>
              <w:spacing w:after="0" w:line="259" w:lineRule="auto"/>
              <w:ind w:left="2" w:firstLine="0"/>
              <w:jc w:val="both"/>
            </w:pPr>
            <w:r>
              <w:rPr>
                <w:sz w:val="20"/>
              </w:rPr>
              <w:t xml:space="preserve">The </w:t>
            </w:r>
            <w:proofErr w:type="gramStart"/>
            <w:r>
              <w:rPr>
                <w:sz w:val="20"/>
              </w:rPr>
              <w:t>14 digit</w:t>
            </w:r>
            <w:proofErr w:type="gramEnd"/>
            <w:r>
              <w:rPr>
                <w:sz w:val="20"/>
              </w:rPr>
              <w:t xml:space="preserve"> ESI reference number from the summary of outcome screen of the ESI tool. </w:t>
            </w:r>
          </w:p>
        </w:tc>
      </w:tr>
      <w:tr w:rsidR="00D1352F" w14:paraId="566758B4" w14:textId="77777777">
        <w:trPr>
          <w:trHeight w:val="1004"/>
        </w:trPr>
        <w:tc>
          <w:tcPr>
            <w:tcW w:w="3436" w:type="dxa"/>
            <w:tcBorders>
              <w:top w:val="single" w:sz="6" w:space="0" w:color="000000"/>
              <w:left w:val="single" w:sz="4" w:space="0" w:color="000000"/>
              <w:bottom w:val="single" w:sz="6" w:space="0" w:color="000000"/>
              <w:right w:val="single" w:sz="6" w:space="0" w:color="000000"/>
            </w:tcBorders>
          </w:tcPr>
          <w:p w14:paraId="06B8EA91" w14:textId="77777777" w:rsidR="00D1352F" w:rsidRDefault="009B1F56">
            <w:pPr>
              <w:spacing w:after="0" w:line="259" w:lineRule="auto"/>
              <w:ind w:left="0" w:firstLine="0"/>
              <w:jc w:val="both"/>
            </w:pPr>
            <w:r>
              <w:rPr>
                <w:sz w:val="20"/>
              </w:rPr>
              <w:t xml:space="preserve">Employment Status Indicator test tool or ESI tool </w:t>
            </w:r>
          </w:p>
        </w:tc>
        <w:tc>
          <w:tcPr>
            <w:tcW w:w="7157" w:type="dxa"/>
            <w:tcBorders>
              <w:top w:val="single" w:sz="6" w:space="0" w:color="000000"/>
              <w:left w:val="single" w:sz="6" w:space="0" w:color="000000"/>
              <w:bottom w:val="single" w:sz="6" w:space="0" w:color="000000"/>
              <w:right w:val="single" w:sz="4" w:space="0" w:color="000000"/>
            </w:tcBorders>
            <w:vAlign w:val="center"/>
          </w:tcPr>
          <w:p w14:paraId="7F0B6941" w14:textId="77777777" w:rsidR="00D1352F" w:rsidRDefault="009B1F56">
            <w:pPr>
              <w:spacing w:after="0" w:line="237" w:lineRule="auto"/>
              <w:ind w:left="2" w:firstLine="0"/>
              <w:jc w:val="both"/>
            </w:pPr>
            <w:r>
              <w:rPr>
                <w:sz w:val="20"/>
              </w:rPr>
              <w:t xml:space="preserve">The HMRC Employment Status Indicator test tool. The most up-to-date version must be used. At the time of drafting the tool may be found here: </w:t>
            </w:r>
          </w:p>
          <w:p w14:paraId="73D1E5BC" w14:textId="77777777" w:rsidR="00D1352F" w:rsidRDefault="00824C5E">
            <w:pPr>
              <w:spacing w:after="0" w:line="259" w:lineRule="auto"/>
              <w:ind w:left="2" w:firstLine="0"/>
            </w:pPr>
            <w:hyperlink r:id="rId106">
              <w:r w:rsidR="009B1F56">
                <w:rPr>
                  <w:color w:val="1155CC"/>
                  <w:sz w:val="20"/>
                  <w:u w:val="single" w:color="1155CC"/>
                </w:rPr>
                <w:t>http://tools.hmrc.gov.uk/esi</w:t>
              </w:r>
            </w:hyperlink>
            <w:hyperlink r:id="rId107">
              <w:r w:rsidR="009B1F56">
                <w:rPr>
                  <w:sz w:val="20"/>
                </w:rPr>
                <w:t xml:space="preserve"> </w:t>
              </w:r>
            </w:hyperlink>
          </w:p>
        </w:tc>
      </w:tr>
      <w:tr w:rsidR="00D1352F" w14:paraId="72F06C03"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55C2D186" w14:textId="77777777" w:rsidR="00D1352F" w:rsidRDefault="009B1F56">
            <w:pPr>
              <w:spacing w:after="0" w:line="259" w:lineRule="auto"/>
              <w:ind w:left="0" w:firstLine="0"/>
            </w:pPr>
            <w:r>
              <w:rPr>
                <w:sz w:val="20"/>
              </w:rPr>
              <w:t xml:space="preserve">Expiry Date </w:t>
            </w:r>
          </w:p>
        </w:tc>
        <w:tc>
          <w:tcPr>
            <w:tcW w:w="7157" w:type="dxa"/>
            <w:tcBorders>
              <w:top w:val="single" w:sz="6" w:space="0" w:color="000000"/>
              <w:left w:val="single" w:sz="6" w:space="0" w:color="000000"/>
              <w:bottom w:val="single" w:sz="6" w:space="0" w:color="000000"/>
              <w:right w:val="single" w:sz="4" w:space="0" w:color="000000"/>
            </w:tcBorders>
            <w:vAlign w:val="center"/>
          </w:tcPr>
          <w:p w14:paraId="2DECDD3E" w14:textId="77777777" w:rsidR="00D1352F" w:rsidRDefault="009B1F56">
            <w:pPr>
              <w:spacing w:after="0" w:line="259" w:lineRule="auto"/>
              <w:ind w:left="2" w:firstLine="0"/>
            </w:pPr>
            <w:r>
              <w:rPr>
                <w:sz w:val="20"/>
              </w:rPr>
              <w:t xml:space="preserve">The expiry date of this Call-Off Contract in the Order Form. </w:t>
            </w:r>
          </w:p>
        </w:tc>
      </w:tr>
      <w:tr w:rsidR="00D1352F" w14:paraId="1D30CA78" w14:textId="77777777">
        <w:trPr>
          <w:trHeight w:val="6271"/>
        </w:trPr>
        <w:tc>
          <w:tcPr>
            <w:tcW w:w="3436" w:type="dxa"/>
            <w:tcBorders>
              <w:top w:val="single" w:sz="6" w:space="0" w:color="000000"/>
              <w:left w:val="single" w:sz="4" w:space="0" w:color="000000"/>
              <w:bottom w:val="single" w:sz="6" w:space="0" w:color="000000"/>
              <w:right w:val="single" w:sz="6" w:space="0" w:color="000000"/>
            </w:tcBorders>
          </w:tcPr>
          <w:p w14:paraId="0C6C9CCA" w14:textId="77777777" w:rsidR="00D1352F" w:rsidRDefault="009B1F56">
            <w:pPr>
              <w:spacing w:after="0" w:line="259" w:lineRule="auto"/>
              <w:ind w:left="0" w:firstLine="0"/>
            </w:pPr>
            <w:r>
              <w:rPr>
                <w:sz w:val="20"/>
              </w:rPr>
              <w:t xml:space="preserve">Force Majeure </w:t>
            </w:r>
          </w:p>
        </w:tc>
        <w:tc>
          <w:tcPr>
            <w:tcW w:w="7157" w:type="dxa"/>
            <w:tcBorders>
              <w:top w:val="single" w:sz="6" w:space="0" w:color="000000"/>
              <w:left w:val="single" w:sz="6" w:space="0" w:color="000000"/>
              <w:bottom w:val="single" w:sz="6" w:space="0" w:color="000000"/>
              <w:right w:val="single" w:sz="4" w:space="0" w:color="000000"/>
            </w:tcBorders>
            <w:vAlign w:val="center"/>
          </w:tcPr>
          <w:p w14:paraId="3DC7A1DD" w14:textId="77777777" w:rsidR="00D1352F" w:rsidRDefault="009B1F56">
            <w:pPr>
              <w:spacing w:after="0" w:line="237" w:lineRule="auto"/>
              <w:ind w:left="2" w:firstLine="0"/>
              <w:jc w:val="both"/>
            </w:pPr>
            <w:r>
              <w:rPr>
                <w:sz w:val="20"/>
              </w:rPr>
              <w:t xml:space="preserve">A Force Majeure event means anything affecting either Party's performance of their obligations arising from any: </w:t>
            </w:r>
          </w:p>
          <w:p w14:paraId="2E9962C5" w14:textId="77777777" w:rsidR="00D1352F" w:rsidRDefault="009B1F56">
            <w:pPr>
              <w:spacing w:after="9" w:line="259" w:lineRule="auto"/>
              <w:ind w:left="2" w:firstLine="0"/>
            </w:pPr>
            <w:r>
              <w:rPr>
                <w:sz w:val="20"/>
              </w:rPr>
              <w:t xml:space="preserve"> </w:t>
            </w:r>
          </w:p>
          <w:p w14:paraId="4D6EDDFB" w14:textId="77777777" w:rsidR="00D1352F" w:rsidRDefault="009B1F56">
            <w:pPr>
              <w:numPr>
                <w:ilvl w:val="0"/>
                <w:numId w:val="48"/>
              </w:numPr>
              <w:spacing w:after="33" w:line="237" w:lineRule="auto"/>
              <w:ind w:hanging="360"/>
            </w:pPr>
            <w:r>
              <w:rPr>
                <w:sz w:val="20"/>
              </w:rPr>
              <w:t xml:space="preserve">acts, </w:t>
            </w:r>
            <w:proofErr w:type="gramStart"/>
            <w:r>
              <w:rPr>
                <w:sz w:val="20"/>
              </w:rPr>
              <w:t>events</w:t>
            </w:r>
            <w:proofErr w:type="gramEnd"/>
            <w:r>
              <w:rPr>
                <w:sz w:val="20"/>
              </w:rPr>
              <w:t xml:space="preserve"> or omissions beyond the reasonable control of the affected Party </w:t>
            </w:r>
          </w:p>
          <w:p w14:paraId="3146CBCA" w14:textId="77777777" w:rsidR="00D1352F" w:rsidRDefault="009B1F56">
            <w:pPr>
              <w:numPr>
                <w:ilvl w:val="0"/>
                <w:numId w:val="48"/>
              </w:numPr>
              <w:spacing w:after="33" w:line="238" w:lineRule="auto"/>
              <w:ind w:hanging="360"/>
            </w:pPr>
            <w:r>
              <w:rPr>
                <w:sz w:val="20"/>
              </w:rPr>
              <w:t xml:space="preserve">riots, </w:t>
            </w:r>
            <w:proofErr w:type="gramStart"/>
            <w:r>
              <w:rPr>
                <w:sz w:val="20"/>
              </w:rPr>
              <w:t>war</w:t>
            </w:r>
            <w:proofErr w:type="gramEnd"/>
            <w:r>
              <w:rPr>
                <w:sz w:val="20"/>
              </w:rPr>
              <w:t xml:space="preserve"> or armed conflict, acts of terrorism, nuclear, biological or chemical warfare </w:t>
            </w:r>
          </w:p>
          <w:p w14:paraId="0404C38D" w14:textId="77777777" w:rsidR="00D1352F" w:rsidRDefault="009B1F56">
            <w:pPr>
              <w:numPr>
                <w:ilvl w:val="0"/>
                <w:numId w:val="48"/>
              </w:numPr>
              <w:spacing w:after="9" w:line="259" w:lineRule="auto"/>
              <w:ind w:hanging="360"/>
            </w:pPr>
            <w:r>
              <w:rPr>
                <w:sz w:val="20"/>
              </w:rPr>
              <w:t xml:space="preserve">acts of government, local </w:t>
            </w:r>
            <w:proofErr w:type="gramStart"/>
            <w:r>
              <w:rPr>
                <w:sz w:val="20"/>
              </w:rPr>
              <w:t>government</w:t>
            </w:r>
            <w:proofErr w:type="gramEnd"/>
            <w:r>
              <w:rPr>
                <w:sz w:val="20"/>
              </w:rPr>
              <w:t xml:space="preserve"> or Regulatory Bodies </w:t>
            </w:r>
          </w:p>
          <w:p w14:paraId="45CEB06B" w14:textId="77777777" w:rsidR="00D1352F" w:rsidRDefault="009B1F56">
            <w:pPr>
              <w:numPr>
                <w:ilvl w:val="0"/>
                <w:numId w:val="48"/>
              </w:numPr>
              <w:spacing w:after="9" w:line="259" w:lineRule="auto"/>
              <w:ind w:hanging="360"/>
            </w:pPr>
            <w:r>
              <w:rPr>
                <w:sz w:val="20"/>
              </w:rPr>
              <w:t xml:space="preserve">fire, flood or disaster and any failure or shortage of power or fuel </w:t>
            </w:r>
          </w:p>
          <w:p w14:paraId="2552DB8E" w14:textId="77777777" w:rsidR="00D1352F" w:rsidRDefault="009B1F56">
            <w:pPr>
              <w:numPr>
                <w:ilvl w:val="0"/>
                <w:numId w:val="48"/>
              </w:numPr>
              <w:spacing w:after="5" w:line="233" w:lineRule="auto"/>
              <w:ind w:hanging="360"/>
            </w:pPr>
            <w:r>
              <w:rPr>
                <w:sz w:val="20"/>
              </w:rPr>
              <w:t xml:space="preserve">industrial dispute affecting a third party for which a substitute third party </w:t>
            </w:r>
            <w:proofErr w:type="gramStart"/>
            <w:r>
              <w:rPr>
                <w:sz w:val="20"/>
              </w:rPr>
              <w:t>isn’t</w:t>
            </w:r>
            <w:proofErr w:type="gramEnd"/>
            <w:r>
              <w:rPr>
                <w:sz w:val="20"/>
              </w:rPr>
              <w:t xml:space="preserve"> reasonably available </w:t>
            </w:r>
          </w:p>
          <w:p w14:paraId="76BD9287" w14:textId="77777777" w:rsidR="00D1352F" w:rsidRDefault="009B1F56">
            <w:pPr>
              <w:spacing w:after="0" w:line="259" w:lineRule="auto"/>
              <w:ind w:left="2" w:firstLine="0"/>
            </w:pPr>
            <w:r>
              <w:rPr>
                <w:sz w:val="20"/>
              </w:rPr>
              <w:t xml:space="preserve"> </w:t>
            </w:r>
          </w:p>
          <w:p w14:paraId="61AB2ADE" w14:textId="77777777" w:rsidR="00D1352F" w:rsidRDefault="009B1F56">
            <w:pPr>
              <w:spacing w:after="0" w:line="259" w:lineRule="auto"/>
              <w:ind w:left="2" w:firstLine="0"/>
            </w:pPr>
            <w:r>
              <w:rPr>
                <w:sz w:val="20"/>
              </w:rPr>
              <w:t xml:space="preserve">The following do not constitute a Force Majeure event: </w:t>
            </w:r>
          </w:p>
          <w:p w14:paraId="7E988127" w14:textId="77777777" w:rsidR="00D1352F" w:rsidRDefault="009B1F56">
            <w:pPr>
              <w:spacing w:after="9" w:line="259" w:lineRule="auto"/>
              <w:ind w:left="2" w:firstLine="0"/>
            </w:pPr>
            <w:r>
              <w:rPr>
                <w:sz w:val="20"/>
              </w:rPr>
              <w:t xml:space="preserve"> </w:t>
            </w:r>
          </w:p>
          <w:p w14:paraId="3B9FB4B2" w14:textId="77777777" w:rsidR="00D1352F" w:rsidRDefault="009B1F56">
            <w:pPr>
              <w:numPr>
                <w:ilvl w:val="0"/>
                <w:numId w:val="48"/>
              </w:numPr>
              <w:spacing w:after="0" w:line="259" w:lineRule="auto"/>
              <w:ind w:hanging="360"/>
            </w:pPr>
            <w:r>
              <w:rPr>
                <w:sz w:val="20"/>
              </w:rPr>
              <w:t xml:space="preserve">any industrial dispute about the Supplier, its staff, or failure in the </w:t>
            </w:r>
          </w:p>
          <w:p w14:paraId="78E3F07F" w14:textId="77777777" w:rsidR="00D1352F" w:rsidRDefault="009B1F56">
            <w:pPr>
              <w:spacing w:after="9" w:line="259" w:lineRule="auto"/>
              <w:ind w:left="722" w:firstLine="0"/>
            </w:pPr>
            <w:r>
              <w:rPr>
                <w:sz w:val="20"/>
              </w:rPr>
              <w:t xml:space="preserve">Supplier’s (or a Subcontractor's) supply chain </w:t>
            </w:r>
          </w:p>
          <w:p w14:paraId="5B8E1E30" w14:textId="77777777" w:rsidR="00D1352F" w:rsidRDefault="009B1F56">
            <w:pPr>
              <w:numPr>
                <w:ilvl w:val="0"/>
                <w:numId w:val="48"/>
              </w:numPr>
              <w:spacing w:after="29" w:line="237" w:lineRule="auto"/>
              <w:ind w:hanging="360"/>
            </w:pPr>
            <w:r>
              <w:rPr>
                <w:sz w:val="20"/>
              </w:rPr>
              <w:t xml:space="preserve">any event which is attributable to the wilful act, </w:t>
            </w:r>
            <w:proofErr w:type="gramStart"/>
            <w:r>
              <w:rPr>
                <w:sz w:val="20"/>
              </w:rPr>
              <w:t>neglect</w:t>
            </w:r>
            <w:proofErr w:type="gramEnd"/>
            <w:r>
              <w:rPr>
                <w:sz w:val="20"/>
              </w:rPr>
              <w:t xml:space="preserve"> or failure to take reasonable precautions by the Party seeking to rely on Force Majeure </w:t>
            </w:r>
          </w:p>
          <w:p w14:paraId="7629008F" w14:textId="77777777" w:rsidR="00D1352F" w:rsidRDefault="009B1F56">
            <w:pPr>
              <w:numPr>
                <w:ilvl w:val="0"/>
                <w:numId w:val="48"/>
              </w:numPr>
              <w:spacing w:after="33" w:line="238" w:lineRule="auto"/>
              <w:ind w:hanging="360"/>
            </w:pPr>
            <w:r>
              <w:rPr>
                <w:sz w:val="20"/>
              </w:rPr>
              <w:t xml:space="preserve">the event was foreseeable by the Party seeking to rely on Force Majeure at the time this Call-Off Contract was entered into </w:t>
            </w:r>
          </w:p>
          <w:p w14:paraId="1E076816" w14:textId="77777777" w:rsidR="00D1352F" w:rsidRDefault="009B1F56">
            <w:pPr>
              <w:numPr>
                <w:ilvl w:val="0"/>
                <w:numId w:val="48"/>
              </w:numPr>
              <w:spacing w:after="0" w:line="259" w:lineRule="auto"/>
              <w:ind w:hanging="360"/>
            </w:pPr>
            <w:r>
              <w:rPr>
                <w:sz w:val="20"/>
              </w:rPr>
              <w:t xml:space="preserve">any event which is attributable to the Party seeking to rely on Force Majeure and its failure to comply with its own business continuity and disaster recovery plans </w:t>
            </w:r>
          </w:p>
        </w:tc>
      </w:tr>
      <w:tr w:rsidR="00D1352F" w14:paraId="0FCB6922" w14:textId="77777777">
        <w:trPr>
          <w:trHeight w:val="1004"/>
        </w:trPr>
        <w:tc>
          <w:tcPr>
            <w:tcW w:w="3436" w:type="dxa"/>
            <w:tcBorders>
              <w:top w:val="single" w:sz="6" w:space="0" w:color="000000"/>
              <w:left w:val="single" w:sz="4" w:space="0" w:color="000000"/>
              <w:bottom w:val="single" w:sz="6" w:space="0" w:color="000000"/>
              <w:right w:val="single" w:sz="6" w:space="0" w:color="000000"/>
            </w:tcBorders>
          </w:tcPr>
          <w:p w14:paraId="73D41317" w14:textId="77777777" w:rsidR="00D1352F" w:rsidRDefault="009B1F56">
            <w:pPr>
              <w:spacing w:after="0" w:line="259" w:lineRule="auto"/>
              <w:ind w:left="0" w:firstLine="0"/>
            </w:pPr>
            <w:r>
              <w:rPr>
                <w:sz w:val="20"/>
              </w:rPr>
              <w:t xml:space="preserve">Former Supplier </w:t>
            </w:r>
          </w:p>
        </w:tc>
        <w:tc>
          <w:tcPr>
            <w:tcW w:w="7157" w:type="dxa"/>
            <w:tcBorders>
              <w:top w:val="single" w:sz="6" w:space="0" w:color="000000"/>
              <w:left w:val="single" w:sz="6" w:space="0" w:color="000000"/>
              <w:bottom w:val="single" w:sz="6" w:space="0" w:color="000000"/>
              <w:right w:val="single" w:sz="4" w:space="0" w:color="000000"/>
            </w:tcBorders>
            <w:vAlign w:val="center"/>
          </w:tcPr>
          <w:p w14:paraId="29ED4DB9" w14:textId="77777777" w:rsidR="00D1352F" w:rsidRDefault="009B1F56">
            <w:pPr>
              <w:spacing w:after="0" w:line="259" w:lineRule="auto"/>
              <w:ind w:left="2" w:firstLine="0"/>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 </w:t>
            </w:r>
          </w:p>
        </w:tc>
      </w:tr>
      <w:tr w:rsidR="00D1352F" w14:paraId="278A5959" w14:textId="77777777">
        <w:trPr>
          <w:trHeight w:val="744"/>
        </w:trPr>
        <w:tc>
          <w:tcPr>
            <w:tcW w:w="3436" w:type="dxa"/>
            <w:tcBorders>
              <w:top w:val="single" w:sz="6" w:space="0" w:color="000000"/>
              <w:left w:val="single" w:sz="4" w:space="0" w:color="000000"/>
              <w:bottom w:val="single" w:sz="6" w:space="0" w:color="000000"/>
              <w:right w:val="single" w:sz="6" w:space="0" w:color="000000"/>
            </w:tcBorders>
          </w:tcPr>
          <w:p w14:paraId="098CF64D" w14:textId="77777777" w:rsidR="00D1352F" w:rsidRDefault="009B1F56">
            <w:pPr>
              <w:spacing w:after="0" w:line="259" w:lineRule="auto"/>
              <w:ind w:left="0" w:firstLine="0"/>
            </w:pPr>
            <w:r>
              <w:rPr>
                <w:sz w:val="20"/>
              </w:rPr>
              <w:t xml:space="preserve">Framework Agreement </w:t>
            </w:r>
          </w:p>
        </w:tc>
        <w:tc>
          <w:tcPr>
            <w:tcW w:w="7157" w:type="dxa"/>
            <w:tcBorders>
              <w:top w:val="single" w:sz="6" w:space="0" w:color="000000"/>
              <w:left w:val="single" w:sz="6" w:space="0" w:color="000000"/>
              <w:bottom w:val="single" w:sz="6" w:space="0" w:color="000000"/>
              <w:right w:val="single" w:sz="4" w:space="0" w:color="000000"/>
            </w:tcBorders>
            <w:vAlign w:val="center"/>
          </w:tcPr>
          <w:p w14:paraId="7FD19D3E" w14:textId="77777777" w:rsidR="00D1352F" w:rsidRDefault="009B1F56">
            <w:pPr>
              <w:spacing w:after="0" w:line="259" w:lineRule="auto"/>
              <w:ind w:left="2" w:firstLine="0"/>
            </w:pPr>
            <w:r>
              <w:rPr>
                <w:sz w:val="20"/>
              </w:rPr>
              <w:t xml:space="preserve">The clauses of framework agreement RM1557.11 together with the Framework Schedules. </w:t>
            </w:r>
          </w:p>
        </w:tc>
      </w:tr>
      <w:tr w:rsidR="00D1352F" w14:paraId="3B808139" w14:textId="77777777">
        <w:trPr>
          <w:trHeight w:val="1263"/>
        </w:trPr>
        <w:tc>
          <w:tcPr>
            <w:tcW w:w="3436" w:type="dxa"/>
            <w:tcBorders>
              <w:top w:val="single" w:sz="6" w:space="0" w:color="000000"/>
              <w:left w:val="single" w:sz="4" w:space="0" w:color="000000"/>
              <w:bottom w:val="single" w:sz="6" w:space="0" w:color="000000"/>
              <w:right w:val="single" w:sz="6" w:space="0" w:color="000000"/>
            </w:tcBorders>
          </w:tcPr>
          <w:p w14:paraId="01926EB2" w14:textId="77777777" w:rsidR="00D1352F" w:rsidRDefault="009B1F56">
            <w:pPr>
              <w:spacing w:after="0" w:line="259" w:lineRule="auto"/>
              <w:ind w:left="0" w:firstLine="0"/>
            </w:pPr>
            <w:r>
              <w:rPr>
                <w:sz w:val="20"/>
              </w:rPr>
              <w:t xml:space="preserve">Fraud </w:t>
            </w:r>
          </w:p>
        </w:tc>
        <w:tc>
          <w:tcPr>
            <w:tcW w:w="7157" w:type="dxa"/>
            <w:tcBorders>
              <w:top w:val="single" w:sz="6" w:space="0" w:color="000000"/>
              <w:left w:val="single" w:sz="6" w:space="0" w:color="000000"/>
              <w:bottom w:val="single" w:sz="6" w:space="0" w:color="000000"/>
              <w:right w:val="single" w:sz="4" w:space="0" w:color="000000"/>
            </w:tcBorders>
            <w:vAlign w:val="center"/>
          </w:tcPr>
          <w:p w14:paraId="69AD6174" w14:textId="77777777" w:rsidR="00D1352F" w:rsidRDefault="009B1F56">
            <w:pPr>
              <w:spacing w:after="0" w:line="259" w:lineRule="auto"/>
              <w:ind w:left="2" w:firstLine="0"/>
            </w:pPr>
            <w:r>
              <w:rPr>
                <w:sz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D1352F" w14:paraId="2BF47014" w14:textId="77777777">
        <w:trPr>
          <w:trHeight w:val="1004"/>
        </w:trPr>
        <w:tc>
          <w:tcPr>
            <w:tcW w:w="3436" w:type="dxa"/>
            <w:tcBorders>
              <w:top w:val="single" w:sz="6" w:space="0" w:color="000000"/>
              <w:left w:val="single" w:sz="4" w:space="0" w:color="000000"/>
              <w:bottom w:val="single" w:sz="6" w:space="0" w:color="000000"/>
              <w:right w:val="single" w:sz="6" w:space="0" w:color="000000"/>
            </w:tcBorders>
          </w:tcPr>
          <w:p w14:paraId="4BEA4418" w14:textId="77777777" w:rsidR="00D1352F" w:rsidRDefault="009B1F56">
            <w:pPr>
              <w:spacing w:after="0" w:line="259" w:lineRule="auto"/>
              <w:ind w:left="0" w:firstLine="0"/>
            </w:pPr>
            <w:r>
              <w:rPr>
                <w:sz w:val="20"/>
              </w:rPr>
              <w:t xml:space="preserve">Freedom of Information Act or </w:t>
            </w:r>
            <w:proofErr w:type="spellStart"/>
            <w:r>
              <w:rPr>
                <w:sz w:val="20"/>
              </w:rPr>
              <w:t>FoIA</w:t>
            </w:r>
            <w:proofErr w:type="spellEnd"/>
            <w:r>
              <w:rPr>
                <w:sz w:val="20"/>
              </w:rPr>
              <w:t xml:space="preserve"> </w:t>
            </w:r>
          </w:p>
        </w:tc>
        <w:tc>
          <w:tcPr>
            <w:tcW w:w="7157" w:type="dxa"/>
            <w:tcBorders>
              <w:top w:val="single" w:sz="6" w:space="0" w:color="000000"/>
              <w:left w:val="single" w:sz="6" w:space="0" w:color="000000"/>
              <w:bottom w:val="single" w:sz="6" w:space="0" w:color="000000"/>
              <w:right w:val="single" w:sz="4" w:space="0" w:color="000000"/>
            </w:tcBorders>
            <w:vAlign w:val="center"/>
          </w:tcPr>
          <w:p w14:paraId="75432522" w14:textId="77777777" w:rsidR="00D1352F" w:rsidRDefault="009B1F56">
            <w:pPr>
              <w:spacing w:after="0" w:line="259" w:lineRule="auto"/>
              <w:ind w:left="2" w:firstLine="0"/>
            </w:pPr>
            <w:r>
              <w:rPr>
                <w:sz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D1352F" w14:paraId="0F1790A6" w14:textId="77777777">
        <w:trPr>
          <w:trHeight w:val="1008"/>
        </w:trPr>
        <w:tc>
          <w:tcPr>
            <w:tcW w:w="3436" w:type="dxa"/>
            <w:tcBorders>
              <w:top w:val="single" w:sz="6" w:space="0" w:color="000000"/>
              <w:left w:val="single" w:sz="4" w:space="0" w:color="000000"/>
              <w:bottom w:val="single" w:sz="6" w:space="0" w:color="000000"/>
              <w:right w:val="single" w:sz="6" w:space="0" w:color="000000"/>
            </w:tcBorders>
          </w:tcPr>
          <w:p w14:paraId="5B7C8A4D" w14:textId="77777777" w:rsidR="00D1352F" w:rsidRDefault="009B1F56">
            <w:pPr>
              <w:spacing w:after="0" w:line="259" w:lineRule="auto"/>
              <w:ind w:left="0" w:firstLine="0"/>
            </w:pPr>
            <w:r>
              <w:rPr>
                <w:sz w:val="20"/>
              </w:rPr>
              <w:lastRenderedPageBreak/>
              <w:t xml:space="preserve">G-Cloud Services </w:t>
            </w:r>
          </w:p>
        </w:tc>
        <w:tc>
          <w:tcPr>
            <w:tcW w:w="7157" w:type="dxa"/>
            <w:tcBorders>
              <w:top w:val="single" w:sz="6" w:space="0" w:color="000000"/>
              <w:left w:val="single" w:sz="6" w:space="0" w:color="000000"/>
              <w:bottom w:val="single" w:sz="6" w:space="0" w:color="000000"/>
              <w:right w:val="single" w:sz="4" w:space="0" w:color="000000"/>
            </w:tcBorders>
            <w:vAlign w:val="center"/>
          </w:tcPr>
          <w:p w14:paraId="53D2A069" w14:textId="77777777" w:rsidR="00D1352F" w:rsidRDefault="009B1F56">
            <w:pPr>
              <w:spacing w:after="0" w:line="259" w:lineRule="auto"/>
              <w:ind w:left="2" w:firstLine="0"/>
            </w:pPr>
            <w:r>
              <w:rPr>
                <w:sz w:val="20"/>
              </w:rPr>
              <w:t xml:space="preserve">The cloud services described in Framework Agreement Section 2 (Services </w:t>
            </w:r>
          </w:p>
          <w:p w14:paraId="5260C053" w14:textId="77777777" w:rsidR="00D1352F" w:rsidRDefault="009B1F56">
            <w:pPr>
              <w:spacing w:after="0" w:line="259" w:lineRule="auto"/>
              <w:ind w:left="2" w:firstLine="0"/>
            </w:pPr>
            <w:r>
              <w:rPr>
                <w:sz w:val="20"/>
              </w:rPr>
              <w:t xml:space="preserve">Offered) as defined by the Service Definition, the Supplier Terms and any related </w:t>
            </w:r>
          </w:p>
          <w:p w14:paraId="64BF045F" w14:textId="77777777" w:rsidR="00D1352F" w:rsidRDefault="009B1F56">
            <w:pPr>
              <w:spacing w:after="0" w:line="259" w:lineRule="auto"/>
              <w:ind w:left="2" w:firstLine="0"/>
            </w:pPr>
            <w:r>
              <w:rPr>
                <w:sz w:val="20"/>
              </w:rPr>
              <w:t xml:space="preserve">Application documentation, which the Supplier must make available to CCS and </w:t>
            </w:r>
          </w:p>
        </w:tc>
      </w:tr>
    </w:tbl>
    <w:p w14:paraId="1614E582" w14:textId="77777777" w:rsidR="00D1352F" w:rsidRDefault="00D1352F">
      <w:pPr>
        <w:spacing w:after="0" w:line="259" w:lineRule="auto"/>
        <w:ind w:left="-701" w:right="28" w:firstLine="0"/>
      </w:pPr>
    </w:p>
    <w:tbl>
      <w:tblPr>
        <w:tblStyle w:val="TableGrid"/>
        <w:tblW w:w="10593" w:type="dxa"/>
        <w:tblInd w:w="10" w:type="dxa"/>
        <w:tblCellMar>
          <w:top w:w="156" w:type="dxa"/>
          <w:left w:w="101" w:type="dxa"/>
          <w:right w:w="69" w:type="dxa"/>
        </w:tblCellMar>
        <w:tblLook w:val="04A0" w:firstRow="1" w:lastRow="0" w:firstColumn="1" w:lastColumn="0" w:noHBand="0" w:noVBand="1"/>
      </w:tblPr>
      <w:tblGrid>
        <w:gridCol w:w="3436"/>
        <w:gridCol w:w="7157"/>
      </w:tblGrid>
      <w:tr w:rsidR="00D1352F" w14:paraId="003D232D"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3AB55E5B" w14:textId="77777777" w:rsidR="00D1352F" w:rsidRDefault="00D1352F">
            <w:pPr>
              <w:spacing w:after="160" w:line="259" w:lineRule="auto"/>
              <w:ind w:left="0" w:firstLine="0"/>
            </w:pPr>
          </w:p>
        </w:tc>
        <w:tc>
          <w:tcPr>
            <w:tcW w:w="7157" w:type="dxa"/>
            <w:tcBorders>
              <w:top w:val="single" w:sz="6" w:space="0" w:color="000000"/>
              <w:left w:val="single" w:sz="6" w:space="0" w:color="000000"/>
              <w:bottom w:val="single" w:sz="6" w:space="0" w:color="000000"/>
              <w:right w:val="single" w:sz="4" w:space="0" w:color="000000"/>
            </w:tcBorders>
            <w:vAlign w:val="center"/>
          </w:tcPr>
          <w:p w14:paraId="5AF19064" w14:textId="77777777" w:rsidR="00D1352F" w:rsidRDefault="009B1F56">
            <w:pPr>
              <w:spacing w:after="0" w:line="259" w:lineRule="auto"/>
              <w:ind w:left="2" w:firstLine="0"/>
            </w:pPr>
            <w:r>
              <w:rPr>
                <w:sz w:val="20"/>
              </w:rPr>
              <w:t xml:space="preserve">Buyers and those services which are deliverable by the Supplier under the Collaboration Agreement. </w:t>
            </w:r>
          </w:p>
        </w:tc>
      </w:tr>
      <w:tr w:rsidR="00D1352F" w14:paraId="12B518B8"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447B1677" w14:textId="77777777" w:rsidR="00D1352F" w:rsidRDefault="009B1F56">
            <w:pPr>
              <w:spacing w:after="0" w:line="259" w:lineRule="auto"/>
              <w:ind w:left="0" w:firstLine="0"/>
            </w:pPr>
            <w:r>
              <w:rPr>
                <w:sz w:val="20"/>
              </w:rPr>
              <w:t xml:space="preserve">GDPR </w:t>
            </w:r>
          </w:p>
        </w:tc>
        <w:tc>
          <w:tcPr>
            <w:tcW w:w="7157" w:type="dxa"/>
            <w:tcBorders>
              <w:top w:val="single" w:sz="6" w:space="0" w:color="000000"/>
              <w:left w:val="single" w:sz="6" w:space="0" w:color="000000"/>
              <w:bottom w:val="single" w:sz="6" w:space="0" w:color="000000"/>
              <w:right w:val="single" w:sz="4" w:space="0" w:color="000000"/>
            </w:tcBorders>
            <w:vAlign w:val="center"/>
          </w:tcPr>
          <w:p w14:paraId="4119B803" w14:textId="77777777" w:rsidR="00D1352F" w:rsidRDefault="009B1F56">
            <w:pPr>
              <w:spacing w:after="0" w:line="259" w:lineRule="auto"/>
              <w:ind w:left="2" w:firstLine="0"/>
            </w:pPr>
            <w:r>
              <w:rPr>
                <w:color w:val="353535"/>
                <w:sz w:val="20"/>
              </w:rPr>
              <w:t>The General Data Protection Regulation (Regulation (EU) 2016/679).</w:t>
            </w:r>
            <w:r>
              <w:rPr>
                <w:sz w:val="20"/>
              </w:rPr>
              <w:t xml:space="preserve"> </w:t>
            </w:r>
          </w:p>
        </w:tc>
      </w:tr>
      <w:tr w:rsidR="00D1352F" w14:paraId="3723D333" w14:textId="77777777">
        <w:trPr>
          <w:trHeight w:val="1268"/>
        </w:trPr>
        <w:tc>
          <w:tcPr>
            <w:tcW w:w="3436" w:type="dxa"/>
            <w:tcBorders>
              <w:top w:val="single" w:sz="6" w:space="0" w:color="000000"/>
              <w:left w:val="single" w:sz="4" w:space="0" w:color="000000"/>
              <w:bottom w:val="single" w:sz="6" w:space="0" w:color="000000"/>
              <w:right w:val="single" w:sz="6" w:space="0" w:color="000000"/>
            </w:tcBorders>
          </w:tcPr>
          <w:p w14:paraId="48820536" w14:textId="77777777" w:rsidR="00D1352F" w:rsidRDefault="009B1F56">
            <w:pPr>
              <w:spacing w:after="0" w:line="259" w:lineRule="auto"/>
              <w:ind w:left="0" w:firstLine="0"/>
            </w:pPr>
            <w:r>
              <w:rPr>
                <w:sz w:val="20"/>
              </w:rPr>
              <w:t xml:space="preserve">Good Industry Practice </w:t>
            </w:r>
          </w:p>
        </w:tc>
        <w:tc>
          <w:tcPr>
            <w:tcW w:w="7157" w:type="dxa"/>
            <w:tcBorders>
              <w:top w:val="single" w:sz="6" w:space="0" w:color="000000"/>
              <w:left w:val="single" w:sz="6" w:space="0" w:color="000000"/>
              <w:bottom w:val="single" w:sz="6" w:space="0" w:color="000000"/>
              <w:right w:val="single" w:sz="4" w:space="0" w:color="000000"/>
            </w:tcBorders>
            <w:vAlign w:val="center"/>
          </w:tcPr>
          <w:p w14:paraId="3F0ED590" w14:textId="77777777" w:rsidR="00D1352F" w:rsidRDefault="009B1F56">
            <w:pPr>
              <w:spacing w:after="0" w:line="259" w:lineRule="auto"/>
              <w:ind w:left="2" w:firstLine="0"/>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D1352F" w14:paraId="26F4AA63" w14:textId="77777777">
        <w:trPr>
          <w:trHeight w:val="1004"/>
        </w:trPr>
        <w:tc>
          <w:tcPr>
            <w:tcW w:w="3436" w:type="dxa"/>
            <w:tcBorders>
              <w:top w:val="single" w:sz="6" w:space="0" w:color="000000"/>
              <w:left w:val="single" w:sz="4" w:space="0" w:color="000000"/>
              <w:bottom w:val="single" w:sz="6" w:space="0" w:color="000000"/>
              <w:right w:val="single" w:sz="6" w:space="0" w:color="000000"/>
            </w:tcBorders>
          </w:tcPr>
          <w:p w14:paraId="746A15DA" w14:textId="77777777" w:rsidR="00D1352F" w:rsidRDefault="009B1F56">
            <w:pPr>
              <w:spacing w:after="0" w:line="259" w:lineRule="auto"/>
              <w:ind w:left="0" w:firstLine="0"/>
            </w:pPr>
            <w:r>
              <w:rPr>
                <w:sz w:val="20"/>
              </w:rPr>
              <w:t xml:space="preserve">Government Procurement Card </w:t>
            </w:r>
          </w:p>
        </w:tc>
        <w:tc>
          <w:tcPr>
            <w:tcW w:w="7157" w:type="dxa"/>
            <w:tcBorders>
              <w:top w:val="single" w:sz="6" w:space="0" w:color="000000"/>
              <w:left w:val="single" w:sz="6" w:space="0" w:color="000000"/>
              <w:bottom w:val="single" w:sz="6" w:space="0" w:color="000000"/>
              <w:right w:val="single" w:sz="4" w:space="0" w:color="000000"/>
            </w:tcBorders>
            <w:vAlign w:val="center"/>
          </w:tcPr>
          <w:p w14:paraId="24D55398" w14:textId="77777777" w:rsidR="00D1352F" w:rsidRDefault="009B1F56">
            <w:pPr>
              <w:spacing w:after="0" w:line="259" w:lineRule="auto"/>
              <w:ind w:left="2" w:right="437" w:firstLine="0"/>
              <w:jc w:val="both"/>
            </w:pPr>
            <w:r>
              <w:rPr>
                <w:sz w:val="20"/>
              </w:rPr>
              <w:t xml:space="preserve">The Government’s preferred method of purchasing and payment for low value goods or services https://www.gov.uk/government/publications/governmentprocurement-card--2. </w:t>
            </w:r>
          </w:p>
        </w:tc>
      </w:tr>
      <w:tr w:rsidR="00D1352F" w14:paraId="5391CB99"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13396C56" w14:textId="77777777" w:rsidR="00D1352F" w:rsidRDefault="009B1F56">
            <w:pPr>
              <w:spacing w:after="0" w:line="259" w:lineRule="auto"/>
              <w:ind w:left="0" w:firstLine="0"/>
            </w:pPr>
            <w:r>
              <w:rPr>
                <w:sz w:val="20"/>
              </w:rPr>
              <w:t xml:space="preserve">Guarantee </w:t>
            </w:r>
          </w:p>
        </w:tc>
        <w:tc>
          <w:tcPr>
            <w:tcW w:w="7157" w:type="dxa"/>
            <w:tcBorders>
              <w:top w:val="single" w:sz="6" w:space="0" w:color="000000"/>
              <w:left w:val="single" w:sz="6" w:space="0" w:color="000000"/>
              <w:bottom w:val="single" w:sz="6" w:space="0" w:color="000000"/>
              <w:right w:val="single" w:sz="4" w:space="0" w:color="000000"/>
            </w:tcBorders>
            <w:vAlign w:val="center"/>
          </w:tcPr>
          <w:p w14:paraId="1CFDE6F3" w14:textId="77777777" w:rsidR="00D1352F" w:rsidRDefault="009B1F56">
            <w:pPr>
              <w:spacing w:after="0" w:line="259" w:lineRule="auto"/>
              <w:ind w:left="2" w:firstLine="0"/>
            </w:pPr>
            <w:r>
              <w:rPr>
                <w:sz w:val="20"/>
              </w:rPr>
              <w:t xml:space="preserve">The guarantee described in Schedule 5. </w:t>
            </w:r>
          </w:p>
        </w:tc>
      </w:tr>
      <w:tr w:rsidR="00D1352F" w14:paraId="5BF8848B" w14:textId="77777777">
        <w:trPr>
          <w:trHeight w:val="1268"/>
        </w:trPr>
        <w:tc>
          <w:tcPr>
            <w:tcW w:w="3436" w:type="dxa"/>
            <w:tcBorders>
              <w:top w:val="single" w:sz="6" w:space="0" w:color="000000"/>
              <w:left w:val="single" w:sz="4" w:space="0" w:color="000000"/>
              <w:bottom w:val="single" w:sz="6" w:space="0" w:color="000000"/>
              <w:right w:val="single" w:sz="6" w:space="0" w:color="000000"/>
            </w:tcBorders>
          </w:tcPr>
          <w:p w14:paraId="1B3C85D3" w14:textId="77777777" w:rsidR="00D1352F" w:rsidRDefault="009B1F56">
            <w:pPr>
              <w:spacing w:after="0" w:line="259" w:lineRule="auto"/>
              <w:ind w:left="0" w:firstLine="0"/>
            </w:pPr>
            <w:r>
              <w:rPr>
                <w:sz w:val="20"/>
              </w:rPr>
              <w:t xml:space="preserve">Guidance </w:t>
            </w:r>
          </w:p>
        </w:tc>
        <w:tc>
          <w:tcPr>
            <w:tcW w:w="7157" w:type="dxa"/>
            <w:tcBorders>
              <w:top w:val="single" w:sz="6" w:space="0" w:color="000000"/>
              <w:left w:val="single" w:sz="6" w:space="0" w:color="000000"/>
              <w:bottom w:val="single" w:sz="6" w:space="0" w:color="000000"/>
              <w:right w:val="single" w:sz="4" w:space="0" w:color="000000"/>
            </w:tcBorders>
            <w:vAlign w:val="center"/>
          </w:tcPr>
          <w:p w14:paraId="7BE6AFF0" w14:textId="77777777" w:rsidR="00D1352F" w:rsidRDefault="009B1F56">
            <w:pPr>
              <w:spacing w:after="0" w:line="259" w:lineRule="auto"/>
              <w:ind w:left="2" w:firstLine="0"/>
            </w:pPr>
            <w:r>
              <w:rPr>
                <w:sz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D1352F" w14:paraId="7B9809A0" w14:textId="77777777">
        <w:trPr>
          <w:trHeight w:val="1003"/>
        </w:trPr>
        <w:tc>
          <w:tcPr>
            <w:tcW w:w="3436" w:type="dxa"/>
            <w:tcBorders>
              <w:top w:val="single" w:sz="6" w:space="0" w:color="000000"/>
              <w:left w:val="single" w:sz="4" w:space="0" w:color="000000"/>
              <w:bottom w:val="single" w:sz="6" w:space="0" w:color="000000"/>
              <w:right w:val="single" w:sz="6" w:space="0" w:color="000000"/>
            </w:tcBorders>
          </w:tcPr>
          <w:p w14:paraId="6801BA29" w14:textId="77777777" w:rsidR="00D1352F" w:rsidRDefault="009B1F56">
            <w:pPr>
              <w:spacing w:after="0" w:line="259" w:lineRule="auto"/>
              <w:ind w:left="0" w:firstLine="0"/>
            </w:pPr>
            <w:r>
              <w:rPr>
                <w:sz w:val="20"/>
              </w:rPr>
              <w:t xml:space="preserve">Implementation Plan </w:t>
            </w:r>
          </w:p>
        </w:tc>
        <w:tc>
          <w:tcPr>
            <w:tcW w:w="7157" w:type="dxa"/>
            <w:tcBorders>
              <w:top w:val="single" w:sz="6" w:space="0" w:color="000000"/>
              <w:left w:val="single" w:sz="6" w:space="0" w:color="000000"/>
              <w:bottom w:val="single" w:sz="6" w:space="0" w:color="000000"/>
              <w:right w:val="single" w:sz="4" w:space="0" w:color="000000"/>
            </w:tcBorders>
            <w:vAlign w:val="center"/>
          </w:tcPr>
          <w:p w14:paraId="254FA5CA" w14:textId="77777777" w:rsidR="00D1352F" w:rsidRDefault="009B1F56">
            <w:pPr>
              <w:spacing w:after="0" w:line="259" w:lineRule="auto"/>
              <w:ind w:left="2" w:right="151" w:firstLine="0"/>
              <w:jc w:val="both"/>
            </w:pPr>
            <w:r>
              <w:rPr>
                <w:sz w:val="20"/>
              </w:rPr>
              <w:t xml:space="preserve">The plan with an outline of processes (including data standards for migration), costs (for example) of implementing the services which may be required as part of Onboarding. </w:t>
            </w:r>
          </w:p>
        </w:tc>
      </w:tr>
      <w:tr w:rsidR="00D1352F" w14:paraId="7597429C" w14:textId="77777777">
        <w:trPr>
          <w:trHeight w:val="740"/>
        </w:trPr>
        <w:tc>
          <w:tcPr>
            <w:tcW w:w="3436" w:type="dxa"/>
            <w:tcBorders>
              <w:top w:val="single" w:sz="6" w:space="0" w:color="000000"/>
              <w:left w:val="single" w:sz="4" w:space="0" w:color="000000"/>
              <w:bottom w:val="single" w:sz="6" w:space="0" w:color="000000"/>
              <w:right w:val="single" w:sz="6" w:space="0" w:color="000000"/>
            </w:tcBorders>
          </w:tcPr>
          <w:p w14:paraId="12B637C3" w14:textId="77777777" w:rsidR="00D1352F" w:rsidRDefault="009B1F56">
            <w:pPr>
              <w:spacing w:after="0" w:line="259" w:lineRule="auto"/>
              <w:ind w:left="0" w:firstLine="0"/>
            </w:pPr>
            <w:r>
              <w:rPr>
                <w:sz w:val="20"/>
              </w:rPr>
              <w:t xml:space="preserve">Indicative Test </w:t>
            </w:r>
          </w:p>
        </w:tc>
        <w:tc>
          <w:tcPr>
            <w:tcW w:w="7157" w:type="dxa"/>
            <w:tcBorders>
              <w:top w:val="single" w:sz="6" w:space="0" w:color="000000"/>
              <w:left w:val="single" w:sz="6" w:space="0" w:color="000000"/>
              <w:bottom w:val="single" w:sz="6" w:space="0" w:color="000000"/>
              <w:right w:val="single" w:sz="4" w:space="0" w:color="000000"/>
            </w:tcBorders>
            <w:vAlign w:val="center"/>
          </w:tcPr>
          <w:p w14:paraId="7385F865" w14:textId="77777777" w:rsidR="00D1352F" w:rsidRDefault="009B1F56">
            <w:pPr>
              <w:spacing w:after="0" w:line="259" w:lineRule="auto"/>
              <w:ind w:left="2" w:firstLine="0"/>
            </w:pPr>
            <w:r>
              <w:rPr>
                <w:sz w:val="20"/>
              </w:rPr>
              <w:t xml:space="preserve">ESI tool completed by contractors on their own behalf at the request of CCS or the Buyer (as applicable) under clause 4.6. </w:t>
            </w:r>
          </w:p>
        </w:tc>
      </w:tr>
      <w:tr w:rsidR="00D1352F" w14:paraId="3F27429C"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46E347B1" w14:textId="77777777" w:rsidR="00D1352F" w:rsidRDefault="009B1F56">
            <w:pPr>
              <w:spacing w:after="0" w:line="259" w:lineRule="auto"/>
              <w:ind w:left="0" w:firstLine="0"/>
            </w:pPr>
            <w:r>
              <w:rPr>
                <w:sz w:val="20"/>
              </w:rPr>
              <w:t xml:space="preserve">Information </w:t>
            </w:r>
          </w:p>
        </w:tc>
        <w:tc>
          <w:tcPr>
            <w:tcW w:w="7157" w:type="dxa"/>
            <w:tcBorders>
              <w:top w:val="single" w:sz="6" w:space="0" w:color="000000"/>
              <w:left w:val="single" w:sz="6" w:space="0" w:color="000000"/>
              <w:bottom w:val="single" w:sz="6" w:space="0" w:color="000000"/>
              <w:right w:val="single" w:sz="4" w:space="0" w:color="000000"/>
            </w:tcBorders>
            <w:vAlign w:val="center"/>
          </w:tcPr>
          <w:p w14:paraId="1842363B" w14:textId="77777777" w:rsidR="00D1352F" w:rsidRDefault="009B1F56">
            <w:pPr>
              <w:spacing w:after="0" w:line="259" w:lineRule="auto"/>
              <w:ind w:left="2" w:firstLine="0"/>
            </w:pPr>
            <w:r>
              <w:rPr>
                <w:sz w:val="20"/>
              </w:rPr>
              <w:t xml:space="preserve">Has the meaning given under section 84 of the Freedom of Information Act </w:t>
            </w:r>
            <w:proofErr w:type="gramStart"/>
            <w:r>
              <w:rPr>
                <w:sz w:val="20"/>
              </w:rPr>
              <w:t>2000.</w:t>
            </w:r>
            <w:proofErr w:type="gramEnd"/>
            <w:r>
              <w:rPr>
                <w:sz w:val="20"/>
              </w:rPr>
              <w:t xml:space="preserve"> </w:t>
            </w:r>
          </w:p>
        </w:tc>
      </w:tr>
      <w:tr w:rsidR="00D1352F" w14:paraId="393185B3" w14:textId="77777777">
        <w:trPr>
          <w:trHeight w:val="740"/>
        </w:trPr>
        <w:tc>
          <w:tcPr>
            <w:tcW w:w="3436" w:type="dxa"/>
            <w:tcBorders>
              <w:top w:val="single" w:sz="6" w:space="0" w:color="000000"/>
              <w:left w:val="single" w:sz="4" w:space="0" w:color="000000"/>
              <w:bottom w:val="single" w:sz="6" w:space="0" w:color="000000"/>
              <w:right w:val="single" w:sz="6" w:space="0" w:color="000000"/>
            </w:tcBorders>
            <w:vAlign w:val="center"/>
          </w:tcPr>
          <w:p w14:paraId="603337F5" w14:textId="77777777" w:rsidR="00D1352F" w:rsidRDefault="009B1F56">
            <w:pPr>
              <w:spacing w:after="0" w:line="259" w:lineRule="auto"/>
              <w:ind w:left="0" w:firstLine="0"/>
            </w:pPr>
            <w:r>
              <w:rPr>
                <w:sz w:val="20"/>
              </w:rPr>
              <w:t xml:space="preserve">Information Security Management System </w:t>
            </w:r>
          </w:p>
        </w:tc>
        <w:tc>
          <w:tcPr>
            <w:tcW w:w="7157" w:type="dxa"/>
            <w:tcBorders>
              <w:top w:val="single" w:sz="6" w:space="0" w:color="000000"/>
              <w:left w:val="single" w:sz="6" w:space="0" w:color="000000"/>
              <w:bottom w:val="single" w:sz="6" w:space="0" w:color="000000"/>
              <w:right w:val="single" w:sz="4" w:space="0" w:color="000000"/>
            </w:tcBorders>
            <w:vAlign w:val="center"/>
          </w:tcPr>
          <w:p w14:paraId="27F69151" w14:textId="77777777" w:rsidR="00D1352F" w:rsidRDefault="009B1F56">
            <w:pPr>
              <w:spacing w:after="0" w:line="259" w:lineRule="auto"/>
              <w:ind w:left="2" w:firstLine="0"/>
            </w:pPr>
            <w:r>
              <w:rPr>
                <w:sz w:val="20"/>
              </w:rPr>
              <w:t xml:space="preserve">The information security management system and process developed by the Supplier in accordance with clause 16.1. </w:t>
            </w:r>
          </w:p>
        </w:tc>
      </w:tr>
      <w:tr w:rsidR="00D1352F" w14:paraId="7DBDCBFA" w14:textId="77777777">
        <w:trPr>
          <w:trHeight w:val="744"/>
        </w:trPr>
        <w:tc>
          <w:tcPr>
            <w:tcW w:w="3436" w:type="dxa"/>
            <w:tcBorders>
              <w:top w:val="single" w:sz="6" w:space="0" w:color="000000"/>
              <w:left w:val="single" w:sz="4" w:space="0" w:color="000000"/>
              <w:bottom w:val="single" w:sz="6" w:space="0" w:color="000000"/>
              <w:right w:val="single" w:sz="6" w:space="0" w:color="000000"/>
            </w:tcBorders>
          </w:tcPr>
          <w:p w14:paraId="3BE3037D" w14:textId="77777777" w:rsidR="00D1352F" w:rsidRDefault="009B1F56">
            <w:pPr>
              <w:spacing w:after="0" w:line="259" w:lineRule="auto"/>
              <w:ind w:left="0" w:firstLine="0"/>
            </w:pPr>
            <w:r>
              <w:rPr>
                <w:sz w:val="20"/>
              </w:rPr>
              <w:t xml:space="preserve">Inside IR35 </w:t>
            </w:r>
          </w:p>
        </w:tc>
        <w:tc>
          <w:tcPr>
            <w:tcW w:w="7157" w:type="dxa"/>
            <w:tcBorders>
              <w:top w:val="single" w:sz="6" w:space="0" w:color="000000"/>
              <w:left w:val="single" w:sz="6" w:space="0" w:color="000000"/>
              <w:bottom w:val="single" w:sz="6" w:space="0" w:color="000000"/>
              <w:right w:val="single" w:sz="4" w:space="0" w:color="000000"/>
            </w:tcBorders>
            <w:vAlign w:val="center"/>
          </w:tcPr>
          <w:p w14:paraId="0F0995A0" w14:textId="77777777" w:rsidR="00D1352F" w:rsidRDefault="009B1F56">
            <w:pPr>
              <w:spacing w:after="0" w:line="259" w:lineRule="auto"/>
              <w:ind w:left="2" w:right="3" w:firstLine="0"/>
            </w:pPr>
            <w:r>
              <w:rPr>
                <w:sz w:val="20"/>
              </w:rPr>
              <w:t xml:space="preserve">Contractual engagements which would be determined to be within the scope of the IR35 Intermediaries legislation if assessed using the ESI tool. </w:t>
            </w:r>
          </w:p>
        </w:tc>
      </w:tr>
      <w:tr w:rsidR="00D1352F" w14:paraId="6F523773" w14:textId="77777777">
        <w:trPr>
          <w:trHeight w:val="1791"/>
        </w:trPr>
        <w:tc>
          <w:tcPr>
            <w:tcW w:w="3436" w:type="dxa"/>
            <w:tcBorders>
              <w:top w:val="single" w:sz="6" w:space="0" w:color="000000"/>
              <w:left w:val="single" w:sz="4" w:space="0" w:color="000000"/>
              <w:bottom w:val="single" w:sz="6" w:space="0" w:color="000000"/>
              <w:right w:val="single" w:sz="6" w:space="0" w:color="000000"/>
            </w:tcBorders>
          </w:tcPr>
          <w:p w14:paraId="75472024" w14:textId="77777777" w:rsidR="00D1352F" w:rsidRDefault="009B1F56">
            <w:pPr>
              <w:spacing w:after="0" w:line="259" w:lineRule="auto"/>
              <w:ind w:left="0" w:firstLine="0"/>
            </w:pPr>
            <w:r>
              <w:rPr>
                <w:sz w:val="20"/>
              </w:rPr>
              <w:lastRenderedPageBreak/>
              <w:t xml:space="preserve">Insolvency Event </w:t>
            </w:r>
          </w:p>
        </w:tc>
        <w:tc>
          <w:tcPr>
            <w:tcW w:w="7157" w:type="dxa"/>
            <w:tcBorders>
              <w:top w:val="single" w:sz="6" w:space="0" w:color="000000"/>
              <w:left w:val="single" w:sz="6" w:space="0" w:color="000000"/>
              <w:bottom w:val="single" w:sz="6" w:space="0" w:color="000000"/>
              <w:right w:val="single" w:sz="4" w:space="0" w:color="000000"/>
            </w:tcBorders>
            <w:vAlign w:val="center"/>
          </w:tcPr>
          <w:p w14:paraId="44A8FBB1" w14:textId="77777777" w:rsidR="00D1352F" w:rsidRDefault="009B1F56">
            <w:pPr>
              <w:spacing w:after="8" w:line="259" w:lineRule="auto"/>
              <w:ind w:left="2" w:firstLine="0"/>
            </w:pPr>
            <w:r>
              <w:rPr>
                <w:sz w:val="20"/>
              </w:rPr>
              <w:t xml:space="preserve">Can be: </w:t>
            </w:r>
          </w:p>
          <w:p w14:paraId="21CC7D75" w14:textId="77777777" w:rsidR="00D1352F" w:rsidRDefault="009B1F56">
            <w:pPr>
              <w:numPr>
                <w:ilvl w:val="0"/>
                <w:numId w:val="49"/>
              </w:numPr>
              <w:spacing w:after="9" w:line="259" w:lineRule="auto"/>
              <w:ind w:firstLine="0"/>
            </w:pPr>
            <w:r>
              <w:rPr>
                <w:sz w:val="20"/>
              </w:rPr>
              <w:t xml:space="preserve">a voluntary arrangement </w:t>
            </w:r>
          </w:p>
          <w:p w14:paraId="3CF5C845" w14:textId="77777777" w:rsidR="00D1352F" w:rsidRDefault="009B1F56">
            <w:pPr>
              <w:numPr>
                <w:ilvl w:val="0"/>
                <w:numId w:val="49"/>
              </w:numPr>
              <w:spacing w:after="10" w:line="259" w:lineRule="auto"/>
              <w:ind w:firstLine="0"/>
            </w:pPr>
            <w:r>
              <w:rPr>
                <w:sz w:val="20"/>
              </w:rPr>
              <w:t xml:space="preserve">a winding-up petition </w:t>
            </w:r>
          </w:p>
          <w:p w14:paraId="3C10E5F2" w14:textId="77777777" w:rsidR="00D1352F" w:rsidRDefault="009B1F56">
            <w:pPr>
              <w:numPr>
                <w:ilvl w:val="0"/>
                <w:numId w:val="49"/>
              </w:numPr>
              <w:spacing w:after="0" w:line="259" w:lineRule="auto"/>
              <w:ind w:firstLine="0"/>
            </w:pPr>
            <w:r>
              <w:rPr>
                <w:sz w:val="20"/>
              </w:rPr>
              <w:t>the appointment of a receiver or administrator ●</w:t>
            </w:r>
            <w:r>
              <w:rPr>
                <w:rFonts w:ascii="Arial" w:eastAsia="Arial" w:hAnsi="Arial" w:cs="Arial"/>
                <w:sz w:val="20"/>
              </w:rPr>
              <w:t xml:space="preserve"> </w:t>
            </w:r>
            <w:r>
              <w:rPr>
                <w:sz w:val="20"/>
              </w:rPr>
              <w:t xml:space="preserve">an unresolved statutory </w:t>
            </w:r>
            <w:proofErr w:type="gramStart"/>
            <w:r>
              <w:rPr>
                <w:sz w:val="20"/>
              </w:rPr>
              <w:t>demand  ●</w:t>
            </w:r>
            <w:proofErr w:type="gramEnd"/>
            <w:r>
              <w:rPr>
                <w:rFonts w:ascii="Arial" w:eastAsia="Arial" w:hAnsi="Arial" w:cs="Arial"/>
                <w:sz w:val="20"/>
              </w:rPr>
              <w:t xml:space="preserve"> </w:t>
            </w:r>
            <w:r>
              <w:rPr>
                <w:sz w:val="20"/>
              </w:rPr>
              <w:t xml:space="preserve">a Schedule A1 moratorium. </w:t>
            </w:r>
          </w:p>
        </w:tc>
      </w:tr>
      <w:tr w:rsidR="00D1352F" w14:paraId="2189F06E" w14:textId="77777777">
        <w:trPr>
          <w:trHeight w:val="3111"/>
        </w:trPr>
        <w:tc>
          <w:tcPr>
            <w:tcW w:w="3436" w:type="dxa"/>
            <w:tcBorders>
              <w:top w:val="single" w:sz="6" w:space="0" w:color="000000"/>
              <w:left w:val="single" w:sz="4" w:space="0" w:color="000000"/>
              <w:bottom w:val="single" w:sz="6" w:space="0" w:color="000000"/>
              <w:right w:val="single" w:sz="6" w:space="0" w:color="000000"/>
            </w:tcBorders>
          </w:tcPr>
          <w:p w14:paraId="40261C01" w14:textId="77777777" w:rsidR="00D1352F" w:rsidRDefault="009B1F56">
            <w:pPr>
              <w:spacing w:after="0" w:line="259" w:lineRule="auto"/>
              <w:ind w:left="0" w:firstLine="0"/>
            </w:pPr>
            <w:r>
              <w:rPr>
                <w:sz w:val="20"/>
              </w:rPr>
              <w:t xml:space="preserve">Intellectual Property Rights or IPR </w:t>
            </w:r>
          </w:p>
        </w:tc>
        <w:tc>
          <w:tcPr>
            <w:tcW w:w="7157" w:type="dxa"/>
            <w:tcBorders>
              <w:top w:val="single" w:sz="6" w:space="0" w:color="000000"/>
              <w:left w:val="single" w:sz="6" w:space="0" w:color="000000"/>
              <w:bottom w:val="single" w:sz="6" w:space="0" w:color="000000"/>
              <w:right w:val="single" w:sz="4" w:space="0" w:color="000000"/>
            </w:tcBorders>
            <w:vAlign w:val="center"/>
          </w:tcPr>
          <w:p w14:paraId="110D3B7E" w14:textId="77777777" w:rsidR="00D1352F" w:rsidRDefault="009B1F56">
            <w:pPr>
              <w:spacing w:after="9" w:line="259" w:lineRule="auto"/>
              <w:ind w:left="2" w:firstLine="0"/>
            </w:pPr>
            <w:r>
              <w:rPr>
                <w:sz w:val="20"/>
              </w:rPr>
              <w:t xml:space="preserve">Intellectual Property Rights are: </w:t>
            </w:r>
          </w:p>
          <w:p w14:paraId="43AFFE2E" w14:textId="77777777" w:rsidR="00D1352F" w:rsidRDefault="009B1F56">
            <w:pPr>
              <w:numPr>
                <w:ilvl w:val="0"/>
                <w:numId w:val="50"/>
              </w:numPr>
              <w:spacing w:after="35" w:line="236" w:lineRule="auto"/>
              <w:ind w:hanging="360"/>
            </w:pPr>
            <w:r>
              <w:rPr>
                <w:sz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51B70765" w14:textId="77777777" w:rsidR="00D1352F" w:rsidRDefault="009B1F56">
            <w:pPr>
              <w:numPr>
                <w:ilvl w:val="0"/>
                <w:numId w:val="50"/>
              </w:numPr>
              <w:spacing w:after="33" w:line="237" w:lineRule="auto"/>
              <w:ind w:hanging="360"/>
            </w:pPr>
            <w:r>
              <w:rPr>
                <w:sz w:val="20"/>
              </w:rPr>
              <w:t xml:space="preserve">applications for registration, and the right to apply for registration, for any of the rights listed at (a) that are capable of being registered in any country or jurisdiction </w:t>
            </w:r>
          </w:p>
          <w:p w14:paraId="75A3A1FA" w14:textId="77777777" w:rsidR="00D1352F" w:rsidRDefault="009B1F56">
            <w:pPr>
              <w:numPr>
                <w:ilvl w:val="0"/>
                <w:numId w:val="50"/>
              </w:numPr>
              <w:spacing w:after="0" w:line="259" w:lineRule="auto"/>
              <w:ind w:hanging="360"/>
            </w:pPr>
            <w:r>
              <w:rPr>
                <w:sz w:val="20"/>
              </w:rPr>
              <w:t xml:space="preserve">all other rights having equivalent or similar effect in any country or jurisdiction </w:t>
            </w:r>
          </w:p>
        </w:tc>
      </w:tr>
      <w:tr w:rsidR="00D1352F" w14:paraId="7D6D0FDF"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43D96222" w14:textId="77777777" w:rsidR="00D1352F" w:rsidRDefault="009B1F56">
            <w:pPr>
              <w:spacing w:after="0" w:line="259" w:lineRule="auto"/>
              <w:ind w:left="0" w:firstLine="0"/>
            </w:pPr>
            <w:r>
              <w:rPr>
                <w:sz w:val="20"/>
              </w:rPr>
              <w:t xml:space="preserve">Intermediary </w:t>
            </w:r>
          </w:p>
        </w:tc>
        <w:tc>
          <w:tcPr>
            <w:tcW w:w="7157" w:type="dxa"/>
            <w:tcBorders>
              <w:top w:val="single" w:sz="6" w:space="0" w:color="000000"/>
              <w:left w:val="single" w:sz="6" w:space="0" w:color="000000"/>
              <w:bottom w:val="single" w:sz="6" w:space="0" w:color="000000"/>
              <w:right w:val="single" w:sz="4" w:space="0" w:color="000000"/>
            </w:tcBorders>
            <w:vAlign w:val="center"/>
          </w:tcPr>
          <w:p w14:paraId="059698B5" w14:textId="77777777" w:rsidR="00D1352F" w:rsidRDefault="009B1F56">
            <w:pPr>
              <w:spacing w:after="0" w:line="259" w:lineRule="auto"/>
              <w:ind w:left="2" w:firstLine="0"/>
            </w:pPr>
            <w:r>
              <w:rPr>
                <w:sz w:val="20"/>
              </w:rPr>
              <w:t xml:space="preserve">For the purposes of the IR35 rules an intermediary can be: </w:t>
            </w:r>
          </w:p>
        </w:tc>
      </w:tr>
    </w:tbl>
    <w:p w14:paraId="5C06E016" w14:textId="77777777" w:rsidR="00D1352F" w:rsidRDefault="00D1352F">
      <w:pPr>
        <w:spacing w:after="0" w:line="259" w:lineRule="auto"/>
        <w:ind w:left="-701" w:right="28" w:firstLine="0"/>
      </w:pPr>
    </w:p>
    <w:tbl>
      <w:tblPr>
        <w:tblStyle w:val="TableGrid"/>
        <w:tblW w:w="10593" w:type="dxa"/>
        <w:tblInd w:w="10" w:type="dxa"/>
        <w:tblCellMar>
          <w:top w:w="156" w:type="dxa"/>
          <w:left w:w="101" w:type="dxa"/>
          <w:right w:w="87" w:type="dxa"/>
        </w:tblCellMar>
        <w:tblLook w:val="04A0" w:firstRow="1" w:lastRow="0" w:firstColumn="1" w:lastColumn="0" w:noHBand="0" w:noVBand="1"/>
      </w:tblPr>
      <w:tblGrid>
        <w:gridCol w:w="3436"/>
        <w:gridCol w:w="7157"/>
      </w:tblGrid>
      <w:tr w:rsidR="00D1352F" w14:paraId="441B43FF" w14:textId="77777777">
        <w:trPr>
          <w:trHeight w:val="1791"/>
        </w:trPr>
        <w:tc>
          <w:tcPr>
            <w:tcW w:w="3436" w:type="dxa"/>
            <w:tcBorders>
              <w:top w:val="single" w:sz="6" w:space="0" w:color="000000"/>
              <w:left w:val="single" w:sz="4" w:space="0" w:color="000000"/>
              <w:bottom w:val="single" w:sz="6" w:space="0" w:color="000000"/>
              <w:right w:val="single" w:sz="6" w:space="0" w:color="000000"/>
            </w:tcBorders>
          </w:tcPr>
          <w:p w14:paraId="0ECF926C" w14:textId="77777777" w:rsidR="00D1352F" w:rsidRDefault="00D1352F">
            <w:pPr>
              <w:spacing w:after="160" w:line="259" w:lineRule="auto"/>
              <w:ind w:left="0" w:firstLine="0"/>
            </w:pPr>
          </w:p>
        </w:tc>
        <w:tc>
          <w:tcPr>
            <w:tcW w:w="7157" w:type="dxa"/>
            <w:tcBorders>
              <w:top w:val="single" w:sz="6" w:space="0" w:color="000000"/>
              <w:left w:val="single" w:sz="6" w:space="0" w:color="000000"/>
              <w:bottom w:val="single" w:sz="6" w:space="0" w:color="000000"/>
              <w:right w:val="single" w:sz="4" w:space="0" w:color="000000"/>
            </w:tcBorders>
            <w:vAlign w:val="center"/>
          </w:tcPr>
          <w:p w14:paraId="4C30F853" w14:textId="77777777" w:rsidR="00D1352F" w:rsidRDefault="009B1F56">
            <w:pPr>
              <w:numPr>
                <w:ilvl w:val="0"/>
                <w:numId w:val="51"/>
              </w:numPr>
              <w:spacing w:after="9" w:line="259" w:lineRule="auto"/>
              <w:ind w:hanging="360"/>
            </w:pPr>
            <w:r>
              <w:rPr>
                <w:sz w:val="20"/>
              </w:rPr>
              <w:t xml:space="preserve">the supplier's own limited company </w:t>
            </w:r>
          </w:p>
          <w:p w14:paraId="0DB35FBF" w14:textId="77777777" w:rsidR="00D1352F" w:rsidRDefault="009B1F56">
            <w:pPr>
              <w:numPr>
                <w:ilvl w:val="0"/>
                <w:numId w:val="51"/>
              </w:numPr>
              <w:spacing w:after="8" w:line="259" w:lineRule="auto"/>
              <w:ind w:hanging="360"/>
            </w:pPr>
            <w:r>
              <w:rPr>
                <w:sz w:val="20"/>
              </w:rPr>
              <w:t xml:space="preserve">a service or a personal service company </w:t>
            </w:r>
          </w:p>
          <w:p w14:paraId="356CE2D3" w14:textId="77777777" w:rsidR="00D1352F" w:rsidRDefault="009B1F56">
            <w:pPr>
              <w:numPr>
                <w:ilvl w:val="0"/>
                <w:numId w:val="51"/>
              </w:numPr>
              <w:spacing w:after="0" w:line="259" w:lineRule="auto"/>
              <w:ind w:hanging="360"/>
            </w:pPr>
            <w:r>
              <w:rPr>
                <w:sz w:val="20"/>
              </w:rPr>
              <w:t xml:space="preserve">a partnership </w:t>
            </w:r>
          </w:p>
          <w:p w14:paraId="2D469A96" w14:textId="77777777" w:rsidR="00D1352F" w:rsidRDefault="009B1F56">
            <w:pPr>
              <w:spacing w:after="0" w:line="259" w:lineRule="auto"/>
              <w:ind w:left="2" w:firstLine="0"/>
            </w:pPr>
            <w:r>
              <w:rPr>
                <w:sz w:val="20"/>
              </w:rPr>
              <w:t xml:space="preserve"> </w:t>
            </w:r>
          </w:p>
          <w:p w14:paraId="08A52F7B" w14:textId="77777777" w:rsidR="00D1352F" w:rsidRDefault="009B1F56">
            <w:pPr>
              <w:spacing w:after="0" w:line="259" w:lineRule="auto"/>
              <w:ind w:left="2" w:firstLine="0"/>
            </w:pPr>
            <w:r>
              <w:rPr>
                <w:sz w:val="20"/>
              </w:rPr>
              <w:t xml:space="preserve">It does not apply if you work for a client through a Managed Service Company (MSC) or agency (for example, an employment agency). </w:t>
            </w:r>
          </w:p>
        </w:tc>
      </w:tr>
      <w:tr w:rsidR="00D1352F" w14:paraId="360E558D"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650C5DF5" w14:textId="77777777" w:rsidR="00D1352F" w:rsidRDefault="009B1F56">
            <w:pPr>
              <w:spacing w:after="0" w:line="259" w:lineRule="auto"/>
              <w:ind w:left="0" w:firstLine="0"/>
            </w:pPr>
            <w:r>
              <w:rPr>
                <w:sz w:val="20"/>
              </w:rPr>
              <w:t xml:space="preserve">IPR Claim </w:t>
            </w:r>
          </w:p>
        </w:tc>
        <w:tc>
          <w:tcPr>
            <w:tcW w:w="7157" w:type="dxa"/>
            <w:tcBorders>
              <w:top w:val="single" w:sz="6" w:space="0" w:color="000000"/>
              <w:left w:val="single" w:sz="6" w:space="0" w:color="000000"/>
              <w:bottom w:val="single" w:sz="6" w:space="0" w:color="000000"/>
              <w:right w:val="single" w:sz="4" w:space="0" w:color="000000"/>
            </w:tcBorders>
            <w:vAlign w:val="center"/>
          </w:tcPr>
          <w:p w14:paraId="267D756B" w14:textId="77777777" w:rsidR="00D1352F" w:rsidRDefault="009B1F56">
            <w:pPr>
              <w:spacing w:after="0" w:line="259" w:lineRule="auto"/>
              <w:ind w:left="2" w:firstLine="0"/>
            </w:pPr>
            <w:r>
              <w:rPr>
                <w:sz w:val="20"/>
              </w:rPr>
              <w:t xml:space="preserve">As set out in clause 11.5. </w:t>
            </w:r>
          </w:p>
        </w:tc>
      </w:tr>
      <w:tr w:rsidR="00D1352F" w14:paraId="6A0627D4" w14:textId="77777777">
        <w:trPr>
          <w:trHeight w:val="1004"/>
        </w:trPr>
        <w:tc>
          <w:tcPr>
            <w:tcW w:w="3436" w:type="dxa"/>
            <w:tcBorders>
              <w:top w:val="single" w:sz="6" w:space="0" w:color="000000"/>
              <w:left w:val="single" w:sz="4" w:space="0" w:color="000000"/>
              <w:bottom w:val="single" w:sz="6" w:space="0" w:color="000000"/>
              <w:right w:val="single" w:sz="6" w:space="0" w:color="000000"/>
            </w:tcBorders>
          </w:tcPr>
          <w:p w14:paraId="5EF4C73B" w14:textId="77777777" w:rsidR="00D1352F" w:rsidRDefault="009B1F56">
            <w:pPr>
              <w:spacing w:after="0" w:line="259" w:lineRule="auto"/>
              <w:ind w:left="0" w:firstLine="0"/>
            </w:pPr>
            <w:r>
              <w:rPr>
                <w:sz w:val="20"/>
              </w:rPr>
              <w:t xml:space="preserve">IR35 </w:t>
            </w:r>
          </w:p>
        </w:tc>
        <w:tc>
          <w:tcPr>
            <w:tcW w:w="7157" w:type="dxa"/>
            <w:tcBorders>
              <w:top w:val="single" w:sz="6" w:space="0" w:color="000000"/>
              <w:left w:val="single" w:sz="6" w:space="0" w:color="000000"/>
              <w:bottom w:val="single" w:sz="6" w:space="0" w:color="000000"/>
              <w:right w:val="single" w:sz="4" w:space="0" w:color="000000"/>
            </w:tcBorders>
            <w:vAlign w:val="center"/>
          </w:tcPr>
          <w:p w14:paraId="6F8C076F" w14:textId="77777777" w:rsidR="00D1352F" w:rsidRDefault="009B1F56">
            <w:pPr>
              <w:spacing w:after="0" w:line="259" w:lineRule="auto"/>
              <w:ind w:left="2" w:firstLine="0"/>
            </w:pPr>
            <w:r>
              <w:rPr>
                <w:sz w:val="20"/>
              </w:rPr>
              <w:t xml:space="preserve">IR35 is also known as ‘Intermediaries legislation’. </w:t>
            </w:r>
            <w:proofErr w:type="gramStart"/>
            <w:r>
              <w:rPr>
                <w:sz w:val="20"/>
              </w:rPr>
              <w:t>It’s</w:t>
            </w:r>
            <w:proofErr w:type="gramEnd"/>
            <w:r>
              <w:rPr>
                <w:sz w:val="20"/>
              </w:rPr>
              <w:t xml:space="preserve"> a set of rules that affect tax and National Insurance where a Supplier is contracted to work for a client through an Intermediary. </w:t>
            </w:r>
          </w:p>
        </w:tc>
      </w:tr>
      <w:tr w:rsidR="00D1352F" w14:paraId="09C131B9" w14:textId="77777777">
        <w:trPr>
          <w:trHeight w:val="744"/>
        </w:trPr>
        <w:tc>
          <w:tcPr>
            <w:tcW w:w="3436" w:type="dxa"/>
            <w:tcBorders>
              <w:top w:val="single" w:sz="6" w:space="0" w:color="000000"/>
              <w:left w:val="single" w:sz="4" w:space="0" w:color="000000"/>
              <w:bottom w:val="single" w:sz="6" w:space="0" w:color="000000"/>
              <w:right w:val="single" w:sz="6" w:space="0" w:color="000000"/>
            </w:tcBorders>
          </w:tcPr>
          <w:p w14:paraId="0932EF9F" w14:textId="77777777" w:rsidR="00D1352F" w:rsidRDefault="009B1F56">
            <w:pPr>
              <w:spacing w:after="0" w:line="259" w:lineRule="auto"/>
              <w:ind w:left="0" w:firstLine="0"/>
            </w:pPr>
            <w:r>
              <w:rPr>
                <w:sz w:val="20"/>
              </w:rPr>
              <w:t xml:space="preserve">IR35 Assessment </w:t>
            </w:r>
          </w:p>
        </w:tc>
        <w:tc>
          <w:tcPr>
            <w:tcW w:w="7157" w:type="dxa"/>
            <w:tcBorders>
              <w:top w:val="single" w:sz="6" w:space="0" w:color="000000"/>
              <w:left w:val="single" w:sz="6" w:space="0" w:color="000000"/>
              <w:bottom w:val="single" w:sz="6" w:space="0" w:color="000000"/>
              <w:right w:val="single" w:sz="4" w:space="0" w:color="000000"/>
            </w:tcBorders>
            <w:vAlign w:val="center"/>
          </w:tcPr>
          <w:p w14:paraId="021F670E" w14:textId="77777777" w:rsidR="00D1352F" w:rsidRDefault="009B1F56">
            <w:pPr>
              <w:spacing w:after="0" w:line="259" w:lineRule="auto"/>
              <w:ind w:left="2" w:firstLine="0"/>
            </w:pPr>
            <w:r>
              <w:rPr>
                <w:sz w:val="20"/>
              </w:rPr>
              <w:t xml:space="preserve">Assessment of employment status using the ESI tool to determine if engagement is Inside or Outside IR35. </w:t>
            </w:r>
          </w:p>
        </w:tc>
      </w:tr>
      <w:tr w:rsidR="00D1352F" w14:paraId="083D7DE3" w14:textId="77777777">
        <w:trPr>
          <w:trHeight w:val="1263"/>
        </w:trPr>
        <w:tc>
          <w:tcPr>
            <w:tcW w:w="3436" w:type="dxa"/>
            <w:tcBorders>
              <w:top w:val="single" w:sz="6" w:space="0" w:color="000000"/>
              <w:left w:val="single" w:sz="4" w:space="0" w:color="000000"/>
              <w:bottom w:val="single" w:sz="6" w:space="0" w:color="000000"/>
              <w:right w:val="single" w:sz="6" w:space="0" w:color="000000"/>
            </w:tcBorders>
          </w:tcPr>
          <w:p w14:paraId="539D2B13" w14:textId="77777777" w:rsidR="00D1352F" w:rsidRDefault="009B1F56">
            <w:pPr>
              <w:spacing w:after="0" w:line="259" w:lineRule="auto"/>
              <w:ind w:left="0" w:firstLine="0"/>
            </w:pPr>
            <w:r>
              <w:rPr>
                <w:sz w:val="20"/>
              </w:rPr>
              <w:t xml:space="preserve">Know-How </w:t>
            </w:r>
          </w:p>
        </w:tc>
        <w:tc>
          <w:tcPr>
            <w:tcW w:w="7157" w:type="dxa"/>
            <w:tcBorders>
              <w:top w:val="single" w:sz="6" w:space="0" w:color="000000"/>
              <w:left w:val="single" w:sz="6" w:space="0" w:color="000000"/>
              <w:bottom w:val="single" w:sz="6" w:space="0" w:color="000000"/>
              <w:right w:val="single" w:sz="4" w:space="0" w:color="000000"/>
            </w:tcBorders>
            <w:vAlign w:val="center"/>
          </w:tcPr>
          <w:p w14:paraId="4F8A5075" w14:textId="77777777" w:rsidR="00D1352F" w:rsidRDefault="009B1F56">
            <w:pPr>
              <w:spacing w:after="0" w:line="259" w:lineRule="auto"/>
              <w:ind w:left="2" w:firstLine="0"/>
            </w:pPr>
            <w:r>
              <w:rPr>
                <w:sz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D1352F" w14:paraId="5B25768B" w14:textId="77777777">
        <w:trPr>
          <w:trHeight w:val="1532"/>
        </w:trPr>
        <w:tc>
          <w:tcPr>
            <w:tcW w:w="3436" w:type="dxa"/>
            <w:tcBorders>
              <w:top w:val="single" w:sz="6" w:space="0" w:color="000000"/>
              <w:left w:val="single" w:sz="4" w:space="0" w:color="000000"/>
              <w:bottom w:val="single" w:sz="6" w:space="0" w:color="000000"/>
              <w:right w:val="single" w:sz="6" w:space="0" w:color="000000"/>
            </w:tcBorders>
          </w:tcPr>
          <w:p w14:paraId="3A1317BA" w14:textId="77777777" w:rsidR="00D1352F" w:rsidRDefault="009B1F56">
            <w:pPr>
              <w:spacing w:after="0" w:line="259" w:lineRule="auto"/>
              <w:ind w:left="0" w:firstLine="0"/>
            </w:pPr>
            <w:r>
              <w:rPr>
                <w:sz w:val="20"/>
              </w:rPr>
              <w:t xml:space="preserve">Law </w:t>
            </w:r>
          </w:p>
        </w:tc>
        <w:tc>
          <w:tcPr>
            <w:tcW w:w="7157" w:type="dxa"/>
            <w:tcBorders>
              <w:top w:val="single" w:sz="6" w:space="0" w:color="000000"/>
              <w:left w:val="single" w:sz="6" w:space="0" w:color="000000"/>
              <w:bottom w:val="single" w:sz="6" w:space="0" w:color="000000"/>
              <w:right w:val="single" w:sz="4" w:space="0" w:color="000000"/>
            </w:tcBorders>
            <w:vAlign w:val="center"/>
          </w:tcPr>
          <w:p w14:paraId="0981FF22" w14:textId="77777777" w:rsidR="00D1352F" w:rsidRDefault="009B1F56">
            <w:pPr>
              <w:spacing w:after="0" w:line="259" w:lineRule="auto"/>
              <w:ind w:left="2" w:right="266" w:firstLine="0"/>
              <w:jc w:val="both"/>
            </w:pPr>
            <w:r>
              <w:rPr>
                <w:sz w:val="20"/>
              </w:rP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D1352F" w14:paraId="78EE4A9F"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47419F5E" w14:textId="77777777" w:rsidR="00D1352F" w:rsidRDefault="009B1F56">
            <w:pPr>
              <w:spacing w:after="0" w:line="259" w:lineRule="auto"/>
              <w:ind w:left="0" w:firstLine="0"/>
            </w:pPr>
            <w:r>
              <w:rPr>
                <w:sz w:val="20"/>
              </w:rPr>
              <w:lastRenderedPageBreak/>
              <w:t xml:space="preserve">LED </w:t>
            </w:r>
          </w:p>
        </w:tc>
        <w:tc>
          <w:tcPr>
            <w:tcW w:w="7157" w:type="dxa"/>
            <w:tcBorders>
              <w:top w:val="single" w:sz="6" w:space="0" w:color="000000"/>
              <w:left w:val="single" w:sz="6" w:space="0" w:color="000000"/>
              <w:bottom w:val="single" w:sz="6" w:space="0" w:color="000000"/>
              <w:right w:val="single" w:sz="4" w:space="0" w:color="000000"/>
            </w:tcBorders>
            <w:vAlign w:val="center"/>
          </w:tcPr>
          <w:p w14:paraId="3B8BB011" w14:textId="77777777" w:rsidR="00D1352F" w:rsidRDefault="009B1F56">
            <w:pPr>
              <w:spacing w:after="0" w:line="259" w:lineRule="auto"/>
              <w:ind w:left="2" w:firstLine="0"/>
            </w:pPr>
            <w:r>
              <w:rPr>
                <w:color w:val="353535"/>
                <w:sz w:val="20"/>
              </w:rPr>
              <w:t>Law Enforcement Directive (EU) 2016/680.</w:t>
            </w:r>
            <w:r>
              <w:rPr>
                <w:sz w:val="20"/>
              </w:rPr>
              <w:t xml:space="preserve"> </w:t>
            </w:r>
          </w:p>
        </w:tc>
      </w:tr>
      <w:tr w:rsidR="00D1352F" w14:paraId="7A0045E5" w14:textId="77777777">
        <w:trPr>
          <w:trHeight w:val="1268"/>
        </w:trPr>
        <w:tc>
          <w:tcPr>
            <w:tcW w:w="3436" w:type="dxa"/>
            <w:tcBorders>
              <w:top w:val="single" w:sz="6" w:space="0" w:color="000000"/>
              <w:left w:val="single" w:sz="4" w:space="0" w:color="000000"/>
              <w:bottom w:val="single" w:sz="6" w:space="0" w:color="000000"/>
              <w:right w:val="single" w:sz="6" w:space="0" w:color="000000"/>
            </w:tcBorders>
            <w:vAlign w:val="center"/>
          </w:tcPr>
          <w:p w14:paraId="68B1BCC8" w14:textId="77777777" w:rsidR="00D1352F" w:rsidRDefault="009B1F56">
            <w:pPr>
              <w:spacing w:after="0" w:line="259" w:lineRule="auto"/>
              <w:ind w:left="0" w:firstLine="0"/>
            </w:pPr>
            <w:r>
              <w:rPr>
                <w:sz w:val="20"/>
              </w:rPr>
              <w:t xml:space="preserve"> </w:t>
            </w:r>
          </w:p>
          <w:p w14:paraId="05A42ACA" w14:textId="77777777" w:rsidR="00D1352F" w:rsidRDefault="009B1F56">
            <w:pPr>
              <w:spacing w:after="0" w:line="259" w:lineRule="auto"/>
              <w:ind w:left="0" w:firstLine="0"/>
            </w:pPr>
            <w:r>
              <w:rPr>
                <w:sz w:val="20"/>
              </w:rPr>
              <w:t xml:space="preserve">Loss </w:t>
            </w:r>
          </w:p>
          <w:p w14:paraId="060A2A9A" w14:textId="77777777" w:rsidR="00D1352F" w:rsidRDefault="009B1F56">
            <w:pPr>
              <w:spacing w:after="0" w:line="259" w:lineRule="auto"/>
              <w:ind w:left="0" w:firstLine="0"/>
            </w:pPr>
            <w:r>
              <w:rPr>
                <w:sz w:val="20"/>
              </w:rPr>
              <w:t xml:space="preserve"> </w:t>
            </w:r>
          </w:p>
          <w:p w14:paraId="4F1117A8" w14:textId="77777777" w:rsidR="00D1352F" w:rsidRDefault="009B1F56">
            <w:pPr>
              <w:spacing w:after="0" w:line="259" w:lineRule="auto"/>
              <w:ind w:left="0" w:firstLine="0"/>
            </w:pPr>
            <w:r>
              <w:rPr>
                <w:sz w:val="20"/>
              </w:rPr>
              <w:t xml:space="preserve"> </w:t>
            </w:r>
          </w:p>
        </w:tc>
        <w:tc>
          <w:tcPr>
            <w:tcW w:w="7157" w:type="dxa"/>
            <w:tcBorders>
              <w:top w:val="single" w:sz="6" w:space="0" w:color="000000"/>
              <w:left w:val="single" w:sz="6" w:space="0" w:color="000000"/>
              <w:bottom w:val="single" w:sz="6" w:space="0" w:color="000000"/>
              <w:right w:val="single" w:sz="4" w:space="0" w:color="000000"/>
            </w:tcBorders>
            <w:vAlign w:val="center"/>
          </w:tcPr>
          <w:p w14:paraId="5DC56D55" w14:textId="77777777" w:rsidR="00D1352F" w:rsidRDefault="009B1F56">
            <w:pPr>
              <w:spacing w:after="0" w:line="259" w:lineRule="auto"/>
              <w:ind w:left="2" w:firstLine="0"/>
            </w:pPr>
            <w:r>
              <w:rPr>
                <w:sz w:val="2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 </w:t>
            </w:r>
          </w:p>
        </w:tc>
      </w:tr>
      <w:tr w:rsidR="00D1352F" w14:paraId="22606608" w14:textId="77777777">
        <w:trPr>
          <w:trHeight w:val="480"/>
        </w:trPr>
        <w:tc>
          <w:tcPr>
            <w:tcW w:w="3436" w:type="dxa"/>
            <w:tcBorders>
              <w:top w:val="single" w:sz="6" w:space="0" w:color="000000"/>
              <w:left w:val="single" w:sz="4" w:space="0" w:color="000000"/>
              <w:bottom w:val="single" w:sz="6" w:space="0" w:color="000000"/>
              <w:right w:val="single" w:sz="6" w:space="0" w:color="000000"/>
            </w:tcBorders>
            <w:vAlign w:val="center"/>
          </w:tcPr>
          <w:p w14:paraId="7786513B" w14:textId="77777777" w:rsidR="00D1352F" w:rsidRDefault="009B1F56">
            <w:pPr>
              <w:spacing w:after="0" w:line="259" w:lineRule="auto"/>
              <w:ind w:left="0" w:firstLine="0"/>
            </w:pPr>
            <w:r>
              <w:rPr>
                <w:sz w:val="20"/>
              </w:rPr>
              <w:t xml:space="preserve">Lot </w:t>
            </w:r>
          </w:p>
        </w:tc>
        <w:tc>
          <w:tcPr>
            <w:tcW w:w="7157" w:type="dxa"/>
            <w:tcBorders>
              <w:top w:val="single" w:sz="6" w:space="0" w:color="000000"/>
              <w:left w:val="single" w:sz="6" w:space="0" w:color="000000"/>
              <w:bottom w:val="single" w:sz="6" w:space="0" w:color="000000"/>
              <w:right w:val="single" w:sz="4" w:space="0" w:color="000000"/>
            </w:tcBorders>
            <w:vAlign w:val="center"/>
          </w:tcPr>
          <w:p w14:paraId="76E74C20" w14:textId="77777777" w:rsidR="00D1352F" w:rsidRDefault="009B1F56">
            <w:pPr>
              <w:spacing w:after="0" w:line="259" w:lineRule="auto"/>
              <w:ind w:left="2" w:firstLine="0"/>
            </w:pPr>
            <w:r>
              <w:rPr>
                <w:sz w:val="20"/>
              </w:rPr>
              <w:t xml:space="preserve">Any of the 3 Lots specified in the ITT and Lots will be construed accordingly. </w:t>
            </w:r>
          </w:p>
        </w:tc>
      </w:tr>
      <w:tr w:rsidR="00D1352F" w14:paraId="7607C7C3" w14:textId="77777777">
        <w:trPr>
          <w:trHeight w:val="1527"/>
        </w:trPr>
        <w:tc>
          <w:tcPr>
            <w:tcW w:w="3436" w:type="dxa"/>
            <w:tcBorders>
              <w:top w:val="single" w:sz="6" w:space="0" w:color="000000"/>
              <w:left w:val="single" w:sz="4" w:space="0" w:color="000000"/>
              <w:bottom w:val="single" w:sz="6" w:space="0" w:color="000000"/>
              <w:right w:val="single" w:sz="6" w:space="0" w:color="000000"/>
            </w:tcBorders>
          </w:tcPr>
          <w:p w14:paraId="673704DD" w14:textId="77777777" w:rsidR="00D1352F" w:rsidRDefault="009B1F56">
            <w:pPr>
              <w:spacing w:after="0" w:line="259" w:lineRule="auto"/>
              <w:ind w:left="0" w:firstLine="0"/>
            </w:pPr>
            <w:r>
              <w:rPr>
                <w:sz w:val="20"/>
              </w:rPr>
              <w:t xml:space="preserve">Malicious Software </w:t>
            </w:r>
          </w:p>
        </w:tc>
        <w:tc>
          <w:tcPr>
            <w:tcW w:w="7157" w:type="dxa"/>
            <w:tcBorders>
              <w:top w:val="single" w:sz="6" w:space="0" w:color="000000"/>
              <w:left w:val="single" w:sz="6" w:space="0" w:color="000000"/>
              <w:bottom w:val="single" w:sz="6" w:space="0" w:color="000000"/>
              <w:right w:val="single" w:sz="4" w:space="0" w:color="000000"/>
            </w:tcBorders>
            <w:vAlign w:val="center"/>
          </w:tcPr>
          <w:p w14:paraId="44C288D2" w14:textId="77777777" w:rsidR="00D1352F" w:rsidRDefault="009B1F56">
            <w:pPr>
              <w:spacing w:after="0" w:line="259" w:lineRule="auto"/>
              <w:ind w:left="2" w:firstLine="0"/>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D1352F" w14:paraId="7B31AB25" w14:textId="77777777">
        <w:trPr>
          <w:trHeight w:val="1268"/>
        </w:trPr>
        <w:tc>
          <w:tcPr>
            <w:tcW w:w="3436" w:type="dxa"/>
            <w:tcBorders>
              <w:top w:val="single" w:sz="6" w:space="0" w:color="000000"/>
              <w:left w:val="single" w:sz="4" w:space="0" w:color="000000"/>
              <w:bottom w:val="single" w:sz="6" w:space="0" w:color="000000"/>
              <w:right w:val="single" w:sz="6" w:space="0" w:color="000000"/>
            </w:tcBorders>
          </w:tcPr>
          <w:p w14:paraId="23877E20" w14:textId="77777777" w:rsidR="00D1352F" w:rsidRDefault="009B1F56">
            <w:pPr>
              <w:spacing w:after="0" w:line="259" w:lineRule="auto"/>
              <w:ind w:left="0" w:firstLine="0"/>
            </w:pPr>
            <w:r>
              <w:rPr>
                <w:sz w:val="20"/>
              </w:rPr>
              <w:t xml:space="preserve">Management Charge </w:t>
            </w:r>
          </w:p>
        </w:tc>
        <w:tc>
          <w:tcPr>
            <w:tcW w:w="7157" w:type="dxa"/>
            <w:tcBorders>
              <w:top w:val="single" w:sz="6" w:space="0" w:color="000000"/>
              <w:left w:val="single" w:sz="6" w:space="0" w:color="000000"/>
              <w:bottom w:val="single" w:sz="6" w:space="0" w:color="000000"/>
              <w:right w:val="single" w:sz="4" w:space="0" w:color="000000"/>
            </w:tcBorders>
            <w:vAlign w:val="center"/>
          </w:tcPr>
          <w:p w14:paraId="1FFE55E3" w14:textId="77777777" w:rsidR="00D1352F" w:rsidRDefault="009B1F56">
            <w:pPr>
              <w:spacing w:after="0" w:line="259" w:lineRule="auto"/>
              <w:ind w:left="2" w:firstLine="0"/>
            </w:pPr>
            <w:r>
              <w:rPr>
                <w:sz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D1352F" w14:paraId="79B78172"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3B7FA7CC" w14:textId="77777777" w:rsidR="00D1352F" w:rsidRDefault="009B1F56">
            <w:pPr>
              <w:spacing w:after="0" w:line="259" w:lineRule="auto"/>
              <w:ind w:left="0" w:firstLine="0"/>
            </w:pPr>
            <w:r>
              <w:rPr>
                <w:sz w:val="20"/>
              </w:rPr>
              <w:t xml:space="preserve">Management Information </w:t>
            </w:r>
          </w:p>
        </w:tc>
        <w:tc>
          <w:tcPr>
            <w:tcW w:w="7157" w:type="dxa"/>
            <w:tcBorders>
              <w:top w:val="single" w:sz="6" w:space="0" w:color="000000"/>
              <w:left w:val="single" w:sz="6" w:space="0" w:color="000000"/>
              <w:bottom w:val="single" w:sz="6" w:space="0" w:color="000000"/>
              <w:right w:val="single" w:sz="4" w:space="0" w:color="000000"/>
            </w:tcBorders>
            <w:vAlign w:val="center"/>
          </w:tcPr>
          <w:p w14:paraId="2B55129B" w14:textId="77777777" w:rsidR="00D1352F" w:rsidRDefault="009B1F56">
            <w:pPr>
              <w:spacing w:after="0" w:line="259" w:lineRule="auto"/>
              <w:ind w:left="2" w:firstLine="0"/>
              <w:jc w:val="both"/>
            </w:pPr>
            <w:r>
              <w:rPr>
                <w:sz w:val="20"/>
              </w:rPr>
              <w:t xml:space="preserve">The management information specified in Framework Agreement section 6 (What you report to CCS). </w:t>
            </w:r>
          </w:p>
        </w:tc>
      </w:tr>
      <w:tr w:rsidR="00D1352F" w14:paraId="5C79E48D" w14:textId="77777777">
        <w:trPr>
          <w:trHeight w:val="1004"/>
        </w:trPr>
        <w:tc>
          <w:tcPr>
            <w:tcW w:w="3436" w:type="dxa"/>
            <w:tcBorders>
              <w:top w:val="single" w:sz="6" w:space="0" w:color="000000"/>
              <w:left w:val="single" w:sz="4" w:space="0" w:color="000000"/>
              <w:bottom w:val="single" w:sz="6" w:space="0" w:color="000000"/>
              <w:right w:val="single" w:sz="6" w:space="0" w:color="000000"/>
            </w:tcBorders>
          </w:tcPr>
          <w:p w14:paraId="0FEDFB03" w14:textId="77777777" w:rsidR="00D1352F" w:rsidRDefault="009B1F56">
            <w:pPr>
              <w:spacing w:after="0" w:line="259" w:lineRule="auto"/>
              <w:ind w:left="0" w:firstLine="0"/>
            </w:pPr>
            <w:r>
              <w:rPr>
                <w:sz w:val="20"/>
              </w:rPr>
              <w:t xml:space="preserve">Material Breach  </w:t>
            </w:r>
          </w:p>
        </w:tc>
        <w:tc>
          <w:tcPr>
            <w:tcW w:w="7157" w:type="dxa"/>
            <w:tcBorders>
              <w:top w:val="single" w:sz="6" w:space="0" w:color="000000"/>
              <w:left w:val="single" w:sz="6" w:space="0" w:color="000000"/>
              <w:bottom w:val="single" w:sz="6" w:space="0" w:color="000000"/>
              <w:right w:val="single" w:sz="4" w:space="0" w:color="000000"/>
            </w:tcBorders>
            <w:vAlign w:val="center"/>
          </w:tcPr>
          <w:p w14:paraId="37C35AA9" w14:textId="77777777" w:rsidR="00D1352F" w:rsidRDefault="009B1F56">
            <w:pPr>
              <w:spacing w:after="0" w:line="259" w:lineRule="auto"/>
              <w:ind w:left="2" w:right="236" w:firstLine="0"/>
              <w:jc w:val="both"/>
            </w:pPr>
            <w:r>
              <w:rPr>
                <w:sz w:val="20"/>
              </w:rPr>
              <w:t xml:space="preserve">Those breaches which have been expressly set out as a material breach and any other single serious breach or persistent failure to perform as required under this Call-Off Contract. </w:t>
            </w:r>
          </w:p>
        </w:tc>
      </w:tr>
      <w:tr w:rsidR="00D1352F" w14:paraId="1393B62C"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4B41E949" w14:textId="77777777" w:rsidR="00D1352F" w:rsidRDefault="009B1F56">
            <w:pPr>
              <w:spacing w:after="0" w:line="259" w:lineRule="auto"/>
              <w:ind w:left="0" w:firstLine="0"/>
            </w:pPr>
            <w:r>
              <w:rPr>
                <w:sz w:val="20"/>
              </w:rPr>
              <w:t xml:space="preserve">Ministry of Justice Code </w:t>
            </w:r>
          </w:p>
        </w:tc>
        <w:tc>
          <w:tcPr>
            <w:tcW w:w="7157" w:type="dxa"/>
            <w:tcBorders>
              <w:top w:val="single" w:sz="6" w:space="0" w:color="000000"/>
              <w:left w:val="single" w:sz="6" w:space="0" w:color="000000"/>
              <w:bottom w:val="single" w:sz="6" w:space="0" w:color="000000"/>
              <w:right w:val="single" w:sz="4" w:space="0" w:color="000000"/>
            </w:tcBorders>
            <w:vAlign w:val="center"/>
          </w:tcPr>
          <w:p w14:paraId="3A9F7D39" w14:textId="77777777" w:rsidR="00D1352F" w:rsidRDefault="009B1F56">
            <w:pPr>
              <w:spacing w:after="0" w:line="259" w:lineRule="auto"/>
              <w:ind w:left="2" w:firstLine="0"/>
              <w:jc w:val="both"/>
            </w:pPr>
            <w:r>
              <w:rPr>
                <w:sz w:val="20"/>
              </w:rPr>
              <w:t xml:space="preserve">The Ministry of Justice’s Code of Practice on the Discharge of the Functions of Public Authorities under Part 1 of the Freedom of Information Act 2000. </w:t>
            </w:r>
          </w:p>
        </w:tc>
      </w:tr>
    </w:tbl>
    <w:p w14:paraId="24C06DE2" w14:textId="77777777" w:rsidR="00D1352F" w:rsidRDefault="00D1352F">
      <w:pPr>
        <w:spacing w:after="0" w:line="259" w:lineRule="auto"/>
        <w:ind w:left="-701" w:right="28" w:firstLine="0"/>
      </w:pPr>
    </w:p>
    <w:tbl>
      <w:tblPr>
        <w:tblStyle w:val="TableGrid"/>
        <w:tblW w:w="10593" w:type="dxa"/>
        <w:tblInd w:w="10" w:type="dxa"/>
        <w:tblCellMar>
          <w:top w:w="16" w:type="dxa"/>
          <w:bottom w:w="26" w:type="dxa"/>
          <w:right w:w="58" w:type="dxa"/>
        </w:tblCellMar>
        <w:tblLook w:val="04A0" w:firstRow="1" w:lastRow="0" w:firstColumn="1" w:lastColumn="0" w:noHBand="0" w:noVBand="1"/>
      </w:tblPr>
      <w:tblGrid>
        <w:gridCol w:w="3436"/>
        <w:gridCol w:w="823"/>
        <w:gridCol w:w="6334"/>
      </w:tblGrid>
      <w:tr w:rsidR="00D1352F" w14:paraId="172BF6DF" w14:textId="77777777">
        <w:trPr>
          <w:trHeight w:val="1003"/>
        </w:trPr>
        <w:tc>
          <w:tcPr>
            <w:tcW w:w="3436" w:type="dxa"/>
            <w:tcBorders>
              <w:top w:val="single" w:sz="6" w:space="0" w:color="000000"/>
              <w:left w:val="single" w:sz="4" w:space="0" w:color="000000"/>
              <w:bottom w:val="single" w:sz="6" w:space="0" w:color="000000"/>
              <w:right w:val="single" w:sz="6" w:space="0" w:color="000000"/>
            </w:tcBorders>
          </w:tcPr>
          <w:p w14:paraId="05443DEA" w14:textId="77777777" w:rsidR="00D1352F" w:rsidRDefault="009B1F56">
            <w:pPr>
              <w:spacing w:after="0" w:line="259" w:lineRule="auto"/>
              <w:ind w:left="101" w:firstLine="0"/>
            </w:pPr>
            <w:r>
              <w:rPr>
                <w:sz w:val="20"/>
              </w:rPr>
              <w:t xml:space="preserve">New Fair Deal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2607E013" w14:textId="77777777" w:rsidR="00D1352F" w:rsidRDefault="009B1F56">
            <w:pPr>
              <w:spacing w:after="0" w:line="259" w:lineRule="auto"/>
              <w:ind w:left="103" w:right="347" w:firstLine="0"/>
              <w:jc w:val="both"/>
            </w:pPr>
            <w:r>
              <w:rPr>
                <w:sz w:val="20"/>
              </w:rPr>
              <w:t xml:space="preserve">The revised Fair Deal position in the HM Treasury guidance: “Fair Deal for staff pensions: staff transfer from central government” issued in October 2013 as amended. </w:t>
            </w:r>
          </w:p>
        </w:tc>
      </w:tr>
      <w:tr w:rsidR="00D1352F" w14:paraId="48637DE2" w14:textId="77777777">
        <w:trPr>
          <w:trHeight w:val="740"/>
        </w:trPr>
        <w:tc>
          <w:tcPr>
            <w:tcW w:w="3436" w:type="dxa"/>
            <w:tcBorders>
              <w:top w:val="single" w:sz="6" w:space="0" w:color="000000"/>
              <w:left w:val="single" w:sz="4" w:space="0" w:color="000000"/>
              <w:bottom w:val="single" w:sz="6" w:space="0" w:color="000000"/>
              <w:right w:val="single" w:sz="6" w:space="0" w:color="000000"/>
            </w:tcBorders>
          </w:tcPr>
          <w:p w14:paraId="0CAA84CF" w14:textId="77777777" w:rsidR="00D1352F" w:rsidRDefault="009B1F56">
            <w:pPr>
              <w:spacing w:after="0" w:line="259" w:lineRule="auto"/>
              <w:ind w:left="101" w:firstLine="0"/>
            </w:pPr>
            <w:r>
              <w:rPr>
                <w:sz w:val="20"/>
              </w:rPr>
              <w:t xml:space="preserve">Order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04B5AABB" w14:textId="77777777" w:rsidR="00D1352F" w:rsidRDefault="009B1F56">
            <w:pPr>
              <w:spacing w:after="0" w:line="259" w:lineRule="auto"/>
              <w:ind w:left="103" w:firstLine="0"/>
              <w:jc w:val="both"/>
            </w:pPr>
            <w:r>
              <w:rPr>
                <w:sz w:val="20"/>
              </w:rPr>
              <w:t xml:space="preserve">An order for G-Cloud Services placed by a Contracting Body with the Supplier in accordance with the Ordering Processes. </w:t>
            </w:r>
          </w:p>
        </w:tc>
      </w:tr>
      <w:tr w:rsidR="00D1352F" w14:paraId="08EA0359"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2BE1188D" w14:textId="77777777" w:rsidR="00D1352F" w:rsidRDefault="009B1F56">
            <w:pPr>
              <w:spacing w:after="0" w:line="259" w:lineRule="auto"/>
              <w:ind w:left="101" w:firstLine="0"/>
            </w:pPr>
            <w:r>
              <w:rPr>
                <w:sz w:val="20"/>
              </w:rPr>
              <w:t xml:space="preserve">Order Form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75779DB4" w14:textId="77777777" w:rsidR="00D1352F" w:rsidRDefault="009B1F56">
            <w:pPr>
              <w:spacing w:after="0" w:line="259" w:lineRule="auto"/>
              <w:ind w:left="103" w:firstLine="0"/>
            </w:pPr>
            <w:r>
              <w:rPr>
                <w:sz w:val="20"/>
              </w:rPr>
              <w:t xml:space="preserve">The order form set out in Part A of the Call-Off Contract to be used by a Buyer to order G-Cloud Services. </w:t>
            </w:r>
          </w:p>
        </w:tc>
      </w:tr>
      <w:tr w:rsidR="00D1352F" w14:paraId="274F947D"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148F11AD" w14:textId="77777777" w:rsidR="00D1352F" w:rsidRDefault="009B1F56">
            <w:pPr>
              <w:spacing w:after="0" w:line="259" w:lineRule="auto"/>
              <w:ind w:left="101" w:firstLine="0"/>
            </w:pPr>
            <w:r>
              <w:rPr>
                <w:sz w:val="20"/>
              </w:rPr>
              <w:t xml:space="preserve">Ordered G-Cloud Services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4FA5D0FF" w14:textId="77777777" w:rsidR="00D1352F" w:rsidRDefault="009B1F56">
            <w:pPr>
              <w:spacing w:after="0" w:line="259" w:lineRule="auto"/>
              <w:ind w:left="103" w:firstLine="0"/>
            </w:pPr>
            <w:r>
              <w:rPr>
                <w:sz w:val="20"/>
              </w:rPr>
              <w:t xml:space="preserve">G-Cloud Services which are the subject of an Order by the Buyer. </w:t>
            </w:r>
          </w:p>
        </w:tc>
      </w:tr>
      <w:tr w:rsidR="00D1352F" w14:paraId="3CF68D8A" w14:textId="77777777">
        <w:trPr>
          <w:trHeight w:val="740"/>
        </w:trPr>
        <w:tc>
          <w:tcPr>
            <w:tcW w:w="3436" w:type="dxa"/>
            <w:tcBorders>
              <w:top w:val="single" w:sz="6" w:space="0" w:color="000000"/>
              <w:left w:val="single" w:sz="4" w:space="0" w:color="000000"/>
              <w:bottom w:val="single" w:sz="6" w:space="0" w:color="000000"/>
              <w:right w:val="single" w:sz="6" w:space="0" w:color="000000"/>
            </w:tcBorders>
          </w:tcPr>
          <w:p w14:paraId="33004EAF" w14:textId="77777777" w:rsidR="00D1352F" w:rsidRDefault="009B1F56">
            <w:pPr>
              <w:spacing w:after="0" w:line="259" w:lineRule="auto"/>
              <w:ind w:left="101" w:firstLine="0"/>
            </w:pPr>
            <w:r>
              <w:rPr>
                <w:sz w:val="20"/>
              </w:rPr>
              <w:t xml:space="preserve">Outside IR35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2DD77029" w14:textId="77777777" w:rsidR="00D1352F" w:rsidRDefault="009B1F56">
            <w:pPr>
              <w:spacing w:after="0" w:line="259" w:lineRule="auto"/>
              <w:ind w:left="103" w:right="15"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 </w:t>
            </w:r>
          </w:p>
        </w:tc>
      </w:tr>
      <w:tr w:rsidR="00D1352F" w14:paraId="5F66BB72"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59A0CD42" w14:textId="77777777" w:rsidR="00D1352F" w:rsidRDefault="009B1F56">
            <w:pPr>
              <w:spacing w:after="0" w:line="259" w:lineRule="auto"/>
              <w:ind w:left="101" w:firstLine="0"/>
            </w:pPr>
            <w:r>
              <w:rPr>
                <w:sz w:val="20"/>
              </w:rPr>
              <w:t xml:space="preserve">Party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08EF4CEC" w14:textId="77777777" w:rsidR="00D1352F" w:rsidRDefault="009B1F56">
            <w:pPr>
              <w:spacing w:after="0" w:line="259" w:lineRule="auto"/>
              <w:ind w:left="103" w:firstLine="0"/>
            </w:pPr>
            <w:r>
              <w:rPr>
                <w:sz w:val="20"/>
              </w:rPr>
              <w:t xml:space="preserve">The Buyer or the Supplier and ‘Parties’ will be interpreted accordingly. </w:t>
            </w:r>
          </w:p>
        </w:tc>
      </w:tr>
      <w:tr w:rsidR="00D1352F" w14:paraId="28A6542F" w14:textId="77777777">
        <w:trPr>
          <w:trHeight w:val="480"/>
        </w:trPr>
        <w:tc>
          <w:tcPr>
            <w:tcW w:w="3436" w:type="dxa"/>
            <w:tcBorders>
              <w:top w:val="single" w:sz="6" w:space="0" w:color="000000"/>
              <w:left w:val="single" w:sz="4" w:space="0" w:color="000000"/>
              <w:bottom w:val="single" w:sz="6" w:space="0" w:color="000000"/>
              <w:right w:val="single" w:sz="6" w:space="0" w:color="000000"/>
            </w:tcBorders>
            <w:vAlign w:val="center"/>
          </w:tcPr>
          <w:p w14:paraId="0331E9B9" w14:textId="77777777" w:rsidR="00D1352F" w:rsidRDefault="009B1F56">
            <w:pPr>
              <w:spacing w:after="0" w:line="259" w:lineRule="auto"/>
              <w:ind w:left="101" w:firstLine="0"/>
            </w:pPr>
            <w:r>
              <w:rPr>
                <w:sz w:val="20"/>
              </w:rPr>
              <w:lastRenderedPageBreak/>
              <w:t xml:space="preserve">Personal Data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2CE00180" w14:textId="77777777" w:rsidR="00D1352F" w:rsidRDefault="009B1F56">
            <w:pPr>
              <w:spacing w:after="0" w:line="259" w:lineRule="auto"/>
              <w:ind w:left="103" w:firstLine="0"/>
            </w:pPr>
            <w:r>
              <w:rPr>
                <w:color w:val="353535"/>
                <w:sz w:val="20"/>
              </w:rPr>
              <w:t>Takes the meaning given in the GDPR.</w:t>
            </w:r>
            <w:r>
              <w:rPr>
                <w:sz w:val="20"/>
              </w:rPr>
              <w:t xml:space="preserve"> </w:t>
            </w:r>
          </w:p>
        </w:tc>
      </w:tr>
      <w:tr w:rsidR="00D1352F" w14:paraId="067B6C4E" w14:textId="77777777">
        <w:trPr>
          <w:trHeight w:val="476"/>
        </w:trPr>
        <w:tc>
          <w:tcPr>
            <w:tcW w:w="3436" w:type="dxa"/>
            <w:tcBorders>
              <w:top w:val="single" w:sz="6" w:space="0" w:color="000000"/>
              <w:left w:val="single" w:sz="4" w:space="0" w:color="000000"/>
              <w:bottom w:val="single" w:sz="6" w:space="0" w:color="000000"/>
              <w:right w:val="single" w:sz="6" w:space="0" w:color="000000"/>
            </w:tcBorders>
            <w:vAlign w:val="center"/>
          </w:tcPr>
          <w:p w14:paraId="0FF860E6" w14:textId="77777777" w:rsidR="00D1352F" w:rsidRDefault="009B1F56">
            <w:pPr>
              <w:spacing w:after="0" w:line="259" w:lineRule="auto"/>
              <w:ind w:left="101" w:firstLine="0"/>
            </w:pPr>
            <w:r>
              <w:rPr>
                <w:sz w:val="20"/>
              </w:rPr>
              <w:t xml:space="preserve">Personal Data Breach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46AA1884" w14:textId="77777777" w:rsidR="00D1352F" w:rsidRDefault="009B1F56">
            <w:pPr>
              <w:spacing w:after="0" w:line="259" w:lineRule="auto"/>
              <w:ind w:left="103" w:firstLine="0"/>
            </w:pPr>
            <w:r>
              <w:rPr>
                <w:color w:val="353535"/>
                <w:sz w:val="20"/>
              </w:rPr>
              <w:t xml:space="preserve">Takes the meaning given in the GDPR. </w:t>
            </w:r>
          </w:p>
        </w:tc>
      </w:tr>
      <w:tr w:rsidR="00D1352F" w14:paraId="09AEF6A7"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47F69279" w14:textId="77777777" w:rsidR="00D1352F" w:rsidRDefault="009B1F56">
            <w:pPr>
              <w:spacing w:after="0" w:line="259" w:lineRule="auto"/>
              <w:ind w:left="101" w:firstLine="0"/>
            </w:pPr>
            <w:r>
              <w:rPr>
                <w:sz w:val="20"/>
              </w:rPr>
              <w:t xml:space="preserve">Processing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595E1741" w14:textId="77777777" w:rsidR="00D1352F" w:rsidRDefault="009B1F56">
            <w:pPr>
              <w:spacing w:after="0" w:line="259" w:lineRule="auto"/>
              <w:ind w:left="103" w:firstLine="0"/>
            </w:pPr>
            <w:r>
              <w:rPr>
                <w:color w:val="353535"/>
                <w:sz w:val="20"/>
              </w:rPr>
              <w:t xml:space="preserve">Takes the meaning given in the </w:t>
            </w:r>
            <w:r>
              <w:rPr>
                <w:sz w:val="20"/>
              </w:rPr>
              <w:t xml:space="preserve">GDPR </w:t>
            </w:r>
          </w:p>
        </w:tc>
      </w:tr>
      <w:tr w:rsidR="00D1352F" w14:paraId="32502339"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18391693" w14:textId="77777777" w:rsidR="00D1352F" w:rsidRDefault="009B1F56">
            <w:pPr>
              <w:spacing w:after="0" w:line="259" w:lineRule="auto"/>
              <w:ind w:left="101" w:firstLine="0"/>
            </w:pPr>
            <w:r>
              <w:rPr>
                <w:sz w:val="20"/>
              </w:rPr>
              <w:t xml:space="preserve">Processor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6123B7D4" w14:textId="77777777" w:rsidR="00D1352F" w:rsidRDefault="009B1F56">
            <w:pPr>
              <w:spacing w:after="0" w:line="259" w:lineRule="auto"/>
              <w:ind w:left="103" w:firstLine="0"/>
            </w:pPr>
            <w:r>
              <w:rPr>
                <w:color w:val="353535"/>
                <w:sz w:val="20"/>
              </w:rPr>
              <w:t>Takes the meaning given in the GDPR.</w:t>
            </w:r>
            <w:r>
              <w:rPr>
                <w:sz w:val="20"/>
              </w:rPr>
              <w:t xml:space="preserve"> </w:t>
            </w:r>
          </w:p>
        </w:tc>
      </w:tr>
      <w:tr w:rsidR="00D1352F" w14:paraId="5B89B09D" w14:textId="77777777">
        <w:trPr>
          <w:trHeight w:val="1191"/>
        </w:trPr>
        <w:tc>
          <w:tcPr>
            <w:tcW w:w="3436" w:type="dxa"/>
            <w:tcBorders>
              <w:top w:val="single" w:sz="6" w:space="0" w:color="000000"/>
              <w:left w:val="single" w:sz="4" w:space="0" w:color="000000"/>
              <w:bottom w:val="nil"/>
              <w:right w:val="single" w:sz="6" w:space="0" w:color="000000"/>
            </w:tcBorders>
          </w:tcPr>
          <w:p w14:paraId="47640811" w14:textId="77777777" w:rsidR="00D1352F" w:rsidRDefault="009B1F56">
            <w:pPr>
              <w:spacing w:after="0" w:line="259" w:lineRule="auto"/>
              <w:ind w:left="101" w:firstLine="0"/>
            </w:pPr>
            <w:r>
              <w:rPr>
                <w:sz w:val="20"/>
              </w:rPr>
              <w:t xml:space="preserve">Prohibited Act </w:t>
            </w:r>
          </w:p>
        </w:tc>
        <w:tc>
          <w:tcPr>
            <w:tcW w:w="7157" w:type="dxa"/>
            <w:gridSpan w:val="2"/>
            <w:tcBorders>
              <w:top w:val="single" w:sz="6" w:space="0" w:color="000000"/>
              <w:left w:val="single" w:sz="6" w:space="0" w:color="000000"/>
              <w:bottom w:val="nil"/>
              <w:right w:val="single" w:sz="4" w:space="0" w:color="000000"/>
            </w:tcBorders>
            <w:vAlign w:val="bottom"/>
          </w:tcPr>
          <w:p w14:paraId="63963D27" w14:textId="77777777" w:rsidR="00D1352F" w:rsidRDefault="009B1F56">
            <w:pPr>
              <w:spacing w:after="33" w:line="237" w:lineRule="auto"/>
              <w:ind w:left="103" w:right="1412" w:firstLine="0"/>
            </w:pPr>
            <w:r>
              <w:rPr>
                <w:sz w:val="20"/>
              </w:rPr>
              <w:t xml:space="preserve">To directly or indirectly offer, promise or give any person working for or engaged by a Buyer or CCS a financial or other advantage to: </w:t>
            </w:r>
          </w:p>
          <w:p w14:paraId="15B4FE3A" w14:textId="77777777" w:rsidR="00D1352F" w:rsidRDefault="009B1F56">
            <w:pPr>
              <w:tabs>
                <w:tab w:val="center" w:pos="524"/>
                <w:tab w:val="center" w:pos="3842"/>
              </w:tabs>
              <w:spacing w:after="0" w:line="259" w:lineRule="auto"/>
              <w:ind w:left="0" w:firstLine="0"/>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rPr>
                <w:sz w:val="20"/>
              </w:rPr>
              <w:t xml:space="preserve">induce that person to perform improperly a relevant function or activity </w:t>
            </w:r>
          </w:p>
        </w:tc>
      </w:tr>
      <w:tr w:rsidR="00D1352F" w14:paraId="0FBB03E3" w14:textId="77777777">
        <w:trPr>
          <w:trHeight w:val="523"/>
        </w:trPr>
        <w:tc>
          <w:tcPr>
            <w:tcW w:w="3436" w:type="dxa"/>
            <w:tcBorders>
              <w:top w:val="nil"/>
              <w:left w:val="single" w:sz="4" w:space="0" w:color="000000"/>
              <w:bottom w:val="nil"/>
              <w:right w:val="single" w:sz="6" w:space="0" w:color="000000"/>
            </w:tcBorders>
          </w:tcPr>
          <w:p w14:paraId="4C49640E" w14:textId="77777777" w:rsidR="00D1352F" w:rsidRDefault="00D1352F">
            <w:pPr>
              <w:spacing w:after="160" w:line="259" w:lineRule="auto"/>
              <w:ind w:left="0" w:firstLine="0"/>
            </w:pPr>
          </w:p>
        </w:tc>
        <w:tc>
          <w:tcPr>
            <w:tcW w:w="823" w:type="dxa"/>
            <w:tcBorders>
              <w:top w:val="nil"/>
              <w:left w:val="single" w:sz="6" w:space="0" w:color="000000"/>
              <w:bottom w:val="nil"/>
              <w:right w:val="nil"/>
            </w:tcBorders>
          </w:tcPr>
          <w:p w14:paraId="369051F1" w14:textId="77777777" w:rsidR="00D1352F" w:rsidRDefault="009B1F56">
            <w:pPr>
              <w:spacing w:after="0" w:line="259" w:lineRule="auto"/>
              <w:ind w:left="283" w:firstLine="0"/>
              <w:jc w:val="center"/>
            </w:pPr>
            <w:r>
              <w:rPr>
                <w:sz w:val="20"/>
              </w:rPr>
              <w:t>●</w:t>
            </w:r>
            <w:r>
              <w:rPr>
                <w:rFonts w:ascii="Arial" w:eastAsia="Arial" w:hAnsi="Arial" w:cs="Arial"/>
                <w:sz w:val="20"/>
              </w:rPr>
              <w:t xml:space="preserve"> </w:t>
            </w:r>
          </w:p>
        </w:tc>
        <w:tc>
          <w:tcPr>
            <w:tcW w:w="6334" w:type="dxa"/>
            <w:tcBorders>
              <w:top w:val="nil"/>
              <w:left w:val="nil"/>
              <w:bottom w:val="nil"/>
              <w:right w:val="single" w:sz="4" w:space="0" w:color="000000"/>
            </w:tcBorders>
          </w:tcPr>
          <w:p w14:paraId="59A450C2" w14:textId="77777777" w:rsidR="00D1352F" w:rsidRDefault="009B1F56">
            <w:pPr>
              <w:spacing w:after="0" w:line="259" w:lineRule="auto"/>
              <w:ind w:left="0" w:firstLine="0"/>
            </w:pPr>
            <w:r>
              <w:rPr>
                <w:sz w:val="20"/>
              </w:rPr>
              <w:t xml:space="preserve">reward that person for improper performance of a relevant function or activity </w:t>
            </w:r>
          </w:p>
        </w:tc>
      </w:tr>
      <w:tr w:rsidR="00D1352F" w14:paraId="3B5774F2" w14:textId="77777777">
        <w:trPr>
          <w:trHeight w:val="1397"/>
        </w:trPr>
        <w:tc>
          <w:tcPr>
            <w:tcW w:w="3436" w:type="dxa"/>
            <w:tcBorders>
              <w:top w:val="nil"/>
              <w:left w:val="single" w:sz="4" w:space="0" w:color="000000"/>
              <w:bottom w:val="single" w:sz="6" w:space="0" w:color="000000"/>
              <w:right w:val="single" w:sz="6" w:space="0" w:color="000000"/>
            </w:tcBorders>
          </w:tcPr>
          <w:p w14:paraId="1490D40A" w14:textId="77777777" w:rsidR="00D1352F" w:rsidRDefault="00D1352F">
            <w:pPr>
              <w:spacing w:after="160" w:line="259" w:lineRule="auto"/>
              <w:ind w:left="0" w:firstLine="0"/>
            </w:pPr>
          </w:p>
        </w:tc>
        <w:tc>
          <w:tcPr>
            <w:tcW w:w="823" w:type="dxa"/>
            <w:tcBorders>
              <w:top w:val="nil"/>
              <w:left w:val="single" w:sz="6" w:space="0" w:color="000000"/>
              <w:bottom w:val="single" w:sz="6" w:space="0" w:color="000000"/>
              <w:right w:val="nil"/>
            </w:tcBorders>
          </w:tcPr>
          <w:p w14:paraId="13233C6E" w14:textId="77777777" w:rsidR="00D1352F" w:rsidRDefault="009B1F56">
            <w:pPr>
              <w:spacing w:after="0" w:line="259" w:lineRule="auto"/>
              <w:ind w:left="283" w:firstLine="0"/>
              <w:jc w:val="center"/>
            </w:pPr>
            <w:r>
              <w:rPr>
                <w:sz w:val="20"/>
              </w:rPr>
              <w:t>●</w:t>
            </w:r>
            <w:r>
              <w:rPr>
                <w:rFonts w:ascii="Arial" w:eastAsia="Arial" w:hAnsi="Arial" w:cs="Arial"/>
                <w:sz w:val="20"/>
              </w:rPr>
              <w:t xml:space="preserve"> </w:t>
            </w:r>
          </w:p>
        </w:tc>
        <w:tc>
          <w:tcPr>
            <w:tcW w:w="6334" w:type="dxa"/>
            <w:tcBorders>
              <w:top w:val="nil"/>
              <w:left w:val="nil"/>
              <w:bottom w:val="single" w:sz="6" w:space="0" w:color="000000"/>
              <w:right w:val="single" w:sz="4" w:space="0" w:color="000000"/>
            </w:tcBorders>
          </w:tcPr>
          <w:p w14:paraId="49D215A9" w14:textId="77777777" w:rsidR="00D1352F" w:rsidRDefault="009B1F56">
            <w:pPr>
              <w:spacing w:after="9" w:line="259" w:lineRule="auto"/>
              <w:ind w:left="0" w:firstLine="0"/>
            </w:pPr>
            <w:r>
              <w:rPr>
                <w:sz w:val="20"/>
              </w:rPr>
              <w:t xml:space="preserve">commit any offence: </w:t>
            </w:r>
          </w:p>
          <w:p w14:paraId="1B95DC19" w14:textId="77777777" w:rsidR="00D1352F" w:rsidRDefault="009B1F56">
            <w:pPr>
              <w:tabs>
                <w:tab w:val="center" w:pos="421"/>
                <w:tab w:val="center" w:pos="1869"/>
              </w:tabs>
              <w:spacing w:after="10" w:line="259" w:lineRule="auto"/>
              <w:ind w:left="0" w:firstLine="0"/>
            </w:pPr>
            <w:r>
              <w:rPr>
                <w:rFonts w:ascii="Calibri" w:eastAsia="Calibri" w:hAnsi="Calibri" w:cs="Calibri"/>
                <w:sz w:val="22"/>
              </w:rPr>
              <w:tab/>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rPr>
                <w:sz w:val="20"/>
              </w:rPr>
              <w:t xml:space="preserve">under the Bribery Act 2010 </w:t>
            </w:r>
          </w:p>
          <w:p w14:paraId="5F296D8B" w14:textId="77777777" w:rsidR="00D1352F" w:rsidRDefault="009B1F56">
            <w:pPr>
              <w:tabs>
                <w:tab w:val="center" w:pos="421"/>
                <w:tab w:val="center" w:pos="2917"/>
              </w:tabs>
              <w:spacing w:after="10" w:line="259" w:lineRule="auto"/>
              <w:ind w:left="0" w:firstLine="0"/>
            </w:pPr>
            <w:r>
              <w:rPr>
                <w:rFonts w:ascii="Calibri" w:eastAsia="Calibri" w:hAnsi="Calibri" w:cs="Calibri"/>
                <w:sz w:val="22"/>
              </w:rPr>
              <w:tab/>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rPr>
                <w:sz w:val="20"/>
              </w:rPr>
              <w:t xml:space="preserve">under legislation creating offences concerning Fraud </w:t>
            </w:r>
          </w:p>
          <w:p w14:paraId="535C4BC1" w14:textId="77777777" w:rsidR="00D1352F" w:rsidRDefault="009B1F56">
            <w:pPr>
              <w:tabs>
                <w:tab w:val="center" w:pos="421"/>
                <w:tab w:val="center" w:pos="2155"/>
              </w:tabs>
              <w:spacing w:after="10" w:line="259" w:lineRule="auto"/>
              <w:ind w:left="0" w:firstLine="0"/>
            </w:pPr>
            <w:r>
              <w:rPr>
                <w:rFonts w:ascii="Calibri" w:eastAsia="Calibri" w:hAnsi="Calibri" w:cs="Calibri"/>
                <w:sz w:val="22"/>
              </w:rPr>
              <w:tab/>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rPr>
                <w:sz w:val="20"/>
              </w:rPr>
              <w:t xml:space="preserve">at common Law concerning Fraud </w:t>
            </w:r>
          </w:p>
          <w:p w14:paraId="16D31849" w14:textId="77777777" w:rsidR="00D1352F" w:rsidRDefault="009B1F56">
            <w:pPr>
              <w:tabs>
                <w:tab w:val="center" w:pos="421"/>
                <w:tab w:val="center" w:pos="3103"/>
              </w:tabs>
              <w:spacing w:after="0" w:line="259" w:lineRule="auto"/>
              <w:ind w:left="0" w:firstLine="0"/>
            </w:pPr>
            <w:r>
              <w:rPr>
                <w:rFonts w:ascii="Calibri" w:eastAsia="Calibri" w:hAnsi="Calibri" w:cs="Calibri"/>
                <w:sz w:val="22"/>
              </w:rPr>
              <w:tab/>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rPr>
                <w:sz w:val="20"/>
              </w:rPr>
              <w:t xml:space="preserve">committing or attempting or conspiring to commit Fraud </w:t>
            </w:r>
          </w:p>
        </w:tc>
      </w:tr>
      <w:tr w:rsidR="00D1352F" w14:paraId="5032931A" w14:textId="77777777">
        <w:trPr>
          <w:trHeight w:val="1532"/>
        </w:trPr>
        <w:tc>
          <w:tcPr>
            <w:tcW w:w="3436" w:type="dxa"/>
            <w:tcBorders>
              <w:top w:val="single" w:sz="6" w:space="0" w:color="000000"/>
              <w:left w:val="single" w:sz="4" w:space="0" w:color="000000"/>
              <w:bottom w:val="single" w:sz="6" w:space="0" w:color="000000"/>
              <w:right w:val="single" w:sz="6" w:space="0" w:color="000000"/>
            </w:tcBorders>
          </w:tcPr>
          <w:p w14:paraId="252E4C3F" w14:textId="77777777" w:rsidR="00D1352F" w:rsidRDefault="009B1F56">
            <w:pPr>
              <w:spacing w:after="0" w:line="259" w:lineRule="auto"/>
              <w:ind w:left="101" w:firstLine="0"/>
            </w:pPr>
            <w:r>
              <w:rPr>
                <w:sz w:val="20"/>
              </w:rPr>
              <w:t xml:space="preserve">Project Specific IPRs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7C2FC8AD" w14:textId="77777777" w:rsidR="00D1352F" w:rsidRDefault="009B1F56">
            <w:pPr>
              <w:spacing w:after="0" w:line="259" w:lineRule="auto"/>
              <w:ind w:left="103" w:firstLine="0"/>
            </w:pPr>
            <w:r>
              <w:rPr>
                <w:sz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D1352F" w14:paraId="79D99178"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3F4228D5" w14:textId="77777777" w:rsidR="00D1352F" w:rsidRDefault="009B1F56">
            <w:pPr>
              <w:spacing w:after="0" w:line="259" w:lineRule="auto"/>
              <w:ind w:left="101" w:firstLine="0"/>
            </w:pPr>
            <w:r>
              <w:rPr>
                <w:sz w:val="20"/>
              </w:rPr>
              <w:t xml:space="preserve">Property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68254BCB" w14:textId="77777777" w:rsidR="00D1352F" w:rsidRDefault="009B1F56">
            <w:pPr>
              <w:spacing w:after="0" w:line="259" w:lineRule="auto"/>
              <w:ind w:left="103" w:firstLine="0"/>
            </w:pPr>
            <w:r>
              <w:rPr>
                <w:sz w:val="20"/>
              </w:rPr>
              <w:t xml:space="preserve">Assets and property including technical infrastructure, IPRs and equipment.  </w:t>
            </w:r>
          </w:p>
        </w:tc>
      </w:tr>
      <w:tr w:rsidR="00D1352F" w14:paraId="5D9F6E68" w14:textId="77777777">
        <w:trPr>
          <w:trHeight w:val="1532"/>
        </w:trPr>
        <w:tc>
          <w:tcPr>
            <w:tcW w:w="3436" w:type="dxa"/>
            <w:tcBorders>
              <w:top w:val="single" w:sz="6" w:space="0" w:color="000000"/>
              <w:left w:val="single" w:sz="4" w:space="0" w:color="000000"/>
              <w:bottom w:val="single" w:sz="6" w:space="0" w:color="000000"/>
              <w:right w:val="single" w:sz="6" w:space="0" w:color="000000"/>
            </w:tcBorders>
          </w:tcPr>
          <w:p w14:paraId="2AAEA9EC" w14:textId="77777777" w:rsidR="00D1352F" w:rsidRDefault="009B1F56">
            <w:pPr>
              <w:spacing w:after="0" w:line="259" w:lineRule="auto"/>
              <w:ind w:left="101" w:firstLine="0"/>
            </w:pPr>
            <w:r>
              <w:rPr>
                <w:sz w:val="20"/>
              </w:rPr>
              <w:t xml:space="preserve">Protective Measures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09B989FF" w14:textId="77777777" w:rsidR="00D1352F" w:rsidRDefault="009B1F56">
            <w:pPr>
              <w:spacing w:after="0" w:line="259" w:lineRule="auto"/>
              <w:ind w:left="103" w:firstLine="0"/>
            </w:pPr>
            <w:r>
              <w:rPr>
                <w:color w:val="353535"/>
                <w:sz w:val="20"/>
              </w:rPr>
              <w:t xml:space="preserve">Appropriate technical and organisational measures which may include: </w:t>
            </w:r>
          </w:p>
          <w:p w14:paraId="2DEFA526" w14:textId="77777777" w:rsidR="00D1352F" w:rsidRDefault="009B1F56">
            <w:pPr>
              <w:spacing w:after="0" w:line="259" w:lineRule="auto"/>
              <w:ind w:left="103" w:firstLine="0"/>
            </w:pPr>
            <w:r>
              <w:rPr>
                <w:color w:val="353535"/>
                <w:sz w:val="20"/>
              </w:rPr>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Pr>
                <w:sz w:val="20"/>
              </w:rPr>
              <w:t xml:space="preserve"> </w:t>
            </w:r>
          </w:p>
        </w:tc>
      </w:tr>
      <w:tr w:rsidR="00D1352F" w14:paraId="49070C4C" w14:textId="77777777">
        <w:trPr>
          <w:trHeight w:val="1004"/>
        </w:trPr>
        <w:tc>
          <w:tcPr>
            <w:tcW w:w="3436" w:type="dxa"/>
            <w:tcBorders>
              <w:top w:val="single" w:sz="6" w:space="0" w:color="000000"/>
              <w:left w:val="single" w:sz="4" w:space="0" w:color="000000"/>
              <w:bottom w:val="single" w:sz="6" w:space="0" w:color="000000"/>
              <w:right w:val="single" w:sz="6" w:space="0" w:color="000000"/>
            </w:tcBorders>
          </w:tcPr>
          <w:p w14:paraId="485B702F" w14:textId="77777777" w:rsidR="00D1352F" w:rsidRDefault="009B1F56">
            <w:pPr>
              <w:spacing w:after="0" w:line="259" w:lineRule="auto"/>
              <w:ind w:left="101" w:firstLine="0"/>
            </w:pPr>
            <w:r>
              <w:rPr>
                <w:sz w:val="20"/>
              </w:rPr>
              <w:t xml:space="preserve">PSN or Public Services Network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76EBA432" w14:textId="77777777" w:rsidR="00D1352F" w:rsidRDefault="009B1F56">
            <w:pPr>
              <w:spacing w:after="0" w:line="259" w:lineRule="auto"/>
              <w:ind w:left="103" w:firstLine="0"/>
            </w:pPr>
            <w:r>
              <w:rPr>
                <w:sz w:val="20"/>
              </w:rPr>
              <w:t xml:space="preserve">The Public Services Network (PSN) is the Government’s high-performance network which helps public sector organisations work together, reduce duplication and share resources. </w:t>
            </w:r>
          </w:p>
        </w:tc>
      </w:tr>
      <w:tr w:rsidR="00D1352F" w14:paraId="268B7ACC"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2E6F9C72" w14:textId="77777777" w:rsidR="00D1352F" w:rsidRDefault="009B1F56">
            <w:pPr>
              <w:spacing w:after="0" w:line="259" w:lineRule="auto"/>
              <w:ind w:left="101" w:firstLine="0"/>
            </w:pPr>
            <w:r>
              <w:rPr>
                <w:sz w:val="20"/>
              </w:rPr>
              <w:t xml:space="preserve">Regulatory Body or Bodies </w:t>
            </w:r>
          </w:p>
        </w:tc>
        <w:tc>
          <w:tcPr>
            <w:tcW w:w="7157" w:type="dxa"/>
            <w:gridSpan w:val="2"/>
            <w:tcBorders>
              <w:top w:val="single" w:sz="6" w:space="0" w:color="000000"/>
              <w:left w:val="single" w:sz="6" w:space="0" w:color="000000"/>
              <w:bottom w:val="single" w:sz="6" w:space="0" w:color="000000"/>
              <w:right w:val="single" w:sz="4" w:space="0" w:color="000000"/>
            </w:tcBorders>
            <w:vAlign w:val="center"/>
          </w:tcPr>
          <w:p w14:paraId="0AD19D48" w14:textId="77777777" w:rsidR="00D1352F" w:rsidRDefault="009B1F56">
            <w:pPr>
              <w:spacing w:after="0" w:line="259" w:lineRule="auto"/>
              <w:ind w:left="103" w:firstLine="0"/>
            </w:pPr>
            <w:r>
              <w:rPr>
                <w:sz w:val="20"/>
              </w:rPr>
              <w:t xml:space="preserve">Government departments and other bodies which, whether under statute, codes of practice or otherwise, are entitled to investigate or influence the matters dealt with </w:t>
            </w:r>
          </w:p>
        </w:tc>
      </w:tr>
    </w:tbl>
    <w:p w14:paraId="4FF29AF5" w14:textId="77777777" w:rsidR="00D1352F" w:rsidRDefault="00D1352F">
      <w:pPr>
        <w:spacing w:after="0" w:line="259" w:lineRule="auto"/>
        <w:ind w:left="-701" w:right="28" w:firstLine="0"/>
      </w:pPr>
    </w:p>
    <w:tbl>
      <w:tblPr>
        <w:tblStyle w:val="TableGrid"/>
        <w:tblW w:w="10593" w:type="dxa"/>
        <w:tblInd w:w="10" w:type="dxa"/>
        <w:tblCellMar>
          <w:top w:w="156" w:type="dxa"/>
          <w:left w:w="101" w:type="dxa"/>
          <w:right w:w="63" w:type="dxa"/>
        </w:tblCellMar>
        <w:tblLook w:val="04A0" w:firstRow="1" w:lastRow="0" w:firstColumn="1" w:lastColumn="0" w:noHBand="0" w:noVBand="1"/>
      </w:tblPr>
      <w:tblGrid>
        <w:gridCol w:w="3436"/>
        <w:gridCol w:w="7157"/>
      </w:tblGrid>
      <w:tr w:rsidR="00D1352F" w14:paraId="79637AA7" w14:textId="77777777">
        <w:trPr>
          <w:trHeight w:val="475"/>
        </w:trPr>
        <w:tc>
          <w:tcPr>
            <w:tcW w:w="3436" w:type="dxa"/>
            <w:tcBorders>
              <w:top w:val="single" w:sz="6" w:space="0" w:color="000000"/>
              <w:left w:val="single" w:sz="4" w:space="0" w:color="000000"/>
              <w:bottom w:val="single" w:sz="6" w:space="0" w:color="000000"/>
              <w:right w:val="single" w:sz="6" w:space="0" w:color="000000"/>
            </w:tcBorders>
          </w:tcPr>
          <w:p w14:paraId="292F8159" w14:textId="77777777" w:rsidR="00D1352F" w:rsidRDefault="00D1352F">
            <w:pPr>
              <w:spacing w:after="160" w:line="259" w:lineRule="auto"/>
              <w:ind w:left="0" w:firstLine="0"/>
            </w:pPr>
          </w:p>
        </w:tc>
        <w:tc>
          <w:tcPr>
            <w:tcW w:w="7157" w:type="dxa"/>
            <w:tcBorders>
              <w:top w:val="single" w:sz="6" w:space="0" w:color="000000"/>
              <w:left w:val="single" w:sz="6" w:space="0" w:color="000000"/>
              <w:bottom w:val="single" w:sz="6" w:space="0" w:color="000000"/>
              <w:right w:val="single" w:sz="4" w:space="0" w:color="000000"/>
            </w:tcBorders>
            <w:vAlign w:val="center"/>
          </w:tcPr>
          <w:p w14:paraId="1E81ECBB" w14:textId="77777777" w:rsidR="00D1352F" w:rsidRDefault="009B1F56">
            <w:pPr>
              <w:spacing w:after="0" w:line="259" w:lineRule="auto"/>
              <w:ind w:left="2" w:firstLine="0"/>
            </w:pPr>
            <w:r>
              <w:rPr>
                <w:sz w:val="20"/>
              </w:rPr>
              <w:t xml:space="preserve">in this Call-Off Contract. </w:t>
            </w:r>
          </w:p>
        </w:tc>
      </w:tr>
      <w:tr w:rsidR="00D1352F" w14:paraId="01417CEC"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786545C3" w14:textId="77777777" w:rsidR="00D1352F" w:rsidRDefault="009B1F56">
            <w:pPr>
              <w:spacing w:after="0" w:line="259" w:lineRule="auto"/>
              <w:ind w:left="0" w:firstLine="0"/>
            </w:pPr>
            <w:r>
              <w:rPr>
                <w:sz w:val="20"/>
              </w:rPr>
              <w:t xml:space="preserve">Relevant Person </w:t>
            </w:r>
          </w:p>
        </w:tc>
        <w:tc>
          <w:tcPr>
            <w:tcW w:w="7157" w:type="dxa"/>
            <w:tcBorders>
              <w:top w:val="single" w:sz="6" w:space="0" w:color="000000"/>
              <w:left w:val="single" w:sz="6" w:space="0" w:color="000000"/>
              <w:bottom w:val="single" w:sz="6" w:space="0" w:color="000000"/>
              <w:right w:val="single" w:sz="4" w:space="0" w:color="000000"/>
            </w:tcBorders>
            <w:vAlign w:val="center"/>
          </w:tcPr>
          <w:p w14:paraId="603235A9" w14:textId="77777777" w:rsidR="00D1352F" w:rsidRDefault="009B1F56">
            <w:pPr>
              <w:spacing w:after="0" w:line="259" w:lineRule="auto"/>
              <w:ind w:left="2" w:firstLine="0"/>
            </w:pPr>
            <w:r>
              <w:rPr>
                <w:sz w:val="20"/>
              </w:rPr>
              <w:t xml:space="preserve">Any employee, agent, servant, or representative of the Buyer, any other public body or person employed by or on behalf of the Buyer, or any other public body. </w:t>
            </w:r>
          </w:p>
        </w:tc>
      </w:tr>
      <w:tr w:rsidR="00D1352F" w14:paraId="2C74B5FB" w14:textId="77777777">
        <w:trPr>
          <w:trHeight w:val="476"/>
        </w:trPr>
        <w:tc>
          <w:tcPr>
            <w:tcW w:w="3436" w:type="dxa"/>
            <w:tcBorders>
              <w:top w:val="single" w:sz="6" w:space="0" w:color="000000"/>
              <w:left w:val="single" w:sz="4" w:space="0" w:color="000000"/>
              <w:bottom w:val="single" w:sz="6" w:space="0" w:color="000000"/>
              <w:right w:val="single" w:sz="6" w:space="0" w:color="000000"/>
            </w:tcBorders>
            <w:vAlign w:val="center"/>
          </w:tcPr>
          <w:p w14:paraId="48622C1F" w14:textId="77777777" w:rsidR="00D1352F" w:rsidRDefault="009B1F56">
            <w:pPr>
              <w:spacing w:after="0" w:line="259" w:lineRule="auto"/>
              <w:ind w:left="0" w:firstLine="0"/>
            </w:pPr>
            <w:r>
              <w:rPr>
                <w:sz w:val="20"/>
              </w:rPr>
              <w:t xml:space="preserve">Relevant Transfer </w:t>
            </w:r>
          </w:p>
        </w:tc>
        <w:tc>
          <w:tcPr>
            <w:tcW w:w="7157" w:type="dxa"/>
            <w:tcBorders>
              <w:top w:val="single" w:sz="6" w:space="0" w:color="000000"/>
              <w:left w:val="single" w:sz="6" w:space="0" w:color="000000"/>
              <w:bottom w:val="single" w:sz="6" w:space="0" w:color="000000"/>
              <w:right w:val="single" w:sz="4" w:space="0" w:color="000000"/>
            </w:tcBorders>
            <w:vAlign w:val="center"/>
          </w:tcPr>
          <w:p w14:paraId="7943788D" w14:textId="77777777" w:rsidR="00D1352F" w:rsidRDefault="009B1F56">
            <w:pPr>
              <w:spacing w:after="0" w:line="259" w:lineRule="auto"/>
              <w:ind w:left="2" w:firstLine="0"/>
            </w:pPr>
            <w:r>
              <w:rPr>
                <w:sz w:val="20"/>
              </w:rPr>
              <w:t xml:space="preserve">A transfer of employment to which the Employment Regulations applies. </w:t>
            </w:r>
          </w:p>
        </w:tc>
      </w:tr>
      <w:tr w:rsidR="00D1352F" w14:paraId="2CB9034B" w14:textId="77777777">
        <w:trPr>
          <w:trHeight w:val="1267"/>
        </w:trPr>
        <w:tc>
          <w:tcPr>
            <w:tcW w:w="3436" w:type="dxa"/>
            <w:tcBorders>
              <w:top w:val="single" w:sz="6" w:space="0" w:color="000000"/>
              <w:left w:val="single" w:sz="4" w:space="0" w:color="000000"/>
              <w:bottom w:val="single" w:sz="6" w:space="0" w:color="000000"/>
              <w:right w:val="single" w:sz="6" w:space="0" w:color="000000"/>
            </w:tcBorders>
          </w:tcPr>
          <w:p w14:paraId="1476224C" w14:textId="77777777" w:rsidR="00D1352F" w:rsidRDefault="009B1F56">
            <w:pPr>
              <w:spacing w:after="0" w:line="259" w:lineRule="auto"/>
              <w:ind w:left="0" w:firstLine="0"/>
            </w:pPr>
            <w:r>
              <w:rPr>
                <w:sz w:val="20"/>
              </w:rPr>
              <w:lastRenderedPageBreak/>
              <w:t xml:space="preserve">Replacement Services </w:t>
            </w:r>
          </w:p>
        </w:tc>
        <w:tc>
          <w:tcPr>
            <w:tcW w:w="7157" w:type="dxa"/>
            <w:tcBorders>
              <w:top w:val="single" w:sz="6" w:space="0" w:color="000000"/>
              <w:left w:val="single" w:sz="6" w:space="0" w:color="000000"/>
              <w:bottom w:val="single" w:sz="6" w:space="0" w:color="000000"/>
              <w:right w:val="single" w:sz="4" w:space="0" w:color="000000"/>
            </w:tcBorders>
            <w:vAlign w:val="center"/>
          </w:tcPr>
          <w:p w14:paraId="130E755C" w14:textId="77777777" w:rsidR="00D1352F" w:rsidRDefault="009B1F56">
            <w:pPr>
              <w:spacing w:after="0" w:line="259" w:lineRule="auto"/>
              <w:ind w:left="2" w:firstLine="0"/>
            </w:pPr>
            <w:r>
              <w:rPr>
                <w:sz w:val="20"/>
              </w:rPr>
              <w:t xml:space="preserve">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 </w:t>
            </w:r>
          </w:p>
        </w:tc>
      </w:tr>
      <w:tr w:rsidR="00D1352F" w14:paraId="2E7FB40A" w14:textId="77777777">
        <w:trPr>
          <w:trHeight w:val="1004"/>
        </w:trPr>
        <w:tc>
          <w:tcPr>
            <w:tcW w:w="3436" w:type="dxa"/>
            <w:tcBorders>
              <w:top w:val="single" w:sz="6" w:space="0" w:color="000000"/>
              <w:left w:val="single" w:sz="4" w:space="0" w:color="000000"/>
              <w:bottom w:val="single" w:sz="6" w:space="0" w:color="000000"/>
              <w:right w:val="single" w:sz="6" w:space="0" w:color="000000"/>
            </w:tcBorders>
          </w:tcPr>
          <w:p w14:paraId="50C028EA" w14:textId="77777777" w:rsidR="00D1352F" w:rsidRDefault="009B1F56">
            <w:pPr>
              <w:spacing w:after="0" w:line="259" w:lineRule="auto"/>
              <w:ind w:left="0" w:firstLine="0"/>
            </w:pPr>
            <w:r>
              <w:rPr>
                <w:sz w:val="20"/>
              </w:rPr>
              <w:t xml:space="preserve">Replacement Supplier </w:t>
            </w:r>
          </w:p>
        </w:tc>
        <w:tc>
          <w:tcPr>
            <w:tcW w:w="7157" w:type="dxa"/>
            <w:tcBorders>
              <w:top w:val="single" w:sz="6" w:space="0" w:color="000000"/>
              <w:left w:val="single" w:sz="6" w:space="0" w:color="000000"/>
              <w:bottom w:val="single" w:sz="6" w:space="0" w:color="000000"/>
              <w:right w:val="single" w:sz="4" w:space="0" w:color="000000"/>
            </w:tcBorders>
            <w:vAlign w:val="center"/>
          </w:tcPr>
          <w:p w14:paraId="76EE7C96" w14:textId="77777777" w:rsidR="00D1352F" w:rsidRDefault="009B1F56">
            <w:pPr>
              <w:spacing w:after="0" w:line="259" w:lineRule="auto"/>
              <w:ind w:left="2" w:firstLine="0"/>
            </w:pPr>
            <w:r>
              <w:rPr>
                <w:sz w:val="20"/>
              </w:rPr>
              <w:t xml:space="preserve">Any third-party service provider of Replacement Services appointed by the Buyer </w:t>
            </w:r>
          </w:p>
          <w:p w14:paraId="362E6FB1" w14:textId="77777777" w:rsidR="00D1352F" w:rsidRDefault="009B1F56">
            <w:pPr>
              <w:spacing w:after="0" w:line="259" w:lineRule="auto"/>
              <w:ind w:left="2" w:firstLine="0"/>
            </w:pPr>
            <w:r>
              <w:rPr>
                <w:sz w:val="20"/>
              </w:rPr>
              <w:t xml:space="preserve">(or where the Buyer is providing replacement Services for its own account, the Buyer). </w:t>
            </w:r>
          </w:p>
        </w:tc>
      </w:tr>
      <w:tr w:rsidR="00D1352F" w14:paraId="00DF9DD1"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742ABC32" w14:textId="77777777" w:rsidR="00D1352F" w:rsidRDefault="009B1F56">
            <w:pPr>
              <w:spacing w:after="0" w:line="259" w:lineRule="auto"/>
              <w:ind w:left="0" w:firstLine="0"/>
            </w:pPr>
            <w:r>
              <w:rPr>
                <w:sz w:val="20"/>
              </w:rPr>
              <w:t xml:space="preserve">Security Management Plan </w:t>
            </w:r>
          </w:p>
        </w:tc>
        <w:tc>
          <w:tcPr>
            <w:tcW w:w="7157" w:type="dxa"/>
            <w:tcBorders>
              <w:top w:val="single" w:sz="6" w:space="0" w:color="000000"/>
              <w:left w:val="single" w:sz="6" w:space="0" w:color="000000"/>
              <w:bottom w:val="single" w:sz="6" w:space="0" w:color="000000"/>
              <w:right w:val="single" w:sz="4" w:space="0" w:color="000000"/>
            </w:tcBorders>
            <w:vAlign w:val="center"/>
          </w:tcPr>
          <w:p w14:paraId="2682BED4" w14:textId="77777777" w:rsidR="00D1352F" w:rsidRDefault="009B1F56">
            <w:pPr>
              <w:spacing w:after="0" w:line="259" w:lineRule="auto"/>
              <w:ind w:left="2" w:firstLine="0"/>
            </w:pPr>
            <w:r>
              <w:rPr>
                <w:sz w:val="20"/>
              </w:rPr>
              <w:t xml:space="preserve">The Supplier's security management plan developed by the Supplier in accordance with clause 16.1. </w:t>
            </w:r>
          </w:p>
        </w:tc>
      </w:tr>
      <w:tr w:rsidR="00D1352F" w14:paraId="01D22453" w14:textId="77777777">
        <w:trPr>
          <w:trHeight w:val="476"/>
        </w:trPr>
        <w:tc>
          <w:tcPr>
            <w:tcW w:w="3436" w:type="dxa"/>
            <w:tcBorders>
              <w:top w:val="single" w:sz="6" w:space="0" w:color="000000"/>
              <w:left w:val="single" w:sz="4" w:space="0" w:color="000000"/>
              <w:bottom w:val="single" w:sz="6" w:space="0" w:color="000000"/>
              <w:right w:val="single" w:sz="6" w:space="0" w:color="000000"/>
            </w:tcBorders>
            <w:vAlign w:val="center"/>
          </w:tcPr>
          <w:p w14:paraId="1DB60364" w14:textId="77777777" w:rsidR="00D1352F" w:rsidRDefault="009B1F56">
            <w:pPr>
              <w:spacing w:after="0" w:line="259" w:lineRule="auto"/>
              <w:ind w:left="0" w:firstLine="0"/>
            </w:pPr>
            <w:r>
              <w:rPr>
                <w:sz w:val="20"/>
              </w:rPr>
              <w:t xml:space="preserve">Services </w:t>
            </w:r>
          </w:p>
        </w:tc>
        <w:tc>
          <w:tcPr>
            <w:tcW w:w="7157" w:type="dxa"/>
            <w:tcBorders>
              <w:top w:val="single" w:sz="6" w:space="0" w:color="000000"/>
              <w:left w:val="single" w:sz="6" w:space="0" w:color="000000"/>
              <w:bottom w:val="single" w:sz="6" w:space="0" w:color="000000"/>
              <w:right w:val="single" w:sz="4" w:space="0" w:color="000000"/>
            </w:tcBorders>
            <w:vAlign w:val="center"/>
          </w:tcPr>
          <w:p w14:paraId="6AACCA19" w14:textId="77777777" w:rsidR="00D1352F" w:rsidRDefault="009B1F56">
            <w:pPr>
              <w:spacing w:after="0" w:line="259" w:lineRule="auto"/>
              <w:ind w:left="2" w:firstLine="0"/>
            </w:pPr>
            <w:r>
              <w:rPr>
                <w:sz w:val="20"/>
              </w:rPr>
              <w:t xml:space="preserve">The services ordered by the Buyer as set out in the Order Form. </w:t>
            </w:r>
          </w:p>
        </w:tc>
      </w:tr>
      <w:tr w:rsidR="00D1352F" w14:paraId="72E37C4B" w14:textId="77777777">
        <w:trPr>
          <w:trHeight w:val="744"/>
        </w:trPr>
        <w:tc>
          <w:tcPr>
            <w:tcW w:w="3436" w:type="dxa"/>
            <w:tcBorders>
              <w:top w:val="single" w:sz="6" w:space="0" w:color="000000"/>
              <w:left w:val="single" w:sz="4" w:space="0" w:color="000000"/>
              <w:bottom w:val="single" w:sz="6" w:space="0" w:color="000000"/>
              <w:right w:val="single" w:sz="6" w:space="0" w:color="000000"/>
            </w:tcBorders>
          </w:tcPr>
          <w:p w14:paraId="75C829EA" w14:textId="77777777" w:rsidR="00D1352F" w:rsidRDefault="009B1F56">
            <w:pPr>
              <w:spacing w:after="0" w:line="259" w:lineRule="auto"/>
              <w:ind w:left="0" w:firstLine="0"/>
            </w:pPr>
            <w:r>
              <w:rPr>
                <w:sz w:val="20"/>
              </w:rPr>
              <w:t xml:space="preserve">Service Data </w:t>
            </w:r>
          </w:p>
        </w:tc>
        <w:tc>
          <w:tcPr>
            <w:tcW w:w="7157" w:type="dxa"/>
            <w:tcBorders>
              <w:top w:val="single" w:sz="6" w:space="0" w:color="000000"/>
              <w:left w:val="single" w:sz="6" w:space="0" w:color="000000"/>
              <w:bottom w:val="single" w:sz="6" w:space="0" w:color="000000"/>
              <w:right w:val="single" w:sz="4" w:space="0" w:color="000000"/>
            </w:tcBorders>
            <w:vAlign w:val="center"/>
          </w:tcPr>
          <w:p w14:paraId="1AFCE4D5" w14:textId="77777777" w:rsidR="00D1352F" w:rsidRDefault="009B1F56">
            <w:pPr>
              <w:spacing w:after="0" w:line="259" w:lineRule="auto"/>
              <w:ind w:left="2" w:firstLine="0"/>
              <w:jc w:val="both"/>
            </w:pPr>
            <w:r>
              <w:rPr>
                <w:sz w:val="20"/>
              </w:rPr>
              <w:t xml:space="preserve">Data that is owned or managed by the Buyer and used for the G-Cloud Services, including backup data. </w:t>
            </w:r>
          </w:p>
        </w:tc>
      </w:tr>
      <w:tr w:rsidR="00D1352F" w14:paraId="546A0B6D" w14:textId="77777777">
        <w:trPr>
          <w:trHeight w:val="1004"/>
        </w:trPr>
        <w:tc>
          <w:tcPr>
            <w:tcW w:w="3436" w:type="dxa"/>
            <w:tcBorders>
              <w:top w:val="single" w:sz="6" w:space="0" w:color="000000"/>
              <w:left w:val="single" w:sz="4" w:space="0" w:color="000000"/>
              <w:bottom w:val="single" w:sz="6" w:space="0" w:color="000000"/>
              <w:right w:val="single" w:sz="6" w:space="0" w:color="000000"/>
            </w:tcBorders>
          </w:tcPr>
          <w:p w14:paraId="1C243CF0" w14:textId="77777777" w:rsidR="00D1352F" w:rsidRDefault="009B1F56">
            <w:pPr>
              <w:spacing w:after="0" w:line="259" w:lineRule="auto"/>
              <w:ind w:left="0" w:firstLine="0"/>
            </w:pPr>
            <w:r>
              <w:rPr>
                <w:sz w:val="20"/>
              </w:rPr>
              <w:t xml:space="preserve">Service Definition(s) </w:t>
            </w:r>
          </w:p>
        </w:tc>
        <w:tc>
          <w:tcPr>
            <w:tcW w:w="7157" w:type="dxa"/>
            <w:tcBorders>
              <w:top w:val="single" w:sz="6" w:space="0" w:color="000000"/>
              <w:left w:val="single" w:sz="6" w:space="0" w:color="000000"/>
              <w:bottom w:val="single" w:sz="6" w:space="0" w:color="000000"/>
              <w:right w:val="single" w:sz="4" w:space="0" w:color="000000"/>
            </w:tcBorders>
            <w:vAlign w:val="center"/>
          </w:tcPr>
          <w:p w14:paraId="3542880C" w14:textId="77777777" w:rsidR="00D1352F" w:rsidRDefault="009B1F56">
            <w:pPr>
              <w:spacing w:after="0" w:line="259" w:lineRule="auto"/>
              <w:ind w:left="2" w:right="649" w:firstLine="0"/>
              <w:jc w:val="both"/>
            </w:pPr>
            <w:r>
              <w:rPr>
                <w:sz w:val="20"/>
              </w:rPr>
              <w:t xml:space="preserve">The definition of the Supplier's G-Cloud </w:t>
            </w:r>
            <w:proofErr w:type="gramStart"/>
            <w:r>
              <w:rPr>
                <w:sz w:val="20"/>
              </w:rPr>
              <w:t>Services  provided</w:t>
            </w:r>
            <w:proofErr w:type="gramEnd"/>
            <w:r>
              <w:rPr>
                <w:sz w:val="20"/>
              </w:rPr>
              <w:t xml:space="preserve"> as part of their Application that includes, but isn’t limited to, those items listed in Section 2 (Services Offered) of the Framework Agreement. </w:t>
            </w:r>
          </w:p>
        </w:tc>
      </w:tr>
      <w:tr w:rsidR="00D1352F" w14:paraId="7558C318"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034530FD" w14:textId="77777777" w:rsidR="00D1352F" w:rsidRDefault="009B1F56">
            <w:pPr>
              <w:spacing w:after="0" w:line="259" w:lineRule="auto"/>
              <w:ind w:left="0" w:firstLine="0"/>
            </w:pPr>
            <w:r>
              <w:rPr>
                <w:sz w:val="20"/>
              </w:rPr>
              <w:t xml:space="preserve">Service Description </w:t>
            </w:r>
          </w:p>
        </w:tc>
        <w:tc>
          <w:tcPr>
            <w:tcW w:w="7157" w:type="dxa"/>
            <w:tcBorders>
              <w:top w:val="single" w:sz="6" w:space="0" w:color="000000"/>
              <w:left w:val="single" w:sz="6" w:space="0" w:color="000000"/>
              <w:bottom w:val="single" w:sz="6" w:space="0" w:color="000000"/>
              <w:right w:val="single" w:sz="4" w:space="0" w:color="000000"/>
            </w:tcBorders>
            <w:vAlign w:val="center"/>
          </w:tcPr>
          <w:p w14:paraId="10750BF7" w14:textId="77777777" w:rsidR="00D1352F" w:rsidRDefault="009B1F56">
            <w:pPr>
              <w:spacing w:after="0" w:line="259" w:lineRule="auto"/>
              <w:ind w:left="2" w:firstLine="0"/>
            </w:pPr>
            <w:r>
              <w:rPr>
                <w:sz w:val="20"/>
              </w:rPr>
              <w:t xml:space="preserve">The description of the Supplier service offering as published on the Digital Marketplace. </w:t>
            </w:r>
          </w:p>
        </w:tc>
      </w:tr>
      <w:tr w:rsidR="00D1352F" w14:paraId="0EAAF1D2" w14:textId="77777777">
        <w:trPr>
          <w:trHeight w:val="740"/>
        </w:trPr>
        <w:tc>
          <w:tcPr>
            <w:tcW w:w="3436" w:type="dxa"/>
            <w:tcBorders>
              <w:top w:val="single" w:sz="6" w:space="0" w:color="000000"/>
              <w:left w:val="single" w:sz="4" w:space="0" w:color="000000"/>
              <w:bottom w:val="single" w:sz="6" w:space="0" w:color="000000"/>
              <w:right w:val="single" w:sz="6" w:space="0" w:color="000000"/>
            </w:tcBorders>
          </w:tcPr>
          <w:p w14:paraId="694161AF" w14:textId="77777777" w:rsidR="00D1352F" w:rsidRDefault="009B1F56">
            <w:pPr>
              <w:spacing w:after="0" w:line="259" w:lineRule="auto"/>
              <w:ind w:left="0" w:firstLine="0"/>
            </w:pPr>
            <w:r>
              <w:rPr>
                <w:sz w:val="20"/>
              </w:rPr>
              <w:t xml:space="preserve">Service Personal Data </w:t>
            </w:r>
          </w:p>
        </w:tc>
        <w:tc>
          <w:tcPr>
            <w:tcW w:w="7157" w:type="dxa"/>
            <w:tcBorders>
              <w:top w:val="single" w:sz="6" w:space="0" w:color="000000"/>
              <w:left w:val="single" w:sz="6" w:space="0" w:color="000000"/>
              <w:bottom w:val="single" w:sz="6" w:space="0" w:color="000000"/>
              <w:right w:val="single" w:sz="4" w:space="0" w:color="000000"/>
            </w:tcBorders>
            <w:vAlign w:val="center"/>
          </w:tcPr>
          <w:p w14:paraId="0C4D5B0E" w14:textId="77777777" w:rsidR="00D1352F" w:rsidRDefault="009B1F56">
            <w:pPr>
              <w:spacing w:after="0" w:line="259" w:lineRule="auto"/>
              <w:ind w:left="2" w:firstLine="0"/>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 </w:t>
            </w:r>
          </w:p>
        </w:tc>
      </w:tr>
      <w:tr w:rsidR="00D1352F" w14:paraId="264511A3" w14:textId="77777777">
        <w:trPr>
          <w:trHeight w:val="1267"/>
        </w:trPr>
        <w:tc>
          <w:tcPr>
            <w:tcW w:w="3436" w:type="dxa"/>
            <w:tcBorders>
              <w:top w:val="single" w:sz="6" w:space="0" w:color="000000"/>
              <w:left w:val="single" w:sz="4" w:space="0" w:color="000000"/>
              <w:bottom w:val="single" w:sz="6" w:space="0" w:color="000000"/>
              <w:right w:val="single" w:sz="6" w:space="0" w:color="000000"/>
            </w:tcBorders>
          </w:tcPr>
          <w:p w14:paraId="4F0BAE93" w14:textId="77777777" w:rsidR="00D1352F" w:rsidRDefault="009B1F56">
            <w:pPr>
              <w:spacing w:after="0" w:line="259" w:lineRule="auto"/>
              <w:ind w:left="0" w:firstLine="0"/>
            </w:pPr>
            <w:r>
              <w:rPr>
                <w:sz w:val="20"/>
              </w:rPr>
              <w:t xml:space="preserve">Spend Controls </w:t>
            </w:r>
          </w:p>
        </w:tc>
        <w:tc>
          <w:tcPr>
            <w:tcW w:w="7157" w:type="dxa"/>
            <w:tcBorders>
              <w:top w:val="single" w:sz="6" w:space="0" w:color="000000"/>
              <w:left w:val="single" w:sz="6" w:space="0" w:color="000000"/>
              <w:bottom w:val="single" w:sz="6" w:space="0" w:color="000000"/>
              <w:right w:val="single" w:sz="4" w:space="0" w:color="000000"/>
            </w:tcBorders>
            <w:vAlign w:val="center"/>
          </w:tcPr>
          <w:p w14:paraId="0E351A77" w14:textId="77777777" w:rsidR="00D1352F" w:rsidRDefault="009B1F56">
            <w:pPr>
              <w:spacing w:after="0" w:line="259" w:lineRule="auto"/>
              <w:ind w:left="2" w:firstLine="0"/>
            </w:pPr>
            <w:r>
              <w:rPr>
                <w:sz w:val="20"/>
              </w:rPr>
              <w:t xml:space="preserve">The approval process used by a central government Buyer if it needs to spend money on certain digital or technology services, see </w:t>
            </w:r>
            <w:hyperlink r:id="rId108">
              <w:r>
                <w:rPr>
                  <w:color w:val="1155CC"/>
                  <w:sz w:val="20"/>
                  <w:u w:val="single" w:color="1155CC"/>
                </w:rPr>
                <w:t>https://www.gov.uk/service</w:t>
              </w:r>
            </w:hyperlink>
            <w:hyperlink r:id="rId109"/>
            <w:hyperlink r:id="rId110">
              <w:r>
                <w:rPr>
                  <w:color w:val="1155CC"/>
                  <w:sz w:val="20"/>
                  <w:u w:val="single" w:color="1155CC"/>
                </w:rPr>
                <w:t>manual/agile</w:t>
              </w:r>
            </w:hyperlink>
            <w:hyperlink r:id="rId111">
              <w:r>
                <w:rPr>
                  <w:color w:val="1155CC"/>
                  <w:sz w:val="20"/>
                  <w:u w:val="single" w:color="1155CC"/>
                </w:rPr>
                <w:t>-</w:t>
              </w:r>
            </w:hyperlink>
            <w:hyperlink r:id="rId112">
              <w:r>
                <w:rPr>
                  <w:color w:val="1155CC"/>
                  <w:sz w:val="20"/>
                  <w:u w:val="single" w:color="1155CC"/>
                </w:rPr>
                <w:t>delivery/spend</w:t>
              </w:r>
            </w:hyperlink>
            <w:hyperlink r:id="rId113">
              <w:r>
                <w:rPr>
                  <w:color w:val="1155CC"/>
                  <w:sz w:val="20"/>
                  <w:u w:val="single" w:color="1155CC"/>
                </w:rPr>
                <w:t>-</w:t>
              </w:r>
            </w:hyperlink>
            <w:hyperlink r:id="rId114">
              <w:r>
                <w:rPr>
                  <w:color w:val="1155CC"/>
                  <w:sz w:val="20"/>
                  <w:u w:val="single" w:color="1155CC"/>
                </w:rPr>
                <w:t>controls</w:t>
              </w:r>
            </w:hyperlink>
            <w:hyperlink r:id="rId115">
              <w:r>
                <w:rPr>
                  <w:color w:val="1155CC"/>
                  <w:sz w:val="20"/>
                  <w:u w:val="single" w:color="1155CC"/>
                </w:rPr>
                <w:t>-</w:t>
              </w:r>
            </w:hyperlink>
            <w:hyperlink r:id="rId116">
              <w:r>
                <w:rPr>
                  <w:color w:val="1155CC"/>
                  <w:sz w:val="20"/>
                  <w:u w:val="single" w:color="1155CC"/>
                </w:rPr>
                <w:t>check</w:t>
              </w:r>
            </w:hyperlink>
            <w:hyperlink r:id="rId117">
              <w:r>
                <w:rPr>
                  <w:color w:val="1155CC"/>
                  <w:sz w:val="20"/>
                  <w:u w:val="single" w:color="1155CC"/>
                </w:rPr>
                <w:t>-</w:t>
              </w:r>
            </w:hyperlink>
            <w:hyperlink r:id="rId118">
              <w:r>
                <w:rPr>
                  <w:color w:val="1155CC"/>
                  <w:sz w:val="20"/>
                  <w:u w:val="single" w:color="1155CC"/>
                </w:rPr>
                <w:t>if</w:t>
              </w:r>
            </w:hyperlink>
            <w:hyperlink r:id="rId119">
              <w:r>
                <w:rPr>
                  <w:color w:val="1155CC"/>
                  <w:sz w:val="20"/>
                  <w:u w:val="single" w:color="1155CC"/>
                </w:rPr>
                <w:t>-</w:t>
              </w:r>
            </w:hyperlink>
            <w:hyperlink r:id="rId120">
              <w:r>
                <w:rPr>
                  <w:color w:val="1155CC"/>
                  <w:sz w:val="20"/>
                  <w:u w:val="single" w:color="1155CC"/>
                </w:rPr>
                <w:t>you</w:t>
              </w:r>
            </w:hyperlink>
            <w:hyperlink r:id="rId121">
              <w:r>
                <w:rPr>
                  <w:color w:val="1155CC"/>
                  <w:sz w:val="20"/>
                  <w:u w:val="single" w:color="1155CC"/>
                </w:rPr>
                <w:t>-</w:t>
              </w:r>
            </w:hyperlink>
            <w:hyperlink r:id="rId122">
              <w:r>
                <w:rPr>
                  <w:color w:val="1155CC"/>
                  <w:sz w:val="20"/>
                  <w:u w:val="single" w:color="1155CC"/>
                </w:rPr>
                <w:t>need</w:t>
              </w:r>
            </w:hyperlink>
            <w:hyperlink r:id="rId123">
              <w:r>
                <w:rPr>
                  <w:color w:val="1155CC"/>
                  <w:sz w:val="20"/>
                  <w:u w:val="single" w:color="1155CC"/>
                </w:rPr>
                <w:t>-</w:t>
              </w:r>
            </w:hyperlink>
            <w:hyperlink r:id="rId124">
              <w:r>
                <w:rPr>
                  <w:color w:val="1155CC"/>
                  <w:sz w:val="20"/>
                  <w:u w:val="single" w:color="1155CC"/>
                </w:rPr>
                <w:t>approval</w:t>
              </w:r>
            </w:hyperlink>
            <w:hyperlink r:id="rId125">
              <w:r>
                <w:rPr>
                  <w:color w:val="1155CC"/>
                  <w:sz w:val="20"/>
                  <w:u w:val="single" w:color="1155CC"/>
                </w:rPr>
                <w:t>-</w:t>
              </w:r>
            </w:hyperlink>
            <w:hyperlink r:id="rId126">
              <w:r>
                <w:rPr>
                  <w:color w:val="1155CC"/>
                  <w:sz w:val="20"/>
                  <w:u w:val="single" w:color="1155CC"/>
                </w:rPr>
                <w:t>to</w:t>
              </w:r>
            </w:hyperlink>
            <w:hyperlink r:id="rId127">
              <w:r>
                <w:rPr>
                  <w:color w:val="1155CC"/>
                  <w:sz w:val="20"/>
                  <w:u w:val="single" w:color="1155CC"/>
                </w:rPr>
                <w:t>-</w:t>
              </w:r>
            </w:hyperlink>
            <w:hyperlink r:id="rId128">
              <w:r>
                <w:rPr>
                  <w:color w:val="1155CC"/>
                  <w:sz w:val="20"/>
                  <w:u w:val="single" w:color="1155CC"/>
                </w:rPr>
                <w:t>spend</w:t>
              </w:r>
            </w:hyperlink>
            <w:hyperlink r:id="rId129"/>
            <w:hyperlink r:id="rId130">
              <w:r>
                <w:rPr>
                  <w:color w:val="1155CC"/>
                  <w:sz w:val="20"/>
                  <w:u w:val="single" w:color="1155CC"/>
                </w:rPr>
                <w:t>money</w:t>
              </w:r>
            </w:hyperlink>
            <w:hyperlink r:id="rId131">
              <w:r>
                <w:rPr>
                  <w:color w:val="1155CC"/>
                  <w:sz w:val="20"/>
                  <w:u w:val="single" w:color="1155CC"/>
                </w:rPr>
                <w:t>-</w:t>
              </w:r>
            </w:hyperlink>
            <w:hyperlink r:id="rId132">
              <w:r>
                <w:rPr>
                  <w:color w:val="1155CC"/>
                  <w:sz w:val="20"/>
                  <w:u w:val="single" w:color="1155CC"/>
                </w:rPr>
                <w:t>on</w:t>
              </w:r>
            </w:hyperlink>
            <w:hyperlink r:id="rId133">
              <w:r>
                <w:rPr>
                  <w:color w:val="1155CC"/>
                  <w:sz w:val="20"/>
                  <w:u w:val="single" w:color="1155CC"/>
                </w:rPr>
                <w:t>-</w:t>
              </w:r>
            </w:hyperlink>
            <w:hyperlink r:id="rId134">
              <w:r>
                <w:rPr>
                  <w:color w:val="1155CC"/>
                  <w:sz w:val="20"/>
                  <w:u w:val="single" w:color="1155CC"/>
                </w:rPr>
                <w:t>a</w:t>
              </w:r>
            </w:hyperlink>
            <w:hyperlink r:id="rId135">
              <w:r>
                <w:rPr>
                  <w:color w:val="1155CC"/>
                  <w:sz w:val="20"/>
                  <w:u w:val="single" w:color="1155CC"/>
                </w:rPr>
                <w:t>-</w:t>
              </w:r>
            </w:hyperlink>
            <w:hyperlink r:id="rId136">
              <w:r>
                <w:rPr>
                  <w:color w:val="1155CC"/>
                  <w:sz w:val="20"/>
                  <w:u w:val="single" w:color="1155CC"/>
                </w:rPr>
                <w:t>service</w:t>
              </w:r>
            </w:hyperlink>
            <w:hyperlink r:id="rId137">
              <w:r>
                <w:rPr>
                  <w:sz w:val="20"/>
                </w:rPr>
                <w:t xml:space="preserve"> </w:t>
              </w:r>
            </w:hyperlink>
          </w:p>
        </w:tc>
      </w:tr>
      <w:tr w:rsidR="00D1352F" w14:paraId="09CA672F" w14:textId="77777777">
        <w:trPr>
          <w:trHeight w:val="476"/>
        </w:trPr>
        <w:tc>
          <w:tcPr>
            <w:tcW w:w="3436" w:type="dxa"/>
            <w:tcBorders>
              <w:top w:val="single" w:sz="6" w:space="0" w:color="000000"/>
              <w:left w:val="single" w:sz="4" w:space="0" w:color="000000"/>
              <w:bottom w:val="single" w:sz="6" w:space="0" w:color="000000"/>
              <w:right w:val="single" w:sz="6" w:space="0" w:color="000000"/>
            </w:tcBorders>
            <w:vAlign w:val="center"/>
          </w:tcPr>
          <w:p w14:paraId="42C25BDA" w14:textId="77777777" w:rsidR="00D1352F" w:rsidRDefault="009B1F56">
            <w:pPr>
              <w:spacing w:after="0" w:line="259" w:lineRule="auto"/>
              <w:ind w:left="0" w:firstLine="0"/>
            </w:pPr>
            <w:r>
              <w:rPr>
                <w:sz w:val="20"/>
              </w:rPr>
              <w:t xml:space="preserve">Start Date </w:t>
            </w:r>
          </w:p>
        </w:tc>
        <w:tc>
          <w:tcPr>
            <w:tcW w:w="7157" w:type="dxa"/>
            <w:tcBorders>
              <w:top w:val="single" w:sz="6" w:space="0" w:color="000000"/>
              <w:left w:val="single" w:sz="6" w:space="0" w:color="000000"/>
              <w:bottom w:val="single" w:sz="6" w:space="0" w:color="000000"/>
              <w:right w:val="single" w:sz="4" w:space="0" w:color="000000"/>
            </w:tcBorders>
            <w:vAlign w:val="center"/>
          </w:tcPr>
          <w:p w14:paraId="354A9888" w14:textId="77777777" w:rsidR="00D1352F" w:rsidRDefault="009B1F56">
            <w:pPr>
              <w:spacing w:after="0" w:line="259" w:lineRule="auto"/>
              <w:ind w:left="2" w:firstLine="0"/>
            </w:pPr>
            <w:r>
              <w:rPr>
                <w:sz w:val="20"/>
              </w:rPr>
              <w:t xml:space="preserve">The start date of this Call-Off Contract as set out in the Order Form. </w:t>
            </w:r>
          </w:p>
        </w:tc>
      </w:tr>
      <w:tr w:rsidR="00D1352F" w14:paraId="57334BB9" w14:textId="77777777">
        <w:trPr>
          <w:trHeight w:val="1267"/>
        </w:trPr>
        <w:tc>
          <w:tcPr>
            <w:tcW w:w="3436" w:type="dxa"/>
            <w:tcBorders>
              <w:top w:val="single" w:sz="6" w:space="0" w:color="000000"/>
              <w:left w:val="single" w:sz="4" w:space="0" w:color="000000"/>
              <w:bottom w:val="single" w:sz="6" w:space="0" w:color="000000"/>
              <w:right w:val="single" w:sz="6" w:space="0" w:color="000000"/>
            </w:tcBorders>
          </w:tcPr>
          <w:p w14:paraId="34E53E62" w14:textId="77777777" w:rsidR="00D1352F" w:rsidRDefault="009B1F56">
            <w:pPr>
              <w:spacing w:after="0" w:line="259" w:lineRule="auto"/>
              <w:ind w:left="0" w:firstLine="0"/>
            </w:pPr>
            <w:r>
              <w:rPr>
                <w:sz w:val="20"/>
              </w:rPr>
              <w:t xml:space="preserve">Subcontract </w:t>
            </w:r>
          </w:p>
        </w:tc>
        <w:tc>
          <w:tcPr>
            <w:tcW w:w="7157" w:type="dxa"/>
            <w:tcBorders>
              <w:top w:val="single" w:sz="6" w:space="0" w:color="000000"/>
              <w:left w:val="single" w:sz="6" w:space="0" w:color="000000"/>
              <w:bottom w:val="single" w:sz="6" w:space="0" w:color="000000"/>
              <w:right w:val="single" w:sz="4" w:space="0" w:color="000000"/>
            </w:tcBorders>
            <w:vAlign w:val="center"/>
          </w:tcPr>
          <w:p w14:paraId="5996F3F1" w14:textId="77777777" w:rsidR="00D1352F" w:rsidRDefault="009B1F56">
            <w:pPr>
              <w:spacing w:after="0" w:line="259" w:lineRule="auto"/>
              <w:ind w:left="2" w:firstLine="0"/>
            </w:pPr>
            <w:r>
              <w:rPr>
                <w:sz w:val="20"/>
              </w:rPr>
              <w:t xml:space="preserve">Any contract or agreement or proposed agreement between the Supplier and a </w:t>
            </w:r>
          </w:p>
          <w:p w14:paraId="0F194330" w14:textId="77777777" w:rsidR="00D1352F" w:rsidRDefault="009B1F56">
            <w:pPr>
              <w:spacing w:after="0" w:line="259" w:lineRule="auto"/>
              <w:ind w:left="2" w:right="110" w:firstLine="0"/>
              <w:jc w:val="both"/>
            </w:pPr>
            <w:r>
              <w:rPr>
                <w:sz w:val="20"/>
              </w:rPr>
              <w:t xml:space="preserve">Subcontractor in which the Subcontractor agrees to provide to the Supplier the </w:t>
            </w:r>
            <w:proofErr w:type="spellStart"/>
            <w:r>
              <w:rPr>
                <w:sz w:val="20"/>
              </w:rPr>
              <w:t>GCloud</w:t>
            </w:r>
            <w:proofErr w:type="spellEnd"/>
            <w:r>
              <w:rPr>
                <w:sz w:val="20"/>
              </w:rPr>
              <w:t xml:space="preserve"> Services or any part thereof or facilities or goods and services necessary for the provision of the G-Cloud Services or any part thereof. </w:t>
            </w:r>
          </w:p>
        </w:tc>
      </w:tr>
      <w:tr w:rsidR="00D1352F" w14:paraId="22C051F5" w14:textId="77777777">
        <w:trPr>
          <w:trHeight w:val="1003"/>
        </w:trPr>
        <w:tc>
          <w:tcPr>
            <w:tcW w:w="3436" w:type="dxa"/>
            <w:tcBorders>
              <w:top w:val="single" w:sz="6" w:space="0" w:color="000000"/>
              <w:left w:val="single" w:sz="4" w:space="0" w:color="000000"/>
              <w:bottom w:val="single" w:sz="6" w:space="0" w:color="000000"/>
              <w:right w:val="single" w:sz="6" w:space="0" w:color="000000"/>
            </w:tcBorders>
          </w:tcPr>
          <w:p w14:paraId="65ECD664" w14:textId="77777777" w:rsidR="00D1352F" w:rsidRDefault="009B1F56">
            <w:pPr>
              <w:spacing w:after="0" w:line="259" w:lineRule="auto"/>
              <w:ind w:left="0" w:firstLine="0"/>
            </w:pPr>
            <w:r>
              <w:rPr>
                <w:sz w:val="20"/>
              </w:rPr>
              <w:t xml:space="preserve">Subcontractor </w:t>
            </w:r>
          </w:p>
        </w:tc>
        <w:tc>
          <w:tcPr>
            <w:tcW w:w="7157" w:type="dxa"/>
            <w:tcBorders>
              <w:top w:val="single" w:sz="6" w:space="0" w:color="000000"/>
              <w:left w:val="single" w:sz="6" w:space="0" w:color="000000"/>
              <w:bottom w:val="single" w:sz="6" w:space="0" w:color="000000"/>
              <w:right w:val="single" w:sz="4" w:space="0" w:color="000000"/>
            </w:tcBorders>
            <w:vAlign w:val="center"/>
          </w:tcPr>
          <w:p w14:paraId="49E9A088" w14:textId="77777777" w:rsidR="00D1352F" w:rsidRDefault="009B1F56">
            <w:pPr>
              <w:spacing w:after="0" w:line="259" w:lineRule="auto"/>
              <w:ind w:left="2" w:firstLine="0"/>
            </w:pPr>
            <w:r>
              <w:rPr>
                <w:sz w:val="20"/>
              </w:rPr>
              <w:t xml:space="preserve">Any third party engaged by the Supplier under a Subcontract (permitted under the Framework Agreement and the Call-Off Contract) and its servants or agents in connection with the provision of G-Cloud Services. </w:t>
            </w:r>
          </w:p>
        </w:tc>
      </w:tr>
      <w:tr w:rsidR="00D1352F" w14:paraId="5B2E62B0" w14:textId="77777777">
        <w:trPr>
          <w:trHeight w:val="740"/>
        </w:trPr>
        <w:tc>
          <w:tcPr>
            <w:tcW w:w="3436" w:type="dxa"/>
            <w:tcBorders>
              <w:top w:val="single" w:sz="6" w:space="0" w:color="000000"/>
              <w:left w:val="single" w:sz="4" w:space="0" w:color="000000"/>
              <w:bottom w:val="single" w:sz="6" w:space="0" w:color="000000"/>
              <w:right w:val="single" w:sz="6" w:space="0" w:color="000000"/>
            </w:tcBorders>
          </w:tcPr>
          <w:p w14:paraId="4714E198" w14:textId="77777777" w:rsidR="00D1352F" w:rsidRDefault="009B1F56">
            <w:pPr>
              <w:spacing w:after="0" w:line="259" w:lineRule="auto"/>
              <w:ind w:left="0" w:firstLine="0"/>
            </w:pPr>
            <w:proofErr w:type="spellStart"/>
            <w:r>
              <w:rPr>
                <w:sz w:val="20"/>
              </w:rPr>
              <w:t>Subprocessor</w:t>
            </w:r>
            <w:proofErr w:type="spellEnd"/>
            <w:r>
              <w:rPr>
                <w:sz w:val="20"/>
              </w:rPr>
              <w:t xml:space="preserve"> </w:t>
            </w:r>
          </w:p>
        </w:tc>
        <w:tc>
          <w:tcPr>
            <w:tcW w:w="7157" w:type="dxa"/>
            <w:tcBorders>
              <w:top w:val="single" w:sz="6" w:space="0" w:color="000000"/>
              <w:left w:val="single" w:sz="6" w:space="0" w:color="000000"/>
              <w:bottom w:val="single" w:sz="6" w:space="0" w:color="000000"/>
              <w:right w:val="single" w:sz="4" w:space="0" w:color="000000"/>
            </w:tcBorders>
            <w:vAlign w:val="center"/>
          </w:tcPr>
          <w:p w14:paraId="071F69E6" w14:textId="77777777" w:rsidR="00D1352F" w:rsidRDefault="009B1F56">
            <w:pPr>
              <w:spacing w:after="0" w:line="259" w:lineRule="auto"/>
              <w:ind w:left="2" w:firstLine="0"/>
              <w:jc w:val="both"/>
            </w:pPr>
            <w:r>
              <w:rPr>
                <w:color w:val="353535"/>
                <w:sz w:val="20"/>
              </w:rPr>
              <w:t>Any third party appointed to process Personal Data on behalf of the Supplier under this Call-Off Contract.</w:t>
            </w:r>
            <w:r>
              <w:rPr>
                <w:sz w:val="20"/>
              </w:rPr>
              <w:t xml:space="preserve"> </w:t>
            </w:r>
          </w:p>
        </w:tc>
      </w:tr>
      <w:tr w:rsidR="00D1352F" w14:paraId="586D0E3E"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1D8CD461" w14:textId="77777777" w:rsidR="00D1352F" w:rsidRDefault="009B1F56">
            <w:pPr>
              <w:spacing w:after="0" w:line="259" w:lineRule="auto"/>
              <w:ind w:left="0" w:firstLine="0"/>
            </w:pPr>
            <w:r>
              <w:rPr>
                <w:sz w:val="20"/>
              </w:rPr>
              <w:lastRenderedPageBreak/>
              <w:t xml:space="preserve">Supplier </w:t>
            </w:r>
          </w:p>
        </w:tc>
        <w:tc>
          <w:tcPr>
            <w:tcW w:w="7157" w:type="dxa"/>
            <w:tcBorders>
              <w:top w:val="single" w:sz="6" w:space="0" w:color="000000"/>
              <w:left w:val="single" w:sz="6" w:space="0" w:color="000000"/>
              <w:bottom w:val="single" w:sz="6" w:space="0" w:color="000000"/>
              <w:right w:val="single" w:sz="4" w:space="0" w:color="000000"/>
            </w:tcBorders>
            <w:vAlign w:val="center"/>
          </w:tcPr>
          <w:p w14:paraId="3EBC49EE" w14:textId="77777777" w:rsidR="00D1352F" w:rsidRDefault="009B1F56">
            <w:pPr>
              <w:spacing w:after="0" w:line="259" w:lineRule="auto"/>
              <w:ind w:left="2" w:firstLine="0"/>
            </w:pPr>
            <w:r>
              <w:rPr>
                <w:color w:val="353535"/>
                <w:sz w:val="20"/>
              </w:rPr>
              <w:t xml:space="preserve">The person, firm or company identified in the Order Form. </w:t>
            </w:r>
          </w:p>
        </w:tc>
      </w:tr>
      <w:tr w:rsidR="00D1352F" w14:paraId="5FB63F8F" w14:textId="77777777">
        <w:trPr>
          <w:trHeight w:val="739"/>
        </w:trPr>
        <w:tc>
          <w:tcPr>
            <w:tcW w:w="3436" w:type="dxa"/>
            <w:tcBorders>
              <w:top w:val="single" w:sz="6" w:space="0" w:color="000000"/>
              <w:left w:val="single" w:sz="4" w:space="0" w:color="000000"/>
              <w:bottom w:val="single" w:sz="6" w:space="0" w:color="000000"/>
              <w:right w:val="single" w:sz="6" w:space="0" w:color="000000"/>
            </w:tcBorders>
          </w:tcPr>
          <w:p w14:paraId="6AC8581B" w14:textId="77777777" w:rsidR="00D1352F" w:rsidRDefault="009B1F56">
            <w:pPr>
              <w:spacing w:after="0" w:line="259" w:lineRule="auto"/>
              <w:ind w:left="0" w:firstLine="0"/>
            </w:pPr>
            <w:r>
              <w:rPr>
                <w:sz w:val="20"/>
              </w:rPr>
              <w:t xml:space="preserve">Supplier Representative </w:t>
            </w:r>
          </w:p>
        </w:tc>
        <w:tc>
          <w:tcPr>
            <w:tcW w:w="7157" w:type="dxa"/>
            <w:tcBorders>
              <w:top w:val="single" w:sz="6" w:space="0" w:color="000000"/>
              <w:left w:val="single" w:sz="6" w:space="0" w:color="000000"/>
              <w:bottom w:val="single" w:sz="6" w:space="0" w:color="000000"/>
              <w:right w:val="single" w:sz="4" w:space="0" w:color="000000"/>
            </w:tcBorders>
            <w:vAlign w:val="center"/>
          </w:tcPr>
          <w:p w14:paraId="22E9001E" w14:textId="77777777" w:rsidR="00D1352F" w:rsidRDefault="009B1F56">
            <w:pPr>
              <w:spacing w:after="0" w:line="259" w:lineRule="auto"/>
              <w:ind w:left="2" w:firstLine="0"/>
              <w:jc w:val="both"/>
            </w:pPr>
            <w:r>
              <w:rPr>
                <w:sz w:val="20"/>
              </w:rPr>
              <w:t xml:space="preserve">The representative appointed by the Supplier from time to time in relation to the Call-Off Contract. </w:t>
            </w:r>
          </w:p>
        </w:tc>
      </w:tr>
      <w:tr w:rsidR="00D1352F" w14:paraId="55AE5B3C" w14:textId="77777777">
        <w:trPr>
          <w:trHeight w:val="1003"/>
        </w:trPr>
        <w:tc>
          <w:tcPr>
            <w:tcW w:w="3436" w:type="dxa"/>
            <w:tcBorders>
              <w:top w:val="single" w:sz="6" w:space="0" w:color="000000"/>
              <w:left w:val="single" w:sz="4" w:space="0" w:color="000000"/>
              <w:bottom w:val="single" w:sz="6" w:space="0" w:color="000000"/>
              <w:right w:val="single" w:sz="6" w:space="0" w:color="000000"/>
            </w:tcBorders>
          </w:tcPr>
          <w:p w14:paraId="6DB147C8" w14:textId="77777777" w:rsidR="00D1352F" w:rsidRDefault="009B1F56">
            <w:pPr>
              <w:spacing w:after="0" w:line="259" w:lineRule="auto"/>
              <w:ind w:left="0" w:firstLine="0"/>
            </w:pPr>
            <w:r>
              <w:rPr>
                <w:sz w:val="20"/>
              </w:rPr>
              <w:t xml:space="preserve">Supplier Staff </w:t>
            </w:r>
          </w:p>
        </w:tc>
        <w:tc>
          <w:tcPr>
            <w:tcW w:w="7157" w:type="dxa"/>
            <w:tcBorders>
              <w:top w:val="single" w:sz="6" w:space="0" w:color="000000"/>
              <w:left w:val="single" w:sz="6" w:space="0" w:color="000000"/>
              <w:bottom w:val="single" w:sz="6" w:space="0" w:color="000000"/>
              <w:right w:val="single" w:sz="4" w:space="0" w:color="000000"/>
            </w:tcBorders>
            <w:vAlign w:val="center"/>
          </w:tcPr>
          <w:p w14:paraId="451BC701" w14:textId="77777777" w:rsidR="00D1352F" w:rsidRDefault="009B1F56">
            <w:pPr>
              <w:spacing w:after="0" w:line="259" w:lineRule="auto"/>
              <w:ind w:left="2" w:right="48" w:firstLine="0"/>
              <w:jc w:val="both"/>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 </w:t>
            </w:r>
          </w:p>
        </w:tc>
      </w:tr>
      <w:tr w:rsidR="00D1352F" w14:paraId="5AFC5F02" w14:textId="77777777">
        <w:trPr>
          <w:trHeight w:val="740"/>
        </w:trPr>
        <w:tc>
          <w:tcPr>
            <w:tcW w:w="3436" w:type="dxa"/>
            <w:tcBorders>
              <w:top w:val="single" w:sz="6" w:space="0" w:color="000000"/>
              <w:left w:val="single" w:sz="4" w:space="0" w:color="000000"/>
              <w:bottom w:val="single" w:sz="6" w:space="0" w:color="000000"/>
              <w:right w:val="single" w:sz="6" w:space="0" w:color="000000"/>
            </w:tcBorders>
          </w:tcPr>
          <w:p w14:paraId="1CEEFFE4" w14:textId="77777777" w:rsidR="00D1352F" w:rsidRDefault="009B1F56">
            <w:pPr>
              <w:spacing w:after="0" w:line="259" w:lineRule="auto"/>
              <w:ind w:left="0" w:firstLine="0"/>
            </w:pPr>
            <w:r>
              <w:rPr>
                <w:sz w:val="20"/>
              </w:rPr>
              <w:t xml:space="preserve">Supplier Terms </w:t>
            </w:r>
          </w:p>
        </w:tc>
        <w:tc>
          <w:tcPr>
            <w:tcW w:w="7157" w:type="dxa"/>
            <w:tcBorders>
              <w:top w:val="single" w:sz="6" w:space="0" w:color="000000"/>
              <w:left w:val="single" w:sz="6" w:space="0" w:color="000000"/>
              <w:bottom w:val="single" w:sz="6" w:space="0" w:color="000000"/>
              <w:right w:val="single" w:sz="4" w:space="0" w:color="000000"/>
            </w:tcBorders>
            <w:vAlign w:val="center"/>
          </w:tcPr>
          <w:p w14:paraId="17DB814F" w14:textId="77777777" w:rsidR="00D1352F" w:rsidRDefault="009B1F56">
            <w:pPr>
              <w:spacing w:after="0" w:line="259" w:lineRule="auto"/>
              <w:ind w:left="2" w:firstLine="0"/>
            </w:pPr>
            <w:r>
              <w:rPr>
                <w:sz w:val="20"/>
              </w:rPr>
              <w:t xml:space="preserve">The relevant G-Cloud Service terms and conditions as set out in the Terms and Conditions document supplied as part of the Supplier’s Application. </w:t>
            </w:r>
          </w:p>
        </w:tc>
      </w:tr>
      <w:tr w:rsidR="00D1352F" w14:paraId="0C4F4162"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1ED5A91E" w14:textId="77777777" w:rsidR="00D1352F" w:rsidRDefault="009B1F56">
            <w:pPr>
              <w:spacing w:after="0" w:line="259" w:lineRule="auto"/>
              <w:ind w:left="0" w:firstLine="0"/>
            </w:pPr>
            <w:r>
              <w:rPr>
                <w:sz w:val="20"/>
              </w:rPr>
              <w:t xml:space="preserve">Term </w:t>
            </w:r>
          </w:p>
        </w:tc>
        <w:tc>
          <w:tcPr>
            <w:tcW w:w="7157" w:type="dxa"/>
            <w:tcBorders>
              <w:top w:val="single" w:sz="6" w:space="0" w:color="000000"/>
              <w:left w:val="single" w:sz="6" w:space="0" w:color="000000"/>
              <w:bottom w:val="single" w:sz="6" w:space="0" w:color="000000"/>
              <w:right w:val="single" w:sz="4" w:space="0" w:color="000000"/>
            </w:tcBorders>
            <w:vAlign w:val="center"/>
          </w:tcPr>
          <w:p w14:paraId="05C5B221" w14:textId="77777777" w:rsidR="00D1352F" w:rsidRDefault="009B1F56">
            <w:pPr>
              <w:spacing w:after="0" w:line="259" w:lineRule="auto"/>
              <w:ind w:left="2" w:firstLine="0"/>
            </w:pPr>
            <w:r>
              <w:rPr>
                <w:sz w:val="20"/>
              </w:rPr>
              <w:t xml:space="preserve">The term of this Call-Off Contract as set out in the Order Form.  </w:t>
            </w:r>
          </w:p>
        </w:tc>
      </w:tr>
      <w:tr w:rsidR="00D1352F" w14:paraId="30D8DACE" w14:textId="77777777">
        <w:trPr>
          <w:trHeight w:val="475"/>
        </w:trPr>
        <w:tc>
          <w:tcPr>
            <w:tcW w:w="3436" w:type="dxa"/>
            <w:tcBorders>
              <w:top w:val="single" w:sz="6" w:space="0" w:color="000000"/>
              <w:left w:val="single" w:sz="4" w:space="0" w:color="000000"/>
              <w:bottom w:val="single" w:sz="6" w:space="0" w:color="000000"/>
              <w:right w:val="single" w:sz="6" w:space="0" w:color="000000"/>
            </w:tcBorders>
            <w:vAlign w:val="center"/>
          </w:tcPr>
          <w:p w14:paraId="578BF237" w14:textId="77777777" w:rsidR="00D1352F" w:rsidRDefault="009B1F56">
            <w:pPr>
              <w:spacing w:after="0" w:line="259" w:lineRule="auto"/>
              <w:ind w:left="0" w:firstLine="0"/>
            </w:pPr>
            <w:r>
              <w:rPr>
                <w:sz w:val="20"/>
              </w:rPr>
              <w:t xml:space="preserve">Variation </w:t>
            </w:r>
          </w:p>
        </w:tc>
        <w:tc>
          <w:tcPr>
            <w:tcW w:w="7157" w:type="dxa"/>
            <w:tcBorders>
              <w:top w:val="single" w:sz="6" w:space="0" w:color="000000"/>
              <w:left w:val="single" w:sz="6" w:space="0" w:color="000000"/>
              <w:bottom w:val="single" w:sz="6" w:space="0" w:color="000000"/>
              <w:right w:val="single" w:sz="4" w:space="0" w:color="000000"/>
            </w:tcBorders>
            <w:vAlign w:val="center"/>
          </w:tcPr>
          <w:p w14:paraId="2ED808DD" w14:textId="77777777" w:rsidR="00D1352F" w:rsidRDefault="009B1F56">
            <w:pPr>
              <w:spacing w:after="0" w:line="259" w:lineRule="auto"/>
              <w:ind w:left="2" w:firstLine="0"/>
            </w:pPr>
            <w:r>
              <w:rPr>
                <w:sz w:val="20"/>
              </w:rPr>
              <w:t xml:space="preserve">This has the meaning given to it in clause 32 (Variation process). </w:t>
            </w:r>
          </w:p>
        </w:tc>
      </w:tr>
      <w:tr w:rsidR="00D1352F" w14:paraId="09B85DD5" w14:textId="77777777">
        <w:trPr>
          <w:trHeight w:val="476"/>
        </w:trPr>
        <w:tc>
          <w:tcPr>
            <w:tcW w:w="3436" w:type="dxa"/>
            <w:tcBorders>
              <w:top w:val="single" w:sz="6" w:space="0" w:color="000000"/>
              <w:left w:val="single" w:sz="4" w:space="0" w:color="000000"/>
              <w:bottom w:val="single" w:sz="6" w:space="0" w:color="000000"/>
              <w:right w:val="single" w:sz="6" w:space="0" w:color="000000"/>
            </w:tcBorders>
            <w:vAlign w:val="center"/>
          </w:tcPr>
          <w:p w14:paraId="0A4EE67C" w14:textId="77777777" w:rsidR="00D1352F" w:rsidRDefault="009B1F56">
            <w:pPr>
              <w:spacing w:after="0" w:line="259" w:lineRule="auto"/>
              <w:ind w:left="0" w:firstLine="0"/>
            </w:pPr>
            <w:r>
              <w:rPr>
                <w:sz w:val="20"/>
              </w:rPr>
              <w:t xml:space="preserve">Working Days </w:t>
            </w:r>
          </w:p>
        </w:tc>
        <w:tc>
          <w:tcPr>
            <w:tcW w:w="7157" w:type="dxa"/>
            <w:tcBorders>
              <w:top w:val="single" w:sz="6" w:space="0" w:color="000000"/>
              <w:left w:val="single" w:sz="6" w:space="0" w:color="000000"/>
              <w:bottom w:val="single" w:sz="6" w:space="0" w:color="000000"/>
              <w:right w:val="single" w:sz="4" w:space="0" w:color="000000"/>
            </w:tcBorders>
            <w:vAlign w:val="center"/>
          </w:tcPr>
          <w:p w14:paraId="0FECC7C4" w14:textId="77777777" w:rsidR="00D1352F" w:rsidRDefault="009B1F56">
            <w:pPr>
              <w:spacing w:after="0" w:line="259" w:lineRule="auto"/>
              <w:ind w:left="2" w:firstLine="0"/>
            </w:pPr>
            <w:r>
              <w:rPr>
                <w:sz w:val="20"/>
              </w:rPr>
              <w:t xml:space="preserve">Any day other than a Saturday, Sunday or public holiday in England and Wales. </w:t>
            </w:r>
          </w:p>
        </w:tc>
      </w:tr>
      <w:tr w:rsidR="00D1352F" w14:paraId="74F9A067" w14:textId="77777777">
        <w:trPr>
          <w:trHeight w:val="478"/>
        </w:trPr>
        <w:tc>
          <w:tcPr>
            <w:tcW w:w="3436" w:type="dxa"/>
            <w:tcBorders>
              <w:top w:val="single" w:sz="6" w:space="0" w:color="000000"/>
              <w:left w:val="single" w:sz="4" w:space="0" w:color="000000"/>
              <w:bottom w:val="single" w:sz="4" w:space="0" w:color="000000"/>
              <w:right w:val="single" w:sz="6" w:space="0" w:color="000000"/>
            </w:tcBorders>
            <w:vAlign w:val="center"/>
          </w:tcPr>
          <w:p w14:paraId="00F46DA1" w14:textId="77777777" w:rsidR="00D1352F" w:rsidRDefault="009B1F56">
            <w:pPr>
              <w:spacing w:after="0" w:line="259" w:lineRule="auto"/>
              <w:ind w:left="0" w:firstLine="0"/>
            </w:pPr>
            <w:r>
              <w:rPr>
                <w:sz w:val="20"/>
              </w:rPr>
              <w:t xml:space="preserve">Year </w:t>
            </w:r>
          </w:p>
        </w:tc>
        <w:tc>
          <w:tcPr>
            <w:tcW w:w="7157" w:type="dxa"/>
            <w:tcBorders>
              <w:top w:val="single" w:sz="6" w:space="0" w:color="000000"/>
              <w:left w:val="single" w:sz="6" w:space="0" w:color="000000"/>
              <w:bottom w:val="single" w:sz="4" w:space="0" w:color="000000"/>
              <w:right w:val="single" w:sz="4" w:space="0" w:color="000000"/>
            </w:tcBorders>
            <w:vAlign w:val="center"/>
          </w:tcPr>
          <w:p w14:paraId="3C1E6446" w14:textId="77777777" w:rsidR="00D1352F" w:rsidRDefault="009B1F56">
            <w:pPr>
              <w:spacing w:after="0" w:line="259" w:lineRule="auto"/>
              <w:ind w:left="2" w:firstLine="0"/>
            </w:pPr>
            <w:r>
              <w:rPr>
                <w:sz w:val="20"/>
              </w:rPr>
              <w:t xml:space="preserve">A contract year. </w:t>
            </w:r>
          </w:p>
        </w:tc>
      </w:tr>
    </w:tbl>
    <w:p w14:paraId="278B85F5" w14:textId="77777777" w:rsidR="00D1352F" w:rsidRDefault="009B1F56">
      <w:pPr>
        <w:spacing w:after="218" w:line="259" w:lineRule="auto"/>
        <w:ind w:left="5" w:firstLine="0"/>
      </w:pPr>
      <w:r>
        <w:t xml:space="preserve"> </w:t>
      </w:r>
    </w:p>
    <w:p w14:paraId="2E9EC945" w14:textId="77777777" w:rsidR="00D1352F" w:rsidRDefault="009B1F56">
      <w:pPr>
        <w:spacing w:after="223" w:line="259" w:lineRule="auto"/>
        <w:ind w:left="5" w:firstLine="0"/>
      </w:pPr>
      <w:r>
        <w:t xml:space="preserve"> </w:t>
      </w:r>
    </w:p>
    <w:p w14:paraId="1C9C1790" w14:textId="77777777" w:rsidR="00D1352F" w:rsidRDefault="009B1F56">
      <w:pPr>
        <w:spacing w:after="218" w:line="259" w:lineRule="auto"/>
        <w:ind w:left="5" w:firstLine="0"/>
      </w:pPr>
      <w:r>
        <w:t xml:space="preserve"> </w:t>
      </w:r>
    </w:p>
    <w:p w14:paraId="2B40AB55" w14:textId="77777777" w:rsidR="00D1352F" w:rsidRDefault="009B1F56">
      <w:pPr>
        <w:spacing w:after="300" w:line="259" w:lineRule="auto"/>
        <w:ind w:left="5" w:firstLine="0"/>
      </w:pPr>
      <w:r>
        <w:t xml:space="preserve"> </w:t>
      </w:r>
    </w:p>
    <w:p w14:paraId="6AF9A24F" w14:textId="77777777" w:rsidR="00D1352F" w:rsidRDefault="009B1F56">
      <w:pPr>
        <w:pStyle w:val="Heading1"/>
        <w:spacing w:after="0"/>
        <w:ind w:left="0" w:right="0"/>
      </w:pPr>
      <w:bookmarkStart w:id="48" w:name="_Toc76757"/>
      <w:r>
        <w:t xml:space="preserve">Annex A – DfE Supplemental Clauses </w:t>
      </w:r>
      <w:bookmarkEnd w:id="48"/>
    </w:p>
    <w:p w14:paraId="05D4A704" w14:textId="77777777" w:rsidR="00D1352F" w:rsidRDefault="009B1F56">
      <w:pPr>
        <w:spacing w:after="58" w:line="259" w:lineRule="auto"/>
        <w:ind w:left="523" w:firstLine="0"/>
      </w:pPr>
      <w:r>
        <w:rPr>
          <w:noProof/>
        </w:rPr>
        <w:drawing>
          <wp:inline distT="0" distB="0" distL="0" distR="0" wp14:anchorId="5CA5F20E" wp14:editId="6543FBDE">
            <wp:extent cx="299630" cy="298625"/>
            <wp:effectExtent l="0" t="0" r="0" b="0"/>
            <wp:docPr id="8134" name="Picture 8134"/>
            <wp:cNvGraphicFramePr/>
            <a:graphic xmlns:a="http://schemas.openxmlformats.org/drawingml/2006/main">
              <a:graphicData uri="http://schemas.openxmlformats.org/drawingml/2006/picture">
                <pic:pic xmlns:pic="http://schemas.openxmlformats.org/drawingml/2006/picture">
                  <pic:nvPicPr>
                    <pic:cNvPr id="8134" name="Picture 8134"/>
                    <pic:cNvPicPr/>
                  </pic:nvPicPr>
                  <pic:blipFill>
                    <a:blip r:embed="rId138"/>
                    <a:stretch>
                      <a:fillRect/>
                    </a:stretch>
                  </pic:blipFill>
                  <pic:spPr>
                    <a:xfrm flipV="1">
                      <a:off x="0" y="0"/>
                      <a:ext cx="299630" cy="298625"/>
                    </a:xfrm>
                    <a:prstGeom prst="rect">
                      <a:avLst/>
                    </a:prstGeom>
                  </pic:spPr>
                </pic:pic>
              </a:graphicData>
            </a:graphic>
          </wp:inline>
        </w:drawing>
      </w:r>
    </w:p>
    <w:p w14:paraId="4A17F0BC" w14:textId="77777777" w:rsidR="00D1352F" w:rsidRDefault="009B1F56">
      <w:pPr>
        <w:spacing w:after="0" w:line="259" w:lineRule="auto"/>
        <w:ind w:left="91" w:right="6153"/>
      </w:pPr>
      <w:r>
        <w:rPr>
          <w:rFonts w:ascii="Segoe UI" w:eastAsia="Segoe UI" w:hAnsi="Segoe UI" w:cs="Segoe UI"/>
          <w:sz w:val="16"/>
        </w:rPr>
        <w:t xml:space="preserve">DfE Supplemental </w:t>
      </w:r>
    </w:p>
    <w:p w14:paraId="137B438D" w14:textId="77777777" w:rsidR="00D1352F" w:rsidRDefault="009B1F56">
      <w:pPr>
        <w:spacing w:after="0" w:line="259" w:lineRule="auto"/>
        <w:ind w:left="283" w:right="6153"/>
      </w:pPr>
      <w:r>
        <w:rPr>
          <w:rFonts w:ascii="Segoe UI" w:eastAsia="Segoe UI" w:hAnsi="Segoe UI" w:cs="Segoe UI"/>
          <w:sz w:val="16"/>
        </w:rPr>
        <w:t>Clauses.docx</w:t>
      </w:r>
    </w:p>
    <w:p w14:paraId="7ADB373C" w14:textId="77777777" w:rsidR="00D1352F" w:rsidRDefault="009B1F56">
      <w:pPr>
        <w:spacing w:after="264" w:line="259" w:lineRule="auto"/>
        <w:ind w:left="1513" w:firstLine="0"/>
      </w:pPr>
      <w:r>
        <w:rPr>
          <w:rFonts w:ascii="Arial" w:eastAsia="Arial" w:hAnsi="Arial" w:cs="Arial"/>
        </w:rPr>
        <w:t xml:space="preserve"> </w:t>
      </w:r>
    </w:p>
    <w:p w14:paraId="46E2EFC8" w14:textId="77777777" w:rsidR="00D1352F" w:rsidRDefault="009B1F56">
      <w:pPr>
        <w:pStyle w:val="Heading1"/>
        <w:ind w:left="0" w:right="0"/>
      </w:pPr>
      <w:bookmarkStart w:id="49" w:name="_Toc76758"/>
      <w:r>
        <w:t xml:space="preserve">Annex B – RFQ Template </w:t>
      </w:r>
      <w:bookmarkEnd w:id="49"/>
    </w:p>
    <w:p w14:paraId="0B15B695" w14:textId="77777777" w:rsidR="00D1352F" w:rsidRDefault="009B1F56">
      <w:pPr>
        <w:spacing w:after="208"/>
        <w:ind w:left="0"/>
      </w:pPr>
      <w:r>
        <w:t xml:space="preserve">The following template is the Buyer’s standard template for requesting quotes and responses and therefore uses different terminology to that stipulated for orders under the G-Cloud 11 Framework Agreement. </w:t>
      </w:r>
    </w:p>
    <w:p w14:paraId="5B0A2D52" w14:textId="77777777" w:rsidR="00D1352F" w:rsidRDefault="009B1F56">
      <w:pPr>
        <w:ind w:left="0"/>
      </w:pPr>
      <w:r>
        <w:t xml:space="preserve">For the avoidance of doubt, the work packages requested and agreed using this template and an associated purchase order: </w:t>
      </w:r>
    </w:p>
    <w:p w14:paraId="30798FA9" w14:textId="77777777" w:rsidR="00D1352F" w:rsidRDefault="009B1F56">
      <w:pPr>
        <w:numPr>
          <w:ilvl w:val="0"/>
          <w:numId w:val="34"/>
        </w:numPr>
        <w:spacing w:after="41"/>
        <w:ind w:hanging="360"/>
      </w:pPr>
      <w:r>
        <w:t>Will be deemed to incorporate the terms and conditions of this Call-Off Contract (and its Order Form</w:t>
      </w:r>
      <w:proofErr w:type="gramStart"/>
      <w:r>
        <w:t>);</w:t>
      </w:r>
      <w:proofErr w:type="gramEnd"/>
      <w:r>
        <w:t xml:space="preserve"> </w:t>
      </w:r>
    </w:p>
    <w:p w14:paraId="42891D50" w14:textId="77777777" w:rsidR="00D1352F" w:rsidRDefault="009B1F56">
      <w:pPr>
        <w:numPr>
          <w:ilvl w:val="0"/>
          <w:numId w:val="34"/>
        </w:numPr>
        <w:spacing w:after="46"/>
        <w:ind w:hanging="360"/>
      </w:pPr>
      <w:r>
        <w:lastRenderedPageBreak/>
        <w:t xml:space="preserve">Construe ‘Customer’, ‘customer’, ‘department’ and ‘Department’ as the entity defined as the Buyer under this Call-Off </w:t>
      </w:r>
      <w:proofErr w:type="gramStart"/>
      <w:r>
        <w:t>Contract;</w:t>
      </w:r>
      <w:proofErr w:type="gramEnd"/>
      <w:r>
        <w:t xml:space="preserve">   </w:t>
      </w:r>
    </w:p>
    <w:p w14:paraId="21365484" w14:textId="77777777" w:rsidR="00D1352F" w:rsidRDefault="009B1F56">
      <w:pPr>
        <w:numPr>
          <w:ilvl w:val="0"/>
          <w:numId w:val="34"/>
        </w:numPr>
        <w:spacing w:after="10" w:line="267" w:lineRule="auto"/>
        <w:ind w:hanging="360"/>
      </w:pPr>
      <w:r>
        <w:t xml:space="preserve">Construe ‘Service Provider’ and ‘service provider’ as the entity defined as the Supplier under this </w:t>
      </w:r>
    </w:p>
    <w:p w14:paraId="3C55063F" w14:textId="77777777" w:rsidR="00D1352F" w:rsidRDefault="009B1F56">
      <w:pPr>
        <w:spacing w:after="7"/>
        <w:ind w:left="735"/>
      </w:pPr>
      <w:r>
        <w:t>Call-Off Contract</w:t>
      </w:r>
      <w:proofErr w:type="gramStart"/>
      <w:r>
        <w:t>.;</w:t>
      </w:r>
      <w:proofErr w:type="gramEnd"/>
      <w:r>
        <w:t xml:space="preserve">   </w:t>
      </w:r>
    </w:p>
    <w:p w14:paraId="24DD84DE" w14:textId="77777777" w:rsidR="00D1352F" w:rsidRDefault="009B1F56">
      <w:pPr>
        <w:spacing w:after="202"/>
        <w:ind w:left="735"/>
      </w:pPr>
      <w:r>
        <w:t xml:space="preserve">Will be deemed to incorporate the Buyer responsibilities stated in the Order Form of this Call-Off Contract within the Service Provider Obligations on the Department section of the RFQ. </w:t>
      </w:r>
    </w:p>
    <w:p w14:paraId="613EF44A" w14:textId="77777777" w:rsidR="00D1352F" w:rsidRDefault="009B1F56">
      <w:pPr>
        <w:spacing w:after="204" w:line="275" w:lineRule="auto"/>
        <w:ind w:left="-10" w:right="63" w:firstLine="0"/>
        <w:jc w:val="both"/>
      </w:pPr>
      <w:r>
        <w:t xml:space="preserve">The Buyer must advise the Supplier that they wish to proceed with the work proposed in an </w:t>
      </w:r>
      <w:proofErr w:type="spellStart"/>
      <w:r>
        <w:t>RfQ</w:t>
      </w:r>
      <w:proofErr w:type="spellEnd"/>
      <w:r>
        <w:t xml:space="preserve">. This is completed by emailing dfe.programmecentre.uk@capgemini.com with the </w:t>
      </w:r>
      <w:proofErr w:type="spellStart"/>
      <w:r>
        <w:t>RfQ</w:t>
      </w:r>
      <w:proofErr w:type="spellEnd"/>
      <w:r>
        <w:t xml:space="preserve"> reference number (for example CAP-100) and confirmation that the work is agreed, and a purchase order will be raised.  </w:t>
      </w:r>
    </w:p>
    <w:p w14:paraId="472EAB33" w14:textId="77777777" w:rsidR="00D1352F" w:rsidRDefault="009B1F56">
      <w:pPr>
        <w:spacing w:after="0" w:line="259" w:lineRule="auto"/>
        <w:ind w:left="5" w:firstLine="0"/>
      </w:pPr>
      <w:r>
        <w:rPr>
          <w:rFonts w:ascii="Arial" w:eastAsia="Arial" w:hAnsi="Arial" w:cs="Arial"/>
        </w:rPr>
        <w:t xml:space="preserve"> </w:t>
      </w:r>
    </w:p>
    <w:p w14:paraId="646AA814" w14:textId="77777777" w:rsidR="00D1352F" w:rsidRDefault="009B1F56">
      <w:pPr>
        <w:spacing w:after="58" w:line="259" w:lineRule="auto"/>
        <w:ind w:left="523" w:firstLine="0"/>
      </w:pPr>
      <w:r>
        <w:rPr>
          <w:noProof/>
        </w:rPr>
        <w:drawing>
          <wp:inline distT="0" distB="0" distL="0" distR="0" wp14:anchorId="7C226C5B" wp14:editId="4FA3D0CD">
            <wp:extent cx="299630" cy="298625"/>
            <wp:effectExtent l="0" t="0" r="0" b="0"/>
            <wp:docPr id="8247" name="Picture 8247"/>
            <wp:cNvGraphicFramePr/>
            <a:graphic xmlns:a="http://schemas.openxmlformats.org/drawingml/2006/main">
              <a:graphicData uri="http://schemas.openxmlformats.org/drawingml/2006/picture">
                <pic:pic xmlns:pic="http://schemas.openxmlformats.org/drawingml/2006/picture">
                  <pic:nvPicPr>
                    <pic:cNvPr id="8247" name="Picture 8247"/>
                    <pic:cNvPicPr/>
                  </pic:nvPicPr>
                  <pic:blipFill>
                    <a:blip r:embed="rId138"/>
                    <a:stretch>
                      <a:fillRect/>
                    </a:stretch>
                  </pic:blipFill>
                  <pic:spPr>
                    <a:xfrm flipV="1">
                      <a:off x="0" y="0"/>
                      <a:ext cx="299630" cy="298625"/>
                    </a:xfrm>
                    <a:prstGeom prst="rect">
                      <a:avLst/>
                    </a:prstGeom>
                  </pic:spPr>
                </pic:pic>
              </a:graphicData>
            </a:graphic>
          </wp:inline>
        </w:drawing>
      </w:r>
    </w:p>
    <w:p w14:paraId="6ABEFE53" w14:textId="77777777" w:rsidR="00D1352F" w:rsidRDefault="009B1F56">
      <w:pPr>
        <w:spacing w:after="0" w:line="259" w:lineRule="auto"/>
        <w:ind w:left="10" w:right="6153"/>
      </w:pPr>
      <w:r>
        <w:rPr>
          <w:rFonts w:ascii="Segoe UI" w:eastAsia="Segoe UI" w:hAnsi="Segoe UI" w:cs="Segoe UI"/>
          <w:sz w:val="16"/>
        </w:rPr>
        <w:t xml:space="preserve">RFQ Template v 7.0 </w:t>
      </w:r>
    </w:p>
    <w:p w14:paraId="3C2FA80B" w14:textId="77777777" w:rsidR="00D1352F" w:rsidRDefault="009B1F56">
      <w:pPr>
        <w:spacing w:after="0" w:line="259" w:lineRule="auto"/>
        <w:ind w:left="150" w:right="6153"/>
      </w:pPr>
      <w:r>
        <w:rPr>
          <w:rFonts w:ascii="Segoe UI" w:eastAsia="Segoe UI" w:hAnsi="Segoe UI" w:cs="Segoe UI"/>
          <w:sz w:val="16"/>
        </w:rPr>
        <w:t>Blank (002).docx</w:t>
      </w:r>
    </w:p>
    <w:p w14:paraId="0B4E8B6F" w14:textId="77777777" w:rsidR="00D1352F" w:rsidRDefault="009B1F56">
      <w:pPr>
        <w:spacing w:after="223" w:line="259" w:lineRule="auto"/>
        <w:ind w:left="1513" w:firstLine="0"/>
      </w:pPr>
      <w:r>
        <w:t xml:space="preserve"> </w:t>
      </w:r>
    </w:p>
    <w:p w14:paraId="5F47E834" w14:textId="77777777" w:rsidR="00D1352F" w:rsidRDefault="009B1F56">
      <w:pPr>
        <w:pStyle w:val="Heading1"/>
        <w:spacing w:after="0"/>
        <w:ind w:left="0" w:right="0"/>
      </w:pPr>
      <w:bookmarkStart w:id="50" w:name="_Toc76759"/>
      <w:r>
        <w:t xml:space="preserve">Annex C – Monthly Service Report </w:t>
      </w:r>
      <w:bookmarkEnd w:id="50"/>
    </w:p>
    <w:p w14:paraId="64A40CA6" w14:textId="77777777" w:rsidR="00D1352F" w:rsidRDefault="009B1F56">
      <w:pPr>
        <w:spacing w:after="114" w:line="259" w:lineRule="auto"/>
        <w:ind w:left="364" w:firstLine="0"/>
      </w:pPr>
      <w:r>
        <w:rPr>
          <w:noProof/>
        </w:rPr>
        <w:drawing>
          <wp:inline distT="0" distB="0" distL="0" distR="0" wp14:anchorId="5A8E181F" wp14:editId="18403A53">
            <wp:extent cx="215989" cy="212892"/>
            <wp:effectExtent l="0" t="0" r="0" b="0"/>
            <wp:docPr id="8257" name="Picture 8257"/>
            <wp:cNvGraphicFramePr/>
            <a:graphic xmlns:a="http://schemas.openxmlformats.org/drawingml/2006/main">
              <a:graphicData uri="http://schemas.openxmlformats.org/drawingml/2006/picture">
                <pic:pic xmlns:pic="http://schemas.openxmlformats.org/drawingml/2006/picture">
                  <pic:nvPicPr>
                    <pic:cNvPr id="8257" name="Picture 8257"/>
                    <pic:cNvPicPr/>
                  </pic:nvPicPr>
                  <pic:blipFill>
                    <a:blip r:embed="rId139"/>
                    <a:stretch>
                      <a:fillRect/>
                    </a:stretch>
                  </pic:blipFill>
                  <pic:spPr>
                    <a:xfrm flipV="1">
                      <a:off x="0" y="0"/>
                      <a:ext cx="215989" cy="212892"/>
                    </a:xfrm>
                    <a:prstGeom prst="rect">
                      <a:avLst/>
                    </a:prstGeom>
                  </pic:spPr>
                </pic:pic>
              </a:graphicData>
            </a:graphic>
          </wp:inline>
        </w:drawing>
      </w:r>
    </w:p>
    <w:p w14:paraId="04861C84" w14:textId="77777777" w:rsidR="00D1352F" w:rsidRDefault="009B1F56">
      <w:pPr>
        <w:tabs>
          <w:tab w:val="center" w:pos="1061"/>
        </w:tabs>
        <w:spacing w:after="525" w:line="265" w:lineRule="auto"/>
        <w:ind w:left="0" w:firstLine="0"/>
      </w:pPr>
      <w:r>
        <w:rPr>
          <w:rFonts w:ascii="Segoe UI" w:eastAsia="Segoe UI" w:hAnsi="Segoe UI" w:cs="Segoe UI"/>
          <w:sz w:val="11"/>
        </w:rPr>
        <w:t xml:space="preserve">Monthly Service </w:t>
      </w:r>
      <w:r>
        <w:rPr>
          <w:rFonts w:ascii="Segoe UI" w:eastAsia="Segoe UI" w:hAnsi="Segoe UI" w:cs="Segoe UI"/>
          <w:sz w:val="17"/>
          <w:vertAlign w:val="subscript"/>
        </w:rPr>
        <w:t>Report.xlsx</w:t>
      </w:r>
      <w:r>
        <w:rPr>
          <w:rFonts w:ascii="Segoe UI" w:eastAsia="Segoe UI" w:hAnsi="Segoe UI" w:cs="Segoe UI"/>
          <w:sz w:val="17"/>
          <w:vertAlign w:val="subscript"/>
        </w:rPr>
        <w:tab/>
      </w:r>
      <w:r>
        <w:rPr>
          <w:rFonts w:ascii="Arial" w:eastAsia="Arial" w:hAnsi="Arial" w:cs="Arial"/>
        </w:rPr>
        <w:t xml:space="preserve"> </w:t>
      </w:r>
    </w:p>
    <w:p w14:paraId="2800B01F" w14:textId="77777777" w:rsidR="00D1352F" w:rsidRDefault="009B1F56">
      <w:pPr>
        <w:pStyle w:val="Heading1"/>
        <w:spacing w:after="0"/>
        <w:ind w:left="0" w:right="0"/>
      </w:pPr>
      <w:bookmarkStart w:id="51" w:name="_Toc76760"/>
      <w:r>
        <w:t xml:space="preserve">Annex D - Requirement document </w:t>
      </w:r>
      <w:bookmarkEnd w:id="51"/>
    </w:p>
    <w:p w14:paraId="3D7169A2" w14:textId="77777777" w:rsidR="00D1352F" w:rsidRDefault="009B1F56">
      <w:pPr>
        <w:spacing w:after="72" w:line="259" w:lineRule="auto"/>
        <w:ind w:left="511" w:firstLine="0"/>
      </w:pPr>
      <w:r>
        <w:rPr>
          <w:noProof/>
        </w:rPr>
        <w:drawing>
          <wp:inline distT="0" distB="0" distL="0" distR="0" wp14:anchorId="730A4C8E" wp14:editId="6D27CB95">
            <wp:extent cx="305164" cy="302520"/>
            <wp:effectExtent l="0" t="0" r="0" b="0"/>
            <wp:docPr id="8267" name="Picture 8267"/>
            <wp:cNvGraphicFramePr/>
            <a:graphic xmlns:a="http://schemas.openxmlformats.org/drawingml/2006/main">
              <a:graphicData uri="http://schemas.openxmlformats.org/drawingml/2006/picture">
                <pic:pic xmlns:pic="http://schemas.openxmlformats.org/drawingml/2006/picture">
                  <pic:nvPicPr>
                    <pic:cNvPr id="8267" name="Picture 8267"/>
                    <pic:cNvPicPr/>
                  </pic:nvPicPr>
                  <pic:blipFill>
                    <a:blip r:embed="rId14"/>
                    <a:stretch>
                      <a:fillRect/>
                    </a:stretch>
                  </pic:blipFill>
                  <pic:spPr>
                    <a:xfrm flipV="1">
                      <a:off x="0" y="0"/>
                      <a:ext cx="305164" cy="302520"/>
                    </a:xfrm>
                    <a:prstGeom prst="rect">
                      <a:avLst/>
                    </a:prstGeom>
                  </pic:spPr>
                </pic:pic>
              </a:graphicData>
            </a:graphic>
          </wp:inline>
        </w:drawing>
      </w:r>
    </w:p>
    <w:p w14:paraId="42EE338F" w14:textId="77777777" w:rsidR="00D1352F" w:rsidRDefault="009B1F56">
      <w:pPr>
        <w:spacing w:after="42" w:line="259" w:lineRule="auto"/>
        <w:ind w:left="280" w:right="6153"/>
      </w:pPr>
      <w:r>
        <w:rPr>
          <w:rFonts w:ascii="Segoe UI" w:eastAsia="Segoe UI" w:hAnsi="Segoe UI" w:cs="Segoe UI"/>
          <w:sz w:val="16"/>
        </w:rPr>
        <w:t xml:space="preserve">Requirements </w:t>
      </w:r>
    </w:p>
    <w:p w14:paraId="473CC845" w14:textId="77777777" w:rsidR="00D1352F" w:rsidRDefault="009B1F56">
      <w:pPr>
        <w:tabs>
          <w:tab w:val="center" w:pos="745"/>
          <w:tab w:val="center" w:pos="1498"/>
        </w:tabs>
        <w:spacing w:after="423" w:line="259" w:lineRule="auto"/>
        <w:ind w:left="0" w:firstLine="0"/>
      </w:pPr>
      <w:r>
        <w:rPr>
          <w:rFonts w:ascii="Calibri" w:eastAsia="Calibri" w:hAnsi="Calibri" w:cs="Calibri"/>
          <w:sz w:val="22"/>
        </w:rPr>
        <w:tab/>
      </w:r>
      <w:r>
        <w:rPr>
          <w:rFonts w:ascii="Segoe UI" w:eastAsia="Segoe UI" w:hAnsi="Segoe UI" w:cs="Segoe UI"/>
          <w:sz w:val="16"/>
        </w:rPr>
        <w:t>doc.docx</w:t>
      </w:r>
      <w:r>
        <w:rPr>
          <w:rFonts w:ascii="Segoe UI" w:eastAsia="Segoe UI" w:hAnsi="Segoe UI" w:cs="Segoe UI"/>
          <w:sz w:val="16"/>
        </w:rPr>
        <w:tab/>
      </w:r>
      <w:r>
        <w:rPr>
          <w:rFonts w:ascii="Arial" w:eastAsia="Arial" w:hAnsi="Arial" w:cs="Arial"/>
        </w:rPr>
        <w:t xml:space="preserve"> </w:t>
      </w:r>
    </w:p>
    <w:p w14:paraId="01DBD84F" w14:textId="77777777" w:rsidR="00D1352F" w:rsidRDefault="009B1F56">
      <w:pPr>
        <w:pStyle w:val="Heading1"/>
        <w:spacing w:after="0"/>
        <w:ind w:left="0" w:right="0"/>
      </w:pPr>
      <w:bookmarkStart w:id="52" w:name="_Toc76761"/>
      <w:r>
        <w:t xml:space="preserve">Annex E - Framework Agreement </w:t>
      </w:r>
      <w:bookmarkEnd w:id="52"/>
    </w:p>
    <w:p w14:paraId="6A060EFC" w14:textId="77777777" w:rsidR="00D1352F" w:rsidRDefault="009B1F56">
      <w:pPr>
        <w:spacing w:after="58" w:line="259" w:lineRule="auto"/>
        <w:ind w:left="523" w:firstLine="0"/>
      </w:pPr>
      <w:r>
        <w:rPr>
          <w:noProof/>
        </w:rPr>
        <w:drawing>
          <wp:inline distT="0" distB="0" distL="0" distR="0" wp14:anchorId="2ABA17D4" wp14:editId="4030EDDE">
            <wp:extent cx="299630" cy="298625"/>
            <wp:effectExtent l="0" t="0" r="0" b="0"/>
            <wp:docPr id="8279" name="Picture 8279"/>
            <wp:cNvGraphicFramePr/>
            <a:graphic xmlns:a="http://schemas.openxmlformats.org/drawingml/2006/main">
              <a:graphicData uri="http://schemas.openxmlformats.org/drawingml/2006/picture">
                <pic:pic xmlns:pic="http://schemas.openxmlformats.org/drawingml/2006/picture">
                  <pic:nvPicPr>
                    <pic:cNvPr id="8279" name="Picture 8279"/>
                    <pic:cNvPicPr/>
                  </pic:nvPicPr>
                  <pic:blipFill>
                    <a:blip r:embed="rId140"/>
                    <a:stretch>
                      <a:fillRect/>
                    </a:stretch>
                  </pic:blipFill>
                  <pic:spPr>
                    <a:xfrm flipV="1">
                      <a:off x="0" y="0"/>
                      <a:ext cx="299630" cy="298625"/>
                    </a:xfrm>
                    <a:prstGeom prst="rect">
                      <a:avLst/>
                    </a:prstGeom>
                  </pic:spPr>
                </pic:pic>
              </a:graphicData>
            </a:graphic>
          </wp:inline>
        </w:drawing>
      </w:r>
    </w:p>
    <w:p w14:paraId="0579D3E9" w14:textId="77777777" w:rsidR="00D1352F" w:rsidRDefault="009B1F56">
      <w:pPr>
        <w:spacing w:after="0" w:line="259" w:lineRule="auto"/>
        <w:ind w:left="10" w:right="7746"/>
      </w:pPr>
      <w:r>
        <w:rPr>
          <w:rFonts w:ascii="Segoe UI" w:eastAsia="Segoe UI" w:hAnsi="Segoe UI" w:cs="Segoe UI"/>
          <w:sz w:val="16"/>
        </w:rPr>
        <w:t>g-cloud-11-framew ork-agreement.pdf</w:t>
      </w:r>
    </w:p>
    <w:p w14:paraId="2DC34D84" w14:textId="77777777" w:rsidR="00D1352F" w:rsidRDefault="009B1F56">
      <w:pPr>
        <w:spacing w:after="0" w:line="259" w:lineRule="auto"/>
        <w:ind w:left="1513" w:firstLine="0"/>
      </w:pPr>
      <w:r>
        <w:rPr>
          <w:rFonts w:ascii="Arial" w:eastAsia="Arial" w:hAnsi="Arial" w:cs="Arial"/>
        </w:rPr>
        <w:t xml:space="preserve"> </w:t>
      </w:r>
    </w:p>
    <w:p w14:paraId="38817973" w14:textId="77777777" w:rsidR="00D1352F" w:rsidRDefault="009B1F56">
      <w:pPr>
        <w:pStyle w:val="Heading1"/>
        <w:ind w:left="0" w:right="0"/>
      </w:pPr>
      <w:bookmarkStart w:id="53" w:name="_Toc76762"/>
      <w:r>
        <w:t xml:space="preserve">Schedule 7 - GDPR Information   </w:t>
      </w:r>
      <w:bookmarkEnd w:id="53"/>
    </w:p>
    <w:p w14:paraId="5A1D08F7" w14:textId="77777777" w:rsidR="00D1352F" w:rsidRDefault="009B1F56">
      <w:pPr>
        <w:spacing w:after="208"/>
        <w:ind w:left="0"/>
      </w:pPr>
      <w:r>
        <w:t xml:space="preserve">This schedule reproduces the annexes to the GDPR schedule contained within the Framework Agreement and incorporated into this Call-off Contract.   </w:t>
      </w:r>
    </w:p>
    <w:p w14:paraId="26EDE3EB" w14:textId="77777777" w:rsidR="00D1352F" w:rsidRDefault="009B1F56">
      <w:pPr>
        <w:pStyle w:val="Heading1"/>
        <w:spacing w:after="198" w:line="270" w:lineRule="auto"/>
        <w:ind w:left="0" w:right="0"/>
      </w:pPr>
      <w:bookmarkStart w:id="54" w:name="_Toc76763"/>
      <w:r>
        <w:rPr>
          <w:sz w:val="24"/>
        </w:rPr>
        <w:t xml:space="preserve">Annex 1 - Processing Personal Data </w:t>
      </w:r>
      <w:bookmarkEnd w:id="54"/>
    </w:p>
    <w:p w14:paraId="0F4D6F56" w14:textId="77777777" w:rsidR="00D1352F" w:rsidRDefault="009B1F56">
      <w:pPr>
        <w:ind w:left="0"/>
      </w:pPr>
      <w:r>
        <w:t xml:space="preserve">This Annex shall be completed by the Controller, who may take account of the view of the Processors, however the final decision as to the content of this Annex shall be with the Buyer at its absolute discretion.   </w:t>
      </w:r>
    </w:p>
    <w:p w14:paraId="28B4FC3A" w14:textId="77777777" w:rsidR="00D1352F" w:rsidRDefault="009B1F56">
      <w:pPr>
        <w:tabs>
          <w:tab w:val="center" w:pos="4686"/>
        </w:tabs>
        <w:spacing w:after="5" w:line="267" w:lineRule="auto"/>
        <w:ind w:left="-10" w:firstLine="0"/>
      </w:pPr>
      <w:r>
        <w:lastRenderedPageBreak/>
        <w:t>1.1</w:t>
      </w:r>
      <w:r>
        <w:rPr>
          <w:rFonts w:ascii="Arial" w:eastAsia="Arial" w:hAnsi="Arial" w:cs="Arial"/>
        </w:rPr>
        <w:t xml:space="preserve"> </w:t>
      </w:r>
      <w:r>
        <w:rPr>
          <w:rFonts w:ascii="Arial" w:eastAsia="Arial" w:hAnsi="Arial" w:cs="Arial"/>
        </w:rPr>
        <w:tab/>
      </w:r>
      <w:r>
        <w:t xml:space="preserve">The contact details of the Buyer’s Data Protection Officer are: Emma </w:t>
      </w:r>
      <w:proofErr w:type="spellStart"/>
      <w:r>
        <w:t>Wharram</w:t>
      </w:r>
      <w:proofErr w:type="spellEnd"/>
      <w:r>
        <w:t xml:space="preserve">  </w:t>
      </w:r>
    </w:p>
    <w:p w14:paraId="423D0993" w14:textId="77777777" w:rsidR="00D1352F" w:rsidRDefault="009B1F56">
      <w:pPr>
        <w:tabs>
          <w:tab w:val="center" w:pos="4729"/>
        </w:tabs>
        <w:spacing w:after="5" w:line="267" w:lineRule="auto"/>
        <w:ind w:left="-10" w:firstLine="0"/>
      </w:pPr>
      <w:r>
        <w:t>1.2</w:t>
      </w:r>
      <w:r>
        <w:rPr>
          <w:rFonts w:ascii="Arial" w:eastAsia="Arial" w:hAnsi="Arial" w:cs="Arial"/>
        </w:rPr>
        <w:t xml:space="preserve"> </w:t>
      </w:r>
      <w:r>
        <w:rPr>
          <w:rFonts w:ascii="Arial" w:eastAsia="Arial" w:hAnsi="Arial" w:cs="Arial"/>
        </w:rPr>
        <w:tab/>
      </w:r>
      <w:r>
        <w:t xml:space="preserve">The contact details of the Supplier’s Data Protection Officer are: Prakash Mistry </w:t>
      </w:r>
    </w:p>
    <w:p w14:paraId="3AA51156" w14:textId="77777777" w:rsidR="00D1352F" w:rsidRDefault="009B1F56">
      <w:pPr>
        <w:spacing w:after="5"/>
        <w:ind w:left="710" w:hanging="720"/>
      </w:pPr>
      <w:r>
        <w:t>1.3</w:t>
      </w:r>
      <w:r>
        <w:rPr>
          <w:rFonts w:ascii="Arial" w:eastAsia="Arial" w:hAnsi="Arial" w:cs="Arial"/>
        </w:rPr>
        <w:t xml:space="preserve"> </w:t>
      </w:r>
      <w:r>
        <w:rPr>
          <w:rFonts w:ascii="Arial" w:eastAsia="Arial" w:hAnsi="Arial" w:cs="Arial"/>
        </w:rPr>
        <w:tab/>
      </w:r>
      <w:r>
        <w:t xml:space="preserve">The Processor shall comply with any further written instructions with respect to Processing by the Controller. </w:t>
      </w:r>
    </w:p>
    <w:p w14:paraId="6996EE46" w14:textId="77777777" w:rsidR="00D1352F" w:rsidRDefault="009B1F56">
      <w:pPr>
        <w:tabs>
          <w:tab w:val="center" w:pos="4142"/>
        </w:tabs>
        <w:spacing w:after="0"/>
        <w:ind w:left="-10" w:firstLine="0"/>
      </w:pPr>
      <w:r>
        <w:t>1.4</w:t>
      </w:r>
      <w:r>
        <w:rPr>
          <w:rFonts w:ascii="Arial" w:eastAsia="Arial" w:hAnsi="Arial" w:cs="Arial"/>
        </w:rPr>
        <w:t xml:space="preserve"> </w:t>
      </w:r>
      <w:r>
        <w:rPr>
          <w:rFonts w:ascii="Arial" w:eastAsia="Arial" w:hAnsi="Arial" w:cs="Arial"/>
        </w:rPr>
        <w:tab/>
      </w:r>
      <w:r>
        <w:t xml:space="preserve">Any such further instructions shall be incorporated into this Annex. </w:t>
      </w:r>
    </w:p>
    <w:p w14:paraId="5E3FF20F" w14:textId="77777777" w:rsidR="00D1352F" w:rsidRDefault="009B1F56">
      <w:pPr>
        <w:spacing w:after="0" w:line="259" w:lineRule="auto"/>
        <w:ind w:left="725" w:firstLine="0"/>
      </w:pPr>
      <w:r>
        <w:t xml:space="preserve"> </w:t>
      </w:r>
    </w:p>
    <w:tbl>
      <w:tblPr>
        <w:tblStyle w:val="TableGrid"/>
        <w:tblW w:w="9685" w:type="dxa"/>
        <w:tblInd w:w="13" w:type="dxa"/>
        <w:tblCellMar>
          <w:top w:w="69" w:type="dxa"/>
          <w:left w:w="112" w:type="dxa"/>
          <w:right w:w="115" w:type="dxa"/>
        </w:tblCellMar>
        <w:tblLook w:val="04A0" w:firstRow="1" w:lastRow="0" w:firstColumn="1" w:lastColumn="0" w:noHBand="0" w:noVBand="1"/>
      </w:tblPr>
      <w:tblGrid>
        <w:gridCol w:w="2263"/>
        <w:gridCol w:w="7422"/>
      </w:tblGrid>
      <w:tr w:rsidR="00D1352F" w14:paraId="4506F982" w14:textId="77777777">
        <w:trPr>
          <w:trHeight w:val="708"/>
        </w:trPr>
        <w:tc>
          <w:tcPr>
            <w:tcW w:w="2263" w:type="dxa"/>
            <w:tcBorders>
              <w:top w:val="single" w:sz="4" w:space="0" w:color="000000"/>
              <w:left w:val="single" w:sz="4" w:space="0" w:color="000000"/>
              <w:bottom w:val="single" w:sz="4" w:space="0" w:color="000000"/>
              <w:right w:val="single" w:sz="4" w:space="0" w:color="000000"/>
            </w:tcBorders>
            <w:shd w:val="clear" w:color="auto" w:fill="BFBFBF"/>
          </w:tcPr>
          <w:p w14:paraId="5636023D" w14:textId="77777777" w:rsidR="00D1352F" w:rsidRDefault="009B1F56">
            <w:pPr>
              <w:spacing w:after="0" w:line="259" w:lineRule="auto"/>
              <w:ind w:left="0" w:firstLine="0"/>
            </w:pPr>
            <w:r>
              <w:t xml:space="preserve">Description </w:t>
            </w:r>
          </w:p>
        </w:tc>
        <w:tc>
          <w:tcPr>
            <w:tcW w:w="7422" w:type="dxa"/>
            <w:tcBorders>
              <w:top w:val="single" w:sz="4" w:space="0" w:color="000000"/>
              <w:left w:val="single" w:sz="4" w:space="0" w:color="000000"/>
              <w:bottom w:val="single" w:sz="4" w:space="0" w:color="000000"/>
              <w:right w:val="single" w:sz="4" w:space="0" w:color="000000"/>
            </w:tcBorders>
            <w:shd w:val="clear" w:color="auto" w:fill="BFBFBF"/>
          </w:tcPr>
          <w:p w14:paraId="7100C15D" w14:textId="77777777" w:rsidR="00D1352F" w:rsidRDefault="009B1F56">
            <w:pPr>
              <w:spacing w:after="0" w:line="259" w:lineRule="auto"/>
              <w:ind w:left="4" w:firstLine="0"/>
              <w:jc w:val="center"/>
            </w:pPr>
            <w:r>
              <w:t xml:space="preserve">Details </w:t>
            </w:r>
          </w:p>
        </w:tc>
      </w:tr>
      <w:tr w:rsidR="00D1352F" w14:paraId="38BA5A3C" w14:textId="77777777">
        <w:trPr>
          <w:trHeight w:val="7880"/>
        </w:trPr>
        <w:tc>
          <w:tcPr>
            <w:tcW w:w="2263" w:type="dxa"/>
            <w:tcBorders>
              <w:top w:val="single" w:sz="4" w:space="0" w:color="000000"/>
              <w:left w:val="single" w:sz="4" w:space="0" w:color="000000"/>
              <w:bottom w:val="single" w:sz="4" w:space="0" w:color="000000"/>
              <w:right w:val="single" w:sz="4" w:space="0" w:color="000000"/>
            </w:tcBorders>
          </w:tcPr>
          <w:p w14:paraId="379EB948" w14:textId="77777777" w:rsidR="00D1352F" w:rsidRDefault="009B1F56">
            <w:pPr>
              <w:spacing w:after="21" w:line="259" w:lineRule="auto"/>
              <w:ind w:left="0" w:firstLine="0"/>
            </w:pPr>
            <w:r>
              <w:t xml:space="preserve">Identity of </w:t>
            </w:r>
          </w:p>
          <w:p w14:paraId="5F36DCD1" w14:textId="77777777" w:rsidR="00D1352F" w:rsidRDefault="009B1F56">
            <w:pPr>
              <w:spacing w:after="16" w:line="259" w:lineRule="auto"/>
              <w:ind w:left="0" w:firstLine="0"/>
            </w:pPr>
            <w:r>
              <w:t xml:space="preserve">Controller for each </w:t>
            </w:r>
          </w:p>
          <w:p w14:paraId="56C219B6" w14:textId="77777777" w:rsidR="00D1352F" w:rsidRDefault="009B1F56">
            <w:pPr>
              <w:spacing w:after="21" w:line="259" w:lineRule="auto"/>
              <w:ind w:left="0" w:firstLine="0"/>
            </w:pPr>
            <w:r>
              <w:t xml:space="preserve">Category of </w:t>
            </w:r>
          </w:p>
          <w:p w14:paraId="6F614883" w14:textId="77777777" w:rsidR="00D1352F" w:rsidRDefault="009B1F56">
            <w:pPr>
              <w:spacing w:after="0" w:line="259" w:lineRule="auto"/>
              <w:ind w:left="0" w:firstLine="0"/>
            </w:pPr>
            <w:r>
              <w:t xml:space="preserve">Personal Data </w:t>
            </w:r>
          </w:p>
        </w:tc>
        <w:tc>
          <w:tcPr>
            <w:tcW w:w="7422" w:type="dxa"/>
            <w:tcBorders>
              <w:top w:val="single" w:sz="4" w:space="0" w:color="000000"/>
              <w:left w:val="single" w:sz="4" w:space="0" w:color="000000"/>
              <w:bottom w:val="single" w:sz="4" w:space="0" w:color="000000"/>
              <w:right w:val="single" w:sz="4" w:space="0" w:color="000000"/>
            </w:tcBorders>
          </w:tcPr>
          <w:p w14:paraId="0227AAED" w14:textId="77777777" w:rsidR="00D1352F" w:rsidRDefault="009B1F56">
            <w:pPr>
              <w:spacing w:after="218" w:line="259" w:lineRule="auto"/>
              <w:ind w:left="4" w:firstLine="0"/>
            </w:pPr>
            <w:r>
              <w:t xml:space="preserve">The Buyer is Controller and the Supplier is Processor </w:t>
            </w:r>
          </w:p>
          <w:p w14:paraId="46D4F7C6" w14:textId="77777777" w:rsidR="00D1352F" w:rsidRDefault="009B1F56">
            <w:pPr>
              <w:spacing w:after="198" w:line="274" w:lineRule="auto"/>
              <w:ind w:left="4"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14:paraId="7332512D" w14:textId="77777777" w:rsidR="00D1352F" w:rsidRDefault="009B1F56">
            <w:pPr>
              <w:spacing w:after="208" w:line="275" w:lineRule="auto"/>
              <w:ind w:left="4" w:firstLine="0"/>
            </w:pPr>
            <w:r>
              <w:t xml:space="preserve">Any Buyer personal data involved in the delivery of services as described in Supplier’s Service Definition with the following features: </w:t>
            </w:r>
          </w:p>
          <w:p w14:paraId="6C6131EB" w14:textId="77777777" w:rsidR="00D1352F" w:rsidRDefault="009B1F56">
            <w:pPr>
              <w:numPr>
                <w:ilvl w:val="0"/>
                <w:numId w:val="52"/>
              </w:numPr>
              <w:spacing w:after="23" w:line="259" w:lineRule="auto"/>
              <w:ind w:hanging="360"/>
            </w:pPr>
            <w:r>
              <w:t xml:space="preserve">Can provide DevOps maturity assessment and strategy </w:t>
            </w:r>
          </w:p>
          <w:p w14:paraId="67C4E6E6" w14:textId="77777777" w:rsidR="00D1352F" w:rsidRDefault="009B1F56">
            <w:pPr>
              <w:numPr>
                <w:ilvl w:val="0"/>
                <w:numId w:val="52"/>
              </w:numPr>
              <w:spacing w:after="5" w:line="276" w:lineRule="auto"/>
              <w:ind w:hanging="360"/>
            </w:pPr>
            <w:r>
              <w:t xml:space="preserve">Can enable Lean, continuous experimentation and learning cultures </w:t>
            </w:r>
          </w:p>
          <w:p w14:paraId="07DB005E" w14:textId="77777777" w:rsidR="00D1352F" w:rsidRDefault="009B1F56">
            <w:pPr>
              <w:numPr>
                <w:ilvl w:val="0"/>
                <w:numId w:val="52"/>
              </w:numPr>
              <w:spacing w:after="10" w:line="273" w:lineRule="auto"/>
              <w:ind w:hanging="360"/>
            </w:pPr>
            <w:r>
              <w:t xml:space="preserve">Can develop “T-shaped” cloud native engineers using boot camps </w:t>
            </w:r>
          </w:p>
          <w:p w14:paraId="77A9BE75" w14:textId="77777777" w:rsidR="00D1352F" w:rsidRDefault="009B1F56">
            <w:pPr>
              <w:numPr>
                <w:ilvl w:val="0"/>
                <w:numId w:val="52"/>
              </w:numPr>
              <w:spacing w:after="5" w:line="276" w:lineRule="auto"/>
              <w:ind w:hanging="360"/>
            </w:pPr>
            <w:r>
              <w:t xml:space="preserve">Can create infrastructure as code, using Terraform, Ansible, Kubernetes, Serverless </w:t>
            </w:r>
          </w:p>
          <w:p w14:paraId="45FC8411" w14:textId="77777777" w:rsidR="00D1352F" w:rsidRDefault="009B1F56">
            <w:pPr>
              <w:numPr>
                <w:ilvl w:val="0"/>
                <w:numId w:val="52"/>
              </w:numPr>
              <w:spacing w:after="11" w:line="272" w:lineRule="auto"/>
              <w:ind w:hanging="360"/>
            </w:pPr>
            <w:r>
              <w:t xml:space="preserve">Can provide fully automated software delivery pipelines and testing </w:t>
            </w:r>
          </w:p>
          <w:p w14:paraId="036359DE" w14:textId="77777777" w:rsidR="00D1352F" w:rsidRDefault="009B1F56">
            <w:pPr>
              <w:numPr>
                <w:ilvl w:val="0"/>
                <w:numId w:val="52"/>
              </w:numPr>
              <w:spacing w:after="5" w:line="276" w:lineRule="auto"/>
              <w:ind w:hanging="360"/>
            </w:pPr>
            <w:r>
              <w:t xml:space="preserve">Can enable secure Docker containers, microservices and serverless architectures </w:t>
            </w:r>
          </w:p>
          <w:p w14:paraId="157B5D63" w14:textId="77777777" w:rsidR="00D1352F" w:rsidRDefault="009B1F56">
            <w:pPr>
              <w:numPr>
                <w:ilvl w:val="0"/>
                <w:numId w:val="52"/>
              </w:numPr>
              <w:spacing w:after="0" w:line="259" w:lineRule="auto"/>
              <w:ind w:hanging="360"/>
            </w:pPr>
            <w:r>
              <w:t xml:space="preserve">Is cloud agonistic, AWS, Azure, Google, UK Cloud, </w:t>
            </w:r>
            <w:proofErr w:type="spellStart"/>
            <w:r>
              <w:t>Openstack</w:t>
            </w:r>
            <w:proofErr w:type="spellEnd"/>
            <w:r>
              <w:t xml:space="preserve">, </w:t>
            </w:r>
          </w:p>
        </w:tc>
      </w:tr>
    </w:tbl>
    <w:p w14:paraId="60247D45" w14:textId="77777777" w:rsidR="00D1352F" w:rsidRDefault="00D1352F">
      <w:pPr>
        <w:spacing w:after="0" w:line="259" w:lineRule="auto"/>
        <w:ind w:left="-701" w:right="931" w:firstLine="0"/>
      </w:pPr>
    </w:p>
    <w:tbl>
      <w:tblPr>
        <w:tblStyle w:val="TableGrid"/>
        <w:tblW w:w="9690" w:type="dxa"/>
        <w:tblInd w:w="10" w:type="dxa"/>
        <w:tblCellMar>
          <w:top w:w="68" w:type="dxa"/>
          <w:left w:w="115" w:type="dxa"/>
          <w:right w:w="50" w:type="dxa"/>
        </w:tblCellMar>
        <w:tblLook w:val="04A0" w:firstRow="1" w:lastRow="0" w:firstColumn="1" w:lastColumn="0" w:noHBand="0" w:noVBand="1"/>
      </w:tblPr>
      <w:tblGrid>
        <w:gridCol w:w="2267"/>
        <w:gridCol w:w="7423"/>
      </w:tblGrid>
      <w:tr w:rsidR="00D1352F" w14:paraId="1CE6F790" w14:textId="77777777">
        <w:trPr>
          <w:trHeight w:val="8988"/>
        </w:trPr>
        <w:tc>
          <w:tcPr>
            <w:tcW w:w="2267" w:type="dxa"/>
            <w:tcBorders>
              <w:top w:val="single" w:sz="4" w:space="0" w:color="000000"/>
              <w:left w:val="single" w:sz="4" w:space="0" w:color="000000"/>
              <w:bottom w:val="single" w:sz="4" w:space="0" w:color="000000"/>
              <w:right w:val="single" w:sz="4" w:space="0" w:color="000000"/>
            </w:tcBorders>
          </w:tcPr>
          <w:p w14:paraId="72E6B939" w14:textId="77777777" w:rsidR="00D1352F" w:rsidRDefault="00D1352F">
            <w:pPr>
              <w:spacing w:after="160" w:line="259" w:lineRule="auto"/>
              <w:ind w:left="0" w:firstLine="0"/>
            </w:pPr>
          </w:p>
        </w:tc>
        <w:tc>
          <w:tcPr>
            <w:tcW w:w="7424" w:type="dxa"/>
            <w:tcBorders>
              <w:top w:val="single" w:sz="4" w:space="0" w:color="000000"/>
              <w:left w:val="single" w:sz="4" w:space="0" w:color="000000"/>
              <w:bottom w:val="single" w:sz="4" w:space="0" w:color="000000"/>
              <w:right w:val="single" w:sz="4" w:space="0" w:color="000000"/>
            </w:tcBorders>
          </w:tcPr>
          <w:p w14:paraId="185CB4E6" w14:textId="77777777" w:rsidR="00D1352F" w:rsidRDefault="009B1F56">
            <w:pPr>
              <w:spacing w:after="23" w:line="259" w:lineRule="auto"/>
              <w:ind w:left="720" w:firstLine="0"/>
            </w:pPr>
            <w:proofErr w:type="spellStart"/>
            <w:r>
              <w:t>Openshift</w:t>
            </w:r>
            <w:proofErr w:type="spellEnd"/>
            <w:r>
              <w:t xml:space="preserve"> </w:t>
            </w:r>
          </w:p>
          <w:p w14:paraId="37949254" w14:textId="77777777" w:rsidR="00D1352F" w:rsidRDefault="009B1F56">
            <w:pPr>
              <w:numPr>
                <w:ilvl w:val="0"/>
                <w:numId w:val="53"/>
              </w:numPr>
              <w:spacing w:after="5" w:line="276" w:lineRule="auto"/>
              <w:ind w:hanging="360"/>
            </w:pPr>
            <w:r>
              <w:t xml:space="preserve">Is technology agnostic favouring open source and utility consumption models </w:t>
            </w:r>
          </w:p>
          <w:p w14:paraId="59BE71E3" w14:textId="77777777" w:rsidR="00D1352F" w:rsidRDefault="009B1F56">
            <w:pPr>
              <w:numPr>
                <w:ilvl w:val="0"/>
                <w:numId w:val="53"/>
              </w:numPr>
              <w:spacing w:after="0" w:line="276" w:lineRule="auto"/>
              <w:ind w:hanging="360"/>
            </w:pPr>
            <w:r>
              <w:t xml:space="preserve">Can create value observability by capturing/presenting full lifecycle metrics/monitoring </w:t>
            </w:r>
          </w:p>
          <w:p w14:paraId="7A23F557" w14:textId="77777777" w:rsidR="00D1352F" w:rsidRDefault="009B1F56">
            <w:pPr>
              <w:numPr>
                <w:ilvl w:val="0"/>
                <w:numId w:val="53"/>
              </w:numPr>
              <w:spacing w:after="22" w:line="259" w:lineRule="auto"/>
              <w:ind w:hanging="360"/>
            </w:pPr>
            <w:r>
              <w:t xml:space="preserve">Can offer A/B, MVT and </w:t>
            </w:r>
            <w:proofErr w:type="gramStart"/>
            <w:r>
              <w:t>contract based</w:t>
            </w:r>
            <w:proofErr w:type="gramEnd"/>
            <w:r>
              <w:t xml:space="preserve"> test tools </w:t>
            </w:r>
          </w:p>
          <w:p w14:paraId="50880FAD" w14:textId="77777777" w:rsidR="00D1352F" w:rsidRDefault="009B1F56">
            <w:pPr>
              <w:spacing w:after="218" w:line="259" w:lineRule="auto"/>
              <w:ind w:left="0" w:firstLine="0"/>
            </w:pPr>
            <w:r>
              <w:t xml:space="preserve"> </w:t>
            </w:r>
          </w:p>
          <w:p w14:paraId="0ECE5078" w14:textId="77777777" w:rsidR="00D1352F" w:rsidRDefault="009B1F56">
            <w:pPr>
              <w:spacing w:after="223" w:line="259" w:lineRule="auto"/>
              <w:ind w:left="0" w:firstLine="0"/>
            </w:pPr>
            <w:r>
              <w:t xml:space="preserve">The Parties are Independent Controllers of Personal Data </w:t>
            </w:r>
          </w:p>
          <w:p w14:paraId="1BF1BF4C" w14:textId="77777777" w:rsidR="00D1352F" w:rsidRDefault="009B1F56">
            <w:pPr>
              <w:spacing w:after="237" w:line="275" w:lineRule="auto"/>
              <w:ind w:left="0" w:firstLine="0"/>
            </w:pPr>
            <w:r>
              <w:t xml:space="preserve">The Parties acknowledge that they are Independent Controllers for the purposes of the Data Protection Legislation in respect of: </w:t>
            </w:r>
          </w:p>
          <w:p w14:paraId="244486D3" w14:textId="77777777" w:rsidR="00D1352F" w:rsidRDefault="009B1F56">
            <w:pPr>
              <w:numPr>
                <w:ilvl w:val="0"/>
                <w:numId w:val="54"/>
              </w:numPr>
              <w:spacing w:after="35" w:line="239" w:lineRule="auto"/>
              <w:ind w:right="30" w:hanging="360"/>
              <w:jc w:val="both"/>
            </w:pPr>
            <w:r>
              <w:t xml:space="preserve">Business contact details of Supplier Personnel for which the Supplier is the Controller, </w:t>
            </w:r>
          </w:p>
          <w:p w14:paraId="73F519AD" w14:textId="77777777" w:rsidR="00D1352F" w:rsidRDefault="009B1F56">
            <w:pPr>
              <w:numPr>
                <w:ilvl w:val="0"/>
                <w:numId w:val="54"/>
              </w:numPr>
              <w:spacing w:after="0" w:line="259" w:lineRule="auto"/>
              <w:ind w:right="30" w:hanging="360"/>
              <w:jc w:val="both"/>
            </w:pPr>
            <w:r>
              <w:t xml:space="preserve">Business contact details of any directors, officers, employees, agents, consultants and contractors of Buyer (excluding the Supplier Personnel) engaged in the performance of the Buyer’s duties under the Contract) for which the Buyer is the Controller, </w:t>
            </w:r>
            <w:r>
              <w:rPr>
                <w:rFonts w:ascii="Calibri" w:eastAsia="Calibri" w:hAnsi="Calibri" w:cs="Calibri"/>
              </w:rPr>
              <w:t>●</w:t>
            </w:r>
            <w:r>
              <w:rPr>
                <w:rFonts w:ascii="Arial" w:eastAsia="Arial" w:hAnsi="Arial" w:cs="Arial"/>
              </w:rPr>
              <w:t xml:space="preserve"> </w:t>
            </w:r>
            <w: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rPr>
                <w:sz w:val="25"/>
              </w:rPr>
              <w:t xml:space="preserve"> </w:t>
            </w:r>
            <w:r>
              <w:t xml:space="preserve"> </w:t>
            </w:r>
          </w:p>
        </w:tc>
      </w:tr>
      <w:tr w:rsidR="00D1352F" w14:paraId="0E36BEDC" w14:textId="77777777">
        <w:trPr>
          <w:trHeight w:val="937"/>
        </w:trPr>
        <w:tc>
          <w:tcPr>
            <w:tcW w:w="2267" w:type="dxa"/>
            <w:tcBorders>
              <w:top w:val="single" w:sz="4" w:space="0" w:color="000000"/>
              <w:left w:val="single" w:sz="4" w:space="0" w:color="000000"/>
              <w:bottom w:val="single" w:sz="4" w:space="0" w:color="000000"/>
              <w:right w:val="single" w:sz="4" w:space="0" w:color="000000"/>
            </w:tcBorders>
          </w:tcPr>
          <w:p w14:paraId="63B41093" w14:textId="77777777" w:rsidR="00D1352F" w:rsidRDefault="009B1F56">
            <w:pPr>
              <w:spacing w:after="16" w:line="259" w:lineRule="auto"/>
              <w:ind w:left="0" w:firstLine="0"/>
            </w:pPr>
            <w:r>
              <w:t xml:space="preserve">Duration of the </w:t>
            </w:r>
          </w:p>
          <w:p w14:paraId="0DECB943" w14:textId="77777777" w:rsidR="00D1352F" w:rsidRDefault="009B1F56">
            <w:pPr>
              <w:spacing w:after="0" w:line="259" w:lineRule="auto"/>
              <w:ind w:left="0" w:firstLine="0"/>
            </w:pPr>
            <w:r>
              <w:t xml:space="preserve">Processing </w:t>
            </w:r>
          </w:p>
        </w:tc>
        <w:tc>
          <w:tcPr>
            <w:tcW w:w="7424" w:type="dxa"/>
            <w:tcBorders>
              <w:top w:val="single" w:sz="4" w:space="0" w:color="000000"/>
              <w:left w:val="single" w:sz="4" w:space="0" w:color="000000"/>
              <w:bottom w:val="single" w:sz="4" w:space="0" w:color="000000"/>
              <w:right w:val="single" w:sz="4" w:space="0" w:color="000000"/>
            </w:tcBorders>
          </w:tcPr>
          <w:p w14:paraId="4D8BFB5B" w14:textId="77777777" w:rsidR="00D1352F" w:rsidRDefault="009B1F56">
            <w:pPr>
              <w:spacing w:after="0" w:line="259" w:lineRule="auto"/>
              <w:ind w:left="0" w:right="34" w:firstLine="0"/>
            </w:pPr>
            <w:r>
              <w:t>All data will be processed between the 1</w:t>
            </w:r>
            <w:r>
              <w:rPr>
                <w:sz w:val="21"/>
                <w:vertAlign w:val="superscript"/>
              </w:rPr>
              <w:t>st</w:t>
            </w:r>
            <w:r>
              <w:t xml:space="preserve"> March 2020 and 28</w:t>
            </w:r>
            <w:r>
              <w:rPr>
                <w:sz w:val="21"/>
                <w:vertAlign w:val="superscript"/>
              </w:rPr>
              <w:t>th</w:t>
            </w:r>
            <w:r>
              <w:t xml:space="preserve"> February 2022 with any potential extension that may apply. </w:t>
            </w:r>
          </w:p>
        </w:tc>
      </w:tr>
      <w:tr w:rsidR="00D1352F" w14:paraId="46D507D4" w14:textId="77777777">
        <w:trPr>
          <w:trHeight w:val="2391"/>
        </w:trPr>
        <w:tc>
          <w:tcPr>
            <w:tcW w:w="2267" w:type="dxa"/>
            <w:tcBorders>
              <w:top w:val="single" w:sz="4" w:space="0" w:color="000000"/>
              <w:left w:val="single" w:sz="4" w:space="0" w:color="000000"/>
              <w:bottom w:val="single" w:sz="4" w:space="0" w:color="000000"/>
              <w:right w:val="single" w:sz="4" w:space="0" w:color="000000"/>
            </w:tcBorders>
          </w:tcPr>
          <w:p w14:paraId="6544A781" w14:textId="77777777" w:rsidR="00D1352F" w:rsidRDefault="009B1F56">
            <w:pPr>
              <w:spacing w:after="0" w:line="275" w:lineRule="auto"/>
              <w:ind w:left="0" w:right="50" w:firstLine="0"/>
            </w:pPr>
            <w:r>
              <w:t xml:space="preserve">Nature and purposes of the </w:t>
            </w:r>
          </w:p>
          <w:p w14:paraId="15DAF8CD" w14:textId="77777777" w:rsidR="00D1352F" w:rsidRDefault="009B1F56">
            <w:pPr>
              <w:spacing w:after="0" w:line="259" w:lineRule="auto"/>
              <w:ind w:left="0" w:firstLine="0"/>
            </w:pPr>
            <w:r>
              <w:t xml:space="preserve">Processing </w:t>
            </w:r>
          </w:p>
        </w:tc>
        <w:tc>
          <w:tcPr>
            <w:tcW w:w="7424" w:type="dxa"/>
            <w:tcBorders>
              <w:top w:val="single" w:sz="4" w:space="0" w:color="000000"/>
              <w:left w:val="single" w:sz="4" w:space="0" w:color="000000"/>
              <w:bottom w:val="single" w:sz="4" w:space="0" w:color="000000"/>
              <w:right w:val="single" w:sz="4" w:space="0" w:color="000000"/>
            </w:tcBorders>
          </w:tcPr>
          <w:p w14:paraId="0C878A65" w14:textId="77777777" w:rsidR="00D1352F" w:rsidRDefault="009B1F56">
            <w:pPr>
              <w:spacing w:after="0" w:line="259" w:lineRule="auto"/>
              <w:ind w:left="0" w:right="16" w:firstLine="0"/>
            </w:pPr>
            <w:r>
              <w:t xml:space="preserve">As defined in the delivery of services within relevant </w:t>
            </w:r>
            <w:proofErr w:type="spellStart"/>
            <w:r>
              <w:t>RfQs</w:t>
            </w:r>
            <w:proofErr w:type="spellEnd"/>
            <w:r>
              <w:t xml:space="preserve"> which may include but not limited to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w:t>
            </w:r>
          </w:p>
        </w:tc>
      </w:tr>
      <w:tr w:rsidR="00D1352F" w14:paraId="3041CAAA" w14:textId="77777777">
        <w:trPr>
          <w:trHeight w:val="1412"/>
        </w:trPr>
        <w:tc>
          <w:tcPr>
            <w:tcW w:w="2267" w:type="dxa"/>
            <w:tcBorders>
              <w:top w:val="single" w:sz="4" w:space="0" w:color="000000"/>
              <w:left w:val="single" w:sz="4" w:space="0" w:color="000000"/>
              <w:bottom w:val="single" w:sz="4" w:space="0" w:color="000000"/>
              <w:right w:val="single" w:sz="4" w:space="0" w:color="000000"/>
            </w:tcBorders>
          </w:tcPr>
          <w:p w14:paraId="759A2043" w14:textId="77777777" w:rsidR="00D1352F" w:rsidRDefault="009B1F56">
            <w:pPr>
              <w:spacing w:after="21" w:line="259" w:lineRule="auto"/>
              <w:ind w:left="0" w:firstLine="0"/>
            </w:pPr>
            <w:r>
              <w:lastRenderedPageBreak/>
              <w:t xml:space="preserve">Type of Personal </w:t>
            </w:r>
          </w:p>
          <w:p w14:paraId="34D498C9" w14:textId="77777777" w:rsidR="00D1352F" w:rsidRDefault="009B1F56">
            <w:pPr>
              <w:spacing w:after="0" w:line="259" w:lineRule="auto"/>
              <w:ind w:left="0" w:firstLine="0"/>
            </w:pPr>
            <w:r>
              <w:t xml:space="preserve">Data </w:t>
            </w:r>
          </w:p>
        </w:tc>
        <w:tc>
          <w:tcPr>
            <w:tcW w:w="7424" w:type="dxa"/>
            <w:tcBorders>
              <w:top w:val="single" w:sz="4" w:space="0" w:color="000000"/>
              <w:left w:val="single" w:sz="4" w:space="0" w:color="000000"/>
              <w:bottom w:val="single" w:sz="4" w:space="0" w:color="000000"/>
              <w:right w:val="single" w:sz="4" w:space="0" w:color="000000"/>
            </w:tcBorders>
          </w:tcPr>
          <w:p w14:paraId="5AF626F7" w14:textId="77777777" w:rsidR="00D1352F" w:rsidRDefault="009B1F56">
            <w:pPr>
              <w:spacing w:after="0" w:line="259" w:lineRule="auto"/>
              <w:ind w:left="0" w:firstLine="0"/>
            </w:pPr>
            <w:r>
              <w:t xml:space="preserve">As defined in the delivery of services within relevant </w:t>
            </w:r>
            <w:proofErr w:type="spellStart"/>
            <w:r>
              <w:t>RfQs</w:t>
            </w:r>
            <w:proofErr w:type="spellEnd"/>
            <w:r>
              <w:t xml:space="preserve"> which may </w:t>
            </w:r>
            <w:proofErr w:type="gramStart"/>
            <w:r>
              <w:t>include:</w:t>
            </w:r>
            <w:proofErr w:type="gramEnd"/>
            <w:r>
              <w:t xml:space="preserve"> name, address, date of birth, NI number, telephone number, pay, images, biometric data etc… </w:t>
            </w:r>
          </w:p>
        </w:tc>
      </w:tr>
      <w:tr w:rsidR="00D1352F" w14:paraId="1BF64107" w14:textId="77777777">
        <w:trPr>
          <w:trHeight w:val="1661"/>
        </w:trPr>
        <w:tc>
          <w:tcPr>
            <w:tcW w:w="2267" w:type="dxa"/>
            <w:tcBorders>
              <w:top w:val="single" w:sz="4" w:space="0" w:color="000000"/>
              <w:left w:val="single" w:sz="4" w:space="0" w:color="000000"/>
              <w:bottom w:val="single" w:sz="4" w:space="0" w:color="000000"/>
              <w:right w:val="single" w:sz="4" w:space="0" w:color="000000"/>
            </w:tcBorders>
          </w:tcPr>
          <w:p w14:paraId="6708BC0A" w14:textId="77777777" w:rsidR="00D1352F" w:rsidRDefault="009B1F56">
            <w:pPr>
              <w:spacing w:after="16" w:line="259" w:lineRule="auto"/>
              <w:ind w:left="0" w:firstLine="0"/>
            </w:pPr>
            <w:r>
              <w:t xml:space="preserve">Categories of Data </w:t>
            </w:r>
          </w:p>
          <w:p w14:paraId="5522B522" w14:textId="77777777" w:rsidR="00D1352F" w:rsidRDefault="009B1F56">
            <w:pPr>
              <w:spacing w:after="0" w:line="259" w:lineRule="auto"/>
              <w:ind w:left="0" w:firstLine="0"/>
            </w:pPr>
            <w:r>
              <w:t xml:space="preserve">Subject </w:t>
            </w:r>
          </w:p>
        </w:tc>
        <w:tc>
          <w:tcPr>
            <w:tcW w:w="7424" w:type="dxa"/>
            <w:tcBorders>
              <w:top w:val="single" w:sz="4" w:space="0" w:color="000000"/>
              <w:left w:val="single" w:sz="4" w:space="0" w:color="000000"/>
              <w:bottom w:val="single" w:sz="4" w:space="0" w:color="000000"/>
              <w:right w:val="single" w:sz="4" w:space="0" w:color="000000"/>
            </w:tcBorders>
          </w:tcPr>
          <w:p w14:paraId="2F8BA99A" w14:textId="77777777" w:rsidR="00D1352F" w:rsidRDefault="009B1F56">
            <w:pPr>
              <w:spacing w:after="0" w:line="259" w:lineRule="auto"/>
              <w:ind w:left="0" w:firstLine="0"/>
            </w:pPr>
            <w:r>
              <w:rPr>
                <w:color w:val="353535"/>
              </w:rPr>
              <w:t xml:space="preserve">As defined in the delivery of services within relevant </w:t>
            </w:r>
            <w:proofErr w:type="spellStart"/>
            <w:r>
              <w:rPr>
                <w:color w:val="353535"/>
              </w:rPr>
              <w:t>RfQs</w:t>
            </w:r>
            <w:proofErr w:type="spellEnd"/>
            <w:r>
              <w:rPr>
                <w:color w:val="353535"/>
              </w:rPr>
              <w:t xml:space="preserve"> which may include: Staff (including volunteers, agents, and temporary workers), Departments/ clients, suppliers, patients, students / pupils, members of the public, users of a particular website etc…</w:t>
            </w:r>
            <w:r>
              <w:t xml:space="preserve"> </w:t>
            </w:r>
          </w:p>
        </w:tc>
      </w:tr>
      <w:tr w:rsidR="00D1352F" w14:paraId="1D3AD2FB" w14:textId="77777777">
        <w:trPr>
          <w:trHeight w:val="4412"/>
        </w:trPr>
        <w:tc>
          <w:tcPr>
            <w:tcW w:w="2267" w:type="dxa"/>
            <w:tcBorders>
              <w:top w:val="single" w:sz="4" w:space="0" w:color="000000"/>
              <w:left w:val="single" w:sz="4" w:space="0" w:color="000000"/>
              <w:bottom w:val="single" w:sz="4" w:space="0" w:color="000000"/>
              <w:right w:val="single" w:sz="4" w:space="0" w:color="000000"/>
            </w:tcBorders>
          </w:tcPr>
          <w:p w14:paraId="51297957" w14:textId="77777777" w:rsidR="00D1352F" w:rsidRDefault="009B1F56">
            <w:pPr>
              <w:spacing w:after="203" w:line="274" w:lineRule="auto"/>
              <w:ind w:left="0" w:firstLine="0"/>
            </w:pPr>
            <w:r>
              <w:t xml:space="preserve">Plan for return and destruction of the data once the Processing is complete </w:t>
            </w:r>
          </w:p>
          <w:p w14:paraId="3F20E99A" w14:textId="77777777" w:rsidR="00D1352F" w:rsidRDefault="009B1F56">
            <w:pPr>
              <w:spacing w:after="5" w:line="272" w:lineRule="auto"/>
              <w:ind w:left="0" w:firstLine="0"/>
            </w:pPr>
            <w:r>
              <w:t xml:space="preserve">UNLESS requirement under </w:t>
            </w:r>
          </w:p>
          <w:p w14:paraId="6CAEA178" w14:textId="77777777" w:rsidR="00D1352F" w:rsidRDefault="009B1F56">
            <w:pPr>
              <w:spacing w:after="22" w:line="259" w:lineRule="auto"/>
              <w:ind w:left="0" w:firstLine="0"/>
            </w:pPr>
            <w:r>
              <w:t xml:space="preserve">Union or Member </w:t>
            </w:r>
          </w:p>
          <w:p w14:paraId="02756159" w14:textId="77777777" w:rsidR="00D1352F" w:rsidRDefault="009B1F56">
            <w:pPr>
              <w:spacing w:after="0" w:line="275" w:lineRule="auto"/>
              <w:ind w:left="0" w:firstLine="0"/>
            </w:pPr>
            <w:r>
              <w:t xml:space="preserve">State law to preserve that type </w:t>
            </w:r>
          </w:p>
          <w:p w14:paraId="6C244468" w14:textId="77777777" w:rsidR="00D1352F" w:rsidRDefault="009B1F56">
            <w:pPr>
              <w:spacing w:after="0" w:line="259" w:lineRule="auto"/>
              <w:ind w:left="0" w:firstLine="0"/>
            </w:pPr>
            <w:r>
              <w:t xml:space="preserve">of data </w:t>
            </w:r>
          </w:p>
        </w:tc>
        <w:tc>
          <w:tcPr>
            <w:tcW w:w="7424" w:type="dxa"/>
            <w:tcBorders>
              <w:top w:val="single" w:sz="4" w:space="0" w:color="000000"/>
              <w:left w:val="single" w:sz="4" w:space="0" w:color="000000"/>
              <w:bottom w:val="single" w:sz="4" w:space="0" w:color="000000"/>
              <w:right w:val="single" w:sz="4" w:space="0" w:color="000000"/>
            </w:tcBorders>
          </w:tcPr>
          <w:p w14:paraId="46614903" w14:textId="77777777" w:rsidR="00D1352F" w:rsidRDefault="009B1F56">
            <w:pPr>
              <w:spacing w:after="0" w:line="259" w:lineRule="auto"/>
              <w:ind w:left="0" w:firstLine="0"/>
            </w:pPr>
            <w:r>
              <w:rPr>
                <w:color w:val="353535"/>
              </w:rPr>
              <w:t xml:space="preserve">The data will be retained in line with DfE’s agreed retention policies. The data security clauses within the contact must be adhere to for all data handling, deleting and destruction.  </w:t>
            </w:r>
            <w:r>
              <w:t xml:space="preserve"> </w:t>
            </w:r>
          </w:p>
        </w:tc>
      </w:tr>
    </w:tbl>
    <w:p w14:paraId="74BCA752" w14:textId="77777777" w:rsidR="00D1352F" w:rsidRDefault="009B1F56">
      <w:pPr>
        <w:spacing w:after="222" w:line="259" w:lineRule="auto"/>
        <w:ind w:left="5" w:firstLine="0"/>
      </w:pPr>
      <w:r>
        <w:rPr>
          <w:sz w:val="32"/>
        </w:rPr>
        <w:t xml:space="preserve"> </w:t>
      </w:r>
    </w:p>
    <w:p w14:paraId="046BE137" w14:textId="77777777" w:rsidR="00D1352F" w:rsidRDefault="009B1F56">
      <w:pPr>
        <w:spacing w:after="145" w:line="259" w:lineRule="auto"/>
        <w:ind w:left="0"/>
      </w:pPr>
      <w:r>
        <w:rPr>
          <w:sz w:val="32"/>
        </w:rPr>
        <w:t>Annex 2 - Joint Controller Agreement</w:t>
      </w:r>
      <w:r>
        <w:t xml:space="preserve"> </w:t>
      </w:r>
    </w:p>
    <w:p w14:paraId="39ABA82A" w14:textId="77777777" w:rsidR="00D1352F" w:rsidRDefault="009B1F56">
      <w:pPr>
        <w:spacing w:after="0" w:line="259" w:lineRule="auto"/>
        <w:ind w:left="5" w:firstLine="0"/>
      </w:pPr>
      <w:r>
        <w:rPr>
          <w:color w:val="353535"/>
        </w:rPr>
        <w:t xml:space="preserve">Not Used </w:t>
      </w:r>
    </w:p>
    <w:sectPr w:rsidR="00D1352F">
      <w:footerReference w:type="even" r:id="rId141"/>
      <w:footerReference w:type="default" r:id="rId142"/>
      <w:footerReference w:type="first" r:id="rId143"/>
      <w:pgSz w:w="11904" w:h="16838"/>
      <w:pgMar w:top="963" w:right="572" w:bottom="1395" w:left="701" w:header="72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5C062" w14:textId="77777777" w:rsidR="004F4644" w:rsidRDefault="004F4644">
      <w:pPr>
        <w:spacing w:after="0" w:line="240" w:lineRule="auto"/>
      </w:pPr>
      <w:r>
        <w:separator/>
      </w:r>
    </w:p>
  </w:endnote>
  <w:endnote w:type="continuationSeparator" w:id="0">
    <w:p w14:paraId="324A32FD" w14:textId="77777777" w:rsidR="004F4644" w:rsidRDefault="004F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93BB1" w14:textId="77777777" w:rsidR="009B1F56" w:rsidRDefault="009B1F56">
    <w:pPr>
      <w:spacing w:after="0" w:line="259" w:lineRule="auto"/>
      <w:ind w:left="0" w:right="-13" w:firstLine="0"/>
      <w:jc w:val="right"/>
    </w:pP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14:paraId="63D3E8FD" w14:textId="77777777" w:rsidR="009B1F56" w:rsidRDefault="009B1F56">
    <w:pPr>
      <w:spacing w:after="0" w:line="259" w:lineRule="auto"/>
      <w:ind w:left="5" w:firstLine="0"/>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0786A" w14:textId="77777777" w:rsidR="009B1F56" w:rsidRDefault="009B1F56">
    <w:pPr>
      <w:spacing w:after="0" w:line="259" w:lineRule="auto"/>
      <w:ind w:left="0" w:right="-13" w:firstLine="0"/>
      <w:jc w:val="right"/>
    </w:pP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14:paraId="1FA87D43" w14:textId="77777777" w:rsidR="009B1F56" w:rsidRDefault="009B1F56">
    <w:pPr>
      <w:spacing w:after="0" w:line="259" w:lineRule="auto"/>
      <w:ind w:left="5" w:firstLine="0"/>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C33ED" w14:textId="77777777" w:rsidR="009B1F56" w:rsidRDefault="009B1F56">
    <w:pPr>
      <w:spacing w:after="0" w:line="259" w:lineRule="auto"/>
      <w:ind w:left="0" w:right="-13" w:firstLine="0"/>
      <w:jc w:val="right"/>
    </w:pPr>
    <w:r>
      <w:fldChar w:fldCharType="begin"/>
    </w:r>
    <w:r>
      <w:instrText xml:space="preserve"> PAGE   \* MERGEFORMAT </w:instrText>
    </w:r>
    <w:r>
      <w:fldChar w:fldCharType="separate"/>
    </w:r>
    <w:r>
      <w:rPr>
        <w:rFonts w:ascii="Cambria" w:eastAsia="Cambria" w:hAnsi="Cambria" w:cs="Cambria"/>
        <w:sz w:val="22"/>
      </w:rPr>
      <w:t>1</w:t>
    </w:r>
    <w:r>
      <w:rPr>
        <w:rFonts w:ascii="Cambria" w:eastAsia="Cambria" w:hAnsi="Cambria" w:cs="Cambria"/>
        <w:sz w:val="22"/>
      </w:rPr>
      <w:fldChar w:fldCharType="end"/>
    </w:r>
    <w:r>
      <w:rPr>
        <w:rFonts w:ascii="Cambria" w:eastAsia="Cambria" w:hAnsi="Cambria" w:cs="Cambria"/>
        <w:sz w:val="22"/>
      </w:rPr>
      <w:t xml:space="preserve"> </w:t>
    </w:r>
  </w:p>
  <w:p w14:paraId="1EC0E1F1" w14:textId="77777777" w:rsidR="009B1F56" w:rsidRDefault="009B1F56">
    <w:pPr>
      <w:spacing w:after="0" w:line="259" w:lineRule="auto"/>
      <w:ind w:left="5" w:firstLine="0"/>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D12A5" w14:textId="77777777" w:rsidR="004F4644" w:rsidRDefault="004F4644">
      <w:pPr>
        <w:spacing w:after="0" w:line="240" w:lineRule="auto"/>
      </w:pPr>
      <w:r>
        <w:separator/>
      </w:r>
    </w:p>
  </w:footnote>
  <w:footnote w:type="continuationSeparator" w:id="0">
    <w:p w14:paraId="0339CA98" w14:textId="77777777" w:rsidR="004F4644" w:rsidRDefault="004F4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12E7"/>
    <w:multiLevelType w:val="hybridMultilevel"/>
    <w:tmpl w:val="9D38F7D2"/>
    <w:lvl w:ilvl="0" w:tplc="CD7CB89A">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7B8C4C60">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9872CF52">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1F126C98">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7FDC924C">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176032E2">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8800104A">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29D4EDA4">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4DDED3EC">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932414"/>
    <w:multiLevelType w:val="multilevel"/>
    <w:tmpl w:val="9F586A20"/>
    <w:lvl w:ilvl="0">
      <w:start w:val="2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DE47CC"/>
    <w:multiLevelType w:val="multilevel"/>
    <w:tmpl w:val="47D419DC"/>
    <w:lvl w:ilvl="0">
      <w:start w:val="16"/>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396655"/>
    <w:multiLevelType w:val="hybridMultilevel"/>
    <w:tmpl w:val="20C6937C"/>
    <w:lvl w:ilvl="0" w:tplc="7C541792">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85069CAC">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F0C679B2">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21589AC4">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F57663B8">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E64EC17A">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FAC26B6E">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DBB69036">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D62AA6F2">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9C2867"/>
    <w:multiLevelType w:val="hybridMultilevel"/>
    <w:tmpl w:val="5ED20728"/>
    <w:lvl w:ilvl="0" w:tplc="D84C57F0">
      <w:start w:val="1"/>
      <w:numFmt w:val="bullet"/>
      <w:lvlText w:val="●"/>
      <w:lvlJc w:val="left"/>
      <w:pPr>
        <w:ind w:left="149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F3B06660">
      <w:start w:val="1"/>
      <w:numFmt w:val="bullet"/>
      <w:lvlText w:val="o"/>
      <w:lvlJc w:val="left"/>
      <w:pPr>
        <w:ind w:left="217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D67E1AC0">
      <w:start w:val="1"/>
      <w:numFmt w:val="bullet"/>
      <w:lvlText w:val="▪"/>
      <w:lvlJc w:val="left"/>
      <w:pPr>
        <w:ind w:left="289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BF280D5E">
      <w:start w:val="1"/>
      <w:numFmt w:val="bullet"/>
      <w:lvlText w:val="•"/>
      <w:lvlJc w:val="left"/>
      <w:pPr>
        <w:ind w:left="361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2DFECB3E">
      <w:start w:val="1"/>
      <w:numFmt w:val="bullet"/>
      <w:lvlText w:val="o"/>
      <w:lvlJc w:val="left"/>
      <w:pPr>
        <w:ind w:left="433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A426DCC6">
      <w:start w:val="1"/>
      <w:numFmt w:val="bullet"/>
      <w:lvlText w:val="▪"/>
      <w:lvlJc w:val="left"/>
      <w:pPr>
        <w:ind w:left="505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451801D8">
      <w:start w:val="1"/>
      <w:numFmt w:val="bullet"/>
      <w:lvlText w:val="•"/>
      <w:lvlJc w:val="left"/>
      <w:pPr>
        <w:ind w:left="577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38D83D1C">
      <w:start w:val="1"/>
      <w:numFmt w:val="bullet"/>
      <w:lvlText w:val="o"/>
      <w:lvlJc w:val="left"/>
      <w:pPr>
        <w:ind w:left="649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D7E877D0">
      <w:start w:val="1"/>
      <w:numFmt w:val="bullet"/>
      <w:lvlText w:val="▪"/>
      <w:lvlJc w:val="left"/>
      <w:pPr>
        <w:ind w:left="721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3A46BFE"/>
    <w:multiLevelType w:val="hybridMultilevel"/>
    <w:tmpl w:val="8E828A30"/>
    <w:lvl w:ilvl="0" w:tplc="BC20934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84EF6E">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825AEC">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405432">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CC7DD2">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7E3640">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54113A">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CA54D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565E6C">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D31AA4"/>
    <w:multiLevelType w:val="hybridMultilevel"/>
    <w:tmpl w:val="51C2E936"/>
    <w:lvl w:ilvl="0" w:tplc="67A49E8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9E87F4">
      <w:start w:val="1"/>
      <w:numFmt w:val="bullet"/>
      <w:lvlText w:val="o"/>
      <w:lvlJc w:val="left"/>
      <w:pPr>
        <w:ind w:left="1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964250">
      <w:start w:val="1"/>
      <w:numFmt w:val="bullet"/>
      <w:lvlText w:val="▪"/>
      <w:lvlJc w:val="left"/>
      <w:pPr>
        <w:ind w:left="2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0C07F8">
      <w:start w:val="1"/>
      <w:numFmt w:val="bullet"/>
      <w:lvlText w:val="•"/>
      <w:lvlJc w:val="left"/>
      <w:pPr>
        <w:ind w:left="2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7CB70A">
      <w:start w:val="1"/>
      <w:numFmt w:val="bullet"/>
      <w:lvlText w:val="o"/>
      <w:lvlJc w:val="left"/>
      <w:pPr>
        <w:ind w:left="3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C087DA">
      <w:start w:val="1"/>
      <w:numFmt w:val="bullet"/>
      <w:lvlText w:val="▪"/>
      <w:lvlJc w:val="left"/>
      <w:pPr>
        <w:ind w:left="4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7CD8B6">
      <w:start w:val="1"/>
      <w:numFmt w:val="bullet"/>
      <w:lvlText w:val="•"/>
      <w:lvlJc w:val="left"/>
      <w:pPr>
        <w:ind w:left="51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5A540E">
      <w:start w:val="1"/>
      <w:numFmt w:val="bullet"/>
      <w:lvlText w:val="o"/>
      <w:lvlJc w:val="left"/>
      <w:pPr>
        <w:ind w:left="5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DE2C2A">
      <w:start w:val="1"/>
      <w:numFmt w:val="bullet"/>
      <w:lvlText w:val="▪"/>
      <w:lvlJc w:val="left"/>
      <w:pPr>
        <w:ind w:left="6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C86297"/>
    <w:multiLevelType w:val="hybridMultilevel"/>
    <w:tmpl w:val="2BA481E8"/>
    <w:lvl w:ilvl="0" w:tplc="3BE06F1E">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DE3C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1AF9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4CE6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F4BA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ECB5D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BE50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A099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7223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4035B3A"/>
    <w:multiLevelType w:val="multilevel"/>
    <w:tmpl w:val="04C693DE"/>
    <w:lvl w:ilvl="0">
      <w:start w:val="13"/>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695003"/>
    <w:multiLevelType w:val="hybridMultilevel"/>
    <w:tmpl w:val="9ED01D50"/>
    <w:lvl w:ilvl="0" w:tplc="E6FAC602">
      <w:start w:val="1"/>
      <w:numFmt w:val="bullet"/>
      <w:lvlText w:val="●"/>
      <w:lvlJc w:val="left"/>
      <w:pPr>
        <w:ind w:left="721"/>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B63A5DF4">
      <w:start w:val="1"/>
      <w:numFmt w:val="bullet"/>
      <w:lvlText w:val="o"/>
      <w:lvlJc w:val="left"/>
      <w:pPr>
        <w:ind w:left="155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E410ECF8">
      <w:start w:val="1"/>
      <w:numFmt w:val="bullet"/>
      <w:lvlText w:val="▪"/>
      <w:lvlJc w:val="left"/>
      <w:pPr>
        <w:ind w:left="227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863AE936">
      <w:start w:val="1"/>
      <w:numFmt w:val="bullet"/>
      <w:lvlText w:val="•"/>
      <w:lvlJc w:val="left"/>
      <w:pPr>
        <w:ind w:left="299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6E01FC0">
      <w:start w:val="1"/>
      <w:numFmt w:val="bullet"/>
      <w:lvlText w:val="o"/>
      <w:lvlJc w:val="left"/>
      <w:pPr>
        <w:ind w:left="371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89340B40">
      <w:start w:val="1"/>
      <w:numFmt w:val="bullet"/>
      <w:lvlText w:val="▪"/>
      <w:lvlJc w:val="left"/>
      <w:pPr>
        <w:ind w:left="443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E9AE74EA">
      <w:start w:val="1"/>
      <w:numFmt w:val="bullet"/>
      <w:lvlText w:val="•"/>
      <w:lvlJc w:val="left"/>
      <w:pPr>
        <w:ind w:left="515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971A3F70">
      <w:start w:val="1"/>
      <w:numFmt w:val="bullet"/>
      <w:lvlText w:val="o"/>
      <w:lvlJc w:val="left"/>
      <w:pPr>
        <w:ind w:left="587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2656F394">
      <w:start w:val="1"/>
      <w:numFmt w:val="bullet"/>
      <w:lvlText w:val="▪"/>
      <w:lvlJc w:val="left"/>
      <w:pPr>
        <w:ind w:left="659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423412"/>
    <w:multiLevelType w:val="multilevel"/>
    <w:tmpl w:val="A62EB978"/>
    <w:lvl w:ilvl="0">
      <w:start w:val="4"/>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BC0DC8"/>
    <w:multiLevelType w:val="hybridMultilevel"/>
    <w:tmpl w:val="AC8E6BF0"/>
    <w:lvl w:ilvl="0" w:tplc="4DD2BF06">
      <w:start w:val="1"/>
      <w:numFmt w:val="bullet"/>
      <w:lvlText w:val="●"/>
      <w:lvlJc w:val="left"/>
      <w:pPr>
        <w:ind w:left="72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005AD532">
      <w:start w:val="1"/>
      <w:numFmt w:val="bullet"/>
      <w:lvlText w:val="o"/>
      <w:lvlJc w:val="left"/>
      <w:pPr>
        <w:ind w:left="15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95682A18">
      <w:start w:val="1"/>
      <w:numFmt w:val="bullet"/>
      <w:lvlText w:val="▪"/>
      <w:lvlJc w:val="left"/>
      <w:pPr>
        <w:ind w:left="22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254C25DC">
      <w:start w:val="1"/>
      <w:numFmt w:val="bullet"/>
      <w:lvlText w:val="•"/>
      <w:lvlJc w:val="left"/>
      <w:pPr>
        <w:ind w:left="29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D24A1D4C">
      <w:start w:val="1"/>
      <w:numFmt w:val="bullet"/>
      <w:lvlText w:val="o"/>
      <w:lvlJc w:val="left"/>
      <w:pPr>
        <w:ind w:left="370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64B26BDA">
      <w:start w:val="1"/>
      <w:numFmt w:val="bullet"/>
      <w:lvlText w:val="▪"/>
      <w:lvlJc w:val="left"/>
      <w:pPr>
        <w:ind w:left="442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F3185F3A">
      <w:start w:val="1"/>
      <w:numFmt w:val="bullet"/>
      <w:lvlText w:val="•"/>
      <w:lvlJc w:val="left"/>
      <w:pPr>
        <w:ind w:left="51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CD20DF34">
      <w:start w:val="1"/>
      <w:numFmt w:val="bullet"/>
      <w:lvlText w:val="o"/>
      <w:lvlJc w:val="left"/>
      <w:pPr>
        <w:ind w:left="58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6F129F9E">
      <w:start w:val="1"/>
      <w:numFmt w:val="bullet"/>
      <w:lvlText w:val="▪"/>
      <w:lvlJc w:val="left"/>
      <w:pPr>
        <w:ind w:left="65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7828B0"/>
    <w:multiLevelType w:val="hybridMultilevel"/>
    <w:tmpl w:val="490A811C"/>
    <w:lvl w:ilvl="0" w:tplc="B558666E">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05DAD66A">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3EE0997E">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1EC24AB2">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1322819C">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C58403CA">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A76A0284">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D54C73F6">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2604CE54">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481232F"/>
    <w:multiLevelType w:val="hybridMultilevel"/>
    <w:tmpl w:val="1674AEE0"/>
    <w:lvl w:ilvl="0" w:tplc="65F4DD54">
      <w:start w:val="1"/>
      <w:numFmt w:val="bullet"/>
      <w:lvlText w:val="●"/>
      <w:lvlJc w:val="left"/>
      <w:pPr>
        <w:ind w:left="72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A2F062B4">
      <w:start w:val="1"/>
      <w:numFmt w:val="bullet"/>
      <w:lvlText w:val="o"/>
      <w:lvlJc w:val="left"/>
      <w:pPr>
        <w:ind w:left="15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18500F1C">
      <w:start w:val="1"/>
      <w:numFmt w:val="bullet"/>
      <w:lvlText w:val="▪"/>
      <w:lvlJc w:val="left"/>
      <w:pPr>
        <w:ind w:left="22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F71237EE">
      <w:start w:val="1"/>
      <w:numFmt w:val="bullet"/>
      <w:lvlText w:val="•"/>
      <w:lvlJc w:val="left"/>
      <w:pPr>
        <w:ind w:left="29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2CEE0FA0">
      <w:start w:val="1"/>
      <w:numFmt w:val="bullet"/>
      <w:lvlText w:val="o"/>
      <w:lvlJc w:val="left"/>
      <w:pPr>
        <w:ind w:left="370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DAAEE58E">
      <w:start w:val="1"/>
      <w:numFmt w:val="bullet"/>
      <w:lvlText w:val="▪"/>
      <w:lvlJc w:val="left"/>
      <w:pPr>
        <w:ind w:left="442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16E0DF14">
      <w:start w:val="1"/>
      <w:numFmt w:val="bullet"/>
      <w:lvlText w:val="•"/>
      <w:lvlJc w:val="left"/>
      <w:pPr>
        <w:ind w:left="51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91A2780E">
      <w:start w:val="1"/>
      <w:numFmt w:val="bullet"/>
      <w:lvlText w:val="o"/>
      <w:lvlJc w:val="left"/>
      <w:pPr>
        <w:ind w:left="58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216A3E1A">
      <w:start w:val="1"/>
      <w:numFmt w:val="bullet"/>
      <w:lvlText w:val="▪"/>
      <w:lvlJc w:val="left"/>
      <w:pPr>
        <w:ind w:left="65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60F4F31"/>
    <w:multiLevelType w:val="hybridMultilevel"/>
    <w:tmpl w:val="8138A1AA"/>
    <w:lvl w:ilvl="0" w:tplc="6DB2B558">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89727EEE">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FE78EC2E">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5108F49A">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5D9A4182">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AADAF2DE">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D6B0C9FA">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1EC86476">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766CA350">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62B6D2B"/>
    <w:multiLevelType w:val="hybridMultilevel"/>
    <w:tmpl w:val="AB6263CA"/>
    <w:lvl w:ilvl="0" w:tplc="D742957E">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846D1E">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2E9F38">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E8BCB2">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2610B6">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3A4EC2">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DA7CA2">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B475B8">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DE28EE">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6427D68"/>
    <w:multiLevelType w:val="hybridMultilevel"/>
    <w:tmpl w:val="BA1C77CE"/>
    <w:lvl w:ilvl="0" w:tplc="B0AE910E">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D282624">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B7A24972">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F3C6860C">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FB86D7B2">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7B5CE604">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BE86ABD0">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FE3852D2">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D3FE722C">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A647AD9"/>
    <w:multiLevelType w:val="hybridMultilevel"/>
    <w:tmpl w:val="5D0C0958"/>
    <w:lvl w:ilvl="0" w:tplc="E42C25FC">
      <w:start w:val="1"/>
      <w:numFmt w:val="bullet"/>
      <w:lvlText w:val="●"/>
      <w:lvlJc w:val="left"/>
      <w:pPr>
        <w:ind w:left="1493"/>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B52245D0">
      <w:start w:val="1"/>
      <w:numFmt w:val="bullet"/>
      <w:lvlText w:val="o"/>
      <w:lvlJc w:val="left"/>
      <w:pPr>
        <w:ind w:left="217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BF6C2AF8">
      <w:start w:val="1"/>
      <w:numFmt w:val="bullet"/>
      <w:lvlText w:val="▪"/>
      <w:lvlJc w:val="left"/>
      <w:pPr>
        <w:ind w:left="289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C7C8FC46">
      <w:start w:val="1"/>
      <w:numFmt w:val="bullet"/>
      <w:lvlText w:val="•"/>
      <w:lvlJc w:val="left"/>
      <w:pPr>
        <w:ind w:left="361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BF20E284">
      <w:start w:val="1"/>
      <w:numFmt w:val="bullet"/>
      <w:lvlText w:val="o"/>
      <w:lvlJc w:val="left"/>
      <w:pPr>
        <w:ind w:left="433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7DEC4EF8">
      <w:start w:val="1"/>
      <w:numFmt w:val="bullet"/>
      <w:lvlText w:val="▪"/>
      <w:lvlJc w:val="left"/>
      <w:pPr>
        <w:ind w:left="505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0D7CBE7C">
      <w:start w:val="1"/>
      <w:numFmt w:val="bullet"/>
      <w:lvlText w:val="•"/>
      <w:lvlJc w:val="left"/>
      <w:pPr>
        <w:ind w:left="577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14A67448">
      <w:start w:val="1"/>
      <w:numFmt w:val="bullet"/>
      <w:lvlText w:val="o"/>
      <w:lvlJc w:val="left"/>
      <w:pPr>
        <w:ind w:left="649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88768F1C">
      <w:start w:val="1"/>
      <w:numFmt w:val="bullet"/>
      <w:lvlText w:val="▪"/>
      <w:lvlJc w:val="left"/>
      <w:pPr>
        <w:ind w:left="7218"/>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4E1C6E"/>
    <w:multiLevelType w:val="hybridMultilevel"/>
    <w:tmpl w:val="A564802C"/>
    <w:lvl w:ilvl="0" w:tplc="B9E4F786">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98268488">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DE24C262">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BDF87AE2">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C1F0BC9E">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8806C030">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9B8CDBB6">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7DDCD5EC">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D2C1D3C">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12548D"/>
    <w:multiLevelType w:val="hybridMultilevel"/>
    <w:tmpl w:val="DE5ABFF0"/>
    <w:lvl w:ilvl="0" w:tplc="FB0E0DBC">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4FB2B268">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F4E8085E">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5C34A57E">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3C0E55C">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81423ED0">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39469D4E">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537073A6">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037AE124">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447486F"/>
    <w:multiLevelType w:val="hybridMultilevel"/>
    <w:tmpl w:val="FECED2E8"/>
    <w:lvl w:ilvl="0" w:tplc="995283A2">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6860C8EE">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CF0EE68E">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67B03EE6">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8BEEA824">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0986A7E0">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A4E42F2C">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FA623DDA">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2C9CBB18">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63A0386"/>
    <w:multiLevelType w:val="hybridMultilevel"/>
    <w:tmpl w:val="A80EACE0"/>
    <w:lvl w:ilvl="0" w:tplc="A5120F66">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36D25F24">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5B069340">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9BB86408">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13DE705C">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12BC1446">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2B6ADB52">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899A3B60">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1DA0F8C6">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B321FF"/>
    <w:multiLevelType w:val="hybridMultilevel"/>
    <w:tmpl w:val="E1087EB2"/>
    <w:lvl w:ilvl="0" w:tplc="0888992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E1B4E">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D2581A">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86D160">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C4CC7C">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C01980">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2C7B7E">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D8A1AA">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8815AA">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3C2491"/>
    <w:multiLevelType w:val="hybridMultilevel"/>
    <w:tmpl w:val="2A7EA81C"/>
    <w:lvl w:ilvl="0" w:tplc="D32859EC">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0565EAE">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A3404D30">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8B4EA474">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D361870">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E6249786">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7BEEBCFA">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48C41BBC">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5CDA92B6">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6314AB"/>
    <w:multiLevelType w:val="hybridMultilevel"/>
    <w:tmpl w:val="34D09874"/>
    <w:lvl w:ilvl="0" w:tplc="38A8F5F0">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96D044E8">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FAA67FD4">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64545D68">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F2E27D10">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44DAAF30">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6C707292">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C038A444">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35927D6E">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080232A"/>
    <w:multiLevelType w:val="multilevel"/>
    <w:tmpl w:val="8BAA5A14"/>
    <w:lvl w:ilvl="0">
      <w:start w:val="18"/>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4E67ECE"/>
    <w:multiLevelType w:val="hybridMultilevel"/>
    <w:tmpl w:val="EF3A2A40"/>
    <w:lvl w:ilvl="0" w:tplc="55BA3BCE">
      <w:start w:val="1"/>
      <w:numFmt w:val="bullet"/>
      <w:lvlText w:val="●"/>
      <w:lvlJc w:val="left"/>
      <w:pPr>
        <w:ind w:left="72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C0AE5902">
      <w:start w:val="1"/>
      <w:numFmt w:val="bullet"/>
      <w:lvlText w:val="o"/>
      <w:lvlJc w:val="left"/>
      <w:pPr>
        <w:ind w:left="15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FAD6A59E">
      <w:start w:val="1"/>
      <w:numFmt w:val="bullet"/>
      <w:lvlText w:val="▪"/>
      <w:lvlJc w:val="left"/>
      <w:pPr>
        <w:ind w:left="22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36F810B2">
      <w:start w:val="1"/>
      <w:numFmt w:val="bullet"/>
      <w:lvlText w:val="•"/>
      <w:lvlJc w:val="left"/>
      <w:pPr>
        <w:ind w:left="29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C6122E9A">
      <w:start w:val="1"/>
      <w:numFmt w:val="bullet"/>
      <w:lvlText w:val="o"/>
      <w:lvlJc w:val="left"/>
      <w:pPr>
        <w:ind w:left="370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48E6183A">
      <w:start w:val="1"/>
      <w:numFmt w:val="bullet"/>
      <w:lvlText w:val="▪"/>
      <w:lvlJc w:val="left"/>
      <w:pPr>
        <w:ind w:left="442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AF32C778">
      <w:start w:val="1"/>
      <w:numFmt w:val="bullet"/>
      <w:lvlText w:val="•"/>
      <w:lvlJc w:val="left"/>
      <w:pPr>
        <w:ind w:left="51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ECE013CA">
      <w:start w:val="1"/>
      <w:numFmt w:val="bullet"/>
      <w:lvlText w:val="o"/>
      <w:lvlJc w:val="left"/>
      <w:pPr>
        <w:ind w:left="58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797AA430">
      <w:start w:val="1"/>
      <w:numFmt w:val="bullet"/>
      <w:lvlText w:val="▪"/>
      <w:lvlJc w:val="left"/>
      <w:pPr>
        <w:ind w:left="65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6211AF2"/>
    <w:multiLevelType w:val="multilevel"/>
    <w:tmpl w:val="EA36A0CE"/>
    <w:lvl w:ilvl="0">
      <w:start w:val="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41705F"/>
    <w:multiLevelType w:val="multilevel"/>
    <w:tmpl w:val="964E9D94"/>
    <w:lvl w:ilvl="0">
      <w:start w:val="7"/>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BB2D22"/>
    <w:multiLevelType w:val="hybridMultilevel"/>
    <w:tmpl w:val="62642A74"/>
    <w:lvl w:ilvl="0" w:tplc="FE82793C">
      <w:start w:val="1"/>
      <w:numFmt w:val="bullet"/>
      <w:lvlText w:val="•"/>
      <w:lvlJc w:val="left"/>
      <w:pPr>
        <w:ind w:left="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4FC9C">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CC1330">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44D14E">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866BD6">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C686C0">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2463B2">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EC9962">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94CA38">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9A916B7"/>
    <w:multiLevelType w:val="hybridMultilevel"/>
    <w:tmpl w:val="2B9A0EF4"/>
    <w:lvl w:ilvl="0" w:tplc="157C7A1E">
      <w:start w:val="1"/>
      <w:numFmt w:val="lowerRoman"/>
      <w:lvlText w:val="%1)"/>
      <w:lvlJc w:val="left"/>
      <w:pPr>
        <w:ind w:left="10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4BA0C4B8">
      <w:start w:val="1"/>
      <w:numFmt w:val="lowerLetter"/>
      <w:lvlText w:val="%2"/>
      <w:lvlJc w:val="left"/>
      <w:pPr>
        <w:ind w:left="15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3A122488">
      <w:start w:val="1"/>
      <w:numFmt w:val="lowerRoman"/>
      <w:lvlText w:val="%3"/>
      <w:lvlJc w:val="left"/>
      <w:pPr>
        <w:ind w:left="22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D090D67C">
      <w:start w:val="1"/>
      <w:numFmt w:val="decimal"/>
      <w:lvlText w:val="%4"/>
      <w:lvlJc w:val="left"/>
      <w:pPr>
        <w:ind w:left="29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E35CE3FA">
      <w:start w:val="1"/>
      <w:numFmt w:val="lowerLetter"/>
      <w:lvlText w:val="%5"/>
      <w:lvlJc w:val="left"/>
      <w:pPr>
        <w:ind w:left="370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9D5C3D38">
      <w:start w:val="1"/>
      <w:numFmt w:val="lowerRoman"/>
      <w:lvlText w:val="%6"/>
      <w:lvlJc w:val="left"/>
      <w:pPr>
        <w:ind w:left="442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147EA4D8">
      <w:start w:val="1"/>
      <w:numFmt w:val="decimal"/>
      <w:lvlText w:val="%7"/>
      <w:lvlJc w:val="left"/>
      <w:pPr>
        <w:ind w:left="51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7E90C0E8">
      <w:start w:val="1"/>
      <w:numFmt w:val="lowerLetter"/>
      <w:lvlText w:val="%8"/>
      <w:lvlJc w:val="left"/>
      <w:pPr>
        <w:ind w:left="58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FCDAD5FA">
      <w:start w:val="1"/>
      <w:numFmt w:val="lowerRoman"/>
      <w:lvlText w:val="%9"/>
      <w:lvlJc w:val="left"/>
      <w:pPr>
        <w:ind w:left="65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A3E7187"/>
    <w:multiLevelType w:val="multilevel"/>
    <w:tmpl w:val="170C9EFC"/>
    <w:lvl w:ilvl="0">
      <w:start w:val="21"/>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0C60141"/>
    <w:multiLevelType w:val="multilevel"/>
    <w:tmpl w:val="B7C20A52"/>
    <w:lvl w:ilvl="0">
      <w:start w:val="7"/>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1DD6396"/>
    <w:multiLevelType w:val="hybridMultilevel"/>
    <w:tmpl w:val="570CB942"/>
    <w:lvl w:ilvl="0" w:tplc="C1A8EEE6">
      <w:start w:val="1"/>
      <w:numFmt w:val="bullet"/>
      <w:lvlText w:val="●"/>
      <w:lvlJc w:val="left"/>
      <w:pPr>
        <w:ind w:left="72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ADA41D36">
      <w:start w:val="1"/>
      <w:numFmt w:val="bullet"/>
      <w:lvlText w:val="o"/>
      <w:lvlJc w:val="left"/>
      <w:pPr>
        <w:ind w:left="15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E638AEF8">
      <w:start w:val="1"/>
      <w:numFmt w:val="bullet"/>
      <w:lvlText w:val="▪"/>
      <w:lvlJc w:val="left"/>
      <w:pPr>
        <w:ind w:left="22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D6668A4A">
      <w:start w:val="1"/>
      <w:numFmt w:val="bullet"/>
      <w:lvlText w:val="•"/>
      <w:lvlJc w:val="left"/>
      <w:pPr>
        <w:ind w:left="29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B3E27632">
      <w:start w:val="1"/>
      <w:numFmt w:val="bullet"/>
      <w:lvlText w:val="o"/>
      <w:lvlJc w:val="left"/>
      <w:pPr>
        <w:ind w:left="370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DFFC886C">
      <w:start w:val="1"/>
      <w:numFmt w:val="bullet"/>
      <w:lvlText w:val="▪"/>
      <w:lvlJc w:val="left"/>
      <w:pPr>
        <w:ind w:left="442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1B5E3DCA">
      <w:start w:val="1"/>
      <w:numFmt w:val="bullet"/>
      <w:lvlText w:val="•"/>
      <w:lvlJc w:val="left"/>
      <w:pPr>
        <w:ind w:left="51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F8740E1C">
      <w:start w:val="1"/>
      <w:numFmt w:val="bullet"/>
      <w:lvlText w:val="o"/>
      <w:lvlJc w:val="left"/>
      <w:pPr>
        <w:ind w:left="58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B8147538">
      <w:start w:val="1"/>
      <w:numFmt w:val="bullet"/>
      <w:lvlText w:val="▪"/>
      <w:lvlJc w:val="left"/>
      <w:pPr>
        <w:ind w:left="65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4335CE8"/>
    <w:multiLevelType w:val="hybridMultilevel"/>
    <w:tmpl w:val="F5AC4A10"/>
    <w:lvl w:ilvl="0" w:tplc="CF7C7B98">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065E9958">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61F8D3CA">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8D22E426">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491AC710">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56D0C150">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C7104CA8">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610C7AC6">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811208A4">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4BC72D5"/>
    <w:multiLevelType w:val="hybridMultilevel"/>
    <w:tmpl w:val="565C5910"/>
    <w:lvl w:ilvl="0" w:tplc="0F823AAA">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D41812A6">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CCD0DC2E">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7E0CF5A8">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F0904C90">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BCB021D6">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6C128E52">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76C847CC">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B8DC5622">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92233BA"/>
    <w:multiLevelType w:val="multilevel"/>
    <w:tmpl w:val="5626848C"/>
    <w:lvl w:ilvl="0">
      <w:start w:val="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BC84AC1"/>
    <w:multiLevelType w:val="multilevel"/>
    <w:tmpl w:val="00228280"/>
    <w:lvl w:ilvl="0">
      <w:start w:val="1"/>
      <w:numFmt w:val="decimal"/>
      <w:lvlText w:val="%1."/>
      <w:lvlJc w:val="left"/>
      <w:pPr>
        <w:ind w:left="244"/>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C6436E5"/>
    <w:multiLevelType w:val="hybridMultilevel"/>
    <w:tmpl w:val="7A5E093E"/>
    <w:lvl w:ilvl="0" w:tplc="F5A67958">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70DB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5874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0A5F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C0E1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E629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5803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A2B6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F0A5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CF15EE4"/>
    <w:multiLevelType w:val="multilevel"/>
    <w:tmpl w:val="4684AAE4"/>
    <w:lvl w:ilvl="0">
      <w:start w:val="7"/>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E3D13B9"/>
    <w:multiLevelType w:val="hybridMultilevel"/>
    <w:tmpl w:val="9D9C0DA4"/>
    <w:lvl w:ilvl="0" w:tplc="A9DCDAB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C27448">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680672">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0EF2E0">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7EEEF2">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28F7EE">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009EC">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3203B6">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1E22B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F2840BF"/>
    <w:multiLevelType w:val="hybridMultilevel"/>
    <w:tmpl w:val="64F8D6D6"/>
    <w:lvl w:ilvl="0" w:tplc="52C4BAE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564EB4">
      <w:start w:val="1"/>
      <w:numFmt w:val="bullet"/>
      <w:lvlText w:val="o"/>
      <w:lvlJc w:val="left"/>
      <w:pPr>
        <w:ind w:left="1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CCA8C8">
      <w:start w:val="1"/>
      <w:numFmt w:val="bullet"/>
      <w:lvlText w:val="▪"/>
      <w:lvlJc w:val="left"/>
      <w:pPr>
        <w:ind w:left="2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F8E1BE">
      <w:start w:val="1"/>
      <w:numFmt w:val="bullet"/>
      <w:lvlText w:val="•"/>
      <w:lvlJc w:val="left"/>
      <w:pPr>
        <w:ind w:left="2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7CCA9C">
      <w:start w:val="1"/>
      <w:numFmt w:val="bullet"/>
      <w:lvlText w:val="o"/>
      <w:lvlJc w:val="left"/>
      <w:pPr>
        <w:ind w:left="37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0E292E">
      <w:start w:val="1"/>
      <w:numFmt w:val="bullet"/>
      <w:lvlText w:val="▪"/>
      <w:lvlJc w:val="left"/>
      <w:pPr>
        <w:ind w:left="4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068138">
      <w:start w:val="1"/>
      <w:numFmt w:val="bullet"/>
      <w:lvlText w:val="•"/>
      <w:lvlJc w:val="left"/>
      <w:pPr>
        <w:ind w:left="5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3E4C8A">
      <w:start w:val="1"/>
      <w:numFmt w:val="bullet"/>
      <w:lvlText w:val="o"/>
      <w:lvlJc w:val="left"/>
      <w:pPr>
        <w:ind w:left="5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76B43C">
      <w:start w:val="1"/>
      <w:numFmt w:val="bullet"/>
      <w:lvlText w:val="▪"/>
      <w:lvlJc w:val="left"/>
      <w:pPr>
        <w:ind w:left="6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354698D"/>
    <w:multiLevelType w:val="hybridMultilevel"/>
    <w:tmpl w:val="3C3E83A4"/>
    <w:lvl w:ilvl="0" w:tplc="942AA4EA">
      <w:start w:val="1"/>
      <w:numFmt w:val="bullet"/>
      <w:lvlText w:val="●"/>
      <w:lvlJc w:val="left"/>
      <w:pPr>
        <w:ind w:left="72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2A10EC56">
      <w:start w:val="1"/>
      <w:numFmt w:val="bullet"/>
      <w:lvlText w:val="o"/>
      <w:lvlJc w:val="left"/>
      <w:pPr>
        <w:ind w:left="15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226CE134">
      <w:start w:val="1"/>
      <w:numFmt w:val="bullet"/>
      <w:lvlText w:val="▪"/>
      <w:lvlJc w:val="left"/>
      <w:pPr>
        <w:ind w:left="22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3560EC32">
      <w:start w:val="1"/>
      <w:numFmt w:val="bullet"/>
      <w:lvlText w:val="•"/>
      <w:lvlJc w:val="left"/>
      <w:pPr>
        <w:ind w:left="29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DB3637B2">
      <w:start w:val="1"/>
      <w:numFmt w:val="bullet"/>
      <w:lvlText w:val="o"/>
      <w:lvlJc w:val="left"/>
      <w:pPr>
        <w:ind w:left="370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2DB2901E">
      <w:start w:val="1"/>
      <w:numFmt w:val="bullet"/>
      <w:lvlText w:val="▪"/>
      <w:lvlJc w:val="left"/>
      <w:pPr>
        <w:ind w:left="442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561A9A22">
      <w:start w:val="1"/>
      <w:numFmt w:val="bullet"/>
      <w:lvlText w:val="•"/>
      <w:lvlJc w:val="left"/>
      <w:pPr>
        <w:ind w:left="51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A83696F6">
      <w:start w:val="1"/>
      <w:numFmt w:val="bullet"/>
      <w:lvlText w:val="o"/>
      <w:lvlJc w:val="left"/>
      <w:pPr>
        <w:ind w:left="58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C7443758">
      <w:start w:val="1"/>
      <w:numFmt w:val="bullet"/>
      <w:lvlText w:val="▪"/>
      <w:lvlJc w:val="left"/>
      <w:pPr>
        <w:ind w:left="65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3B96D9A"/>
    <w:multiLevelType w:val="hybridMultilevel"/>
    <w:tmpl w:val="1678608E"/>
    <w:lvl w:ilvl="0" w:tplc="8A5426E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1C0E68">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D6B7D6">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208792">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0CEE2A">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5E97EE">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B0B458">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6AF1C4">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0E6636">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46E239E"/>
    <w:multiLevelType w:val="hybridMultilevel"/>
    <w:tmpl w:val="4A1A38D8"/>
    <w:lvl w:ilvl="0" w:tplc="2408CE60">
      <w:start w:val="1"/>
      <w:numFmt w:val="bullet"/>
      <w:lvlText w:val="●"/>
      <w:lvlJc w:val="left"/>
      <w:pPr>
        <w:ind w:left="72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E7288C6C">
      <w:start w:val="1"/>
      <w:numFmt w:val="bullet"/>
      <w:lvlText w:val="o"/>
      <w:lvlJc w:val="left"/>
      <w:pPr>
        <w:ind w:left="15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6BE226B2">
      <w:start w:val="1"/>
      <w:numFmt w:val="bullet"/>
      <w:lvlText w:val="▪"/>
      <w:lvlJc w:val="left"/>
      <w:pPr>
        <w:ind w:left="22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E53CB354">
      <w:start w:val="1"/>
      <w:numFmt w:val="bullet"/>
      <w:lvlText w:val="•"/>
      <w:lvlJc w:val="left"/>
      <w:pPr>
        <w:ind w:left="29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12103E2A">
      <w:start w:val="1"/>
      <w:numFmt w:val="bullet"/>
      <w:lvlText w:val="o"/>
      <w:lvlJc w:val="left"/>
      <w:pPr>
        <w:ind w:left="370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3C0AD34C">
      <w:start w:val="1"/>
      <w:numFmt w:val="bullet"/>
      <w:lvlText w:val="▪"/>
      <w:lvlJc w:val="left"/>
      <w:pPr>
        <w:ind w:left="442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BEA430A2">
      <w:start w:val="1"/>
      <w:numFmt w:val="bullet"/>
      <w:lvlText w:val="•"/>
      <w:lvlJc w:val="left"/>
      <w:pPr>
        <w:ind w:left="51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425C305A">
      <w:start w:val="1"/>
      <w:numFmt w:val="bullet"/>
      <w:lvlText w:val="o"/>
      <w:lvlJc w:val="left"/>
      <w:pPr>
        <w:ind w:left="58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4CE2FD5E">
      <w:start w:val="1"/>
      <w:numFmt w:val="bullet"/>
      <w:lvlText w:val="▪"/>
      <w:lvlJc w:val="left"/>
      <w:pPr>
        <w:ind w:left="65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4A54883"/>
    <w:multiLevelType w:val="hybridMultilevel"/>
    <w:tmpl w:val="05784BC6"/>
    <w:lvl w:ilvl="0" w:tplc="82EACA0A">
      <w:start w:val="1"/>
      <w:numFmt w:val="upperLetter"/>
      <w:lvlText w:val="(%1)"/>
      <w:lvlJc w:val="left"/>
      <w:pPr>
        <w:ind w:left="7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73285CAC">
      <w:start w:val="1"/>
      <w:numFmt w:val="lowerLetter"/>
      <w:lvlText w:val="%2"/>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A8764A08">
      <w:start w:val="1"/>
      <w:numFmt w:val="lowerRoman"/>
      <w:lvlText w:val="%3"/>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73CA904A">
      <w:start w:val="1"/>
      <w:numFmt w:val="decimal"/>
      <w:lvlText w:val="%4"/>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D026E344">
      <w:start w:val="1"/>
      <w:numFmt w:val="lowerLetter"/>
      <w:lvlText w:val="%5"/>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23303582">
      <w:start w:val="1"/>
      <w:numFmt w:val="lowerRoman"/>
      <w:lvlText w:val="%6"/>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1B24A522">
      <w:start w:val="1"/>
      <w:numFmt w:val="decimal"/>
      <w:lvlText w:val="%7"/>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7DC0B94A">
      <w:start w:val="1"/>
      <w:numFmt w:val="lowerLetter"/>
      <w:lvlText w:val="%8"/>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F52E8C20">
      <w:start w:val="1"/>
      <w:numFmt w:val="lowerRoman"/>
      <w:lvlText w:val="%9"/>
      <w:lvlJc w:val="left"/>
      <w:pPr>
        <w:ind w:left="61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9872FD1"/>
    <w:multiLevelType w:val="hybridMultilevel"/>
    <w:tmpl w:val="5AEA40AC"/>
    <w:lvl w:ilvl="0" w:tplc="62245D86">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54AA6C82">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22D4828C">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DC1A7CE8">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6E9A9F4E">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DE8E6F06">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9F4CB3C4">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F760E784">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650E6224">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9BF0E18"/>
    <w:multiLevelType w:val="hybridMultilevel"/>
    <w:tmpl w:val="BC44320A"/>
    <w:lvl w:ilvl="0" w:tplc="2D60097E">
      <w:start w:val="1"/>
      <w:numFmt w:val="bullet"/>
      <w:lvlText w:val="●"/>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tplc="97BEC6EE">
      <w:start w:val="1"/>
      <w:numFmt w:val="bullet"/>
      <w:lvlText w:val="o"/>
      <w:lvlJc w:val="left"/>
      <w:pPr>
        <w:ind w:left="21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tplc="2E18AE6A">
      <w:start w:val="1"/>
      <w:numFmt w:val="bullet"/>
      <w:lvlText w:val="▪"/>
      <w:lvlJc w:val="left"/>
      <w:pPr>
        <w:ind w:left="28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tplc="B4BE7BEE">
      <w:start w:val="1"/>
      <w:numFmt w:val="bullet"/>
      <w:lvlText w:val="•"/>
      <w:lvlJc w:val="left"/>
      <w:pPr>
        <w:ind w:left="36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tplc="EB1C2D04">
      <w:start w:val="1"/>
      <w:numFmt w:val="bullet"/>
      <w:lvlText w:val="o"/>
      <w:lvlJc w:val="left"/>
      <w:pPr>
        <w:ind w:left="432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tplc="61042F8A">
      <w:start w:val="1"/>
      <w:numFmt w:val="bullet"/>
      <w:lvlText w:val="▪"/>
      <w:lvlJc w:val="left"/>
      <w:pPr>
        <w:ind w:left="50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tplc="0ED6A6B6">
      <w:start w:val="1"/>
      <w:numFmt w:val="bullet"/>
      <w:lvlText w:val="•"/>
      <w:lvlJc w:val="left"/>
      <w:pPr>
        <w:ind w:left="576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tplc="032046B4">
      <w:start w:val="1"/>
      <w:numFmt w:val="bullet"/>
      <w:lvlText w:val="o"/>
      <w:lvlJc w:val="left"/>
      <w:pPr>
        <w:ind w:left="648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tplc="F7E82644">
      <w:start w:val="1"/>
      <w:numFmt w:val="bullet"/>
      <w:lvlText w:val="▪"/>
      <w:lvlJc w:val="left"/>
      <w:pPr>
        <w:ind w:left="720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C2C1281"/>
    <w:multiLevelType w:val="multilevel"/>
    <w:tmpl w:val="0310CE64"/>
    <w:lvl w:ilvl="0">
      <w:start w:val="22"/>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F8F15B5"/>
    <w:multiLevelType w:val="multilevel"/>
    <w:tmpl w:val="D3BC5458"/>
    <w:lvl w:ilvl="0">
      <w:start w:val="2"/>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38B7CA2"/>
    <w:multiLevelType w:val="multilevel"/>
    <w:tmpl w:val="6BBA59BE"/>
    <w:lvl w:ilvl="0">
      <w:start w:val="2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9003DBD"/>
    <w:multiLevelType w:val="multilevel"/>
    <w:tmpl w:val="54943D82"/>
    <w:lvl w:ilvl="0">
      <w:start w:val="19"/>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E4B65CD"/>
    <w:multiLevelType w:val="hybridMultilevel"/>
    <w:tmpl w:val="57F0148E"/>
    <w:lvl w:ilvl="0" w:tplc="FEC8F6F4">
      <w:start w:val="1"/>
      <w:numFmt w:val="bullet"/>
      <w:lvlText w:val="●"/>
      <w:lvlJc w:val="left"/>
      <w:pPr>
        <w:ind w:left="36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tplc="7D024ED0">
      <w:start w:val="1"/>
      <w:numFmt w:val="bullet"/>
      <w:lvlText w:val="o"/>
      <w:lvlJc w:val="left"/>
      <w:pPr>
        <w:ind w:left="15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tplc="E506ABC6">
      <w:start w:val="1"/>
      <w:numFmt w:val="bullet"/>
      <w:lvlText w:val="▪"/>
      <w:lvlJc w:val="left"/>
      <w:pPr>
        <w:ind w:left="22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tplc="4C780772">
      <w:start w:val="1"/>
      <w:numFmt w:val="bullet"/>
      <w:lvlText w:val="•"/>
      <w:lvlJc w:val="left"/>
      <w:pPr>
        <w:ind w:left="29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tplc="F196A2F8">
      <w:start w:val="1"/>
      <w:numFmt w:val="bullet"/>
      <w:lvlText w:val="o"/>
      <w:lvlJc w:val="left"/>
      <w:pPr>
        <w:ind w:left="370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tplc="74627630">
      <w:start w:val="1"/>
      <w:numFmt w:val="bullet"/>
      <w:lvlText w:val="▪"/>
      <w:lvlJc w:val="left"/>
      <w:pPr>
        <w:ind w:left="442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tplc="B57CDC96">
      <w:start w:val="1"/>
      <w:numFmt w:val="bullet"/>
      <w:lvlText w:val="•"/>
      <w:lvlJc w:val="left"/>
      <w:pPr>
        <w:ind w:left="514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tplc="FDBE07B8">
      <w:start w:val="1"/>
      <w:numFmt w:val="bullet"/>
      <w:lvlText w:val="o"/>
      <w:lvlJc w:val="left"/>
      <w:pPr>
        <w:ind w:left="586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tplc="6EDEDB68">
      <w:start w:val="1"/>
      <w:numFmt w:val="bullet"/>
      <w:lvlText w:val="▪"/>
      <w:lvlJc w:val="left"/>
      <w:pPr>
        <w:ind w:left="658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7F262C02"/>
    <w:multiLevelType w:val="multilevel"/>
    <w:tmpl w:val="F63AD204"/>
    <w:lvl w:ilvl="0">
      <w:start w:val="18"/>
      <w:numFmt w:val="decimal"/>
      <w:lvlText w:val="%1"/>
      <w:lvlJc w:val="left"/>
      <w:pPr>
        <w:ind w:left="3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num w:numId="1">
    <w:abstractNumId w:val="37"/>
  </w:num>
  <w:num w:numId="2">
    <w:abstractNumId w:val="45"/>
  </w:num>
  <w:num w:numId="3">
    <w:abstractNumId w:val="7"/>
  </w:num>
  <w:num w:numId="4">
    <w:abstractNumId w:val="14"/>
  </w:num>
  <w:num w:numId="5">
    <w:abstractNumId w:val="49"/>
  </w:num>
  <w:num w:numId="6">
    <w:abstractNumId w:val="3"/>
  </w:num>
  <w:num w:numId="7">
    <w:abstractNumId w:val="10"/>
  </w:num>
  <w:num w:numId="8">
    <w:abstractNumId w:val="46"/>
  </w:num>
  <w:num w:numId="9">
    <w:abstractNumId w:val="17"/>
  </w:num>
  <w:num w:numId="10">
    <w:abstractNumId w:val="36"/>
  </w:num>
  <w:num w:numId="11">
    <w:abstractNumId w:val="27"/>
  </w:num>
  <w:num w:numId="12">
    <w:abstractNumId w:val="34"/>
  </w:num>
  <w:num w:numId="13">
    <w:abstractNumId w:val="47"/>
  </w:num>
  <w:num w:numId="14">
    <w:abstractNumId w:val="20"/>
  </w:num>
  <w:num w:numId="15">
    <w:abstractNumId w:val="8"/>
  </w:num>
  <w:num w:numId="16">
    <w:abstractNumId w:val="12"/>
  </w:num>
  <w:num w:numId="17">
    <w:abstractNumId w:val="2"/>
  </w:num>
  <w:num w:numId="18">
    <w:abstractNumId w:val="24"/>
  </w:num>
  <w:num w:numId="19">
    <w:abstractNumId w:val="23"/>
  </w:num>
  <w:num w:numId="20">
    <w:abstractNumId w:val="53"/>
  </w:num>
  <w:num w:numId="21">
    <w:abstractNumId w:val="25"/>
  </w:num>
  <w:num w:numId="22">
    <w:abstractNumId w:val="4"/>
  </w:num>
  <w:num w:numId="23">
    <w:abstractNumId w:val="51"/>
  </w:num>
  <w:num w:numId="24">
    <w:abstractNumId w:val="0"/>
  </w:num>
  <w:num w:numId="25">
    <w:abstractNumId w:val="31"/>
  </w:num>
  <w:num w:numId="26">
    <w:abstractNumId w:val="35"/>
  </w:num>
  <w:num w:numId="27">
    <w:abstractNumId w:val="48"/>
  </w:num>
  <w:num w:numId="28">
    <w:abstractNumId w:val="21"/>
  </w:num>
  <w:num w:numId="29">
    <w:abstractNumId w:val="16"/>
  </w:num>
  <w:num w:numId="30">
    <w:abstractNumId w:val="18"/>
  </w:num>
  <w:num w:numId="31">
    <w:abstractNumId w:val="1"/>
  </w:num>
  <w:num w:numId="32">
    <w:abstractNumId w:val="50"/>
  </w:num>
  <w:num w:numId="33">
    <w:abstractNumId w:val="19"/>
  </w:num>
  <w:num w:numId="34">
    <w:abstractNumId w:val="38"/>
  </w:num>
  <w:num w:numId="35">
    <w:abstractNumId w:val="9"/>
  </w:num>
  <w:num w:numId="36">
    <w:abstractNumId w:val="5"/>
  </w:num>
  <w:num w:numId="37">
    <w:abstractNumId w:val="40"/>
  </w:num>
  <w:num w:numId="38">
    <w:abstractNumId w:val="32"/>
  </w:num>
  <w:num w:numId="39">
    <w:abstractNumId w:val="22"/>
  </w:num>
  <w:num w:numId="40">
    <w:abstractNumId w:val="28"/>
  </w:num>
  <w:num w:numId="41">
    <w:abstractNumId w:val="43"/>
  </w:num>
  <w:num w:numId="42">
    <w:abstractNumId w:val="39"/>
  </w:num>
  <w:num w:numId="43">
    <w:abstractNumId w:val="29"/>
  </w:num>
  <w:num w:numId="44">
    <w:abstractNumId w:val="13"/>
  </w:num>
  <w:num w:numId="45">
    <w:abstractNumId w:val="42"/>
  </w:num>
  <w:num w:numId="46">
    <w:abstractNumId w:val="30"/>
  </w:num>
  <w:num w:numId="47">
    <w:abstractNumId w:val="26"/>
  </w:num>
  <w:num w:numId="48">
    <w:abstractNumId w:val="11"/>
  </w:num>
  <w:num w:numId="49">
    <w:abstractNumId w:val="52"/>
  </w:num>
  <w:num w:numId="50">
    <w:abstractNumId w:val="44"/>
  </w:num>
  <w:num w:numId="51">
    <w:abstractNumId w:val="33"/>
  </w:num>
  <w:num w:numId="52">
    <w:abstractNumId w:val="15"/>
  </w:num>
  <w:num w:numId="53">
    <w:abstractNumId w:val="41"/>
  </w:num>
  <w:num w:numId="54">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52F"/>
    <w:rsid w:val="0043328E"/>
    <w:rsid w:val="004A06EF"/>
    <w:rsid w:val="004F4644"/>
    <w:rsid w:val="00824C5E"/>
    <w:rsid w:val="009B1F56"/>
    <w:rsid w:val="00C44EA9"/>
    <w:rsid w:val="00D13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002C"/>
  <w15:docId w15:val="{1E6FA380-3680-41F5-B98C-8F773513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70" w:lineRule="auto"/>
      <w:ind w:left="22" w:hanging="10"/>
    </w:pPr>
    <w:rPr>
      <w:rFonts w:ascii="Sylfaen" w:eastAsia="Sylfaen" w:hAnsi="Sylfaen" w:cs="Sylfaen"/>
      <w:color w:val="000000"/>
      <w:sz w:val="24"/>
    </w:rPr>
  </w:style>
  <w:style w:type="paragraph" w:styleId="Heading1">
    <w:name w:val="heading 1"/>
    <w:next w:val="Normal"/>
    <w:link w:val="Heading1Char"/>
    <w:uiPriority w:val="9"/>
    <w:qFormat/>
    <w:pPr>
      <w:keepNext/>
      <w:keepLines/>
      <w:spacing w:after="111"/>
      <w:ind w:left="10" w:right="3611" w:hanging="10"/>
      <w:outlineLvl w:val="0"/>
    </w:pPr>
    <w:rPr>
      <w:rFonts w:ascii="Sylfaen" w:eastAsia="Sylfaen" w:hAnsi="Sylfaen" w:cs="Sylfaen"/>
      <w:color w:val="000000"/>
      <w:sz w:val="32"/>
    </w:rPr>
  </w:style>
  <w:style w:type="paragraph" w:styleId="Heading2">
    <w:name w:val="heading 2"/>
    <w:next w:val="Normal"/>
    <w:link w:val="Heading2Char"/>
    <w:uiPriority w:val="9"/>
    <w:unhideWhenUsed/>
    <w:qFormat/>
    <w:pPr>
      <w:keepNext/>
      <w:keepLines/>
      <w:spacing w:after="0"/>
      <w:ind w:left="23" w:hanging="10"/>
      <w:outlineLvl w:val="1"/>
    </w:pPr>
    <w:rPr>
      <w:rFonts w:ascii="Sylfaen" w:eastAsia="Sylfaen" w:hAnsi="Sylfaen" w:cs="Sylfaen"/>
      <w:color w:val="000000"/>
      <w:sz w:val="28"/>
    </w:rPr>
  </w:style>
  <w:style w:type="paragraph" w:styleId="Heading3">
    <w:name w:val="heading 3"/>
    <w:next w:val="Normal"/>
    <w:link w:val="Heading3Char"/>
    <w:uiPriority w:val="9"/>
    <w:unhideWhenUsed/>
    <w:qFormat/>
    <w:pPr>
      <w:keepNext/>
      <w:keepLines/>
      <w:spacing w:after="0"/>
      <w:ind w:left="23" w:hanging="10"/>
      <w:outlineLvl w:val="2"/>
    </w:pPr>
    <w:rPr>
      <w:rFonts w:ascii="Sylfaen" w:eastAsia="Sylfaen" w:hAnsi="Sylfaen" w:cs="Sylfae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Sylfaen" w:eastAsia="Sylfaen" w:hAnsi="Sylfaen" w:cs="Sylfaen"/>
      <w:color w:val="000000"/>
      <w:sz w:val="28"/>
    </w:rPr>
  </w:style>
  <w:style w:type="character" w:customStyle="1" w:styleId="Heading1Char">
    <w:name w:val="Heading 1 Char"/>
    <w:link w:val="Heading1"/>
    <w:rPr>
      <w:rFonts w:ascii="Sylfaen" w:eastAsia="Sylfaen" w:hAnsi="Sylfaen" w:cs="Sylfaen"/>
      <w:color w:val="000000"/>
      <w:sz w:val="32"/>
    </w:rPr>
  </w:style>
  <w:style w:type="character" w:customStyle="1" w:styleId="Heading2Char">
    <w:name w:val="Heading 2 Char"/>
    <w:link w:val="Heading2"/>
    <w:rPr>
      <w:rFonts w:ascii="Sylfaen" w:eastAsia="Sylfaen" w:hAnsi="Sylfaen" w:cs="Sylfaen"/>
      <w:color w:val="000000"/>
      <w:sz w:val="28"/>
    </w:rPr>
  </w:style>
  <w:style w:type="paragraph" w:styleId="TOC1">
    <w:name w:val="toc 1"/>
    <w:hidden/>
    <w:pPr>
      <w:spacing w:after="146"/>
      <w:ind w:left="270" w:right="23" w:hanging="10"/>
    </w:pPr>
    <w:rPr>
      <w:rFonts w:ascii="Arial" w:eastAsia="Arial" w:hAnsi="Arial" w:cs="Arial"/>
      <w:color w:val="000000"/>
      <w:sz w:val="24"/>
    </w:rPr>
  </w:style>
  <w:style w:type="paragraph" w:styleId="TOC2">
    <w:name w:val="toc 2"/>
    <w:hidden/>
    <w:pPr>
      <w:spacing w:after="146"/>
      <w:ind w:left="510" w:right="15" w:hanging="10"/>
    </w:pPr>
    <w:rPr>
      <w:rFonts w:ascii="Arial" w:eastAsia="Arial" w:hAnsi="Arial" w:cs="Arial"/>
      <w:color w:val="000000"/>
      <w:sz w:val="24"/>
    </w:rPr>
  </w:style>
  <w:style w:type="paragraph" w:styleId="TOC3">
    <w:name w:val="toc 3"/>
    <w:hidden/>
    <w:pPr>
      <w:spacing w:after="146"/>
      <w:ind w:left="510" w:right="23"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gov.uk/government/publications/government-security-classifications" TargetMode="External"/><Relationship Id="rId42" Type="http://schemas.openxmlformats.org/officeDocument/2006/relationships/hyperlink" Target="https://www.cpni.gov.uk/protection-sensitive-information-and-assets" TargetMode="External"/><Relationship Id="rId63" Type="http://schemas.openxmlformats.org/officeDocument/2006/relationships/hyperlink" Target="https://www.gov.uk/government/publications/technology-code-of-practice/technology-code-of-practice"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image" Target="media/image4.png"/><Relationship Id="rId107" Type="http://schemas.openxmlformats.org/officeDocument/2006/relationships/hyperlink" Target="http://tools.hmrc.gov.uk/esi" TargetMode="External"/><Relationship Id="rId11" Type="http://schemas.openxmlformats.org/officeDocument/2006/relationships/image" Target="media/image2.png"/><Relationship Id="rId32" Type="http://schemas.openxmlformats.org/officeDocument/2006/relationships/hyperlink" Target="https://www.cpni.gov.uk/content/adopt-risk-management-approach" TargetMode="External"/><Relationship Id="rId53" Type="http://schemas.openxmlformats.org/officeDocument/2006/relationships/hyperlink" Target="https://www.cesg.gov.uk/risk-management-collection" TargetMode="External"/><Relationship Id="rId74" Type="http://schemas.openxmlformats.org/officeDocument/2006/relationships/hyperlink" Target="https://www.ncsc.gov.uk/guidance/implementing-cloud-security-principles" TargetMode="External"/><Relationship Id="rId128" Type="http://schemas.openxmlformats.org/officeDocument/2006/relationships/hyperlink" Target="https://www.gov.uk/service-manual/agile-delivery/spend-controls-check-if-you-need-approval-to-spend-money-on-a-service" TargetMode="External"/><Relationship Id="rId5" Type="http://schemas.openxmlformats.org/officeDocument/2006/relationships/styles" Target="styles.xml"/><Relationship Id="rId90" Type="http://schemas.openxmlformats.org/officeDocument/2006/relationships/hyperlink" Target="https://www.gov.uk/government/publications/technology-code-of-practice/technology-code-of-practice" TargetMode="External"/><Relationship Id="rId95" Type="http://schemas.openxmlformats.org/officeDocument/2006/relationships/hyperlink" Target="https://www.ncsc.gov.uk/guidance/10-steps-cyber-security"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cpni.gov.uk/content/adopt-risk-management-approach" TargetMode="External"/><Relationship Id="rId43" Type="http://schemas.openxmlformats.org/officeDocument/2006/relationships/hyperlink" Target="https://www.cpni.gov.uk/protection-sensitive-information-and-assets" TargetMode="External"/><Relationship Id="rId48" Type="http://schemas.openxmlformats.org/officeDocument/2006/relationships/hyperlink" Target="https://www.ncsc.gov.uk/collection/risk-management-collection" TargetMode="External"/><Relationship Id="rId64" Type="http://schemas.openxmlformats.org/officeDocument/2006/relationships/hyperlink" Target="https://www.gov.uk/government/publications/technology-code-of-practice/technology-code-of-practice" TargetMode="External"/><Relationship Id="rId69" Type="http://schemas.openxmlformats.org/officeDocument/2006/relationships/hyperlink" Target="https://www.ncsc.gov.uk/guidance/implementing-cloud-security-principles"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yperlink" Target="https://www.gov.uk/service-manual/agile-delivery/spend-controls-check-if-you-need-approval-to-spend-money-on-a-service" TargetMode="External"/><Relationship Id="rId139" Type="http://schemas.openxmlformats.org/officeDocument/2006/relationships/image" Target="media/image5.png"/><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security-policy-framework" TargetMode="External"/><Relationship Id="rId33" Type="http://schemas.openxmlformats.org/officeDocument/2006/relationships/hyperlink" Target="https://www.cpni.gov.uk/content/adopt-risk-management-approach" TargetMode="External"/><Relationship Id="rId38" Type="http://schemas.openxmlformats.org/officeDocument/2006/relationships/hyperlink" Target="https://www.cpni.gov.uk/protection-sensitive-information-and-assets" TargetMode="External"/><Relationship Id="rId59" Type="http://schemas.openxmlformats.org/officeDocument/2006/relationships/hyperlink" Target="https://www.gov.uk/government/publications/technology-code-of-practice/technology-code-of-practice" TargetMode="External"/><Relationship Id="rId103" Type="http://schemas.openxmlformats.org/officeDocument/2006/relationships/hyperlink" Target="https://www.digitalmarketplace.service.gov.uk/" TargetMode="External"/><Relationship Id="rId108"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54" Type="http://schemas.openxmlformats.org/officeDocument/2006/relationships/hyperlink" Target="https://www.cesg.gov.uk/risk-management-collection" TargetMode="External"/><Relationship Id="rId70" Type="http://schemas.openxmlformats.org/officeDocument/2006/relationships/hyperlink" Target="https://www.ncsc.gov.uk/guidance/implementing-cloud-security-principles" TargetMode="External"/><Relationship Id="rId75" Type="http://schemas.openxmlformats.org/officeDocument/2006/relationships/hyperlink" Target="https://www.ncsc.gov.uk/guidance/implementing-cloud-security-principles" TargetMode="External"/><Relationship Id="rId91"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ncsc.gov.uk/guidance/10-steps-cyber-security" TargetMode="External"/><Relationship Id="rId140" Type="http://schemas.openxmlformats.org/officeDocument/2006/relationships/image" Target="media/image6.png"/><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gov.uk/government/publications/government-security-classifications" TargetMode="External"/><Relationship Id="rId28" Type="http://schemas.openxmlformats.org/officeDocument/2006/relationships/hyperlink" Target="https://www.cpni.gov.uk/content/adopt-risk-management-approach" TargetMode="External"/><Relationship Id="rId49" Type="http://schemas.openxmlformats.org/officeDocument/2006/relationships/hyperlink" Target="https://www.ncsc.gov.uk/collection/risk-management-collection"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www.cpni.gov.uk/protection-sensitive-information-and-assets" TargetMode="External"/><Relationship Id="rId60" Type="http://schemas.openxmlformats.org/officeDocument/2006/relationships/hyperlink" Target="https://www.gov.uk/government/publications/technology-code-of-practice/technology-code-of-practice" TargetMode="External"/><Relationship Id="rId65"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cpni.gov.uk/protection-sensitive-information-and-assets"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cpni.gov.uk/content/adopt-risk-management-approach" TargetMode="External"/><Relationship Id="rId50" Type="http://schemas.openxmlformats.org/officeDocument/2006/relationships/hyperlink" Target="https://www.ncsc.gov.uk/collection/risk-management-collection"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ncsc.gov.uk/guidance/implementing-cloud-security-principles" TargetMode="External"/><Relationship Id="rId97" Type="http://schemas.openxmlformats.org/officeDocument/2006/relationships/hyperlink" Target="https://www.ncsc.gov.uk/guidance/10-steps-cyber-security" TargetMode="External"/><Relationship Id="rId104" Type="http://schemas.openxmlformats.org/officeDocument/2006/relationships/hyperlink" Target="https://www.digitalmarketplace.service.gov.uk/"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https://www.ncsc.gov.uk/guidance/implementing-cloud-security-principles" TargetMode="External"/><Relationship Id="rId92" Type="http://schemas.openxmlformats.org/officeDocument/2006/relationships/hyperlink" Target="https://www.gov.uk/government/publications/technology-code-of-practice/technology-code-of-practice" TargetMode="External"/><Relationship Id="rId2" Type="http://schemas.openxmlformats.org/officeDocument/2006/relationships/customXml" Target="../customXml/item2.xml"/><Relationship Id="rId29" Type="http://schemas.openxmlformats.org/officeDocument/2006/relationships/hyperlink" Target="https://www.cpni.gov.uk/content/adopt-risk-management-approach" TargetMode="External"/><Relationship Id="rId24" Type="http://schemas.openxmlformats.org/officeDocument/2006/relationships/hyperlink" Target="https://www.gov.uk/government/publications/government-security-classifications" TargetMode="External"/><Relationship Id="rId40" Type="http://schemas.openxmlformats.org/officeDocument/2006/relationships/hyperlink" Target="https://www.cpni.gov.uk/protection-sensitive-information-and-assets" TargetMode="External"/><Relationship Id="rId45" Type="http://schemas.openxmlformats.org/officeDocument/2006/relationships/hyperlink" Target="https://www.ncsc.gov.uk/collection/risk-management-collection" TargetMode="External"/><Relationship Id="rId66" Type="http://schemas.openxmlformats.org/officeDocument/2006/relationships/hyperlink" Target="https://www.gov.uk/government/publications/technology-code-of-practice/technology-code-of-practice"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gov.uk/government/publications/technology-code-of-practice/technology-code-of-practice" TargetMode="External"/><Relationship Id="rId82"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gov.uk/government/publications/security-policy-framework" TargetMode="External"/><Relationship Id="rId14" Type="http://schemas.openxmlformats.org/officeDocument/2006/relationships/image" Target="media/image3.png"/><Relationship Id="rId30" Type="http://schemas.openxmlformats.org/officeDocument/2006/relationships/hyperlink" Target="https://www.cpni.gov.uk/content/adopt-risk-management-approach"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cyber-risk-management-a-board-level-responsibility/10-steps-summary" TargetMode="External"/><Relationship Id="rId100" Type="http://schemas.openxmlformats.org/officeDocument/2006/relationships/hyperlink" Target="https://www.ncsc.gov.uk/guidance/10-steps-cyber-security" TargetMode="External"/><Relationship Id="rId105" Type="http://schemas.openxmlformats.org/officeDocument/2006/relationships/hyperlink" Target="https://www.digitalmarketplace.service.gov.uk/" TargetMode="External"/><Relationship Id="rId126" Type="http://schemas.openxmlformats.org/officeDocument/2006/relationships/hyperlink" Target="https://www.gov.uk/service-manual/agile-delivery/spend-controls-check-if-you-need-approval-to-spend-money-on-a-service" TargetMode="External"/><Relationship Id="rId8" Type="http://schemas.openxmlformats.org/officeDocument/2006/relationships/footnotes" Target="footnotes.xml"/><Relationship Id="rId51" Type="http://schemas.openxmlformats.org/officeDocument/2006/relationships/hyperlink" Target="https://www.cesg.gov.uk/risk-management-collection" TargetMode="External"/><Relationship Id="rId72" Type="http://schemas.openxmlformats.org/officeDocument/2006/relationships/hyperlink" Target="https://www.ncsc.gov.uk/guidance/implementing-cloud-security-principles" TargetMode="External"/><Relationship Id="rId93" Type="http://schemas.openxmlformats.org/officeDocument/2006/relationships/hyperlink" Target="https://www.gov.uk/government/publications/cyber-risk-management-a-board-level-responsibility/10-steps-summary" TargetMode="External"/><Relationship Id="rId98" Type="http://schemas.openxmlformats.org/officeDocument/2006/relationships/hyperlink" Target="https://www.ncsc.gov.uk/guidance/10-steps-cyber-security"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https://www.gov.uk/government/publications/government-security-classifications" TargetMode="External"/><Relationship Id="rId46" Type="http://schemas.openxmlformats.org/officeDocument/2006/relationships/hyperlink" Target="https://www.ncsc.gov.uk/collection/risk-management-collection" TargetMode="External"/><Relationship Id="rId67" Type="http://schemas.openxmlformats.org/officeDocument/2006/relationships/hyperlink" Target="https://www.gov.uk/government/publications/technology-code-of-practice/technology-code-of-practice" TargetMode="External"/><Relationship Id="rId116"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government/publications/security-policy-framework" TargetMode="External"/><Relationship Id="rId41" Type="http://schemas.openxmlformats.org/officeDocument/2006/relationships/hyperlink" Target="https://www.cpni.gov.uk/protection-sensitive-information-and-assets" TargetMode="External"/><Relationship Id="rId62" Type="http://schemas.openxmlformats.org/officeDocument/2006/relationships/hyperlink" Target="https://www.gov.uk/government/publications/technology-code-of-practice/technology-code-of-practice"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yperlink" Target="https://www.gov.uk/service-manual/agile-delivery/spend-controls-check-if-you-need-approval-to-spend-money-on-a-service" TargetMode="External"/><Relationship Id="rId15" Type="http://schemas.openxmlformats.org/officeDocument/2006/relationships/hyperlink" Target="https://www.gov.uk/government/publications/security-policy-framework" TargetMode="External"/><Relationship Id="rId36" Type="http://schemas.openxmlformats.org/officeDocument/2006/relationships/hyperlink" Target="https://www.cpni.gov.uk/protection-sensitive-information-and-assets" TargetMode="External"/><Relationship Id="rId57" Type="http://schemas.openxmlformats.org/officeDocument/2006/relationships/hyperlink" Target="https://www.gov.uk/government/publications/technology-code-of-practice/technology-code-of-practice" TargetMode="External"/><Relationship Id="rId106" Type="http://schemas.openxmlformats.org/officeDocument/2006/relationships/hyperlink" Target="http://tools.hmrc.gov.uk/esi"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image" Target="media/image1.jpg"/><Relationship Id="rId31" Type="http://schemas.openxmlformats.org/officeDocument/2006/relationships/hyperlink" Target="https://www.cpni.gov.uk/content/adopt-risk-management-approach" TargetMode="External"/><Relationship Id="rId52" Type="http://schemas.openxmlformats.org/officeDocument/2006/relationships/hyperlink" Target="https://www.cesg.gov.uk/risk-management-collection" TargetMode="External"/><Relationship Id="rId73" Type="http://schemas.openxmlformats.org/officeDocument/2006/relationships/hyperlink" Target="https://www.ncsc.gov.uk/guidance/implementing-cloud-security-principles" TargetMode="External"/><Relationship Id="rId78" Type="http://schemas.openxmlformats.org/officeDocument/2006/relationships/hyperlink" Target="https://www.gov.uk/government/publications/cyber-risk-management-a-board-level-responsibility/10-steps-summary" TargetMode="External"/><Relationship Id="rId94" Type="http://schemas.openxmlformats.org/officeDocument/2006/relationships/hyperlink" Target="https://www.gov.uk/government/publications/cyber-risk-management-a-board-level-responsibility/10-steps-summary" TargetMode="External"/><Relationship Id="rId99" Type="http://schemas.openxmlformats.org/officeDocument/2006/relationships/hyperlink" Target="https://www.ncsc.gov.uk/guidance/10-steps-cyber-security" TargetMode="External"/><Relationship Id="rId101" Type="http://schemas.openxmlformats.org/officeDocument/2006/relationships/hyperlink" Target="https://www.ncsc.gov.uk/guidance/10-steps-cyber-security" TargetMode="External"/><Relationship Id="rId122" Type="http://schemas.openxmlformats.org/officeDocument/2006/relationships/hyperlink" Target="https://www.gov.uk/service-manual/agile-delivery/spend-controls-check-if-you-need-approval-to-spend-money-on-a-service" TargetMode="External"/><Relationship Id="rId143"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gov.uk/government/publications/government-security-classifications" TargetMode="External"/><Relationship Id="rId47" Type="http://schemas.openxmlformats.org/officeDocument/2006/relationships/hyperlink" Target="https://www.ncsc.gov.uk/collection/risk-management-collection" TargetMode="External"/><Relationship Id="rId68"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service-manual/agile-delivery/spend-controls-check-if-you-need-approval-to-spend-money-on-a-service" TargetMode="External"/><Relationship Id="rId16" Type="http://schemas.openxmlformats.org/officeDocument/2006/relationships/hyperlink" Target="https://www.gov.uk/government/publications/security-policy-framework" TargetMode="External"/><Relationship Id="rId37" Type="http://schemas.openxmlformats.org/officeDocument/2006/relationships/hyperlink" Target="https://www.cpni.gov.uk/protection-sensitive-information-and-assets" TargetMode="External"/><Relationship Id="rId58" Type="http://schemas.openxmlformats.org/officeDocument/2006/relationships/hyperlink" Target="https://www.gov.uk/government/publications/technology-code-of-practice/technology-code-of-practic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ncsc.gov.uk/guidance/10-steps-cyber-security" TargetMode="External"/><Relationship Id="rId123"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39087bc4-7aec-4083-82ca-f4ea701dfded" xsi:nil="true"/>
    <MigrationWizIdSecurityGroups xmlns="39087bc4-7aec-4083-82ca-f4ea701dfded" xsi:nil="true"/>
    <MigrationWizIdPermissionLevels xmlns="39087bc4-7aec-4083-82ca-f4ea701dfded" xsi:nil="true"/>
    <MigrationWizIdDocumentLibraryPermissions xmlns="39087bc4-7aec-4083-82ca-f4ea701dfded" xsi:nil="true"/>
    <MigrationWizId xmlns="39087bc4-7aec-4083-82ca-f4ea701dfd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F60B9B1412C4449A58A8EDD085842D" ma:contentTypeVersion="17" ma:contentTypeDescription="Create a new document." ma:contentTypeScope="" ma:versionID="4d35ea955a5fd41343c3fc001c77a68f">
  <xsd:schema xmlns:xsd="http://www.w3.org/2001/XMLSchema" xmlns:xs="http://www.w3.org/2001/XMLSchema" xmlns:p="http://schemas.microsoft.com/office/2006/metadata/properties" xmlns:ns3="39087bc4-7aec-4083-82ca-f4ea701dfded" xmlns:ns4="3f52f3a2-861e-4157-be96-8062ad70fe01" targetNamespace="http://schemas.microsoft.com/office/2006/metadata/properties" ma:root="true" ma:fieldsID="eff47263ffe5b1396ca5642f8d8be815" ns3:_="" ns4:_="">
    <xsd:import namespace="39087bc4-7aec-4083-82ca-f4ea701dfded"/>
    <xsd:import namespace="3f52f3a2-861e-4157-be96-8062ad70fe01"/>
    <xsd:element name="properties">
      <xsd:complexType>
        <xsd:sequence>
          <xsd:element name="documentManagement">
            <xsd:complexType>
              <xsd:all>
                <xsd:element ref="ns3:MediaServiceMetadata" minOccurs="0"/>
                <xsd:element ref="ns3:MediaServiceFastMetadata"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87bc4-7aec-4083-82ca-f4ea701dfd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2f3a2-861e-4157-be96-8062ad70fe01"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7C6C4-4024-433B-BA64-24125D1402EC}">
  <ds:schemaRefs>
    <ds:schemaRef ds:uri="http://schemas.microsoft.com/sharepoint/v3/contenttype/forms"/>
  </ds:schemaRefs>
</ds:datastoreItem>
</file>

<file path=customXml/itemProps2.xml><?xml version="1.0" encoding="utf-8"?>
<ds:datastoreItem xmlns:ds="http://schemas.openxmlformats.org/officeDocument/2006/customXml" ds:itemID="{EB4CD76B-4FCA-4CED-95EB-0F386DF42FCB}">
  <ds:schemaRefs>
    <ds:schemaRef ds:uri="http://schemas.microsoft.com/office/2006/metadata/properties"/>
    <ds:schemaRef ds:uri="http://purl.org/dc/terms/"/>
    <ds:schemaRef ds:uri="http://purl.org/dc/dcmitype/"/>
    <ds:schemaRef ds:uri="http://schemas.microsoft.com/office/infopath/2007/PartnerControls"/>
    <ds:schemaRef ds:uri="http://purl.org/dc/elements/1.1/"/>
    <ds:schemaRef ds:uri="39087bc4-7aec-4083-82ca-f4ea701dfded"/>
    <ds:schemaRef ds:uri="http://www.w3.org/XML/1998/namespace"/>
    <ds:schemaRef ds:uri="http://schemas.microsoft.com/office/2006/documentManagement/types"/>
    <ds:schemaRef ds:uri="http://schemas.openxmlformats.org/package/2006/metadata/core-properties"/>
    <ds:schemaRef ds:uri="3f52f3a2-861e-4157-be96-8062ad70fe01"/>
  </ds:schemaRefs>
</ds:datastoreItem>
</file>

<file path=customXml/itemProps3.xml><?xml version="1.0" encoding="utf-8"?>
<ds:datastoreItem xmlns:ds="http://schemas.openxmlformats.org/officeDocument/2006/customXml" ds:itemID="{F88D7C86-6330-4763-99F7-8C60CA7CF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87bc4-7aec-4083-82ca-f4ea701dfded"/>
    <ds:schemaRef ds:uri="3f52f3a2-861e-4157-be96-8062ad70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16906</Words>
  <Characters>96368</Characters>
  <Application>Microsoft Office Word</Application>
  <DocSecurity>4</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Shinn</dc:creator>
  <cp:keywords/>
  <cp:lastModifiedBy>HARRISON, Alan</cp:lastModifiedBy>
  <cp:revision>2</cp:revision>
  <dcterms:created xsi:type="dcterms:W3CDTF">2020-07-23T13:56:00Z</dcterms:created>
  <dcterms:modified xsi:type="dcterms:W3CDTF">2020-07-23T13:56:00Z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0x010100C0F60B9B1412C4449A58A8EDD085842D</vt:lpwstr>
  </property>
</Properties>
</file>