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1908B" w14:textId="389A8E67" w:rsidR="00891B59" w:rsidRPr="007F3DC6" w:rsidRDefault="00D860A8" w:rsidP="007F3DC6">
      <w:pPr>
        <w:pStyle w:val="Heading1"/>
        <w:shd w:val="clear" w:color="auto" w:fill="FFFFFF"/>
        <w:spacing w:before="0" w:after="450"/>
        <w:jc w:val="center"/>
      </w:pPr>
      <w:r>
        <w:t>DSPCR</w:t>
      </w:r>
      <w:r>
        <w:rPr>
          <w:lang w:eastAsia="en-GB"/>
        </w:rPr>
        <w:t xml:space="preserve"> 2011 Pre-Qualification Questionnaire Assessment. (DPQQ)</w:t>
      </w:r>
      <w:r>
        <w:t xml:space="preserve"> </w:t>
      </w:r>
      <w:r w:rsidR="00891B59" w:rsidRPr="00891B59">
        <w:t>Provision and Support of Self-Contained Air Diving Equipment (SCADE)</w:t>
      </w:r>
      <w:r w:rsidR="00891B59">
        <w:t xml:space="preserve"> </w:t>
      </w:r>
      <w:r w:rsidR="00257608" w:rsidRPr="00D860A8">
        <w:t>71</w:t>
      </w:r>
      <w:r w:rsidR="002E4100">
        <w:t>1234451</w:t>
      </w:r>
      <w:r w:rsidR="00257608">
        <w:t xml:space="preserve"> -</w:t>
      </w:r>
      <w:r w:rsidR="00257608" w:rsidRPr="00D860A8">
        <w:t xml:space="preserve"> </w:t>
      </w:r>
      <w:r w:rsidR="00891B59">
        <w:t>Supplier</w:t>
      </w:r>
      <w:r w:rsidR="00891B59" w:rsidRPr="00611CA3">
        <w:rPr>
          <w:lang w:eastAsia="en-GB"/>
        </w:rPr>
        <w:t xml:space="preserve"> Guidance</w:t>
      </w:r>
      <w:r w:rsidR="005E12F6" w:rsidRPr="00611CA3">
        <w:rPr>
          <w:lang w:eastAsia="en-GB"/>
        </w:rPr>
        <w:t xml:space="preserve"> </w:t>
      </w:r>
      <w:r w:rsidR="005E12F6" w:rsidRPr="00D860A8">
        <w:t xml:space="preserve"> </w:t>
      </w:r>
      <w:r w:rsidR="005E12F6">
        <w:t>(</w:t>
      </w:r>
      <w:r w:rsidR="006F2FB3">
        <w:t xml:space="preserve">Version 2 ) </w:t>
      </w:r>
    </w:p>
    <w:p w14:paraId="50A1AC24" w14:textId="2272573B" w:rsidR="00891B59" w:rsidRDefault="00891B59" w:rsidP="00891B59">
      <w:pPr>
        <w:pStyle w:val="Heading2"/>
      </w:pPr>
      <w:r>
        <w:t>Section A – Introduction</w:t>
      </w:r>
    </w:p>
    <w:p w14:paraId="44024686" w14:textId="77777777" w:rsidR="00891B59" w:rsidRDefault="00891B59" w:rsidP="00891B59">
      <w:pPr>
        <w:pStyle w:val="Heading3"/>
      </w:pPr>
    </w:p>
    <w:p w14:paraId="24E7FB6F" w14:textId="24B161D1" w:rsidR="00891B59" w:rsidRPr="00891B59" w:rsidRDefault="00891B59" w:rsidP="00891B59">
      <w:pPr>
        <w:pStyle w:val="Heading3"/>
      </w:pPr>
      <w:r>
        <w:t>Introduction</w:t>
      </w:r>
    </w:p>
    <w:p w14:paraId="394E4261" w14:textId="77777777" w:rsidR="00891B59" w:rsidRDefault="00891B59" w:rsidP="00891B59">
      <w:pPr>
        <w:pStyle w:val="DWParaNum1"/>
        <w:numPr>
          <w:ilvl w:val="0"/>
          <w:numId w:val="0"/>
        </w:numPr>
        <w:spacing w:after="60"/>
        <w:jc w:val="both"/>
        <w:rPr>
          <w:sz w:val="26"/>
          <w:szCs w:val="26"/>
          <w:u w:val="single"/>
        </w:rPr>
      </w:pPr>
    </w:p>
    <w:p w14:paraId="00F594D0" w14:textId="77777777" w:rsidR="004E7070" w:rsidRDefault="614FE2C3" w:rsidP="00732A3B">
      <w:pPr>
        <w:pStyle w:val="DWParaNum1"/>
        <w:numPr>
          <w:ilvl w:val="0"/>
          <w:numId w:val="2"/>
        </w:numPr>
        <w:spacing w:after="60"/>
        <w:ind w:left="567" w:hanging="567"/>
        <w:jc w:val="both"/>
      </w:pPr>
      <w:r w:rsidRPr="004E7070">
        <w:t>The</w:t>
      </w:r>
      <w:r w:rsidR="00891B59" w:rsidRPr="004E7070">
        <w:t xml:space="preserve"> </w:t>
      </w:r>
      <w:r w:rsidR="69F99B9D" w:rsidRPr="004E7070">
        <w:t>A</w:t>
      </w:r>
      <w:r w:rsidR="00891B59" w:rsidRPr="004E7070">
        <w:t xml:space="preserve">uthority has issued this </w:t>
      </w:r>
      <w:r w:rsidR="004E7602" w:rsidRPr="004E7070">
        <w:t>Dynamic</w:t>
      </w:r>
      <w:r w:rsidR="0DBD26CB" w:rsidRPr="004E7070">
        <w:t xml:space="preserve"> </w:t>
      </w:r>
      <w:r w:rsidR="001C7345" w:rsidRPr="004E7070">
        <w:t>P</w:t>
      </w:r>
      <w:r w:rsidR="00891B59" w:rsidRPr="004E7070">
        <w:t>re-</w:t>
      </w:r>
      <w:r w:rsidR="001C7345" w:rsidRPr="004E7070">
        <w:t>Q</w:t>
      </w:r>
      <w:r w:rsidR="00891B59" w:rsidRPr="004E7070">
        <w:t xml:space="preserve">ualification </w:t>
      </w:r>
      <w:r w:rsidR="001C7345" w:rsidRPr="004E7070">
        <w:t>Q</w:t>
      </w:r>
      <w:r w:rsidR="00891B59" w:rsidRPr="004E7070">
        <w:t>uestionnaire (</w:t>
      </w:r>
      <w:r w:rsidR="7A07A72C" w:rsidRPr="004E7070">
        <w:t>DPPQ</w:t>
      </w:r>
      <w:r w:rsidR="00891B59" w:rsidRPr="004E7070">
        <w:t>)</w:t>
      </w:r>
      <w:r w:rsidR="001C7345" w:rsidRPr="004E7070">
        <w:t xml:space="preserve"> guidance</w:t>
      </w:r>
      <w:r w:rsidR="00891B59" w:rsidRPr="004E7070">
        <w:t xml:space="preserve"> in respect of the provision and support of </w:t>
      </w:r>
      <w:r w:rsidR="004E7602" w:rsidRPr="004E7070">
        <w:t>S</w:t>
      </w:r>
      <w:r w:rsidR="00891B59" w:rsidRPr="004E7070">
        <w:t xml:space="preserve">elf-contained </w:t>
      </w:r>
      <w:r w:rsidR="004E7602" w:rsidRPr="004E7070">
        <w:t>A</w:t>
      </w:r>
      <w:r w:rsidR="00891B59" w:rsidRPr="004E7070">
        <w:t>ir diving equipment (</w:t>
      </w:r>
      <w:r w:rsidR="004E7602" w:rsidRPr="004E7070">
        <w:t>SCADE</w:t>
      </w:r>
      <w:r w:rsidR="00891B59" w:rsidRPr="004E7070">
        <w:t xml:space="preserve">) </w:t>
      </w:r>
      <w:r w:rsidR="002E4100" w:rsidRPr="004E7070">
        <w:t xml:space="preserve">711234451. </w:t>
      </w:r>
      <w:r w:rsidR="004E7602" w:rsidRPr="004E7070">
        <w:t>T</w:t>
      </w:r>
      <w:r w:rsidR="00891B59" w:rsidRPr="004E7070">
        <w:t xml:space="preserve">he procurement will be conducted in accordance with the </w:t>
      </w:r>
      <w:r w:rsidR="004E7602" w:rsidRPr="004E7070">
        <w:t>Negotiated</w:t>
      </w:r>
      <w:r w:rsidR="00891B59" w:rsidRPr="004E7070">
        <w:t xml:space="preserve"> procedure under the </w:t>
      </w:r>
      <w:r w:rsidR="004E7602" w:rsidRPr="004E7070">
        <w:t>D</w:t>
      </w:r>
      <w:r w:rsidR="00891B59" w:rsidRPr="004E7070">
        <w:t xml:space="preserve">efence and </w:t>
      </w:r>
      <w:r w:rsidR="004E7602" w:rsidRPr="004E7070">
        <w:t>S</w:t>
      </w:r>
      <w:r w:rsidR="00891B59" w:rsidRPr="004E7070">
        <w:t xml:space="preserve">ecurity </w:t>
      </w:r>
      <w:r w:rsidR="004E7602" w:rsidRPr="004E7070">
        <w:t>P</w:t>
      </w:r>
      <w:r w:rsidR="00891B59" w:rsidRPr="004E7070">
        <w:t xml:space="preserve">ublic </w:t>
      </w:r>
      <w:r w:rsidR="004E7602" w:rsidRPr="004E7070">
        <w:t>C</w:t>
      </w:r>
      <w:r w:rsidR="00891B59" w:rsidRPr="004E7070">
        <w:t xml:space="preserve">ontract </w:t>
      </w:r>
      <w:r w:rsidR="004E7602" w:rsidRPr="004E7070">
        <w:t>R</w:t>
      </w:r>
      <w:r w:rsidR="00891B59" w:rsidRPr="004E7070">
        <w:t>egulations (</w:t>
      </w:r>
      <w:r w:rsidR="004E7602" w:rsidRPr="004E7070">
        <w:t>DSPCR</w:t>
      </w:r>
      <w:r w:rsidR="00891B59" w:rsidRPr="004E7070">
        <w:t>) 2011.</w:t>
      </w:r>
    </w:p>
    <w:p w14:paraId="79023EBC" w14:textId="77777777" w:rsidR="004E7070" w:rsidRDefault="004E7070" w:rsidP="004E7070">
      <w:pPr>
        <w:pStyle w:val="DWParaNum1"/>
        <w:numPr>
          <w:ilvl w:val="0"/>
          <w:numId w:val="0"/>
        </w:numPr>
        <w:spacing w:after="60"/>
        <w:ind w:left="567"/>
        <w:jc w:val="both"/>
      </w:pPr>
    </w:p>
    <w:p w14:paraId="2374AE9F" w14:textId="0EC0F284" w:rsidR="00487BCD" w:rsidRPr="004E7070" w:rsidRDefault="00487BCD" w:rsidP="008F5406">
      <w:pPr>
        <w:pStyle w:val="DWParaNum1"/>
        <w:numPr>
          <w:ilvl w:val="0"/>
          <w:numId w:val="2"/>
        </w:numPr>
        <w:spacing w:after="60"/>
        <w:ind w:left="567" w:hanging="567"/>
        <w:jc w:val="both"/>
      </w:pPr>
      <w:r w:rsidRPr="004E7070">
        <w:t xml:space="preserve">The </w:t>
      </w:r>
      <w:r w:rsidR="00C81CE1" w:rsidRPr="004E7070">
        <w:t>E</w:t>
      </w:r>
      <w:r w:rsidRPr="004E7070">
        <w:t>stimate</w:t>
      </w:r>
      <w:r w:rsidR="00236D94" w:rsidRPr="004E7070">
        <w:t xml:space="preserve">d </w:t>
      </w:r>
      <w:r w:rsidR="00C81CE1" w:rsidRPr="004E7070">
        <w:t>C</w:t>
      </w:r>
      <w:r w:rsidR="00236D94" w:rsidRPr="004E7070">
        <w:t>ontact award</w:t>
      </w:r>
      <w:r w:rsidRPr="004E7070">
        <w:t xml:space="preserve"> value </w:t>
      </w:r>
      <w:r w:rsidR="00761B15" w:rsidRPr="004E7070">
        <w:t>of this requirement is</w:t>
      </w:r>
      <w:r w:rsidR="00236D94" w:rsidRPr="004E7070">
        <w:t xml:space="preserve"> </w:t>
      </w:r>
      <w:r w:rsidR="00C81CE1" w:rsidRPr="004E7070">
        <w:t>£</w:t>
      </w:r>
      <w:r w:rsidR="00236D94" w:rsidRPr="004E7070">
        <w:t>9.3</w:t>
      </w:r>
      <w:r w:rsidR="004E7070">
        <w:t>9</w:t>
      </w:r>
      <w:r w:rsidR="00C81CE1" w:rsidRPr="004E7070">
        <w:t>M (</w:t>
      </w:r>
      <w:r w:rsidR="004E7070">
        <w:t>VAT Inc</w:t>
      </w:r>
      <w:r w:rsidR="004E7070" w:rsidRPr="004E7070">
        <w:t>) £</w:t>
      </w:r>
      <w:r w:rsidR="00C81CE1" w:rsidRPr="004E7070">
        <w:t>7</w:t>
      </w:r>
      <w:r w:rsidR="004E7070">
        <w:t>,</w:t>
      </w:r>
      <w:r w:rsidR="00C81CE1" w:rsidRPr="004E7070">
        <w:t>82</w:t>
      </w:r>
      <w:r w:rsidR="004E7070">
        <w:t>5M</w:t>
      </w:r>
      <w:r w:rsidR="00C81CE1" w:rsidRPr="004E7070">
        <w:t xml:space="preserve"> </w:t>
      </w:r>
      <w:r w:rsidR="008F5406">
        <w:t>(</w:t>
      </w:r>
      <w:r w:rsidR="00C81CE1" w:rsidRPr="004E7070">
        <w:t xml:space="preserve">VAT </w:t>
      </w:r>
      <w:r w:rsidR="004E7070">
        <w:t>Ex)</w:t>
      </w:r>
      <w:r w:rsidR="00C81CE1" w:rsidRPr="004E7070">
        <w:t xml:space="preserve">. </w:t>
      </w:r>
      <w:r w:rsidR="008F5406" w:rsidRPr="004E7070">
        <w:t xml:space="preserve">This </w:t>
      </w:r>
      <w:r w:rsidR="008F5406">
        <w:t xml:space="preserve">figure </w:t>
      </w:r>
      <w:r w:rsidR="00C81CE1" w:rsidRPr="004E7070">
        <w:t xml:space="preserve">includes </w:t>
      </w:r>
      <w:r w:rsidR="00C47B4F">
        <w:t>Procurement, Training</w:t>
      </w:r>
      <w:r w:rsidR="004E7070">
        <w:t xml:space="preserve">, and </w:t>
      </w:r>
      <w:r w:rsidR="00C81CE1" w:rsidRPr="004E7070">
        <w:t>3 years</w:t>
      </w:r>
      <w:r w:rsidR="004E7070">
        <w:t xml:space="preserve"> support</w:t>
      </w:r>
      <w:r w:rsidR="008F5406">
        <w:t>.  It also includes</w:t>
      </w:r>
      <w:r w:rsidR="00C81CE1" w:rsidRPr="004E7070">
        <w:t xml:space="preserve"> cost for 2</w:t>
      </w:r>
      <w:r w:rsidR="000F48E1">
        <w:t xml:space="preserve"> </w:t>
      </w:r>
      <w:r w:rsidR="008F5406">
        <w:t>options</w:t>
      </w:r>
      <w:r w:rsidR="000F48E1">
        <w:t xml:space="preserve"> years. </w:t>
      </w:r>
      <w:r w:rsidR="008F5406">
        <w:t xml:space="preserve">  This figure</w:t>
      </w:r>
      <w:r w:rsidR="00C81CE1" w:rsidRPr="004E7070">
        <w:t xml:space="preserve"> does not include any ad-hoc tasks or </w:t>
      </w:r>
      <w:r w:rsidR="008F5406" w:rsidRPr="004E7070">
        <w:t>procurement</w:t>
      </w:r>
      <w:r w:rsidR="00C81CE1" w:rsidRPr="004E7070">
        <w:t xml:space="preserve"> of additional set</w:t>
      </w:r>
      <w:r w:rsidR="008F5406">
        <w:t>s</w:t>
      </w:r>
      <w:r w:rsidR="00CC140A">
        <w:t xml:space="preserve"> </w:t>
      </w:r>
      <w:r w:rsidR="00C81CE1" w:rsidRPr="004E7070">
        <w:t>th</w:t>
      </w:r>
      <w:r w:rsidR="008F5406">
        <w:t>at</w:t>
      </w:r>
      <w:r w:rsidR="00C81CE1" w:rsidRPr="004E7070">
        <w:t xml:space="preserve"> Authority may wish to procure during the life of the contract. This element is currently unfunded.   </w:t>
      </w:r>
    </w:p>
    <w:p w14:paraId="4BE10B51" w14:textId="77777777" w:rsidR="00891B59" w:rsidRPr="00891B59" w:rsidRDefault="00891B59" w:rsidP="00CE6129">
      <w:pPr>
        <w:pStyle w:val="DWParaNum1"/>
        <w:numPr>
          <w:ilvl w:val="0"/>
          <w:numId w:val="0"/>
        </w:numPr>
        <w:spacing w:after="60"/>
        <w:jc w:val="both"/>
        <w:rPr>
          <w:bCs/>
          <w:szCs w:val="22"/>
        </w:rPr>
      </w:pPr>
    </w:p>
    <w:p w14:paraId="6306DB83" w14:textId="080C8887" w:rsidR="00891B59" w:rsidRDefault="00891B59" w:rsidP="006B52BE">
      <w:pPr>
        <w:pStyle w:val="Heading3"/>
        <w:jc w:val="both"/>
      </w:pPr>
      <w:r>
        <w:t>Purpose</w:t>
      </w:r>
    </w:p>
    <w:p w14:paraId="6533CC45" w14:textId="77777777" w:rsidR="00980A4A" w:rsidRPr="00980A4A" w:rsidRDefault="00980A4A" w:rsidP="006B52BE">
      <w:pPr>
        <w:jc w:val="both"/>
      </w:pPr>
    </w:p>
    <w:p w14:paraId="14179714" w14:textId="41A58587" w:rsidR="00891B59" w:rsidRPr="003B6881" w:rsidRDefault="00891B59" w:rsidP="003B6881">
      <w:pPr>
        <w:pStyle w:val="DWParaNum1"/>
        <w:numPr>
          <w:ilvl w:val="0"/>
          <w:numId w:val="2"/>
        </w:numPr>
        <w:spacing w:after="60"/>
        <w:ind w:left="567" w:hanging="567"/>
        <w:jc w:val="both"/>
      </w:pPr>
      <w:r>
        <w:t xml:space="preserve">The purpose of the </w:t>
      </w:r>
      <w:r w:rsidR="001C7345">
        <w:t>D</w:t>
      </w:r>
      <w:r>
        <w:t xml:space="preserve">PQQ is to assess whether Potential Suppliers meet the minimum </w:t>
      </w:r>
      <w:r w:rsidR="001C7345">
        <w:t xml:space="preserve">required </w:t>
      </w:r>
      <w:r>
        <w:t xml:space="preserve">level of capability and capacity to deliver the requirement. </w:t>
      </w:r>
    </w:p>
    <w:p w14:paraId="21A7DCE6" w14:textId="77777777" w:rsidR="00891B59" w:rsidRPr="003B6881" w:rsidRDefault="00891B59" w:rsidP="003B6881">
      <w:pPr>
        <w:pStyle w:val="DWParaNum1"/>
        <w:numPr>
          <w:ilvl w:val="0"/>
          <w:numId w:val="0"/>
        </w:numPr>
        <w:spacing w:after="60"/>
        <w:ind w:left="567"/>
        <w:jc w:val="both"/>
      </w:pPr>
    </w:p>
    <w:p w14:paraId="25457ED1" w14:textId="62B5A86D" w:rsidR="00891B59" w:rsidRPr="003B6881" w:rsidRDefault="00891B59" w:rsidP="003B6881">
      <w:pPr>
        <w:pStyle w:val="DWParaNum1"/>
        <w:numPr>
          <w:ilvl w:val="0"/>
          <w:numId w:val="2"/>
        </w:numPr>
        <w:spacing w:after="60"/>
        <w:ind w:left="567" w:hanging="567"/>
        <w:jc w:val="both"/>
      </w:pPr>
      <w:r>
        <w:t xml:space="preserve">This guidance document has been prepared by the Authority for the purpose of providing Potential Suppliers with information to assist in completing the </w:t>
      </w:r>
      <w:r w:rsidR="001C7345">
        <w:t>D</w:t>
      </w:r>
      <w:r>
        <w:t>PQQ. It sets out:</w:t>
      </w:r>
    </w:p>
    <w:p w14:paraId="00284E03" w14:textId="77777777" w:rsidR="00891B59" w:rsidRPr="00891B59" w:rsidRDefault="00891B59" w:rsidP="006B52BE">
      <w:pPr>
        <w:pStyle w:val="DWParaNum1"/>
        <w:numPr>
          <w:ilvl w:val="0"/>
          <w:numId w:val="0"/>
        </w:numPr>
        <w:spacing w:after="60"/>
        <w:ind w:left="360"/>
        <w:jc w:val="both"/>
        <w:rPr>
          <w:bCs/>
          <w:sz w:val="18"/>
          <w:szCs w:val="16"/>
        </w:rPr>
      </w:pPr>
    </w:p>
    <w:p w14:paraId="14263E35" w14:textId="19C04D68" w:rsidR="00891B59" w:rsidRPr="005B1225" w:rsidRDefault="00891B59" w:rsidP="006B52BE">
      <w:pPr>
        <w:pStyle w:val="DWParaNum1"/>
        <w:numPr>
          <w:ilvl w:val="1"/>
          <w:numId w:val="2"/>
        </w:numPr>
        <w:spacing w:after="60"/>
        <w:jc w:val="both"/>
        <w:rPr>
          <w:bCs/>
          <w:sz w:val="18"/>
          <w:szCs w:val="16"/>
        </w:rPr>
      </w:pPr>
      <w:r>
        <w:rPr>
          <w:bCs/>
          <w:szCs w:val="22"/>
        </w:rPr>
        <w:t xml:space="preserve">The </w:t>
      </w:r>
      <w:r w:rsidR="001C7345">
        <w:rPr>
          <w:bCs/>
          <w:szCs w:val="22"/>
        </w:rPr>
        <w:t>D</w:t>
      </w:r>
      <w:r>
        <w:rPr>
          <w:bCs/>
          <w:szCs w:val="22"/>
        </w:rPr>
        <w:t>PQQ process and the key tendering activities.</w:t>
      </w:r>
    </w:p>
    <w:p w14:paraId="1A2D3A8B" w14:textId="7B6D7F47" w:rsidR="00891B59" w:rsidRPr="005B1225" w:rsidRDefault="00891B59" w:rsidP="006B52BE">
      <w:pPr>
        <w:pStyle w:val="DWParaNum1"/>
        <w:numPr>
          <w:ilvl w:val="1"/>
          <w:numId w:val="2"/>
        </w:numPr>
        <w:spacing w:after="60"/>
        <w:jc w:val="both"/>
        <w:rPr>
          <w:bCs/>
          <w:sz w:val="18"/>
          <w:szCs w:val="16"/>
        </w:rPr>
      </w:pPr>
      <w:r>
        <w:rPr>
          <w:bCs/>
          <w:szCs w:val="22"/>
        </w:rPr>
        <w:t xml:space="preserve">The instructions and conditions that govern the </w:t>
      </w:r>
      <w:r w:rsidR="001C7345">
        <w:rPr>
          <w:bCs/>
          <w:szCs w:val="22"/>
        </w:rPr>
        <w:t>D</w:t>
      </w:r>
      <w:r>
        <w:rPr>
          <w:bCs/>
          <w:szCs w:val="22"/>
        </w:rPr>
        <w:t>PQQ process.</w:t>
      </w:r>
    </w:p>
    <w:p w14:paraId="2EE64D55" w14:textId="43B222D6" w:rsidR="00891B59" w:rsidRPr="00891B59" w:rsidRDefault="00891B59" w:rsidP="006B52BE">
      <w:pPr>
        <w:pStyle w:val="DWParaNum1"/>
        <w:numPr>
          <w:ilvl w:val="1"/>
          <w:numId w:val="2"/>
        </w:numPr>
        <w:spacing w:after="60"/>
        <w:jc w:val="both"/>
        <w:rPr>
          <w:bCs/>
          <w:sz w:val="18"/>
          <w:szCs w:val="16"/>
        </w:rPr>
      </w:pPr>
      <w:r>
        <w:rPr>
          <w:bCs/>
          <w:szCs w:val="22"/>
        </w:rPr>
        <w:t xml:space="preserve">The information Potential Suppliers must include in their </w:t>
      </w:r>
      <w:r w:rsidR="001C7345">
        <w:rPr>
          <w:bCs/>
          <w:szCs w:val="22"/>
        </w:rPr>
        <w:t>D</w:t>
      </w:r>
      <w:r>
        <w:rPr>
          <w:bCs/>
          <w:szCs w:val="22"/>
        </w:rPr>
        <w:t>PQQ return and the required format.</w:t>
      </w:r>
    </w:p>
    <w:p w14:paraId="4FA2A377" w14:textId="77777777" w:rsidR="00891B59" w:rsidRDefault="00891B59" w:rsidP="006B52BE">
      <w:pPr>
        <w:pStyle w:val="DWParaNum1"/>
        <w:numPr>
          <w:ilvl w:val="0"/>
          <w:numId w:val="0"/>
        </w:numPr>
        <w:spacing w:after="60"/>
        <w:ind w:left="1080"/>
        <w:jc w:val="both"/>
        <w:rPr>
          <w:bCs/>
          <w:sz w:val="18"/>
          <w:szCs w:val="16"/>
        </w:rPr>
      </w:pPr>
    </w:p>
    <w:p w14:paraId="33499065" w14:textId="77777777" w:rsidR="00536A91" w:rsidRDefault="00536A91" w:rsidP="006B52BE">
      <w:pPr>
        <w:pStyle w:val="DWParaNum1"/>
        <w:numPr>
          <w:ilvl w:val="0"/>
          <w:numId w:val="0"/>
        </w:numPr>
        <w:spacing w:after="60"/>
        <w:ind w:left="1080"/>
        <w:jc w:val="both"/>
        <w:rPr>
          <w:bCs/>
          <w:sz w:val="18"/>
          <w:szCs w:val="16"/>
        </w:rPr>
      </w:pPr>
    </w:p>
    <w:p w14:paraId="0D06256A" w14:textId="5EB189CD" w:rsidR="00536A91" w:rsidRDefault="00536A91" w:rsidP="00536A91">
      <w:pPr>
        <w:pStyle w:val="Heading3"/>
        <w:jc w:val="both"/>
      </w:pPr>
      <w:r>
        <w:t>Considerations</w:t>
      </w:r>
    </w:p>
    <w:p w14:paraId="37080E0C" w14:textId="76DE4F57" w:rsidR="00536A91" w:rsidRDefault="00536A91" w:rsidP="004E7070">
      <w:pPr>
        <w:pStyle w:val="DWParaNum1"/>
        <w:numPr>
          <w:ilvl w:val="0"/>
          <w:numId w:val="0"/>
        </w:numPr>
        <w:spacing w:after="60"/>
        <w:ind w:left="567"/>
        <w:jc w:val="both"/>
      </w:pPr>
    </w:p>
    <w:p w14:paraId="71E9CE18" w14:textId="453D1D13" w:rsidR="00536A91" w:rsidRPr="00FB5C45" w:rsidRDefault="005D7B2A" w:rsidP="004E7070">
      <w:pPr>
        <w:pStyle w:val="DWParaNum1"/>
        <w:numPr>
          <w:ilvl w:val="0"/>
          <w:numId w:val="2"/>
        </w:numPr>
        <w:spacing w:after="60"/>
        <w:ind w:left="567" w:hanging="567"/>
        <w:jc w:val="both"/>
      </w:pPr>
      <w:r w:rsidRPr="00FB5C45">
        <w:t xml:space="preserve">Any supplier that expresses an interest and submits a DPPQ acknowledges </w:t>
      </w:r>
      <w:r w:rsidR="001F22CD" w:rsidRPr="00FB5C45">
        <w:t xml:space="preserve">that, </w:t>
      </w:r>
      <w:r w:rsidR="001F22CD">
        <w:t>costs</w:t>
      </w:r>
      <w:r w:rsidR="001F22CD" w:rsidRPr="00FB5C45">
        <w:t xml:space="preserve"> </w:t>
      </w:r>
      <w:r w:rsidR="00AA08F9">
        <w:t>incurred during</w:t>
      </w:r>
      <w:r w:rsidR="001F22CD">
        <w:t xml:space="preserve"> trails </w:t>
      </w:r>
      <w:r w:rsidR="00FB5C45" w:rsidRPr="00FB5C45">
        <w:t xml:space="preserve">that </w:t>
      </w:r>
      <w:r w:rsidR="001F22CD" w:rsidRPr="00FB5C45">
        <w:t>will not be</w:t>
      </w:r>
      <w:r w:rsidR="00FB5C45" w:rsidRPr="00FB5C45">
        <w:t xml:space="preserve"> re-imbursed by the Authority.  Para</w:t>
      </w:r>
      <w:r w:rsidR="001F22CD">
        <w:t xml:space="preserve"> 28 provides additional details.</w:t>
      </w:r>
      <w:r w:rsidR="00FB5C45" w:rsidRPr="00FB5C45">
        <w:t xml:space="preserve">  </w:t>
      </w:r>
      <w:r w:rsidRPr="00FB5C45">
        <w:t xml:space="preserve"> </w:t>
      </w:r>
    </w:p>
    <w:p w14:paraId="2635B45F" w14:textId="77777777" w:rsidR="00536A91" w:rsidRDefault="00536A91" w:rsidP="004E7070">
      <w:pPr>
        <w:pStyle w:val="DWParaNum1"/>
        <w:numPr>
          <w:ilvl w:val="0"/>
          <w:numId w:val="0"/>
        </w:numPr>
        <w:spacing w:after="60"/>
        <w:jc w:val="both"/>
        <w:rPr>
          <w:bCs/>
          <w:sz w:val="18"/>
          <w:szCs w:val="16"/>
        </w:rPr>
      </w:pPr>
    </w:p>
    <w:p w14:paraId="1872E7AF" w14:textId="77777777" w:rsidR="00536A91" w:rsidRPr="00891B59" w:rsidRDefault="00536A91" w:rsidP="006B52BE">
      <w:pPr>
        <w:pStyle w:val="DWParaNum1"/>
        <w:numPr>
          <w:ilvl w:val="0"/>
          <w:numId w:val="0"/>
        </w:numPr>
        <w:spacing w:after="60"/>
        <w:ind w:left="1080"/>
        <w:jc w:val="both"/>
        <w:rPr>
          <w:bCs/>
          <w:sz w:val="18"/>
          <w:szCs w:val="16"/>
        </w:rPr>
      </w:pPr>
    </w:p>
    <w:p w14:paraId="1564320A" w14:textId="3429E1F2" w:rsidR="00891B59" w:rsidRPr="00891B59" w:rsidRDefault="00891B59" w:rsidP="006B52BE">
      <w:pPr>
        <w:pStyle w:val="Heading2"/>
        <w:jc w:val="both"/>
      </w:pPr>
      <w:r>
        <w:t xml:space="preserve">Section B – Key </w:t>
      </w:r>
      <w:r w:rsidR="001C7345">
        <w:t>D</w:t>
      </w:r>
      <w:r>
        <w:t>PQQ Activities</w:t>
      </w:r>
    </w:p>
    <w:p w14:paraId="078F6F66" w14:textId="77777777" w:rsidR="00891B59" w:rsidRDefault="00891B59" w:rsidP="006B52BE">
      <w:pPr>
        <w:pStyle w:val="Heading3"/>
        <w:jc w:val="both"/>
      </w:pPr>
    </w:p>
    <w:p w14:paraId="0FC152CB" w14:textId="1B318E48" w:rsidR="00891B59" w:rsidRDefault="00891B59" w:rsidP="006B52BE">
      <w:pPr>
        <w:pStyle w:val="Heading3"/>
        <w:jc w:val="both"/>
      </w:pPr>
      <w:r>
        <w:t xml:space="preserve">Key </w:t>
      </w:r>
      <w:r w:rsidR="001C7345">
        <w:t xml:space="preserve">DPQQ Dates </w:t>
      </w:r>
    </w:p>
    <w:p w14:paraId="6B08AC11" w14:textId="77777777" w:rsidR="00891B59" w:rsidRPr="00891B59" w:rsidRDefault="00891B59" w:rsidP="006B52BE">
      <w:pPr>
        <w:jc w:val="both"/>
      </w:pPr>
    </w:p>
    <w:p w14:paraId="0691FDFB" w14:textId="7D376B6D" w:rsidR="00891B59" w:rsidRPr="004E7070" w:rsidRDefault="00891B59" w:rsidP="004E7070">
      <w:pPr>
        <w:pStyle w:val="DWParaNum1"/>
        <w:numPr>
          <w:ilvl w:val="0"/>
          <w:numId w:val="2"/>
        </w:numPr>
        <w:spacing w:after="60"/>
        <w:ind w:left="567" w:hanging="567"/>
        <w:jc w:val="both"/>
      </w:pPr>
      <w:r>
        <w:lastRenderedPageBreak/>
        <w:t>The key dates for this PQQ are as follows:</w:t>
      </w:r>
    </w:p>
    <w:p w14:paraId="00F16E82" w14:textId="77777777" w:rsidR="00891B59" w:rsidRPr="00C21259" w:rsidRDefault="00891B59" w:rsidP="006B52BE">
      <w:pPr>
        <w:pStyle w:val="DWParaNum1"/>
        <w:numPr>
          <w:ilvl w:val="0"/>
          <w:numId w:val="0"/>
        </w:numPr>
        <w:spacing w:after="60"/>
        <w:jc w:val="both"/>
        <w:rPr>
          <w:bCs/>
          <w:sz w:val="18"/>
          <w:szCs w:val="16"/>
        </w:rPr>
      </w:pPr>
    </w:p>
    <w:tbl>
      <w:tblPr>
        <w:tblW w:w="873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985"/>
        <w:gridCol w:w="4059"/>
      </w:tblGrid>
      <w:tr w:rsidR="00F956EB" w:rsidRPr="00A2406A" w14:paraId="6E1B1FDB" w14:textId="0E884057" w:rsidTr="37A5BD43">
        <w:trPr>
          <w:trHeight w:val="425"/>
        </w:trPr>
        <w:tc>
          <w:tcPr>
            <w:tcW w:w="2693" w:type="dxa"/>
            <w:shd w:val="clear" w:color="auto" w:fill="D9D9D9" w:themeFill="background1" w:themeFillShade="D9"/>
          </w:tcPr>
          <w:p w14:paraId="29C93D8F" w14:textId="77777777" w:rsidR="00F956EB" w:rsidRPr="00A2406A" w:rsidRDefault="00F956EB" w:rsidP="008F5406">
            <w:pPr>
              <w:pStyle w:val="DWParaNum1"/>
              <w:numPr>
                <w:ilvl w:val="0"/>
                <w:numId w:val="0"/>
              </w:numPr>
              <w:spacing w:after="60"/>
              <w:jc w:val="center"/>
              <w:rPr>
                <w:rFonts w:eastAsia="Calibri"/>
                <w:b/>
                <w:szCs w:val="22"/>
              </w:rPr>
            </w:pPr>
            <w:r w:rsidRPr="00A2406A">
              <w:rPr>
                <w:rFonts w:eastAsia="Calibri"/>
                <w:b/>
                <w:szCs w:val="22"/>
              </w:rPr>
              <w:t>Stage</w:t>
            </w:r>
          </w:p>
        </w:tc>
        <w:tc>
          <w:tcPr>
            <w:tcW w:w="1985" w:type="dxa"/>
            <w:shd w:val="clear" w:color="auto" w:fill="D9D9D9" w:themeFill="background1" w:themeFillShade="D9"/>
          </w:tcPr>
          <w:p w14:paraId="284B5358" w14:textId="77777777" w:rsidR="00F956EB" w:rsidRPr="00A2406A" w:rsidRDefault="00F956EB" w:rsidP="008F5406">
            <w:pPr>
              <w:pStyle w:val="DWParaNum1"/>
              <w:numPr>
                <w:ilvl w:val="0"/>
                <w:numId w:val="0"/>
              </w:numPr>
              <w:spacing w:after="60"/>
              <w:jc w:val="center"/>
              <w:rPr>
                <w:rFonts w:eastAsia="Calibri"/>
                <w:b/>
                <w:szCs w:val="22"/>
              </w:rPr>
            </w:pPr>
            <w:r w:rsidRPr="00A2406A">
              <w:rPr>
                <w:rFonts w:eastAsia="Calibri"/>
                <w:b/>
                <w:szCs w:val="22"/>
              </w:rPr>
              <w:t>Time</w:t>
            </w:r>
            <w:r>
              <w:rPr>
                <w:rFonts w:eastAsia="Calibri"/>
                <w:b/>
                <w:szCs w:val="22"/>
              </w:rPr>
              <w:t xml:space="preserve"> and Date</w:t>
            </w:r>
          </w:p>
        </w:tc>
        <w:tc>
          <w:tcPr>
            <w:tcW w:w="4059" w:type="dxa"/>
            <w:shd w:val="clear" w:color="auto" w:fill="D9D9D9" w:themeFill="background1" w:themeFillShade="D9"/>
          </w:tcPr>
          <w:p w14:paraId="1C190FE4" w14:textId="1562055F" w:rsidR="00F956EB" w:rsidRPr="00A2406A" w:rsidRDefault="00F956EB" w:rsidP="008F5406">
            <w:pPr>
              <w:pStyle w:val="DWParaNum1"/>
              <w:numPr>
                <w:ilvl w:val="0"/>
                <w:numId w:val="0"/>
              </w:numPr>
              <w:spacing w:after="60"/>
              <w:jc w:val="center"/>
              <w:rPr>
                <w:rFonts w:eastAsia="Calibri"/>
                <w:b/>
                <w:szCs w:val="22"/>
              </w:rPr>
            </w:pPr>
            <w:r>
              <w:rPr>
                <w:rFonts w:eastAsia="Calibri"/>
                <w:b/>
                <w:szCs w:val="22"/>
              </w:rPr>
              <w:t>Notes</w:t>
            </w:r>
          </w:p>
        </w:tc>
      </w:tr>
      <w:tr w:rsidR="00D07558" w:rsidRPr="00A2406A" w14:paraId="40C6BF99" w14:textId="77777777" w:rsidTr="37A5BD43">
        <w:trPr>
          <w:trHeight w:val="558"/>
        </w:trPr>
        <w:tc>
          <w:tcPr>
            <w:tcW w:w="2693" w:type="dxa"/>
            <w:shd w:val="clear" w:color="auto" w:fill="auto"/>
          </w:tcPr>
          <w:p w14:paraId="62EDB41B" w14:textId="2A92C613" w:rsidR="00D07558" w:rsidRDefault="00D07558" w:rsidP="00D07558">
            <w:pPr>
              <w:pStyle w:val="DWParaNum1"/>
              <w:numPr>
                <w:ilvl w:val="0"/>
                <w:numId w:val="0"/>
              </w:numPr>
              <w:spacing w:after="60"/>
              <w:jc w:val="center"/>
              <w:rPr>
                <w:rFonts w:eastAsia="Calibri"/>
                <w:bCs/>
                <w:szCs w:val="22"/>
              </w:rPr>
            </w:pPr>
            <w:r>
              <w:rPr>
                <w:rFonts w:eastAsia="Calibri"/>
                <w:bCs/>
                <w:szCs w:val="22"/>
              </w:rPr>
              <w:t>Original Date of Issue</w:t>
            </w:r>
          </w:p>
        </w:tc>
        <w:tc>
          <w:tcPr>
            <w:tcW w:w="1985" w:type="dxa"/>
            <w:shd w:val="clear" w:color="auto" w:fill="auto"/>
          </w:tcPr>
          <w:p w14:paraId="54235EA0" w14:textId="6BF889FB" w:rsidR="00D07558" w:rsidRPr="37A5BD43" w:rsidRDefault="00D07558" w:rsidP="00D07558">
            <w:pPr>
              <w:pStyle w:val="DWParaNum1"/>
              <w:numPr>
                <w:ilvl w:val="0"/>
                <w:numId w:val="0"/>
              </w:numPr>
              <w:spacing w:after="60"/>
              <w:jc w:val="center"/>
              <w:rPr>
                <w:rFonts w:eastAsia="Calibri"/>
              </w:rPr>
            </w:pPr>
            <w:r w:rsidRPr="37A5BD43">
              <w:rPr>
                <w:rFonts w:eastAsia="Calibri"/>
              </w:rPr>
              <w:t>Friday 4th October 2024</w:t>
            </w:r>
          </w:p>
        </w:tc>
        <w:tc>
          <w:tcPr>
            <w:tcW w:w="4059" w:type="dxa"/>
          </w:tcPr>
          <w:p w14:paraId="43563D01" w14:textId="77777777" w:rsidR="00D07558" w:rsidRDefault="00D07558" w:rsidP="00D07558">
            <w:pPr>
              <w:pStyle w:val="DWParaNum1"/>
              <w:numPr>
                <w:ilvl w:val="0"/>
                <w:numId w:val="0"/>
              </w:numPr>
              <w:spacing w:after="60"/>
              <w:jc w:val="center"/>
              <w:rPr>
                <w:bCs/>
                <w:szCs w:val="22"/>
              </w:rPr>
            </w:pPr>
            <w:r>
              <w:rPr>
                <w:bCs/>
                <w:szCs w:val="22"/>
              </w:rPr>
              <w:t>This states the time and date the DPQQ was published on the Defence Sourcing Portal</w:t>
            </w:r>
          </w:p>
          <w:p w14:paraId="6BF212C3" w14:textId="38D247DD" w:rsidR="00D07558" w:rsidRDefault="00D07558" w:rsidP="00D07558">
            <w:pPr>
              <w:pStyle w:val="DWParaNum1"/>
              <w:numPr>
                <w:ilvl w:val="0"/>
                <w:numId w:val="0"/>
              </w:numPr>
              <w:spacing w:after="60"/>
              <w:jc w:val="center"/>
              <w:rPr>
                <w:bCs/>
                <w:szCs w:val="22"/>
              </w:rPr>
            </w:pPr>
          </w:p>
        </w:tc>
      </w:tr>
      <w:tr w:rsidR="00D07558" w:rsidRPr="00A2406A" w14:paraId="17C33347" w14:textId="77777777" w:rsidTr="37A5BD43">
        <w:trPr>
          <w:trHeight w:val="558"/>
        </w:trPr>
        <w:tc>
          <w:tcPr>
            <w:tcW w:w="2693" w:type="dxa"/>
            <w:shd w:val="clear" w:color="auto" w:fill="auto"/>
          </w:tcPr>
          <w:p w14:paraId="7234C304" w14:textId="04625B51" w:rsidR="00D07558" w:rsidRPr="00556E18" w:rsidRDefault="006E4E9C" w:rsidP="00D07558">
            <w:pPr>
              <w:pStyle w:val="DWParaNum1"/>
              <w:numPr>
                <w:ilvl w:val="0"/>
                <w:numId w:val="0"/>
              </w:numPr>
              <w:spacing w:after="60"/>
              <w:jc w:val="center"/>
              <w:rPr>
                <w:rFonts w:eastAsia="Calibri"/>
                <w:bCs/>
                <w:szCs w:val="22"/>
              </w:rPr>
            </w:pPr>
            <w:r>
              <w:rPr>
                <w:rFonts w:eastAsia="Calibri"/>
                <w:bCs/>
                <w:szCs w:val="22"/>
              </w:rPr>
              <w:t>R</w:t>
            </w:r>
            <w:r w:rsidR="00D07558">
              <w:rPr>
                <w:rFonts w:eastAsia="Calibri"/>
                <w:bCs/>
                <w:szCs w:val="22"/>
              </w:rPr>
              <w:t>evised Contract Notice with Minor Amendments</w:t>
            </w:r>
          </w:p>
        </w:tc>
        <w:tc>
          <w:tcPr>
            <w:tcW w:w="1985" w:type="dxa"/>
            <w:shd w:val="clear" w:color="auto" w:fill="auto"/>
          </w:tcPr>
          <w:p w14:paraId="6D2A58FA" w14:textId="026B5223" w:rsidR="00D07558" w:rsidRPr="00556E18" w:rsidRDefault="00D07558" w:rsidP="00D07558">
            <w:pPr>
              <w:pStyle w:val="DWParaNum1"/>
              <w:numPr>
                <w:ilvl w:val="0"/>
                <w:numId w:val="0"/>
              </w:numPr>
              <w:spacing w:after="60"/>
              <w:jc w:val="center"/>
              <w:rPr>
                <w:rFonts w:eastAsia="Calibri"/>
              </w:rPr>
            </w:pPr>
            <w:r>
              <w:rPr>
                <w:rFonts w:eastAsia="Calibri"/>
              </w:rPr>
              <w:t>Weds 16th</w:t>
            </w:r>
            <w:r w:rsidRPr="37A5BD43">
              <w:rPr>
                <w:rFonts w:eastAsia="Calibri"/>
              </w:rPr>
              <w:t xml:space="preserve"> October 2024</w:t>
            </w:r>
          </w:p>
        </w:tc>
        <w:tc>
          <w:tcPr>
            <w:tcW w:w="4059" w:type="dxa"/>
          </w:tcPr>
          <w:p w14:paraId="0CA457A6" w14:textId="64775D18" w:rsidR="00D07558" w:rsidRDefault="00D07558" w:rsidP="00D07558">
            <w:pPr>
              <w:pStyle w:val="DWParaNum1"/>
              <w:numPr>
                <w:ilvl w:val="0"/>
                <w:numId w:val="0"/>
              </w:numPr>
              <w:spacing w:after="60"/>
              <w:jc w:val="center"/>
              <w:rPr>
                <w:bCs/>
                <w:szCs w:val="22"/>
              </w:rPr>
            </w:pPr>
            <w:r>
              <w:rPr>
                <w:bCs/>
                <w:szCs w:val="22"/>
              </w:rPr>
              <w:t>This states the time and date the Revised Contract Notice was published on the Defence Sourcing Portal</w:t>
            </w:r>
          </w:p>
        </w:tc>
      </w:tr>
      <w:tr w:rsidR="00D07558" w:rsidRPr="00A2406A" w14:paraId="3C318490" w14:textId="388437E8" w:rsidTr="37A5BD43">
        <w:trPr>
          <w:trHeight w:val="558"/>
        </w:trPr>
        <w:tc>
          <w:tcPr>
            <w:tcW w:w="2693" w:type="dxa"/>
            <w:shd w:val="clear" w:color="auto" w:fill="auto"/>
          </w:tcPr>
          <w:p w14:paraId="21A209AC" w14:textId="0E06DAEC" w:rsidR="00D07558" w:rsidRPr="008F5406" w:rsidRDefault="00D07558" w:rsidP="00D07558">
            <w:pPr>
              <w:pStyle w:val="DWParaNum1"/>
              <w:numPr>
                <w:ilvl w:val="0"/>
                <w:numId w:val="0"/>
              </w:numPr>
              <w:spacing w:after="60"/>
              <w:jc w:val="center"/>
              <w:rPr>
                <w:rFonts w:eastAsia="Calibri"/>
                <w:bCs/>
                <w:szCs w:val="22"/>
                <w:vertAlign w:val="superscript"/>
              </w:rPr>
            </w:pPr>
            <w:r>
              <w:rPr>
                <w:rFonts w:eastAsia="Calibri"/>
                <w:bCs/>
                <w:szCs w:val="22"/>
              </w:rPr>
              <w:t xml:space="preserve">Revised </w:t>
            </w:r>
            <w:r w:rsidRPr="008F5406">
              <w:rPr>
                <w:rFonts w:eastAsia="Calibri"/>
                <w:bCs/>
                <w:szCs w:val="22"/>
              </w:rPr>
              <w:t xml:space="preserve">Date for </w:t>
            </w:r>
            <w:r>
              <w:rPr>
                <w:rFonts w:eastAsia="Calibri"/>
                <w:bCs/>
                <w:szCs w:val="22"/>
              </w:rPr>
              <w:t xml:space="preserve">Final </w:t>
            </w:r>
            <w:r w:rsidRPr="008F5406">
              <w:rPr>
                <w:rFonts w:eastAsia="Calibri"/>
                <w:bCs/>
                <w:szCs w:val="22"/>
              </w:rPr>
              <w:t>Clarification Questions</w:t>
            </w:r>
            <w:r w:rsidRPr="008F5406">
              <w:rPr>
                <w:rFonts w:eastAsia="Calibri"/>
                <w:bCs/>
                <w:szCs w:val="22"/>
                <w:vertAlign w:val="superscript"/>
              </w:rPr>
              <w:t>1</w:t>
            </w:r>
          </w:p>
        </w:tc>
        <w:tc>
          <w:tcPr>
            <w:tcW w:w="1985" w:type="dxa"/>
            <w:shd w:val="clear" w:color="auto" w:fill="auto"/>
          </w:tcPr>
          <w:p w14:paraId="6059E1BA" w14:textId="7EF3BB81" w:rsidR="00D07558" w:rsidRPr="008F5406" w:rsidRDefault="00D07558" w:rsidP="00D07558">
            <w:pPr>
              <w:pStyle w:val="DWParaNum1"/>
              <w:numPr>
                <w:ilvl w:val="0"/>
                <w:numId w:val="0"/>
              </w:numPr>
              <w:spacing w:after="60"/>
              <w:jc w:val="center"/>
              <w:rPr>
                <w:rFonts w:eastAsia="Calibri"/>
              </w:rPr>
            </w:pPr>
            <w:r w:rsidRPr="00266872">
              <w:rPr>
                <w:rFonts w:eastAsia="Calibri"/>
              </w:rPr>
              <w:t>Friday 1</w:t>
            </w:r>
            <w:r w:rsidR="00266872" w:rsidRPr="00266872">
              <w:rPr>
                <w:rFonts w:eastAsia="Calibri"/>
                <w:vertAlign w:val="superscript"/>
              </w:rPr>
              <w:t>st</w:t>
            </w:r>
            <w:r w:rsidR="00266872" w:rsidRPr="00266872">
              <w:rPr>
                <w:rFonts w:eastAsia="Calibri"/>
              </w:rPr>
              <w:t xml:space="preserve"> November </w:t>
            </w:r>
            <w:r w:rsidRPr="00266872">
              <w:rPr>
                <w:rFonts w:eastAsia="Calibri"/>
              </w:rPr>
              <w:t>October</w:t>
            </w:r>
          </w:p>
        </w:tc>
        <w:tc>
          <w:tcPr>
            <w:tcW w:w="4059" w:type="dxa"/>
          </w:tcPr>
          <w:p w14:paraId="2A902AD0" w14:textId="09F68F3F" w:rsidR="00D07558" w:rsidRDefault="00D07558" w:rsidP="00D07558">
            <w:pPr>
              <w:pStyle w:val="DWParaNum1"/>
              <w:numPr>
                <w:ilvl w:val="0"/>
                <w:numId w:val="0"/>
              </w:numPr>
              <w:spacing w:after="60"/>
              <w:jc w:val="center"/>
              <w:rPr>
                <w:bCs/>
                <w:szCs w:val="22"/>
              </w:rPr>
            </w:pPr>
            <w:r>
              <w:rPr>
                <w:bCs/>
                <w:szCs w:val="22"/>
              </w:rPr>
              <w:t>The Authority reserves the right not to respond to clarification questions submitted after the time and date stated here.</w:t>
            </w:r>
          </w:p>
          <w:p w14:paraId="43618976" w14:textId="77777777" w:rsidR="00D07558" w:rsidRPr="00556E18" w:rsidRDefault="00D07558" w:rsidP="00D07558">
            <w:pPr>
              <w:pStyle w:val="DWParaNum1"/>
              <w:numPr>
                <w:ilvl w:val="0"/>
                <w:numId w:val="0"/>
              </w:numPr>
              <w:spacing w:after="60"/>
              <w:jc w:val="center"/>
              <w:rPr>
                <w:rFonts w:eastAsia="Calibri"/>
                <w:bCs/>
                <w:szCs w:val="22"/>
              </w:rPr>
            </w:pPr>
          </w:p>
        </w:tc>
      </w:tr>
      <w:tr w:rsidR="00D07558" w:rsidRPr="00A2406A" w14:paraId="4BE2AB71" w14:textId="5DF4F6D3" w:rsidTr="37A5BD43">
        <w:tc>
          <w:tcPr>
            <w:tcW w:w="2693" w:type="dxa"/>
            <w:shd w:val="clear" w:color="auto" w:fill="auto"/>
          </w:tcPr>
          <w:p w14:paraId="2FDBFF8A" w14:textId="70FFAC68" w:rsidR="00D07558" w:rsidRPr="008F5406" w:rsidRDefault="00D07558" w:rsidP="00D07558">
            <w:pPr>
              <w:pStyle w:val="DWParaNum1"/>
              <w:numPr>
                <w:ilvl w:val="0"/>
                <w:numId w:val="0"/>
              </w:numPr>
              <w:spacing w:after="60"/>
              <w:jc w:val="center"/>
              <w:rPr>
                <w:rFonts w:eastAsia="Calibri"/>
                <w:bCs/>
                <w:szCs w:val="22"/>
                <w:vertAlign w:val="superscript"/>
              </w:rPr>
            </w:pPr>
            <w:r>
              <w:rPr>
                <w:rFonts w:eastAsia="Calibri"/>
                <w:bCs/>
                <w:szCs w:val="22"/>
              </w:rPr>
              <w:t xml:space="preserve">Revised </w:t>
            </w:r>
            <w:r w:rsidRPr="008F5406">
              <w:rPr>
                <w:rFonts w:eastAsia="Calibri"/>
                <w:bCs/>
                <w:szCs w:val="22"/>
              </w:rPr>
              <w:t>DPQQ Return Deadline</w:t>
            </w:r>
          </w:p>
        </w:tc>
        <w:tc>
          <w:tcPr>
            <w:tcW w:w="1985" w:type="dxa"/>
            <w:shd w:val="clear" w:color="auto" w:fill="auto"/>
          </w:tcPr>
          <w:p w14:paraId="3E5F9413" w14:textId="31A86A79" w:rsidR="00D07558" w:rsidRDefault="00C124FB" w:rsidP="00D07558">
            <w:pPr>
              <w:pStyle w:val="DWParaNum1"/>
              <w:numPr>
                <w:ilvl w:val="0"/>
                <w:numId w:val="0"/>
              </w:numPr>
              <w:spacing w:after="60"/>
              <w:jc w:val="center"/>
              <w:rPr>
                <w:rFonts w:eastAsia="Calibri"/>
              </w:rPr>
            </w:pPr>
            <w:r>
              <w:rPr>
                <w:rFonts w:eastAsia="Calibri"/>
              </w:rPr>
              <w:t xml:space="preserve">Monday </w:t>
            </w:r>
            <w:r w:rsidR="00BE73A5">
              <w:rPr>
                <w:rFonts w:eastAsia="Calibri"/>
              </w:rPr>
              <w:t>1</w:t>
            </w:r>
            <w:r>
              <w:rPr>
                <w:rFonts w:eastAsia="Calibri"/>
              </w:rPr>
              <w:t>8</w:t>
            </w:r>
            <w:r w:rsidR="00D07558">
              <w:rPr>
                <w:rFonts w:eastAsia="Calibri"/>
              </w:rPr>
              <w:t>th</w:t>
            </w:r>
          </w:p>
          <w:p w14:paraId="25E71F82" w14:textId="6F4B7F4D" w:rsidR="00D07558" w:rsidRPr="008F5406" w:rsidRDefault="00D07558" w:rsidP="00D07558">
            <w:pPr>
              <w:pStyle w:val="DWParaNum1"/>
              <w:numPr>
                <w:ilvl w:val="0"/>
                <w:numId w:val="0"/>
              </w:numPr>
              <w:spacing w:after="60"/>
              <w:jc w:val="center"/>
              <w:rPr>
                <w:rFonts w:eastAsia="Calibri"/>
              </w:rPr>
            </w:pPr>
            <w:r w:rsidRPr="008F5406">
              <w:rPr>
                <w:rFonts w:eastAsia="Calibri"/>
              </w:rPr>
              <w:t>November 2024</w:t>
            </w:r>
          </w:p>
        </w:tc>
        <w:tc>
          <w:tcPr>
            <w:tcW w:w="4059" w:type="dxa"/>
          </w:tcPr>
          <w:p w14:paraId="491ED2D7" w14:textId="6B39786B" w:rsidR="00D07558" w:rsidRDefault="00D07558" w:rsidP="00D07558">
            <w:pPr>
              <w:pStyle w:val="DWParaNum1"/>
              <w:numPr>
                <w:ilvl w:val="0"/>
                <w:numId w:val="0"/>
              </w:numPr>
              <w:spacing w:after="60"/>
              <w:jc w:val="center"/>
              <w:rPr>
                <w:bCs/>
                <w:szCs w:val="22"/>
              </w:rPr>
            </w:pPr>
            <w:r>
              <w:rPr>
                <w:bCs/>
                <w:szCs w:val="22"/>
              </w:rPr>
              <w:t>The Authority may, at its sole discretion, extend the deadline for receipt of DPQQ submissions and in such circumstances the Authority will notify all Potential Suppliers of any change.</w:t>
            </w:r>
          </w:p>
          <w:p w14:paraId="19ADF5E4" w14:textId="7F866180" w:rsidR="00D07558" w:rsidRPr="00556E18" w:rsidRDefault="00D07558" w:rsidP="00D07558">
            <w:pPr>
              <w:pStyle w:val="DWParaNum1"/>
              <w:numPr>
                <w:ilvl w:val="0"/>
                <w:numId w:val="0"/>
              </w:numPr>
              <w:spacing w:after="60"/>
              <w:jc w:val="center"/>
            </w:pPr>
            <w:r>
              <w:t>.</w:t>
            </w:r>
          </w:p>
        </w:tc>
      </w:tr>
      <w:tr w:rsidR="00D07558" w:rsidRPr="00A2406A" w14:paraId="58BA8BF4" w14:textId="3DE62105" w:rsidTr="37A5BD43">
        <w:tc>
          <w:tcPr>
            <w:tcW w:w="2693" w:type="dxa"/>
            <w:shd w:val="clear" w:color="auto" w:fill="auto"/>
          </w:tcPr>
          <w:p w14:paraId="51D7DB87" w14:textId="43A02876" w:rsidR="00D07558" w:rsidRPr="00556E18" w:rsidRDefault="00D07558" w:rsidP="00D07558">
            <w:pPr>
              <w:pStyle w:val="DWParaNum1"/>
              <w:numPr>
                <w:ilvl w:val="0"/>
                <w:numId w:val="0"/>
              </w:numPr>
              <w:spacing w:after="60"/>
              <w:jc w:val="center"/>
              <w:rPr>
                <w:rFonts w:eastAsia="Calibri"/>
                <w:bCs/>
                <w:szCs w:val="22"/>
              </w:rPr>
            </w:pPr>
            <w:r>
              <w:rPr>
                <w:rFonts w:eastAsia="Calibri"/>
                <w:bCs/>
                <w:szCs w:val="22"/>
              </w:rPr>
              <w:t>D</w:t>
            </w:r>
            <w:r w:rsidRPr="00556E18">
              <w:rPr>
                <w:rFonts w:eastAsia="Calibri"/>
                <w:bCs/>
                <w:szCs w:val="22"/>
              </w:rPr>
              <w:t>PQQ Evaluation</w:t>
            </w:r>
          </w:p>
        </w:tc>
        <w:tc>
          <w:tcPr>
            <w:tcW w:w="1985" w:type="dxa"/>
            <w:shd w:val="clear" w:color="auto" w:fill="auto"/>
          </w:tcPr>
          <w:p w14:paraId="570F5562" w14:textId="724A21D0" w:rsidR="00266872" w:rsidRDefault="00266872" w:rsidP="00266872">
            <w:pPr>
              <w:pStyle w:val="DWParaNum1"/>
              <w:numPr>
                <w:ilvl w:val="0"/>
                <w:numId w:val="0"/>
              </w:numPr>
              <w:spacing w:after="60"/>
              <w:jc w:val="center"/>
              <w:rPr>
                <w:rFonts w:eastAsia="Calibri"/>
              </w:rPr>
            </w:pPr>
            <w:r>
              <w:rPr>
                <w:rFonts w:eastAsia="Calibri"/>
              </w:rPr>
              <w:t xml:space="preserve">WC </w:t>
            </w:r>
            <w:r w:rsidR="00644F73">
              <w:rPr>
                <w:rFonts w:eastAsia="Calibri"/>
              </w:rPr>
              <w:t>18</w:t>
            </w:r>
            <w:r w:rsidR="00644F73" w:rsidRPr="00644F73">
              <w:rPr>
                <w:rFonts w:eastAsia="Calibri"/>
                <w:vertAlign w:val="superscript"/>
              </w:rPr>
              <w:t>th</w:t>
            </w:r>
            <w:r w:rsidR="00644F73">
              <w:rPr>
                <w:rFonts w:eastAsia="Calibri"/>
              </w:rPr>
              <w:t xml:space="preserve"> November</w:t>
            </w:r>
          </w:p>
          <w:p w14:paraId="610D9CD6" w14:textId="024B6B7E" w:rsidR="00D07558" w:rsidRPr="00556E18" w:rsidRDefault="00266872" w:rsidP="00266872">
            <w:pPr>
              <w:pStyle w:val="DWParaNum1"/>
              <w:numPr>
                <w:ilvl w:val="0"/>
                <w:numId w:val="0"/>
              </w:numPr>
              <w:spacing w:after="60"/>
              <w:jc w:val="center"/>
              <w:rPr>
                <w:rFonts w:eastAsia="Calibri"/>
              </w:rPr>
            </w:pPr>
            <w:r w:rsidRPr="008F5406">
              <w:rPr>
                <w:rFonts w:eastAsia="Calibri"/>
              </w:rPr>
              <w:t>November 2024</w:t>
            </w:r>
          </w:p>
        </w:tc>
        <w:tc>
          <w:tcPr>
            <w:tcW w:w="4059" w:type="dxa"/>
          </w:tcPr>
          <w:p w14:paraId="408D9D2D" w14:textId="4E9F994B" w:rsidR="00D07558" w:rsidRPr="00556E18" w:rsidRDefault="00D07558" w:rsidP="00D07558">
            <w:pPr>
              <w:pStyle w:val="DWParaNum1"/>
              <w:numPr>
                <w:ilvl w:val="0"/>
                <w:numId w:val="0"/>
              </w:numPr>
              <w:spacing w:after="60"/>
              <w:jc w:val="center"/>
              <w:rPr>
                <w:rFonts w:eastAsia="Calibri"/>
                <w:bCs/>
                <w:szCs w:val="22"/>
              </w:rPr>
            </w:pPr>
            <w:r>
              <w:rPr>
                <w:bCs/>
                <w:szCs w:val="22"/>
              </w:rPr>
              <w:t xml:space="preserve">DPQQ returns </w:t>
            </w:r>
            <w:r w:rsidRPr="00394605">
              <w:rPr>
                <w:bCs/>
                <w:szCs w:val="22"/>
              </w:rPr>
              <w:t xml:space="preserve">submitted </w:t>
            </w:r>
            <w:r>
              <w:rPr>
                <w:bCs/>
                <w:szCs w:val="22"/>
              </w:rPr>
              <w:t>after the time and date stated in Table 1</w:t>
            </w:r>
            <w:r w:rsidRPr="00394605">
              <w:rPr>
                <w:bCs/>
                <w:szCs w:val="22"/>
              </w:rPr>
              <w:t xml:space="preserve"> will only be accepted, at the Authority’s sole discretion, in exceptional circumstances</w:t>
            </w:r>
          </w:p>
        </w:tc>
      </w:tr>
    </w:tbl>
    <w:p w14:paraId="04632C76" w14:textId="77777777" w:rsidR="00122BD2" w:rsidRDefault="00122BD2" w:rsidP="006B52BE">
      <w:pPr>
        <w:pStyle w:val="DWParaNum1"/>
        <w:numPr>
          <w:ilvl w:val="0"/>
          <w:numId w:val="0"/>
        </w:numPr>
        <w:spacing w:after="60"/>
        <w:ind w:left="360"/>
        <w:jc w:val="both"/>
        <w:rPr>
          <w:rFonts w:cs="Arial"/>
          <w:b/>
          <w:i/>
          <w:sz w:val="18"/>
          <w:szCs w:val="18"/>
        </w:rPr>
      </w:pPr>
    </w:p>
    <w:p w14:paraId="34DCDF3B" w14:textId="77777777" w:rsidR="00891B59" w:rsidRDefault="00891B59" w:rsidP="006B52BE">
      <w:pPr>
        <w:pStyle w:val="DWParaNum1"/>
        <w:numPr>
          <w:ilvl w:val="0"/>
          <w:numId w:val="0"/>
        </w:numPr>
        <w:spacing w:after="60"/>
        <w:jc w:val="both"/>
        <w:rPr>
          <w:bCs/>
          <w:szCs w:val="22"/>
        </w:rPr>
      </w:pPr>
    </w:p>
    <w:p w14:paraId="186CAA29" w14:textId="26E4D5EC" w:rsidR="00891B59" w:rsidRDefault="00891B59" w:rsidP="006B52BE">
      <w:pPr>
        <w:pStyle w:val="Heading2"/>
        <w:jc w:val="both"/>
      </w:pPr>
      <w:r>
        <w:t xml:space="preserve">Section C – Instructions of Preparing </w:t>
      </w:r>
      <w:r w:rsidR="001C7345">
        <w:t>D</w:t>
      </w:r>
      <w:r>
        <w:t>PQQ Return</w:t>
      </w:r>
    </w:p>
    <w:p w14:paraId="22F3E77A" w14:textId="77777777" w:rsidR="0050431E" w:rsidRPr="0050431E" w:rsidRDefault="0050431E" w:rsidP="006B52BE">
      <w:pPr>
        <w:pStyle w:val="Heading3"/>
        <w:jc w:val="both"/>
      </w:pPr>
    </w:p>
    <w:p w14:paraId="1BC8A490" w14:textId="77777777" w:rsidR="00891B59" w:rsidRPr="0050431E" w:rsidRDefault="00891B59" w:rsidP="006B52BE">
      <w:pPr>
        <w:pStyle w:val="Heading3"/>
        <w:jc w:val="both"/>
      </w:pPr>
      <w:r w:rsidRPr="0050431E">
        <w:t>Authority Point of Contact</w:t>
      </w:r>
    </w:p>
    <w:p w14:paraId="67376E12" w14:textId="77777777" w:rsidR="0050431E" w:rsidRPr="0050431E" w:rsidRDefault="0050431E" w:rsidP="006B52BE">
      <w:pPr>
        <w:jc w:val="both"/>
      </w:pPr>
    </w:p>
    <w:p w14:paraId="7B5DEE98" w14:textId="19BB8ED4" w:rsidR="00891B59" w:rsidRPr="004E7070" w:rsidRDefault="00891B59" w:rsidP="004E7070">
      <w:pPr>
        <w:pStyle w:val="DWParaNum1"/>
        <w:numPr>
          <w:ilvl w:val="0"/>
          <w:numId w:val="2"/>
        </w:numPr>
        <w:spacing w:after="60"/>
        <w:ind w:left="567" w:hanging="567"/>
        <w:jc w:val="both"/>
      </w:pPr>
      <w:r>
        <w:t xml:space="preserve">Please contact the Commercial Officer detailed below for any queries regarding the </w:t>
      </w:r>
      <w:r w:rsidR="001C7345">
        <w:t>D</w:t>
      </w:r>
      <w:r>
        <w:t>PQQ or the Procurement Process</w:t>
      </w:r>
      <w:r w:rsidR="001C7345">
        <w:t>.</w:t>
      </w:r>
    </w:p>
    <w:p w14:paraId="59501DBD" w14:textId="77777777" w:rsidR="00CE07CF" w:rsidRDefault="00CE07CF" w:rsidP="00CE07CF">
      <w:pPr>
        <w:pStyle w:val="DWParaNum1"/>
        <w:numPr>
          <w:ilvl w:val="0"/>
          <w:numId w:val="0"/>
        </w:numPr>
        <w:spacing w:after="60"/>
        <w:ind w:left="360"/>
        <w:jc w:val="both"/>
      </w:pPr>
    </w:p>
    <w:p w14:paraId="7F233333" w14:textId="550F7702" w:rsidR="00CE07CF" w:rsidRDefault="00CE07CF" w:rsidP="00CE07CF">
      <w:pPr>
        <w:pStyle w:val="DWParaNum1"/>
        <w:numPr>
          <w:ilvl w:val="0"/>
          <w:numId w:val="0"/>
        </w:numPr>
        <w:spacing w:after="60"/>
        <w:ind w:left="360"/>
        <w:jc w:val="both"/>
      </w:pPr>
      <w:r>
        <w:t xml:space="preserve"> Mrs Julia Small -  </w:t>
      </w:r>
      <w:hyperlink r:id="rId11" w:history="1">
        <w:r w:rsidRPr="008D0B02">
          <w:rPr>
            <w:rStyle w:val="Hyperlink"/>
          </w:rPr>
          <w:t>Julia.small375@mod.gov.uk</w:t>
        </w:r>
      </w:hyperlink>
    </w:p>
    <w:p w14:paraId="1D4D1E3E" w14:textId="77777777" w:rsidR="00CE07CF" w:rsidRPr="0076408C" w:rsidRDefault="00CE07CF" w:rsidP="00CE07CF">
      <w:pPr>
        <w:pStyle w:val="DWParaNum1"/>
        <w:numPr>
          <w:ilvl w:val="0"/>
          <w:numId w:val="0"/>
        </w:numPr>
        <w:spacing w:after="60"/>
        <w:ind w:left="360"/>
        <w:jc w:val="both"/>
        <w:rPr>
          <w:bCs/>
          <w:sz w:val="18"/>
          <w:szCs w:val="16"/>
        </w:rPr>
      </w:pPr>
    </w:p>
    <w:p w14:paraId="1AB4B295" w14:textId="05C9264E" w:rsidR="0076408C" w:rsidRPr="00482666" w:rsidRDefault="0076408C" w:rsidP="006B52BE">
      <w:pPr>
        <w:pStyle w:val="DWParaNum1"/>
        <w:numPr>
          <w:ilvl w:val="0"/>
          <w:numId w:val="0"/>
        </w:numPr>
        <w:spacing w:after="60"/>
        <w:jc w:val="both"/>
        <w:rPr>
          <w:bCs/>
          <w:sz w:val="18"/>
          <w:szCs w:val="16"/>
        </w:rPr>
      </w:pPr>
    </w:p>
    <w:p w14:paraId="7A97226C" w14:textId="7F2F0EA0" w:rsidR="00DE7FBF" w:rsidRDefault="00DE7FBF" w:rsidP="006B52BE">
      <w:pPr>
        <w:pStyle w:val="Heading3"/>
        <w:jc w:val="both"/>
      </w:pPr>
      <w:r w:rsidRPr="00394605">
        <w:t xml:space="preserve">Construction of </w:t>
      </w:r>
      <w:r w:rsidR="001C7345">
        <w:t>D</w:t>
      </w:r>
      <w:r w:rsidRPr="00394605">
        <w:t>PQQ Return</w:t>
      </w:r>
      <w:r>
        <w:t xml:space="preserve"> </w:t>
      </w:r>
    </w:p>
    <w:p w14:paraId="1259984B" w14:textId="77777777" w:rsidR="00DE7FBF" w:rsidRPr="00DE7FBF" w:rsidRDefault="00DE7FBF" w:rsidP="006B52BE">
      <w:pPr>
        <w:jc w:val="both"/>
      </w:pPr>
    </w:p>
    <w:p w14:paraId="13107E0D" w14:textId="55193CC2" w:rsidR="00DE7FBF" w:rsidRPr="004E7070" w:rsidRDefault="00DE7FBF" w:rsidP="004E7070">
      <w:pPr>
        <w:pStyle w:val="DWParaNum1"/>
        <w:numPr>
          <w:ilvl w:val="0"/>
          <w:numId w:val="2"/>
        </w:numPr>
        <w:spacing w:after="60"/>
        <w:ind w:left="567" w:hanging="567"/>
        <w:jc w:val="both"/>
      </w:pPr>
      <w:r w:rsidRPr="00FB5C45">
        <w:t xml:space="preserve">Potential Suppliers </w:t>
      </w:r>
      <w:r w:rsidR="001C7345" w:rsidRPr="00FB5C45">
        <w:t>D</w:t>
      </w:r>
      <w:r w:rsidRPr="00FB5C45">
        <w:t xml:space="preserve">PQQ Returns must be written in English and any </w:t>
      </w:r>
      <w:r w:rsidR="00EB3020" w:rsidRPr="00FB5C45">
        <w:t xml:space="preserve">pricing information </w:t>
      </w:r>
      <w:r w:rsidRPr="00FB5C45">
        <w:t xml:space="preserve">must be in GBP. </w:t>
      </w:r>
      <w:r w:rsidR="00E511E0" w:rsidRPr="00FB5C45">
        <w:t xml:space="preserve"> </w:t>
      </w:r>
      <w:r w:rsidRPr="00FB5C45">
        <w:t xml:space="preserve">Failure to comply with this requirement will result in the application to participate being disqualified. </w:t>
      </w:r>
    </w:p>
    <w:p w14:paraId="7AC07317" w14:textId="77777777" w:rsidR="00DE7FBF" w:rsidRPr="00FB5C45" w:rsidRDefault="00DE7FBF" w:rsidP="004E7070">
      <w:pPr>
        <w:pStyle w:val="DWParaNum1"/>
        <w:numPr>
          <w:ilvl w:val="0"/>
          <w:numId w:val="0"/>
        </w:numPr>
        <w:spacing w:after="60"/>
        <w:ind w:left="567"/>
        <w:jc w:val="both"/>
      </w:pPr>
    </w:p>
    <w:p w14:paraId="440C264D" w14:textId="77777777" w:rsidR="00DE7FBF" w:rsidRPr="004E7070" w:rsidRDefault="00DE7FBF" w:rsidP="004E7070">
      <w:pPr>
        <w:pStyle w:val="DWParaNum1"/>
        <w:numPr>
          <w:ilvl w:val="0"/>
          <w:numId w:val="2"/>
        </w:numPr>
        <w:spacing w:after="60"/>
        <w:ind w:left="567" w:hanging="567"/>
        <w:jc w:val="both"/>
      </w:pPr>
      <w:r w:rsidRPr="00FB5C45">
        <w:t>All questions must be answered without reference to marketing or promotional material.</w:t>
      </w:r>
    </w:p>
    <w:p w14:paraId="21263603" w14:textId="77777777" w:rsidR="00DE7FBF" w:rsidRPr="00FB5C45" w:rsidRDefault="00DE7FBF" w:rsidP="004E7070">
      <w:pPr>
        <w:pStyle w:val="DWParaNum1"/>
        <w:numPr>
          <w:ilvl w:val="0"/>
          <w:numId w:val="0"/>
        </w:numPr>
        <w:spacing w:after="60"/>
        <w:ind w:left="567"/>
        <w:jc w:val="both"/>
      </w:pPr>
    </w:p>
    <w:p w14:paraId="51F2C2FE" w14:textId="50EE7BBB" w:rsidR="00DE7FBF" w:rsidRPr="00FB5C45" w:rsidRDefault="00DE7FBF" w:rsidP="004E7070">
      <w:pPr>
        <w:pStyle w:val="DWParaNum1"/>
        <w:numPr>
          <w:ilvl w:val="0"/>
          <w:numId w:val="2"/>
        </w:numPr>
        <w:spacing w:after="60"/>
        <w:ind w:left="567" w:hanging="567"/>
        <w:jc w:val="both"/>
      </w:pPr>
      <w:r>
        <w:lastRenderedPageBreak/>
        <w:t xml:space="preserve">Potential Suppliers can submit a maximum of </w:t>
      </w:r>
      <w:r w:rsidR="009945A0">
        <w:t>2000</w:t>
      </w:r>
      <w:r>
        <w:t xml:space="preserve"> words in response to each Technical Envelope question</w:t>
      </w:r>
      <w:r w:rsidR="00FE4435">
        <w:t xml:space="preserve"> </w:t>
      </w:r>
      <w:r w:rsidR="00CE07CF">
        <w:t>(</w:t>
      </w:r>
      <w:r w:rsidR="00FE4435">
        <w:t>u</w:t>
      </w:r>
      <w:r w:rsidR="00CE07CF">
        <w:t xml:space="preserve">nless attachments are </w:t>
      </w:r>
      <w:r w:rsidR="00FE4435">
        <w:t>s</w:t>
      </w:r>
      <w:r w:rsidR="00CE07CF">
        <w:t>pecifically requested).</w:t>
      </w:r>
      <w:r>
        <w:t xml:space="preserve"> Any words </w:t>
      </w:r>
      <w:r w:rsidR="001C7345">
        <w:t xml:space="preserve">exceeding </w:t>
      </w:r>
      <w:r w:rsidR="00D85DFD" w:rsidRPr="00D85DFD">
        <w:t>2000</w:t>
      </w:r>
      <w:r w:rsidR="001C7345" w:rsidRPr="00D85DFD">
        <w:t xml:space="preserve"> </w:t>
      </w:r>
      <w:r w:rsidRPr="00D85DFD">
        <w:t>submitted</w:t>
      </w:r>
      <w:r>
        <w:t xml:space="preserve"> </w:t>
      </w:r>
      <w:r w:rsidR="00D0069A">
        <w:t>as response</w:t>
      </w:r>
      <w:r>
        <w:t xml:space="preserve"> to a question will not be marked.</w:t>
      </w:r>
    </w:p>
    <w:p w14:paraId="29448701" w14:textId="77777777" w:rsidR="00EA5713" w:rsidRPr="00F17617" w:rsidRDefault="00EA5713" w:rsidP="002E4100">
      <w:pPr>
        <w:pStyle w:val="DWParaNum1"/>
        <w:numPr>
          <w:ilvl w:val="0"/>
          <w:numId w:val="0"/>
        </w:numPr>
        <w:spacing w:after="60"/>
        <w:jc w:val="both"/>
        <w:rPr>
          <w:bCs/>
        </w:rPr>
      </w:pPr>
    </w:p>
    <w:p w14:paraId="44FC05F5" w14:textId="77777777" w:rsidR="00EA5713" w:rsidRDefault="00EA5713" w:rsidP="006B52BE">
      <w:pPr>
        <w:pStyle w:val="Heading3"/>
        <w:jc w:val="both"/>
      </w:pPr>
      <w:r>
        <w:t>Clarification Process</w:t>
      </w:r>
    </w:p>
    <w:p w14:paraId="5FB13355" w14:textId="77777777" w:rsidR="00EA5713" w:rsidRPr="00EA5713" w:rsidRDefault="00EA5713" w:rsidP="006B52BE">
      <w:pPr>
        <w:jc w:val="both"/>
      </w:pPr>
    </w:p>
    <w:p w14:paraId="137D649E" w14:textId="08608A69" w:rsidR="00EA5713" w:rsidRPr="00FB5C45" w:rsidRDefault="00EA5713" w:rsidP="004E7070">
      <w:pPr>
        <w:pStyle w:val="DWParaNum1"/>
        <w:numPr>
          <w:ilvl w:val="0"/>
          <w:numId w:val="2"/>
        </w:numPr>
        <w:spacing w:after="60"/>
        <w:ind w:left="567" w:hanging="567"/>
        <w:jc w:val="both"/>
      </w:pPr>
      <w:r>
        <w:t xml:space="preserve">If Potential Suppliers have clarification questions regarding the </w:t>
      </w:r>
      <w:r w:rsidR="001C7345">
        <w:t>D</w:t>
      </w:r>
      <w:r>
        <w:t>PQQ, please contact the Authority</w:t>
      </w:r>
      <w:r w:rsidR="008006A6">
        <w:t xml:space="preserve"> detailed at para </w:t>
      </w:r>
      <w:r w:rsidR="002240B9">
        <w:t>6 above</w:t>
      </w:r>
      <w:r>
        <w:t xml:space="preserve"> electronically via the Defence Sourcing Portal as soon as possible. The deadline for clarification questions is stated in </w:t>
      </w:r>
      <w:r w:rsidR="00CE07CF">
        <w:t>T</w:t>
      </w:r>
      <w:r>
        <w:t xml:space="preserve">able 1 </w:t>
      </w:r>
      <w:r w:rsidR="004A3296">
        <w:t>above.</w:t>
      </w:r>
    </w:p>
    <w:p w14:paraId="4C89C85B" w14:textId="77777777" w:rsidR="00EA5713" w:rsidRPr="00EF2E81" w:rsidRDefault="00EA5713" w:rsidP="006B52BE">
      <w:pPr>
        <w:pStyle w:val="DWParaNum1"/>
        <w:numPr>
          <w:ilvl w:val="0"/>
          <w:numId w:val="0"/>
        </w:numPr>
        <w:spacing w:after="60"/>
        <w:jc w:val="both"/>
        <w:rPr>
          <w:bCs/>
          <w:szCs w:val="22"/>
        </w:rPr>
      </w:pPr>
    </w:p>
    <w:p w14:paraId="5CD8256C" w14:textId="0EECE5D0" w:rsidR="00EA5713" w:rsidRPr="00FB5C45" w:rsidRDefault="00EA5713" w:rsidP="004E7070">
      <w:pPr>
        <w:pStyle w:val="DWParaNum1"/>
        <w:numPr>
          <w:ilvl w:val="0"/>
          <w:numId w:val="2"/>
        </w:numPr>
        <w:spacing w:after="60"/>
        <w:ind w:left="567" w:hanging="567"/>
        <w:jc w:val="both"/>
      </w:pPr>
      <w:r w:rsidRPr="004E7070">
        <w:t xml:space="preserve">The Authority </w:t>
      </w:r>
      <w:r w:rsidR="001C7345" w:rsidRPr="004E7070">
        <w:t xml:space="preserve">will </w:t>
      </w:r>
      <w:r w:rsidR="005C2B03" w:rsidRPr="004E7070">
        <w:t xml:space="preserve">aim to </w:t>
      </w:r>
      <w:r w:rsidRPr="004E7070">
        <w:t xml:space="preserve">respond to all clarification questions no later than 5 (five) business days following request from the Potential Supplier. </w:t>
      </w:r>
    </w:p>
    <w:p w14:paraId="6B207C52" w14:textId="77777777" w:rsidR="00EA5713" w:rsidRPr="00FB5C45" w:rsidRDefault="00EA5713" w:rsidP="004E7070">
      <w:pPr>
        <w:pStyle w:val="DWParaNum1"/>
        <w:numPr>
          <w:ilvl w:val="0"/>
          <w:numId w:val="0"/>
        </w:numPr>
        <w:spacing w:after="60"/>
        <w:ind w:left="567"/>
        <w:jc w:val="both"/>
      </w:pPr>
    </w:p>
    <w:p w14:paraId="584E38B1" w14:textId="77777777" w:rsidR="00EA5713" w:rsidRPr="00FB5C45" w:rsidRDefault="00EA5713" w:rsidP="004E7070">
      <w:pPr>
        <w:pStyle w:val="DWParaNum1"/>
        <w:numPr>
          <w:ilvl w:val="0"/>
          <w:numId w:val="2"/>
        </w:numPr>
        <w:spacing w:after="60"/>
        <w:ind w:left="567" w:hanging="567"/>
        <w:jc w:val="both"/>
      </w:pPr>
      <w:r w:rsidRPr="004E7070">
        <w:t xml:space="preserve">All clarification questions and responses will be communicated, without identifying the originator, to all Potential Suppliers who are participating in the process unless there are compelling reasons why they should not be disclosed. If Potential Suppliers have clarification questions that contain confidential information, the Potential Suppliers must explain why information should not be disclosed to all Potential Suppliers. </w:t>
      </w:r>
    </w:p>
    <w:p w14:paraId="1D7CE922" w14:textId="77777777" w:rsidR="00276FFA" w:rsidRDefault="00276FFA" w:rsidP="006B52BE">
      <w:pPr>
        <w:pStyle w:val="ListParagraph"/>
        <w:jc w:val="both"/>
        <w:rPr>
          <w:rFonts w:cs="Arial"/>
        </w:rPr>
      </w:pPr>
    </w:p>
    <w:p w14:paraId="75E87A2C" w14:textId="1AB31AC1" w:rsidR="004A3296" w:rsidRDefault="001C7345" w:rsidP="006B52BE">
      <w:pPr>
        <w:pStyle w:val="Heading3"/>
        <w:jc w:val="both"/>
      </w:pPr>
      <w:r>
        <w:t>D</w:t>
      </w:r>
      <w:r w:rsidR="004A3296">
        <w:t>PQQ Return Submission</w:t>
      </w:r>
    </w:p>
    <w:p w14:paraId="22690AA6" w14:textId="77777777" w:rsidR="004A3296" w:rsidRPr="004A3296" w:rsidRDefault="004A3296" w:rsidP="006B52BE">
      <w:pPr>
        <w:jc w:val="both"/>
      </w:pPr>
    </w:p>
    <w:p w14:paraId="72A3CEE9" w14:textId="6F527C90" w:rsidR="004A3296" w:rsidRPr="00FB5C45" w:rsidRDefault="004A3296" w:rsidP="004E7070">
      <w:pPr>
        <w:pStyle w:val="DWParaNum1"/>
        <w:numPr>
          <w:ilvl w:val="0"/>
          <w:numId w:val="2"/>
        </w:numPr>
        <w:spacing w:after="60"/>
        <w:ind w:left="567" w:hanging="567"/>
        <w:jc w:val="both"/>
      </w:pPr>
      <w:r>
        <w:t xml:space="preserve">Potential Suppliers must submit their </w:t>
      </w:r>
      <w:r w:rsidR="001C7345">
        <w:t>D</w:t>
      </w:r>
      <w:r>
        <w:t xml:space="preserve">PQQ return electronically via the Defence Sourcing Portal no later that the date stated in table 1. </w:t>
      </w:r>
      <w:r w:rsidR="003B6831">
        <w:t xml:space="preserve"> </w:t>
      </w:r>
      <w:r w:rsidRPr="00FB5C45">
        <w:t xml:space="preserve">The Authority reserves the right to reject any </w:t>
      </w:r>
      <w:r w:rsidR="001C7345" w:rsidRPr="00FB5C45">
        <w:t>D</w:t>
      </w:r>
      <w:r w:rsidRPr="00FB5C45">
        <w:t xml:space="preserve">PQQ return received after the stated date and time.  </w:t>
      </w:r>
      <w:r w:rsidR="00610BB3" w:rsidRPr="00FB5C45">
        <w:t xml:space="preserve"> </w:t>
      </w:r>
    </w:p>
    <w:p w14:paraId="1145B443" w14:textId="77777777" w:rsidR="004A3296" w:rsidRDefault="004A3296" w:rsidP="006B52BE">
      <w:pPr>
        <w:pStyle w:val="DWParaNum1"/>
        <w:numPr>
          <w:ilvl w:val="0"/>
          <w:numId w:val="0"/>
        </w:numPr>
        <w:spacing w:after="60"/>
        <w:jc w:val="both"/>
        <w:rPr>
          <w:b/>
          <w:szCs w:val="22"/>
        </w:rPr>
      </w:pPr>
    </w:p>
    <w:p w14:paraId="3A212C4E" w14:textId="77777777" w:rsidR="004A3296" w:rsidRDefault="004A3296" w:rsidP="006B52BE">
      <w:pPr>
        <w:pStyle w:val="Heading3"/>
        <w:jc w:val="both"/>
      </w:pPr>
      <w:r>
        <w:t>Selection of Tenderers</w:t>
      </w:r>
    </w:p>
    <w:p w14:paraId="4ECB1892" w14:textId="77777777" w:rsidR="00510277" w:rsidRPr="00510277" w:rsidRDefault="00510277" w:rsidP="006B52BE">
      <w:pPr>
        <w:jc w:val="both"/>
      </w:pPr>
    </w:p>
    <w:p w14:paraId="25AD8E7E" w14:textId="649B9EFE" w:rsidR="004A3296" w:rsidRDefault="004A3296" w:rsidP="004E7070">
      <w:pPr>
        <w:pStyle w:val="DWParaNum1"/>
        <w:numPr>
          <w:ilvl w:val="0"/>
          <w:numId w:val="2"/>
        </w:numPr>
        <w:spacing w:after="60"/>
        <w:ind w:left="567" w:hanging="567"/>
        <w:jc w:val="both"/>
      </w:pPr>
      <w:r>
        <w:t xml:space="preserve">The Authority will evaluate the </w:t>
      </w:r>
      <w:r w:rsidR="001C7345">
        <w:t>D</w:t>
      </w:r>
      <w:r>
        <w:t xml:space="preserve">PQQ returns based on the evidence and information </w:t>
      </w:r>
      <w:r w:rsidR="00AA2B69">
        <w:t>provided and</w:t>
      </w:r>
      <w:r>
        <w:t xml:space="preserve"> </w:t>
      </w:r>
      <w:r w:rsidRPr="004E7070">
        <w:t>will not</w:t>
      </w:r>
      <w:r>
        <w:t xml:space="preserve"> take into account any prior knowledge of the Potential Supplier.</w:t>
      </w:r>
    </w:p>
    <w:p w14:paraId="37604372" w14:textId="77777777" w:rsidR="004A3296" w:rsidRDefault="004A3296" w:rsidP="006B52BE">
      <w:pPr>
        <w:pStyle w:val="DWParaNum2"/>
        <w:numPr>
          <w:ilvl w:val="0"/>
          <w:numId w:val="0"/>
        </w:numPr>
        <w:spacing w:after="60"/>
        <w:ind w:left="567"/>
        <w:jc w:val="both"/>
      </w:pPr>
    </w:p>
    <w:p w14:paraId="100BC5AC" w14:textId="5D0FEDDB" w:rsidR="00510277" w:rsidRDefault="00510277" w:rsidP="004E7070">
      <w:pPr>
        <w:pStyle w:val="DWParaNum1"/>
        <w:numPr>
          <w:ilvl w:val="0"/>
          <w:numId w:val="2"/>
        </w:numPr>
        <w:spacing w:after="60"/>
        <w:ind w:left="567" w:hanging="567"/>
        <w:jc w:val="both"/>
      </w:pPr>
      <w:r>
        <w:t xml:space="preserve">At the end of the evaluation, the Authority will create a list of Potential Suppliers which meet the minimum </w:t>
      </w:r>
      <w:r w:rsidR="001C7345">
        <w:t>D</w:t>
      </w:r>
      <w:r>
        <w:t xml:space="preserve">PQQ criteria. </w:t>
      </w:r>
      <w:r w:rsidR="0095713F">
        <w:t xml:space="preserve"> </w:t>
      </w:r>
      <w:r>
        <w:t xml:space="preserve">A maximum of </w:t>
      </w:r>
      <w:r w:rsidR="0095713F" w:rsidRPr="004E7070">
        <w:t>6</w:t>
      </w:r>
      <w:r w:rsidR="00124C6B">
        <w:t xml:space="preserve"> </w:t>
      </w:r>
      <w:r>
        <w:t>Potential Suppliers will be invited to Tender at the IT</w:t>
      </w:r>
      <w:r w:rsidR="002E4100">
        <w:t>N</w:t>
      </w:r>
      <w:r>
        <w:t xml:space="preserve"> stage. These will be the Potential Suppliers with the </w:t>
      </w:r>
      <w:r w:rsidR="002E4100">
        <w:t xml:space="preserve">6 </w:t>
      </w:r>
      <w:r>
        <w:t>highest total score</w:t>
      </w:r>
      <w:r w:rsidR="002E4100">
        <w:t>s</w:t>
      </w:r>
      <w:r>
        <w:t xml:space="preserve">. </w:t>
      </w:r>
    </w:p>
    <w:p w14:paraId="2EAB0EB5" w14:textId="77777777" w:rsidR="00510277" w:rsidRDefault="00510277" w:rsidP="004E7070">
      <w:pPr>
        <w:pStyle w:val="DWParaNum1"/>
        <w:numPr>
          <w:ilvl w:val="0"/>
          <w:numId w:val="0"/>
        </w:numPr>
        <w:spacing w:after="60"/>
        <w:ind w:left="567"/>
        <w:jc w:val="both"/>
      </w:pPr>
    </w:p>
    <w:p w14:paraId="73600A92" w14:textId="5FDCBF79" w:rsidR="00510277" w:rsidRPr="002E4100" w:rsidRDefault="00510277" w:rsidP="004E7070">
      <w:pPr>
        <w:pStyle w:val="DWParaNum1"/>
        <w:numPr>
          <w:ilvl w:val="0"/>
          <w:numId w:val="2"/>
        </w:numPr>
        <w:spacing w:after="60"/>
        <w:ind w:left="567" w:hanging="567"/>
        <w:jc w:val="both"/>
      </w:pPr>
      <w:r w:rsidRPr="004E7070">
        <w:t xml:space="preserve">Should more than one Potential Supplier score the same total score and are ranked in joint </w:t>
      </w:r>
      <w:r w:rsidR="00CE07CF" w:rsidRPr="004E7070">
        <w:t>sixth</w:t>
      </w:r>
      <w:r w:rsidRPr="004E7070">
        <w:t xml:space="preserve">, the Authority reserves the right to request additional information </w:t>
      </w:r>
      <w:r w:rsidR="00226AC6" w:rsidRPr="004E7070">
        <w:t>to</w:t>
      </w:r>
      <w:r w:rsidRPr="004E7070">
        <w:t xml:space="preserve"> enable the Authority to make an appropriate determination as to which Potential Supplier to invite to the IT</w:t>
      </w:r>
      <w:r w:rsidR="002E4100" w:rsidRPr="004E7070">
        <w:t>N</w:t>
      </w:r>
      <w:r w:rsidRPr="004E7070">
        <w:t>.</w:t>
      </w:r>
    </w:p>
    <w:p w14:paraId="38FDE985" w14:textId="77777777" w:rsidR="001E0B96" w:rsidRPr="00267A88" w:rsidRDefault="001E0B96" w:rsidP="001E0B96">
      <w:pPr>
        <w:pStyle w:val="DWParaNum2"/>
        <w:numPr>
          <w:ilvl w:val="0"/>
          <w:numId w:val="0"/>
        </w:numPr>
        <w:spacing w:after="60"/>
      </w:pPr>
    </w:p>
    <w:p w14:paraId="0579D73A" w14:textId="69915916" w:rsidR="001E0B96" w:rsidRDefault="001E0B96" w:rsidP="001E0B96">
      <w:pPr>
        <w:pStyle w:val="Heading2"/>
      </w:pPr>
      <w:r>
        <w:t xml:space="preserve">Section D – </w:t>
      </w:r>
      <w:r w:rsidR="00A37C46">
        <w:t>D</w:t>
      </w:r>
      <w:r>
        <w:t>PQQ Evaluation</w:t>
      </w:r>
    </w:p>
    <w:p w14:paraId="2CC42EC4" w14:textId="77777777" w:rsidR="001E0B96" w:rsidRPr="001E0B96" w:rsidRDefault="001E0B96" w:rsidP="001E0B96"/>
    <w:p w14:paraId="2E42894A" w14:textId="1F889144" w:rsidR="001E0B96" w:rsidRDefault="001E0B96" w:rsidP="001E0B96">
      <w:pPr>
        <w:pStyle w:val="Heading3"/>
      </w:pPr>
      <w:r>
        <w:t xml:space="preserve">General Instructions on the </w:t>
      </w:r>
      <w:r w:rsidR="00A37C46">
        <w:t>D</w:t>
      </w:r>
      <w:r>
        <w:t>PQQ</w:t>
      </w:r>
      <w:r w:rsidR="00CE07CF">
        <w:t xml:space="preserve"> Evaluation process</w:t>
      </w:r>
    </w:p>
    <w:p w14:paraId="36726F5B" w14:textId="77777777" w:rsidR="001E0B96" w:rsidRPr="001E0B96" w:rsidRDefault="001E0B96" w:rsidP="004E7070">
      <w:pPr>
        <w:pStyle w:val="DWParaNum2"/>
        <w:numPr>
          <w:ilvl w:val="0"/>
          <w:numId w:val="0"/>
        </w:numPr>
        <w:spacing w:after="60"/>
        <w:ind w:left="567"/>
        <w:jc w:val="both"/>
      </w:pPr>
    </w:p>
    <w:p w14:paraId="49999EB8" w14:textId="01471B18" w:rsidR="001E0B96" w:rsidRPr="001F22CD" w:rsidRDefault="001E0B96" w:rsidP="004E7070">
      <w:pPr>
        <w:pStyle w:val="DWParaNum2"/>
        <w:numPr>
          <w:ilvl w:val="0"/>
          <w:numId w:val="2"/>
        </w:numPr>
        <w:spacing w:after="60"/>
        <w:ind w:left="426" w:hanging="426"/>
        <w:jc w:val="both"/>
      </w:pPr>
      <w:r w:rsidRPr="001F22CD">
        <w:lastRenderedPageBreak/>
        <w:t xml:space="preserve">You must answer all questions within the </w:t>
      </w:r>
      <w:r w:rsidR="00A37C46" w:rsidRPr="001F22CD">
        <w:t>D</w:t>
      </w:r>
      <w:r w:rsidRPr="001F22CD">
        <w:t xml:space="preserve">PQQ. </w:t>
      </w:r>
      <w:r>
        <w:t>Failure to answer all questions without reasonable justification will result in your application to participate being disqualified and excluded from the Procurement Process.</w:t>
      </w:r>
      <w:r w:rsidRPr="001F22CD">
        <w:t xml:space="preserve"> </w:t>
      </w:r>
      <w:r w:rsidR="00EA2ACF" w:rsidRPr="001F22CD">
        <w:t xml:space="preserve"> </w:t>
      </w:r>
      <w:r w:rsidRPr="001F22CD">
        <w:t>There are two sets of questions for the PQQ:</w:t>
      </w:r>
    </w:p>
    <w:p w14:paraId="4DE085C4" w14:textId="77777777" w:rsidR="001E0B96" w:rsidRPr="00B828A4" w:rsidRDefault="001E0B96" w:rsidP="001E0B96">
      <w:pPr>
        <w:pStyle w:val="DWParaNum1"/>
        <w:numPr>
          <w:ilvl w:val="0"/>
          <w:numId w:val="0"/>
        </w:numPr>
        <w:spacing w:after="60"/>
        <w:ind w:left="360"/>
        <w:rPr>
          <w:bCs/>
          <w:szCs w:val="22"/>
        </w:rPr>
      </w:pPr>
    </w:p>
    <w:p w14:paraId="630F1A3D" w14:textId="0F8AFCC4" w:rsidR="001E0B96" w:rsidRPr="00270965" w:rsidRDefault="00A37C46" w:rsidP="001E0B96">
      <w:pPr>
        <w:pStyle w:val="DWParaNum1"/>
        <w:numPr>
          <w:ilvl w:val="1"/>
          <w:numId w:val="2"/>
        </w:numPr>
        <w:spacing w:after="60"/>
        <w:rPr>
          <w:bCs/>
          <w:szCs w:val="22"/>
        </w:rPr>
      </w:pPr>
      <w:r>
        <w:rPr>
          <w:rFonts w:cs="Arial"/>
          <w:szCs w:val="22"/>
        </w:rPr>
        <w:t>D</w:t>
      </w:r>
      <w:r w:rsidR="001E0B96">
        <w:rPr>
          <w:rFonts w:cs="Arial"/>
          <w:szCs w:val="22"/>
        </w:rPr>
        <w:t xml:space="preserve">PQQ Qualification Envelope. The Authority will use the Qualification Envelope to examine whether Potential Suppliers meet </w:t>
      </w:r>
      <w:r w:rsidR="001E0B96">
        <w:t xml:space="preserve">the minimum eligibility and suitability criteria and have </w:t>
      </w:r>
      <w:r w:rsidR="001E0B96" w:rsidRPr="005E34DA">
        <w:rPr>
          <w:rFonts w:cs="Arial"/>
          <w:szCs w:val="22"/>
        </w:rPr>
        <w:t xml:space="preserve">sufficient </w:t>
      </w:r>
      <w:r w:rsidR="001E0B96">
        <w:rPr>
          <w:rFonts w:cs="Arial"/>
          <w:szCs w:val="22"/>
        </w:rPr>
        <w:t xml:space="preserve">economic and </w:t>
      </w:r>
      <w:r w:rsidR="001E0B96" w:rsidRPr="005E34DA">
        <w:rPr>
          <w:rFonts w:cs="Arial"/>
          <w:szCs w:val="22"/>
        </w:rPr>
        <w:t>financial resources to support the requirement listed in the Contract Notice</w:t>
      </w:r>
      <w:r w:rsidR="001E0B96">
        <w:rPr>
          <w:rFonts w:cs="Arial"/>
          <w:szCs w:val="22"/>
        </w:rPr>
        <w:t>.</w:t>
      </w:r>
    </w:p>
    <w:p w14:paraId="06F445F0" w14:textId="77777777" w:rsidR="00270965" w:rsidRPr="001E0B96" w:rsidRDefault="00270965" w:rsidP="00270965">
      <w:pPr>
        <w:pStyle w:val="DWParaNum1"/>
        <w:numPr>
          <w:ilvl w:val="0"/>
          <w:numId w:val="0"/>
        </w:numPr>
        <w:spacing w:after="60"/>
        <w:ind w:left="1080"/>
        <w:rPr>
          <w:bCs/>
          <w:szCs w:val="22"/>
        </w:rPr>
      </w:pPr>
    </w:p>
    <w:p w14:paraId="0E43D3B3" w14:textId="3F36B59A" w:rsidR="001E0B96" w:rsidRPr="00B828A4" w:rsidRDefault="00A37C46" w:rsidP="001E0B96">
      <w:pPr>
        <w:pStyle w:val="DWParaNum1"/>
        <w:numPr>
          <w:ilvl w:val="1"/>
          <w:numId w:val="2"/>
        </w:numPr>
        <w:spacing w:after="60"/>
        <w:rPr>
          <w:bCs/>
          <w:szCs w:val="22"/>
        </w:rPr>
      </w:pPr>
      <w:r>
        <w:rPr>
          <w:rFonts w:cs="Arial"/>
          <w:szCs w:val="22"/>
        </w:rPr>
        <w:t>D</w:t>
      </w:r>
      <w:r w:rsidR="001E0B96">
        <w:rPr>
          <w:rFonts w:cs="Arial"/>
          <w:szCs w:val="22"/>
        </w:rPr>
        <w:t xml:space="preserve">PQQ Technical Envelope. The Authority will use the Technical Envelope to examine whether Potential Suppliers have sufficient technical capability, </w:t>
      </w:r>
      <w:r w:rsidR="00B33373">
        <w:rPr>
          <w:rFonts w:cs="Arial"/>
          <w:szCs w:val="22"/>
        </w:rPr>
        <w:t>capacity,</w:t>
      </w:r>
      <w:r w:rsidR="001E0B96">
        <w:rPr>
          <w:rFonts w:cs="Arial"/>
          <w:szCs w:val="22"/>
        </w:rPr>
        <w:t xml:space="preserve"> and experience to be able to support the requirement listed in the Contract Notice. </w:t>
      </w:r>
    </w:p>
    <w:p w14:paraId="68473ECE" w14:textId="77777777" w:rsidR="00516159" w:rsidRDefault="00516159" w:rsidP="00516159">
      <w:pPr>
        <w:pStyle w:val="DWParaNum1"/>
        <w:numPr>
          <w:ilvl w:val="0"/>
          <w:numId w:val="0"/>
        </w:numPr>
        <w:spacing w:after="60"/>
        <w:rPr>
          <w:bCs/>
          <w:szCs w:val="22"/>
        </w:rPr>
      </w:pPr>
    </w:p>
    <w:p w14:paraId="1041565B" w14:textId="19E37004" w:rsidR="00516159" w:rsidRDefault="00516159" w:rsidP="00516159">
      <w:pPr>
        <w:pStyle w:val="Heading3"/>
      </w:pPr>
      <w:r>
        <w:t>Qualification Envelope</w:t>
      </w:r>
      <w:r w:rsidR="00993436">
        <w:t xml:space="preserve"> </w:t>
      </w:r>
      <w:r w:rsidR="00C5194F">
        <w:t>(Non</w:t>
      </w:r>
      <w:r w:rsidR="00993436">
        <w:t xml:space="preserve">-Financial information) </w:t>
      </w:r>
    </w:p>
    <w:p w14:paraId="14EFF962" w14:textId="77777777" w:rsidR="00516159" w:rsidRPr="00516159" w:rsidRDefault="00516159" w:rsidP="004E7070">
      <w:pPr>
        <w:pStyle w:val="DWParaNum2"/>
        <w:numPr>
          <w:ilvl w:val="0"/>
          <w:numId w:val="0"/>
        </w:numPr>
        <w:spacing w:after="60"/>
        <w:ind w:left="426"/>
        <w:jc w:val="both"/>
      </w:pPr>
    </w:p>
    <w:p w14:paraId="68982A7F" w14:textId="6BC744BF" w:rsidR="001F271A" w:rsidRPr="001F22CD" w:rsidRDefault="00516159" w:rsidP="004E7070">
      <w:pPr>
        <w:pStyle w:val="DWParaNum2"/>
        <w:numPr>
          <w:ilvl w:val="0"/>
          <w:numId w:val="2"/>
        </w:numPr>
        <w:spacing w:after="60"/>
        <w:ind w:left="426" w:hanging="426"/>
        <w:jc w:val="both"/>
      </w:pPr>
      <w:r w:rsidRPr="001F22CD">
        <w:t>The Authority will assess the evidence provided in the Qualification Envelope and award a mark of</w:t>
      </w:r>
      <w:r w:rsidRPr="004E7070">
        <w:t xml:space="preserve"> PASS</w:t>
      </w:r>
      <w:r w:rsidRPr="001F22CD">
        <w:t xml:space="preserve"> or </w:t>
      </w:r>
      <w:r w:rsidRPr="004E7070">
        <w:t>FAIL.</w:t>
      </w:r>
      <w:r w:rsidRPr="001F22CD">
        <w:t xml:space="preserve"> </w:t>
      </w:r>
      <w:r w:rsidR="0037735F" w:rsidRPr="001F22CD">
        <w:t xml:space="preserve"> </w:t>
      </w:r>
      <w:r w:rsidR="00F02105" w:rsidRPr="001F22CD">
        <w:t>Y</w:t>
      </w:r>
      <w:r w:rsidRPr="001F22CD">
        <w:t xml:space="preserve">ou must </w:t>
      </w:r>
      <w:r w:rsidR="005775A5" w:rsidRPr="001F22CD">
        <w:t>meet</w:t>
      </w:r>
      <w:r w:rsidR="00FF69C9" w:rsidRPr="001F22CD">
        <w:t xml:space="preserve"> the evaluation criteria against each</w:t>
      </w:r>
      <w:r w:rsidRPr="001F22CD">
        <w:t xml:space="preserve"> </w:t>
      </w:r>
      <w:r w:rsidR="00FF69C9" w:rsidRPr="001F22CD">
        <w:t>question</w:t>
      </w:r>
      <w:r w:rsidR="0037735F" w:rsidRPr="001F22CD">
        <w:t xml:space="preserve"> to receive a Pass</w:t>
      </w:r>
      <w:r w:rsidRPr="001F22CD">
        <w:t xml:space="preserve">. Failure to </w:t>
      </w:r>
      <w:r w:rsidR="0037735F" w:rsidRPr="001F22CD">
        <w:t>meet</w:t>
      </w:r>
      <w:r w:rsidR="00FF69C9" w:rsidRPr="001F22CD">
        <w:t xml:space="preserve"> the criteria against any question will</w:t>
      </w:r>
      <w:r w:rsidRPr="001F22CD">
        <w:t xml:space="preserve"> result in</w:t>
      </w:r>
      <w:r w:rsidR="00941E30" w:rsidRPr="001F22CD">
        <w:t xml:space="preserve"> a Fail and your</w:t>
      </w:r>
      <w:r w:rsidRPr="001F22CD">
        <w:t xml:space="preserve"> application to participate in the Procurement Process </w:t>
      </w:r>
      <w:r w:rsidR="00941E30" w:rsidRPr="001F22CD">
        <w:t>being</w:t>
      </w:r>
      <w:r w:rsidRPr="001F22CD">
        <w:t xml:space="preserve"> disqualified.</w:t>
      </w:r>
      <w:r>
        <w:t xml:space="preserve"> </w:t>
      </w:r>
      <w:r w:rsidR="00941E30">
        <w:t xml:space="preserve"> </w:t>
      </w:r>
    </w:p>
    <w:p w14:paraId="037BDC60" w14:textId="77777777" w:rsidR="001F271A" w:rsidRPr="001F22CD" w:rsidRDefault="001F271A" w:rsidP="004E7070">
      <w:pPr>
        <w:pStyle w:val="DWParaNum2"/>
        <w:numPr>
          <w:ilvl w:val="0"/>
          <w:numId w:val="0"/>
        </w:numPr>
        <w:spacing w:after="60"/>
        <w:ind w:left="426"/>
        <w:jc w:val="both"/>
      </w:pPr>
    </w:p>
    <w:p w14:paraId="0E674DB0" w14:textId="60F1EC52" w:rsidR="00E4643C" w:rsidRPr="001F22CD" w:rsidRDefault="00516159" w:rsidP="004E7070">
      <w:pPr>
        <w:pStyle w:val="DWParaNum2"/>
        <w:numPr>
          <w:ilvl w:val="0"/>
          <w:numId w:val="2"/>
        </w:numPr>
        <w:spacing w:after="60"/>
        <w:ind w:left="426" w:hanging="426"/>
        <w:jc w:val="both"/>
      </w:pPr>
      <w:r w:rsidRPr="001F22CD">
        <w:t>The</w:t>
      </w:r>
      <w:r w:rsidR="001F271A" w:rsidRPr="001F22CD">
        <w:t xml:space="preserve"> </w:t>
      </w:r>
      <w:r w:rsidRPr="001F22CD">
        <w:t xml:space="preserve">Qualification Envelope </w:t>
      </w:r>
      <w:r w:rsidR="001F271A" w:rsidRPr="001F22CD">
        <w:t xml:space="preserve">Scoring Criteria </w:t>
      </w:r>
      <w:r w:rsidR="00C5194F" w:rsidRPr="001F22CD">
        <w:t xml:space="preserve">for all </w:t>
      </w:r>
      <w:r w:rsidR="000E3B54" w:rsidRPr="001F22CD">
        <w:t>Non-Financial</w:t>
      </w:r>
      <w:r w:rsidR="00C5194F" w:rsidRPr="001F22CD">
        <w:t xml:space="preserve"> information </w:t>
      </w:r>
      <w:r w:rsidR="001F271A" w:rsidRPr="001F22CD">
        <w:t>is</w:t>
      </w:r>
      <w:r w:rsidR="00FF69C9" w:rsidRPr="001F22CD">
        <w:t xml:space="preserve"> </w:t>
      </w:r>
      <w:r w:rsidR="006058CB" w:rsidRPr="001F22CD">
        <w:t xml:space="preserve">at </w:t>
      </w:r>
      <w:r w:rsidR="00757FDA" w:rsidRPr="001F22CD">
        <w:t>Annex A</w:t>
      </w:r>
      <w:r w:rsidR="00CE07CF" w:rsidRPr="001F22CD">
        <w:t xml:space="preserve"> to </w:t>
      </w:r>
      <w:r w:rsidR="001F271A" w:rsidRPr="001F22CD">
        <w:t>this document.</w:t>
      </w:r>
    </w:p>
    <w:p w14:paraId="23A6E687" w14:textId="77777777" w:rsidR="00B95BEB" w:rsidRDefault="00B95BEB" w:rsidP="00392B5B">
      <w:pPr>
        <w:pStyle w:val="DWParaNum1"/>
        <w:numPr>
          <w:ilvl w:val="0"/>
          <w:numId w:val="0"/>
        </w:numPr>
        <w:spacing w:after="60"/>
        <w:rPr>
          <w:bCs/>
          <w:szCs w:val="22"/>
        </w:rPr>
      </w:pPr>
    </w:p>
    <w:p w14:paraId="29995CC0" w14:textId="0E91227D" w:rsidR="00993436" w:rsidRDefault="00993436" w:rsidP="00993436">
      <w:pPr>
        <w:pStyle w:val="Heading3"/>
      </w:pPr>
      <w:r>
        <w:t xml:space="preserve">Qualification Envelope (Financial information) </w:t>
      </w:r>
    </w:p>
    <w:p w14:paraId="112C126E" w14:textId="77777777" w:rsidR="00731574" w:rsidRPr="00731574" w:rsidRDefault="00731574" w:rsidP="004E7070">
      <w:pPr>
        <w:pStyle w:val="DWParaNum2"/>
        <w:numPr>
          <w:ilvl w:val="0"/>
          <w:numId w:val="0"/>
        </w:numPr>
        <w:spacing w:after="60"/>
        <w:ind w:left="426"/>
        <w:jc w:val="both"/>
      </w:pPr>
    </w:p>
    <w:p w14:paraId="7B8809B6" w14:textId="076DBD1A" w:rsidR="00993436" w:rsidRPr="001F22CD" w:rsidRDefault="00731574" w:rsidP="004E7070">
      <w:pPr>
        <w:pStyle w:val="DWParaNum2"/>
        <w:numPr>
          <w:ilvl w:val="0"/>
          <w:numId w:val="2"/>
        </w:numPr>
        <w:spacing w:after="60"/>
        <w:ind w:left="426" w:hanging="426"/>
        <w:jc w:val="both"/>
      </w:pPr>
      <w:r w:rsidRPr="001F22CD">
        <w:t>The Authority will use the information provided in the responses to</w:t>
      </w:r>
      <w:r w:rsidR="00CE07CF" w:rsidRPr="001F22CD">
        <w:t xml:space="preserve"> all</w:t>
      </w:r>
      <w:r w:rsidRPr="001F22CD">
        <w:t xml:space="preserve"> questions</w:t>
      </w:r>
      <w:r w:rsidR="00CE07CF" w:rsidRPr="001F22CD">
        <w:t xml:space="preserve"> in</w:t>
      </w:r>
      <w:r w:rsidRPr="001F22CD">
        <w:t xml:space="preserve"> </w:t>
      </w:r>
      <w:r w:rsidR="00CE07CF" w:rsidRPr="001F22CD">
        <w:t>Section 1.9</w:t>
      </w:r>
      <w:r w:rsidR="0028106A" w:rsidRPr="001F22CD">
        <w:t xml:space="preserve"> of the Qualification </w:t>
      </w:r>
      <w:r w:rsidR="007812B0" w:rsidRPr="001F22CD">
        <w:t>envelopes</w:t>
      </w:r>
      <w:r w:rsidR="00CE07CF" w:rsidRPr="001F22CD">
        <w:t xml:space="preserve"> to </w:t>
      </w:r>
      <w:r w:rsidRPr="001F22CD">
        <w:t xml:space="preserve">assess the financial standing of each Potential </w:t>
      </w:r>
      <w:r w:rsidR="00CE07CF" w:rsidRPr="001F22CD">
        <w:t xml:space="preserve">Supplier. </w:t>
      </w:r>
      <w:r w:rsidRPr="001F22CD">
        <w:t xml:space="preserve">The resulting assessment will lead to a </w:t>
      </w:r>
      <w:r w:rsidRPr="004E7070">
        <w:t>PASS/FAIL</w:t>
      </w:r>
      <w:r w:rsidRPr="001F22CD">
        <w:t xml:space="preserve"> evaluation based on whether the Potential </w:t>
      </w:r>
      <w:r w:rsidR="00CE07CF" w:rsidRPr="001F22CD">
        <w:t xml:space="preserve">Supplier </w:t>
      </w:r>
      <w:r w:rsidRPr="001F22CD">
        <w:t xml:space="preserve">has demonstrated, through meeting the qualification standards, that it has sufficient economic and financial standing to provide services of the technical scope and scale </w:t>
      </w:r>
      <w:r w:rsidR="00EF5268" w:rsidRPr="001F22CD">
        <w:t>for the</w:t>
      </w:r>
      <w:r w:rsidR="00F443D0" w:rsidRPr="001F22CD">
        <w:t xml:space="preserve"> SCADE</w:t>
      </w:r>
      <w:r w:rsidR="00EF5268" w:rsidRPr="001F22CD">
        <w:t xml:space="preserve"> Project. </w:t>
      </w:r>
    </w:p>
    <w:p w14:paraId="17FCCA3E" w14:textId="77777777" w:rsidR="00993436" w:rsidRPr="001F22CD" w:rsidRDefault="00993436" w:rsidP="004E7070">
      <w:pPr>
        <w:pStyle w:val="DWParaNum2"/>
        <w:numPr>
          <w:ilvl w:val="0"/>
          <w:numId w:val="0"/>
        </w:numPr>
        <w:spacing w:after="60"/>
        <w:ind w:left="426"/>
        <w:jc w:val="both"/>
      </w:pPr>
    </w:p>
    <w:p w14:paraId="57E7785A" w14:textId="24710076" w:rsidR="00993436" w:rsidRPr="001F22CD" w:rsidRDefault="00993436" w:rsidP="004E7070">
      <w:pPr>
        <w:pStyle w:val="DWParaNum2"/>
        <w:numPr>
          <w:ilvl w:val="0"/>
          <w:numId w:val="2"/>
        </w:numPr>
        <w:spacing w:after="60"/>
        <w:ind w:left="426" w:hanging="426"/>
        <w:jc w:val="both"/>
      </w:pPr>
      <w:r w:rsidRPr="001F22CD">
        <w:t>The Qualification Envelope Scoring</w:t>
      </w:r>
      <w:r w:rsidR="000E3B54" w:rsidRPr="001F22CD">
        <w:t xml:space="preserve"> </w:t>
      </w:r>
      <w:r w:rsidRPr="001F22CD">
        <w:t>Criteria</w:t>
      </w:r>
      <w:r w:rsidR="000E3B54" w:rsidRPr="001F22CD">
        <w:t xml:space="preserve"> </w:t>
      </w:r>
      <w:r w:rsidR="00EF5268" w:rsidRPr="001F22CD">
        <w:t>(Financial</w:t>
      </w:r>
      <w:r w:rsidR="000E3B54" w:rsidRPr="001F22CD">
        <w:t xml:space="preserve"> information)</w:t>
      </w:r>
      <w:r w:rsidRPr="001F22CD">
        <w:t xml:space="preserve"> is at Annex </w:t>
      </w:r>
      <w:r w:rsidR="00EF5268" w:rsidRPr="001F22CD">
        <w:t>B this</w:t>
      </w:r>
      <w:r w:rsidRPr="001F22CD">
        <w:t xml:space="preserve"> document.</w:t>
      </w:r>
    </w:p>
    <w:p w14:paraId="5F4E64B8" w14:textId="77777777" w:rsidR="00A34223" w:rsidRDefault="00A34223" w:rsidP="005A79D7">
      <w:pPr>
        <w:pStyle w:val="DWParaNum2"/>
        <w:numPr>
          <w:ilvl w:val="0"/>
          <w:numId w:val="0"/>
        </w:numPr>
        <w:spacing w:after="60"/>
      </w:pPr>
    </w:p>
    <w:p w14:paraId="458C91C0" w14:textId="4EB4AB93" w:rsidR="006C263F" w:rsidRDefault="00A34223" w:rsidP="006C263F">
      <w:pPr>
        <w:pStyle w:val="Heading3"/>
      </w:pPr>
      <w:r>
        <w:t>Technical Envelope</w:t>
      </w:r>
    </w:p>
    <w:p w14:paraId="7BE38229" w14:textId="77777777" w:rsidR="00EF5268" w:rsidRPr="001F22CD" w:rsidRDefault="00EF5268" w:rsidP="004E7070">
      <w:pPr>
        <w:pStyle w:val="DWParaNum2"/>
        <w:numPr>
          <w:ilvl w:val="0"/>
          <w:numId w:val="0"/>
        </w:numPr>
        <w:spacing w:after="60"/>
        <w:ind w:left="426"/>
        <w:jc w:val="both"/>
      </w:pPr>
    </w:p>
    <w:p w14:paraId="5A0B4432" w14:textId="77777777" w:rsidR="00C976E8" w:rsidRDefault="00A34223" w:rsidP="00C976E8">
      <w:pPr>
        <w:pStyle w:val="DWParaNum2"/>
        <w:numPr>
          <w:ilvl w:val="0"/>
          <w:numId w:val="2"/>
        </w:numPr>
        <w:spacing w:after="60"/>
        <w:ind w:left="426" w:hanging="426"/>
        <w:jc w:val="both"/>
      </w:pPr>
      <w:r w:rsidRPr="001F22CD">
        <w:t>The Authority will assess the evidence provided in the Technical</w:t>
      </w:r>
      <w:r w:rsidR="006C263F" w:rsidRPr="001F22CD">
        <w:t xml:space="preserve"> </w:t>
      </w:r>
      <w:r w:rsidRPr="001F22CD">
        <w:t xml:space="preserve">Envelope and award a </w:t>
      </w:r>
      <w:r w:rsidR="00242328" w:rsidRPr="001F22CD">
        <w:t xml:space="preserve">total </w:t>
      </w:r>
      <w:r w:rsidR="00EF5268" w:rsidRPr="001F22CD">
        <w:t>score</w:t>
      </w:r>
      <w:r w:rsidR="008C1D67" w:rsidRPr="001F22CD">
        <w:t>.</w:t>
      </w:r>
      <w:r w:rsidR="00EF5268" w:rsidRPr="001F22CD">
        <w:t xml:space="preserve"> </w:t>
      </w:r>
      <w:r w:rsidR="008C1D67" w:rsidRPr="001F22CD">
        <w:t xml:space="preserve">The score for each question will be multiplied by a weighting to provide a total weighted score.  </w:t>
      </w:r>
    </w:p>
    <w:p w14:paraId="38845D67" w14:textId="77777777" w:rsidR="00C976E8" w:rsidRDefault="00C976E8" w:rsidP="00C976E8">
      <w:pPr>
        <w:pStyle w:val="DWParaNum2"/>
        <w:numPr>
          <w:ilvl w:val="0"/>
          <w:numId w:val="0"/>
        </w:numPr>
        <w:spacing w:after="60"/>
        <w:ind w:left="426"/>
        <w:jc w:val="both"/>
      </w:pPr>
    </w:p>
    <w:p w14:paraId="7A0A65E7" w14:textId="68CEA134" w:rsidR="00D368BC" w:rsidRPr="001F22CD" w:rsidRDefault="005A79D7" w:rsidP="00C976E8">
      <w:pPr>
        <w:pStyle w:val="DWParaNum2"/>
        <w:numPr>
          <w:ilvl w:val="0"/>
          <w:numId w:val="2"/>
        </w:numPr>
        <w:spacing w:after="60"/>
        <w:ind w:left="426" w:hanging="426"/>
        <w:jc w:val="both"/>
      </w:pPr>
      <w:r>
        <w:t xml:space="preserve">The Authority will mark a response for each question, based on its assessment of the evidence provided. </w:t>
      </w:r>
      <w:r w:rsidR="00242328">
        <w:t xml:space="preserve"> </w:t>
      </w:r>
      <w:r>
        <w:t>For question</w:t>
      </w:r>
      <w:r w:rsidR="00242328">
        <w:t>s</w:t>
      </w:r>
      <w:r>
        <w:t xml:space="preserve"> </w:t>
      </w:r>
      <w:r w:rsidR="00975D1D">
        <w:t>scored 0</w:t>
      </w:r>
      <w:r>
        <w:t>,</w:t>
      </w:r>
      <w:r w:rsidR="5D0681CD">
        <w:t xml:space="preserve"> </w:t>
      </w:r>
      <w:r>
        <w:t>30,70</w:t>
      </w:r>
      <w:r w:rsidR="00242328">
        <w:t>,</w:t>
      </w:r>
      <w:r>
        <w:t xml:space="preserve">100 a minimum score of </w:t>
      </w:r>
      <w:r w:rsidR="59A8A726">
        <w:t>30</w:t>
      </w:r>
      <w:r>
        <w:t xml:space="preserve"> is required</w:t>
      </w:r>
      <w:r w:rsidR="008B18CF">
        <w:t xml:space="preserve"> to achieve a </w:t>
      </w:r>
      <w:r w:rsidR="00975D1D">
        <w:t>P</w:t>
      </w:r>
      <w:r w:rsidR="00103857">
        <w:t>ASS</w:t>
      </w:r>
      <w:r w:rsidR="00A548E6">
        <w:t xml:space="preserve">. </w:t>
      </w:r>
      <w:r>
        <w:t xml:space="preserve"> Failure to achieve the minimum </w:t>
      </w:r>
      <w:r w:rsidR="00242328">
        <w:t>score</w:t>
      </w:r>
      <w:r w:rsidR="000C7610">
        <w:t xml:space="preserve"> of </w:t>
      </w:r>
      <w:r w:rsidR="007C3111">
        <w:t>30 against</w:t>
      </w:r>
      <w:r>
        <w:t xml:space="preserve"> any</w:t>
      </w:r>
      <w:r w:rsidR="00D368BC">
        <w:t xml:space="preserve"> of this question</w:t>
      </w:r>
      <w:r>
        <w:t xml:space="preserve"> will result in your application to participate in the Procurement Process being disqualified.</w:t>
      </w:r>
    </w:p>
    <w:p w14:paraId="1B21C835" w14:textId="77777777" w:rsidR="00D368BC" w:rsidRPr="001F22CD" w:rsidRDefault="00D368BC" w:rsidP="004E7070">
      <w:pPr>
        <w:pStyle w:val="DWParaNum2"/>
        <w:numPr>
          <w:ilvl w:val="0"/>
          <w:numId w:val="0"/>
        </w:numPr>
        <w:spacing w:after="60"/>
        <w:ind w:left="426"/>
        <w:jc w:val="both"/>
      </w:pPr>
    </w:p>
    <w:p w14:paraId="1DCFCEA7" w14:textId="44CF4DBF" w:rsidR="00D368BC" w:rsidRPr="001F22CD" w:rsidRDefault="00D368BC" w:rsidP="004E7070">
      <w:pPr>
        <w:pStyle w:val="DWParaNum2"/>
        <w:numPr>
          <w:ilvl w:val="0"/>
          <w:numId w:val="2"/>
        </w:numPr>
        <w:spacing w:after="60"/>
        <w:ind w:left="426" w:hanging="426"/>
        <w:jc w:val="both"/>
      </w:pPr>
      <w:r w:rsidRPr="001F22CD">
        <w:lastRenderedPageBreak/>
        <w:t xml:space="preserve">Some questions are for information only, these will bot be scored and there is no </w:t>
      </w:r>
      <w:r w:rsidRPr="004E7070">
        <w:t>P</w:t>
      </w:r>
      <w:r w:rsidR="00103857" w:rsidRPr="004E7070">
        <w:t>ASS</w:t>
      </w:r>
      <w:r w:rsidRPr="004E7070">
        <w:t>/F</w:t>
      </w:r>
      <w:r w:rsidR="00103857" w:rsidRPr="004E7070">
        <w:t>AIL</w:t>
      </w:r>
      <w:r w:rsidRPr="001F22CD">
        <w:t xml:space="preserve"> Criteria. </w:t>
      </w:r>
    </w:p>
    <w:p w14:paraId="6105A8B8" w14:textId="77777777" w:rsidR="005A79D7" w:rsidRPr="001F22CD" w:rsidRDefault="005A79D7" w:rsidP="004E7070">
      <w:pPr>
        <w:pStyle w:val="DWParaNum2"/>
        <w:numPr>
          <w:ilvl w:val="0"/>
          <w:numId w:val="0"/>
        </w:numPr>
        <w:spacing w:after="60"/>
        <w:ind w:left="426"/>
        <w:jc w:val="both"/>
      </w:pPr>
    </w:p>
    <w:p w14:paraId="31267BCD" w14:textId="3B98D7BD" w:rsidR="005A79D7" w:rsidRPr="001F22CD" w:rsidRDefault="005A79D7" w:rsidP="004E7070">
      <w:pPr>
        <w:pStyle w:val="DWParaNum2"/>
        <w:numPr>
          <w:ilvl w:val="0"/>
          <w:numId w:val="2"/>
        </w:numPr>
        <w:spacing w:after="60"/>
        <w:ind w:left="426" w:hanging="426"/>
        <w:jc w:val="both"/>
      </w:pPr>
      <w:r w:rsidRPr="001F22CD">
        <w:t>The Technical Envelope Scoring Criteria, including weightings is at Annex C t</w:t>
      </w:r>
      <w:r w:rsidR="00595350" w:rsidRPr="001F22CD">
        <w:t xml:space="preserve">o </w:t>
      </w:r>
      <w:r w:rsidR="00D368BC" w:rsidRPr="001F22CD">
        <w:t>t</w:t>
      </w:r>
      <w:r w:rsidRPr="001F22CD">
        <w:t>his document.</w:t>
      </w:r>
    </w:p>
    <w:p w14:paraId="2C6842F6" w14:textId="77777777" w:rsidR="005A79D7" w:rsidRPr="001F22CD" w:rsidRDefault="005A79D7" w:rsidP="004E7070">
      <w:pPr>
        <w:pStyle w:val="DWParaNum2"/>
        <w:numPr>
          <w:ilvl w:val="0"/>
          <w:numId w:val="0"/>
        </w:numPr>
        <w:spacing w:after="60"/>
        <w:ind w:left="426"/>
        <w:jc w:val="both"/>
      </w:pPr>
    </w:p>
    <w:p w14:paraId="58D5FA97" w14:textId="0194A5D8" w:rsidR="008C1D67" w:rsidRPr="001F22CD" w:rsidRDefault="005A79D7" w:rsidP="004E7070">
      <w:pPr>
        <w:pStyle w:val="DWParaNum2"/>
        <w:numPr>
          <w:ilvl w:val="0"/>
          <w:numId w:val="2"/>
        </w:numPr>
        <w:spacing w:after="60"/>
        <w:ind w:left="426" w:hanging="426"/>
        <w:jc w:val="both"/>
      </w:pPr>
      <w:r w:rsidRPr="001F22CD">
        <w:t>The Scoring guide outlining the evidence required to achieve</w:t>
      </w:r>
      <w:r w:rsidR="00595350" w:rsidRPr="001F22CD">
        <w:t xml:space="preserve"> </w:t>
      </w:r>
      <w:r w:rsidR="00A06A44" w:rsidRPr="001F22CD">
        <w:t>each score (</w:t>
      </w:r>
      <w:r w:rsidRPr="001F22CD">
        <w:t xml:space="preserve">for questions marked </w:t>
      </w:r>
      <w:r w:rsidR="007E0ED1" w:rsidRPr="001F22CD">
        <w:t>(</w:t>
      </w:r>
      <w:r w:rsidRPr="001F22CD">
        <w:t>0,30.70,100</w:t>
      </w:r>
      <w:r w:rsidR="00A06A44" w:rsidRPr="001F22CD">
        <w:t>)</w:t>
      </w:r>
      <w:r w:rsidRPr="001F22CD">
        <w:t xml:space="preserve"> can be found at Annex </w:t>
      </w:r>
      <w:r w:rsidR="00A06A44" w:rsidRPr="001F22CD">
        <w:t>C, Appen</w:t>
      </w:r>
      <w:r w:rsidR="007412A9" w:rsidRPr="001F22CD">
        <w:t>dix 1</w:t>
      </w:r>
      <w:r w:rsidR="005C1B32" w:rsidRPr="001F22CD">
        <w:t>)</w:t>
      </w:r>
    </w:p>
    <w:p w14:paraId="5153ACC5" w14:textId="77777777" w:rsidR="00D0069A" w:rsidRPr="005A79D7" w:rsidRDefault="00D0069A" w:rsidP="00D0069A">
      <w:pPr>
        <w:pStyle w:val="DWParaNum1"/>
        <w:numPr>
          <w:ilvl w:val="0"/>
          <w:numId w:val="0"/>
        </w:numPr>
        <w:spacing w:after="60"/>
        <w:jc w:val="both"/>
        <w:rPr>
          <w:szCs w:val="22"/>
        </w:rPr>
      </w:pPr>
    </w:p>
    <w:p w14:paraId="00891DA3" w14:textId="0F71578B" w:rsidR="00100E2C" w:rsidRDefault="00100E2C" w:rsidP="00100E2C">
      <w:pPr>
        <w:pStyle w:val="Heading3"/>
      </w:pPr>
      <w:r>
        <w:t xml:space="preserve">  Technical Envelope </w:t>
      </w:r>
      <w:r w:rsidR="007412A9">
        <w:t>w</w:t>
      </w:r>
      <w:r>
        <w:t>orked example.</w:t>
      </w:r>
    </w:p>
    <w:p w14:paraId="33EB5EDD" w14:textId="77777777" w:rsidR="00100E2C" w:rsidRDefault="00100E2C" w:rsidP="001F22CD"/>
    <w:p w14:paraId="750A22D9" w14:textId="5C7E3887" w:rsidR="00100E2C" w:rsidRPr="00100E2C" w:rsidRDefault="00100E2C" w:rsidP="00F32850">
      <w:pPr>
        <w:pStyle w:val="DWParaNum1"/>
        <w:numPr>
          <w:ilvl w:val="0"/>
          <w:numId w:val="2"/>
        </w:numPr>
        <w:spacing w:after="60"/>
        <w:ind w:left="426" w:hanging="426"/>
        <w:jc w:val="both"/>
        <w:rPr>
          <w:szCs w:val="22"/>
        </w:rPr>
      </w:pPr>
      <w:r w:rsidRPr="006C263F">
        <w:rPr>
          <w:rFonts w:cs="Arial"/>
        </w:rPr>
        <w:t>T</w:t>
      </w:r>
      <w:r>
        <w:rPr>
          <w:rFonts w:cs="Arial"/>
        </w:rPr>
        <w:t>able</w:t>
      </w:r>
      <w:r w:rsidR="00645AF0">
        <w:rPr>
          <w:rFonts w:cs="Arial"/>
        </w:rPr>
        <w:t>s</w:t>
      </w:r>
      <w:r>
        <w:rPr>
          <w:rFonts w:cs="Arial"/>
        </w:rPr>
        <w:t xml:space="preserve"> 1-3</w:t>
      </w:r>
      <w:r w:rsidR="007412A9">
        <w:rPr>
          <w:rFonts w:cs="Arial"/>
        </w:rPr>
        <w:t xml:space="preserve"> </w:t>
      </w:r>
      <w:r>
        <w:rPr>
          <w:rFonts w:cs="Arial"/>
        </w:rPr>
        <w:t>have been provided as worked example to demonstrate the application of weighting to achieve a final score.</w:t>
      </w:r>
      <w:r w:rsidR="00103857">
        <w:rPr>
          <w:rFonts w:cs="Arial"/>
        </w:rPr>
        <w:t xml:space="preserve">  They do not represent any actual scores achieved.</w:t>
      </w:r>
    </w:p>
    <w:p w14:paraId="37392A31" w14:textId="77777777" w:rsidR="008C1D67" w:rsidRDefault="008C1D67" w:rsidP="008C1D67">
      <w:pPr>
        <w:pStyle w:val="DWParaNum2"/>
        <w:numPr>
          <w:ilvl w:val="0"/>
          <w:numId w:val="0"/>
        </w:numPr>
        <w:jc w:val="both"/>
        <w:rPr>
          <w:rFonts w:cs="Arial"/>
        </w:rPr>
      </w:pPr>
    </w:p>
    <w:p w14:paraId="07540043" w14:textId="751DFE2A" w:rsidR="00B65605" w:rsidRDefault="00B65605" w:rsidP="008C1D67">
      <w:pPr>
        <w:pStyle w:val="DWParaNum2"/>
        <w:numPr>
          <w:ilvl w:val="0"/>
          <w:numId w:val="0"/>
        </w:numPr>
        <w:jc w:val="both"/>
        <w:rPr>
          <w:rFonts w:cs="Arial"/>
        </w:rPr>
      </w:pPr>
    </w:p>
    <w:p w14:paraId="2714688D" w14:textId="1941AB44" w:rsidR="008C1D67" w:rsidRDefault="008C1D67" w:rsidP="00B65605">
      <w:pPr>
        <w:pStyle w:val="Heading4"/>
      </w:pPr>
      <w:r w:rsidRPr="001C2FCB">
        <w:t>Table 1 Example of Weighting</w:t>
      </w:r>
      <w:r>
        <w:t xml:space="preserve">s </w:t>
      </w:r>
    </w:p>
    <w:p w14:paraId="22729496" w14:textId="09092E9F" w:rsidR="00BB6A4E" w:rsidRDefault="00BB6A4E" w:rsidP="008C1D67">
      <w:pPr>
        <w:pStyle w:val="DWParaNum2"/>
        <w:numPr>
          <w:ilvl w:val="0"/>
          <w:numId w:val="0"/>
        </w:numPr>
        <w:jc w:val="both"/>
        <w:rPr>
          <w:rFonts w:cs="Arial"/>
          <w:b/>
          <w:bCs/>
        </w:rPr>
      </w:pPr>
    </w:p>
    <w:p w14:paraId="13D2675F" w14:textId="171308EF" w:rsidR="00BB6A4E" w:rsidRPr="00645AF0" w:rsidRDefault="00BB6A4E" w:rsidP="00BB6A4E">
      <w:pPr>
        <w:pStyle w:val="DWParaNum1"/>
        <w:numPr>
          <w:ilvl w:val="0"/>
          <w:numId w:val="0"/>
        </w:numPr>
        <w:spacing w:after="60"/>
        <w:jc w:val="both"/>
        <w:rPr>
          <w:rFonts w:cs="Arial"/>
          <w:i/>
          <w:iCs/>
        </w:rPr>
      </w:pPr>
      <w:r>
        <w:rPr>
          <w:rFonts w:cs="Arial"/>
          <w:i/>
          <w:iCs/>
        </w:rPr>
        <w:t>T</w:t>
      </w:r>
      <w:r w:rsidRPr="00645AF0">
        <w:rPr>
          <w:rFonts w:cs="Arial"/>
          <w:i/>
          <w:iCs/>
        </w:rPr>
        <w:t xml:space="preserve">his example </w:t>
      </w:r>
      <w:r>
        <w:rPr>
          <w:rFonts w:cs="Arial"/>
          <w:i/>
          <w:iCs/>
        </w:rPr>
        <w:t xml:space="preserve">shows how a </w:t>
      </w:r>
      <w:r w:rsidR="00BC3CC3">
        <w:rPr>
          <w:rFonts w:cs="Arial"/>
          <w:i/>
          <w:iCs/>
        </w:rPr>
        <w:t>technical envelope</w:t>
      </w:r>
      <w:r w:rsidR="00F24DCF">
        <w:rPr>
          <w:rFonts w:cs="Arial"/>
          <w:i/>
          <w:iCs/>
        </w:rPr>
        <w:t xml:space="preserve"> with 6 questions</w:t>
      </w:r>
      <w:r w:rsidR="00BC3CC3">
        <w:rPr>
          <w:rFonts w:cs="Arial"/>
          <w:i/>
          <w:iCs/>
        </w:rPr>
        <w:t xml:space="preserve"> could be </w:t>
      </w:r>
      <w:r w:rsidR="006D08C2">
        <w:rPr>
          <w:rFonts w:cs="Arial"/>
          <w:i/>
          <w:iCs/>
        </w:rPr>
        <w:t>weighted.</w:t>
      </w:r>
      <w:r w:rsidR="00BC3CC3">
        <w:rPr>
          <w:rFonts w:cs="Arial"/>
          <w:i/>
          <w:iCs/>
        </w:rPr>
        <w:t xml:space="preserve"> </w:t>
      </w:r>
    </w:p>
    <w:p w14:paraId="54FBBF64" w14:textId="77777777" w:rsidR="008C1D67" w:rsidRPr="001C2FCB" w:rsidRDefault="008C1D67" w:rsidP="008C1D67">
      <w:pPr>
        <w:pStyle w:val="DWParaNum2"/>
        <w:numPr>
          <w:ilvl w:val="0"/>
          <w:numId w:val="0"/>
        </w:numPr>
        <w:jc w:val="both"/>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97"/>
      </w:tblGrid>
      <w:tr w:rsidR="008C1D67" w:rsidRPr="008B5FBF" w14:paraId="7290C5AD" w14:textId="77777777" w:rsidTr="00FC659E">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2BF93FCC" w14:textId="66EE46AE" w:rsidR="008C1D67" w:rsidRPr="00FC659E" w:rsidRDefault="00FC659E" w:rsidP="00FC659E">
            <w:pPr>
              <w:overflowPunct w:val="0"/>
              <w:autoSpaceDE w:val="0"/>
              <w:autoSpaceDN w:val="0"/>
              <w:adjustRightInd w:val="0"/>
              <w:spacing w:after="0" w:line="240" w:lineRule="auto"/>
              <w:jc w:val="center"/>
              <w:textAlignment w:val="baseline"/>
              <w:rPr>
                <w:rFonts w:ascii="Arial" w:eastAsia="Calibri" w:hAnsi="Arial" w:cs="Arial"/>
                <w:b/>
                <w:bCs/>
                <w:kern w:val="22"/>
              </w:rPr>
            </w:pPr>
            <w:r w:rsidRPr="00FC659E">
              <w:rPr>
                <w:rFonts w:ascii="Arial" w:eastAsia="Calibri" w:hAnsi="Arial" w:cs="Arial"/>
                <w:b/>
                <w:bCs/>
                <w:kern w:val="22"/>
              </w:rPr>
              <w:t>Question Number</w:t>
            </w:r>
          </w:p>
        </w:tc>
        <w:tc>
          <w:tcPr>
            <w:tcW w:w="2297" w:type="dxa"/>
            <w:tcBorders>
              <w:top w:val="single" w:sz="4" w:space="0" w:color="auto"/>
              <w:left w:val="single" w:sz="4" w:space="0" w:color="auto"/>
              <w:bottom w:val="single" w:sz="4" w:space="0" w:color="auto"/>
              <w:right w:val="single" w:sz="4" w:space="0" w:color="auto"/>
            </w:tcBorders>
            <w:shd w:val="clear" w:color="auto" w:fill="D9D9D9"/>
            <w:hideMark/>
          </w:tcPr>
          <w:p w14:paraId="141130FB" w14:textId="23E147F6" w:rsidR="008C1D67" w:rsidRPr="00FC659E" w:rsidRDefault="008C1D67" w:rsidP="00FC659E">
            <w:pPr>
              <w:overflowPunct w:val="0"/>
              <w:autoSpaceDE w:val="0"/>
              <w:autoSpaceDN w:val="0"/>
              <w:adjustRightInd w:val="0"/>
              <w:spacing w:after="0" w:line="240" w:lineRule="auto"/>
              <w:jc w:val="center"/>
              <w:textAlignment w:val="baseline"/>
              <w:rPr>
                <w:rFonts w:ascii="Arial" w:eastAsia="Calibri" w:hAnsi="Arial" w:cs="Arial"/>
                <w:b/>
                <w:bCs/>
                <w:kern w:val="22"/>
              </w:rPr>
            </w:pPr>
            <w:r w:rsidRPr="00FC659E">
              <w:rPr>
                <w:rFonts w:ascii="Arial" w:eastAsia="Calibri" w:hAnsi="Arial" w:cs="Arial"/>
                <w:b/>
                <w:bCs/>
                <w:kern w:val="22"/>
              </w:rPr>
              <w:t>W</w:t>
            </w:r>
            <w:r w:rsidR="00FC659E" w:rsidRPr="00FC659E">
              <w:rPr>
                <w:rFonts w:ascii="Arial" w:eastAsia="Calibri" w:hAnsi="Arial" w:cs="Arial"/>
                <w:b/>
                <w:bCs/>
                <w:kern w:val="22"/>
              </w:rPr>
              <w:t>eighting</w:t>
            </w:r>
          </w:p>
        </w:tc>
      </w:tr>
      <w:tr w:rsidR="008C1D67" w:rsidRPr="008B5FBF" w14:paraId="52045F48" w14:textId="77777777" w:rsidTr="00FC659E">
        <w:tc>
          <w:tcPr>
            <w:tcW w:w="2268" w:type="dxa"/>
            <w:tcBorders>
              <w:top w:val="single" w:sz="4" w:space="0" w:color="auto"/>
              <w:left w:val="single" w:sz="4" w:space="0" w:color="auto"/>
              <w:bottom w:val="single" w:sz="4" w:space="0" w:color="auto"/>
              <w:right w:val="single" w:sz="4" w:space="0" w:color="auto"/>
            </w:tcBorders>
            <w:hideMark/>
          </w:tcPr>
          <w:p w14:paraId="0F3D4D51" w14:textId="77777777" w:rsidR="008C1D67" w:rsidRPr="002A2169" w:rsidRDefault="008C1D67" w:rsidP="00FC659E">
            <w:pPr>
              <w:overflowPunct w:val="0"/>
              <w:autoSpaceDE w:val="0"/>
              <w:autoSpaceDN w:val="0"/>
              <w:adjustRightInd w:val="0"/>
              <w:spacing w:after="0" w:line="240" w:lineRule="auto"/>
              <w:jc w:val="center"/>
              <w:textAlignment w:val="baseline"/>
              <w:rPr>
                <w:rFonts w:ascii="Arial" w:eastAsia="Calibri" w:hAnsi="Arial" w:cs="Arial"/>
                <w:kern w:val="22"/>
              </w:rPr>
            </w:pPr>
            <w:r w:rsidRPr="002A2169">
              <w:rPr>
                <w:rFonts w:ascii="Arial" w:eastAsia="Calibri" w:hAnsi="Arial" w:cs="Arial"/>
                <w:kern w:val="22"/>
              </w:rPr>
              <w:t>1</w:t>
            </w:r>
          </w:p>
        </w:tc>
        <w:tc>
          <w:tcPr>
            <w:tcW w:w="2297" w:type="dxa"/>
            <w:tcBorders>
              <w:top w:val="single" w:sz="4" w:space="0" w:color="auto"/>
              <w:left w:val="single" w:sz="4" w:space="0" w:color="auto"/>
              <w:bottom w:val="single" w:sz="4" w:space="0" w:color="auto"/>
              <w:right w:val="single" w:sz="4" w:space="0" w:color="auto"/>
            </w:tcBorders>
            <w:hideMark/>
          </w:tcPr>
          <w:p w14:paraId="3DCBE45B" w14:textId="77777777" w:rsidR="008C1D67" w:rsidRPr="002A2169" w:rsidRDefault="008C1D67" w:rsidP="00FC659E">
            <w:pPr>
              <w:overflowPunct w:val="0"/>
              <w:autoSpaceDE w:val="0"/>
              <w:autoSpaceDN w:val="0"/>
              <w:adjustRightInd w:val="0"/>
              <w:spacing w:after="0" w:line="240" w:lineRule="auto"/>
              <w:jc w:val="center"/>
              <w:textAlignment w:val="baseline"/>
              <w:rPr>
                <w:rFonts w:ascii="Arial" w:eastAsia="Calibri" w:hAnsi="Arial" w:cs="Arial"/>
                <w:kern w:val="22"/>
              </w:rPr>
            </w:pPr>
            <w:r w:rsidRPr="002A2169">
              <w:rPr>
                <w:rFonts w:ascii="Arial" w:eastAsia="Calibri" w:hAnsi="Arial" w:cs="Arial"/>
                <w:kern w:val="22"/>
              </w:rPr>
              <w:t>30%</w:t>
            </w:r>
          </w:p>
        </w:tc>
      </w:tr>
      <w:tr w:rsidR="008C1D67" w:rsidRPr="008B5FBF" w14:paraId="6AC86B51" w14:textId="77777777" w:rsidTr="00FC659E">
        <w:tc>
          <w:tcPr>
            <w:tcW w:w="2268" w:type="dxa"/>
            <w:tcBorders>
              <w:top w:val="single" w:sz="4" w:space="0" w:color="auto"/>
              <w:left w:val="single" w:sz="4" w:space="0" w:color="auto"/>
              <w:bottom w:val="single" w:sz="4" w:space="0" w:color="auto"/>
              <w:right w:val="single" w:sz="4" w:space="0" w:color="auto"/>
            </w:tcBorders>
            <w:hideMark/>
          </w:tcPr>
          <w:p w14:paraId="795B4A77" w14:textId="77777777" w:rsidR="008C1D67" w:rsidRPr="002A2169" w:rsidRDefault="008C1D67" w:rsidP="00FC659E">
            <w:pPr>
              <w:overflowPunct w:val="0"/>
              <w:autoSpaceDE w:val="0"/>
              <w:autoSpaceDN w:val="0"/>
              <w:adjustRightInd w:val="0"/>
              <w:spacing w:after="0" w:line="240" w:lineRule="auto"/>
              <w:jc w:val="center"/>
              <w:textAlignment w:val="baseline"/>
              <w:rPr>
                <w:rFonts w:ascii="Arial" w:eastAsia="Calibri" w:hAnsi="Arial" w:cs="Arial"/>
                <w:kern w:val="22"/>
              </w:rPr>
            </w:pPr>
            <w:r w:rsidRPr="002A2169">
              <w:rPr>
                <w:rFonts w:ascii="Arial" w:eastAsia="Calibri" w:hAnsi="Arial" w:cs="Arial"/>
                <w:kern w:val="22"/>
              </w:rPr>
              <w:t>2</w:t>
            </w:r>
          </w:p>
        </w:tc>
        <w:tc>
          <w:tcPr>
            <w:tcW w:w="2297" w:type="dxa"/>
            <w:tcBorders>
              <w:top w:val="single" w:sz="4" w:space="0" w:color="auto"/>
              <w:left w:val="single" w:sz="4" w:space="0" w:color="auto"/>
              <w:bottom w:val="single" w:sz="4" w:space="0" w:color="auto"/>
              <w:right w:val="single" w:sz="4" w:space="0" w:color="auto"/>
            </w:tcBorders>
            <w:hideMark/>
          </w:tcPr>
          <w:p w14:paraId="3E44A706" w14:textId="77777777" w:rsidR="008C1D67" w:rsidRPr="002A2169" w:rsidRDefault="008C1D67" w:rsidP="00FC659E">
            <w:pPr>
              <w:overflowPunct w:val="0"/>
              <w:autoSpaceDE w:val="0"/>
              <w:autoSpaceDN w:val="0"/>
              <w:adjustRightInd w:val="0"/>
              <w:spacing w:after="0" w:line="240" w:lineRule="auto"/>
              <w:jc w:val="center"/>
              <w:textAlignment w:val="baseline"/>
              <w:rPr>
                <w:rFonts w:ascii="Arial" w:eastAsia="Calibri" w:hAnsi="Arial" w:cs="Arial"/>
                <w:kern w:val="22"/>
              </w:rPr>
            </w:pPr>
            <w:r w:rsidRPr="002A2169">
              <w:rPr>
                <w:rFonts w:ascii="Arial" w:eastAsia="Calibri" w:hAnsi="Arial" w:cs="Arial"/>
                <w:kern w:val="22"/>
              </w:rPr>
              <w:t>20%</w:t>
            </w:r>
          </w:p>
        </w:tc>
      </w:tr>
      <w:tr w:rsidR="008C1D67" w:rsidRPr="008B5FBF" w14:paraId="4332E20A" w14:textId="77777777" w:rsidTr="00FC659E">
        <w:tc>
          <w:tcPr>
            <w:tcW w:w="2268" w:type="dxa"/>
            <w:tcBorders>
              <w:top w:val="single" w:sz="4" w:space="0" w:color="auto"/>
              <w:left w:val="single" w:sz="4" w:space="0" w:color="auto"/>
              <w:bottom w:val="single" w:sz="4" w:space="0" w:color="auto"/>
              <w:right w:val="single" w:sz="4" w:space="0" w:color="auto"/>
            </w:tcBorders>
            <w:hideMark/>
          </w:tcPr>
          <w:p w14:paraId="4F07EC83" w14:textId="77777777" w:rsidR="008C1D67" w:rsidRPr="002A2169" w:rsidRDefault="008C1D67" w:rsidP="00FC659E">
            <w:pPr>
              <w:overflowPunct w:val="0"/>
              <w:autoSpaceDE w:val="0"/>
              <w:autoSpaceDN w:val="0"/>
              <w:adjustRightInd w:val="0"/>
              <w:spacing w:after="0" w:line="240" w:lineRule="auto"/>
              <w:jc w:val="center"/>
              <w:textAlignment w:val="baseline"/>
              <w:rPr>
                <w:rFonts w:ascii="Arial" w:eastAsia="Calibri" w:hAnsi="Arial" w:cs="Arial"/>
                <w:kern w:val="22"/>
              </w:rPr>
            </w:pPr>
            <w:r w:rsidRPr="002A2169">
              <w:rPr>
                <w:rFonts w:ascii="Arial" w:eastAsia="Calibri" w:hAnsi="Arial" w:cs="Arial"/>
                <w:kern w:val="22"/>
              </w:rPr>
              <w:t>3</w:t>
            </w:r>
          </w:p>
        </w:tc>
        <w:tc>
          <w:tcPr>
            <w:tcW w:w="2297" w:type="dxa"/>
            <w:tcBorders>
              <w:top w:val="single" w:sz="4" w:space="0" w:color="auto"/>
              <w:left w:val="single" w:sz="4" w:space="0" w:color="auto"/>
              <w:bottom w:val="single" w:sz="4" w:space="0" w:color="auto"/>
              <w:right w:val="single" w:sz="4" w:space="0" w:color="auto"/>
            </w:tcBorders>
            <w:hideMark/>
          </w:tcPr>
          <w:p w14:paraId="7E093B3F" w14:textId="77777777" w:rsidR="008C1D67" w:rsidRPr="002A2169" w:rsidRDefault="008C1D67" w:rsidP="00FC659E">
            <w:pPr>
              <w:overflowPunct w:val="0"/>
              <w:autoSpaceDE w:val="0"/>
              <w:autoSpaceDN w:val="0"/>
              <w:adjustRightInd w:val="0"/>
              <w:spacing w:after="0" w:line="240" w:lineRule="auto"/>
              <w:jc w:val="center"/>
              <w:textAlignment w:val="baseline"/>
              <w:rPr>
                <w:rFonts w:ascii="Arial" w:eastAsia="Calibri" w:hAnsi="Arial" w:cs="Arial"/>
                <w:kern w:val="22"/>
              </w:rPr>
            </w:pPr>
            <w:r w:rsidRPr="002A2169">
              <w:rPr>
                <w:rFonts w:ascii="Arial" w:eastAsia="Calibri" w:hAnsi="Arial" w:cs="Arial"/>
                <w:kern w:val="22"/>
              </w:rPr>
              <w:t>30%</w:t>
            </w:r>
          </w:p>
        </w:tc>
      </w:tr>
      <w:tr w:rsidR="008C1D67" w:rsidRPr="008B5FBF" w14:paraId="5B08B258" w14:textId="77777777" w:rsidTr="00FC659E">
        <w:tc>
          <w:tcPr>
            <w:tcW w:w="2268" w:type="dxa"/>
            <w:tcBorders>
              <w:top w:val="single" w:sz="4" w:space="0" w:color="auto"/>
              <w:left w:val="single" w:sz="4" w:space="0" w:color="auto"/>
              <w:bottom w:val="single" w:sz="4" w:space="0" w:color="auto"/>
              <w:right w:val="single" w:sz="4" w:space="0" w:color="auto"/>
            </w:tcBorders>
            <w:hideMark/>
          </w:tcPr>
          <w:p w14:paraId="7F8A1AF5" w14:textId="77777777" w:rsidR="008C1D67" w:rsidRPr="002A2169" w:rsidRDefault="008C1D67" w:rsidP="00FC659E">
            <w:pPr>
              <w:overflowPunct w:val="0"/>
              <w:autoSpaceDE w:val="0"/>
              <w:autoSpaceDN w:val="0"/>
              <w:adjustRightInd w:val="0"/>
              <w:spacing w:after="0" w:line="240" w:lineRule="auto"/>
              <w:jc w:val="center"/>
              <w:textAlignment w:val="baseline"/>
              <w:rPr>
                <w:rFonts w:ascii="Arial" w:eastAsia="Calibri" w:hAnsi="Arial" w:cs="Arial"/>
                <w:kern w:val="22"/>
              </w:rPr>
            </w:pPr>
            <w:r w:rsidRPr="002A2169">
              <w:rPr>
                <w:rFonts w:ascii="Arial" w:eastAsia="Calibri" w:hAnsi="Arial" w:cs="Arial"/>
                <w:kern w:val="22"/>
              </w:rPr>
              <w:t>4</w:t>
            </w:r>
          </w:p>
        </w:tc>
        <w:tc>
          <w:tcPr>
            <w:tcW w:w="2297" w:type="dxa"/>
            <w:tcBorders>
              <w:top w:val="single" w:sz="4" w:space="0" w:color="auto"/>
              <w:left w:val="single" w:sz="4" w:space="0" w:color="auto"/>
              <w:bottom w:val="single" w:sz="4" w:space="0" w:color="auto"/>
              <w:right w:val="single" w:sz="4" w:space="0" w:color="auto"/>
            </w:tcBorders>
            <w:hideMark/>
          </w:tcPr>
          <w:p w14:paraId="70392336" w14:textId="77777777" w:rsidR="008C1D67" w:rsidRPr="002A2169" w:rsidRDefault="008C1D67" w:rsidP="00FC659E">
            <w:pPr>
              <w:overflowPunct w:val="0"/>
              <w:autoSpaceDE w:val="0"/>
              <w:autoSpaceDN w:val="0"/>
              <w:adjustRightInd w:val="0"/>
              <w:spacing w:after="0" w:line="240" w:lineRule="auto"/>
              <w:jc w:val="center"/>
              <w:textAlignment w:val="baseline"/>
              <w:rPr>
                <w:rFonts w:ascii="Arial" w:eastAsia="Calibri" w:hAnsi="Arial" w:cs="Arial"/>
                <w:kern w:val="22"/>
              </w:rPr>
            </w:pPr>
            <w:r w:rsidRPr="002A2169">
              <w:rPr>
                <w:rFonts w:ascii="Arial" w:eastAsia="Calibri" w:hAnsi="Arial" w:cs="Arial"/>
                <w:kern w:val="22"/>
              </w:rPr>
              <w:t>10%</w:t>
            </w:r>
          </w:p>
        </w:tc>
      </w:tr>
      <w:tr w:rsidR="008C1D67" w:rsidRPr="008B5FBF" w14:paraId="1D8E05DF" w14:textId="77777777" w:rsidTr="00FC659E">
        <w:tc>
          <w:tcPr>
            <w:tcW w:w="2268" w:type="dxa"/>
            <w:tcBorders>
              <w:top w:val="single" w:sz="4" w:space="0" w:color="auto"/>
              <w:left w:val="single" w:sz="4" w:space="0" w:color="auto"/>
              <w:bottom w:val="single" w:sz="4" w:space="0" w:color="auto"/>
              <w:right w:val="single" w:sz="4" w:space="0" w:color="auto"/>
            </w:tcBorders>
            <w:hideMark/>
          </w:tcPr>
          <w:p w14:paraId="089BAB2E" w14:textId="77777777" w:rsidR="008C1D67" w:rsidRPr="002A2169" w:rsidRDefault="008C1D67" w:rsidP="00FC659E">
            <w:pPr>
              <w:overflowPunct w:val="0"/>
              <w:autoSpaceDE w:val="0"/>
              <w:autoSpaceDN w:val="0"/>
              <w:adjustRightInd w:val="0"/>
              <w:spacing w:after="0" w:line="240" w:lineRule="auto"/>
              <w:jc w:val="center"/>
              <w:textAlignment w:val="baseline"/>
              <w:rPr>
                <w:rFonts w:ascii="Arial" w:eastAsia="Calibri" w:hAnsi="Arial" w:cs="Arial"/>
                <w:kern w:val="22"/>
              </w:rPr>
            </w:pPr>
            <w:r w:rsidRPr="002A2169">
              <w:rPr>
                <w:rFonts w:ascii="Arial" w:eastAsia="Calibri" w:hAnsi="Arial" w:cs="Arial"/>
                <w:kern w:val="22"/>
              </w:rPr>
              <w:t>5</w:t>
            </w:r>
          </w:p>
        </w:tc>
        <w:tc>
          <w:tcPr>
            <w:tcW w:w="2297" w:type="dxa"/>
            <w:tcBorders>
              <w:top w:val="single" w:sz="4" w:space="0" w:color="auto"/>
              <w:left w:val="single" w:sz="4" w:space="0" w:color="auto"/>
              <w:bottom w:val="single" w:sz="4" w:space="0" w:color="auto"/>
              <w:right w:val="single" w:sz="4" w:space="0" w:color="auto"/>
            </w:tcBorders>
            <w:hideMark/>
          </w:tcPr>
          <w:p w14:paraId="5702B2B1" w14:textId="77777777" w:rsidR="008C1D67" w:rsidRPr="002A2169" w:rsidRDefault="008C1D67" w:rsidP="00FC659E">
            <w:pPr>
              <w:overflowPunct w:val="0"/>
              <w:autoSpaceDE w:val="0"/>
              <w:autoSpaceDN w:val="0"/>
              <w:adjustRightInd w:val="0"/>
              <w:spacing w:after="0" w:line="240" w:lineRule="auto"/>
              <w:jc w:val="center"/>
              <w:textAlignment w:val="baseline"/>
              <w:rPr>
                <w:rFonts w:ascii="Arial" w:eastAsia="Calibri" w:hAnsi="Arial" w:cs="Arial"/>
                <w:kern w:val="22"/>
              </w:rPr>
            </w:pPr>
            <w:r w:rsidRPr="002A2169">
              <w:rPr>
                <w:rFonts w:ascii="Arial" w:eastAsia="Calibri" w:hAnsi="Arial" w:cs="Arial"/>
                <w:kern w:val="22"/>
              </w:rPr>
              <w:t>5%</w:t>
            </w:r>
          </w:p>
        </w:tc>
      </w:tr>
      <w:tr w:rsidR="008C1D67" w:rsidRPr="008B5FBF" w14:paraId="240F1E0F" w14:textId="77777777" w:rsidTr="00FC659E">
        <w:tc>
          <w:tcPr>
            <w:tcW w:w="2268" w:type="dxa"/>
            <w:tcBorders>
              <w:top w:val="single" w:sz="4" w:space="0" w:color="auto"/>
              <w:left w:val="single" w:sz="4" w:space="0" w:color="auto"/>
              <w:bottom w:val="single" w:sz="4" w:space="0" w:color="auto"/>
              <w:right w:val="single" w:sz="4" w:space="0" w:color="auto"/>
            </w:tcBorders>
          </w:tcPr>
          <w:p w14:paraId="1F058360" w14:textId="77777777" w:rsidR="008C1D67" w:rsidRPr="002A2169" w:rsidRDefault="008C1D67" w:rsidP="00FC659E">
            <w:pPr>
              <w:overflowPunct w:val="0"/>
              <w:autoSpaceDE w:val="0"/>
              <w:autoSpaceDN w:val="0"/>
              <w:adjustRightInd w:val="0"/>
              <w:spacing w:after="0" w:line="240" w:lineRule="auto"/>
              <w:jc w:val="center"/>
              <w:textAlignment w:val="baseline"/>
              <w:rPr>
                <w:rFonts w:ascii="Arial" w:eastAsia="Calibri" w:hAnsi="Arial" w:cs="Arial"/>
                <w:kern w:val="22"/>
              </w:rPr>
            </w:pPr>
            <w:r w:rsidRPr="002A2169">
              <w:rPr>
                <w:rFonts w:ascii="Arial" w:eastAsia="Calibri" w:hAnsi="Arial" w:cs="Arial"/>
                <w:kern w:val="22"/>
              </w:rPr>
              <w:t>6</w:t>
            </w:r>
          </w:p>
        </w:tc>
        <w:tc>
          <w:tcPr>
            <w:tcW w:w="2297" w:type="dxa"/>
            <w:tcBorders>
              <w:top w:val="single" w:sz="4" w:space="0" w:color="auto"/>
              <w:left w:val="single" w:sz="4" w:space="0" w:color="auto"/>
              <w:bottom w:val="single" w:sz="4" w:space="0" w:color="auto"/>
              <w:right w:val="single" w:sz="4" w:space="0" w:color="auto"/>
            </w:tcBorders>
          </w:tcPr>
          <w:p w14:paraId="318DB2BF" w14:textId="77777777" w:rsidR="008C1D67" w:rsidRPr="002A2169" w:rsidRDefault="008C1D67" w:rsidP="00FC659E">
            <w:pPr>
              <w:overflowPunct w:val="0"/>
              <w:autoSpaceDE w:val="0"/>
              <w:autoSpaceDN w:val="0"/>
              <w:adjustRightInd w:val="0"/>
              <w:spacing w:after="0" w:line="240" w:lineRule="auto"/>
              <w:jc w:val="center"/>
              <w:textAlignment w:val="baseline"/>
              <w:rPr>
                <w:rFonts w:ascii="Arial" w:eastAsia="Calibri" w:hAnsi="Arial" w:cs="Arial"/>
                <w:kern w:val="22"/>
              </w:rPr>
            </w:pPr>
            <w:r w:rsidRPr="002A2169">
              <w:rPr>
                <w:rFonts w:ascii="Arial" w:eastAsia="Calibri" w:hAnsi="Arial" w:cs="Arial"/>
                <w:kern w:val="22"/>
              </w:rPr>
              <w:t>5%</w:t>
            </w:r>
          </w:p>
        </w:tc>
      </w:tr>
      <w:tr w:rsidR="008C1D67" w:rsidRPr="008B5FBF" w14:paraId="52C25A96" w14:textId="77777777" w:rsidTr="00FC659E">
        <w:tc>
          <w:tcPr>
            <w:tcW w:w="2268" w:type="dxa"/>
            <w:tcBorders>
              <w:top w:val="single" w:sz="4" w:space="0" w:color="auto"/>
              <w:left w:val="single" w:sz="4" w:space="0" w:color="auto"/>
              <w:bottom w:val="single" w:sz="4" w:space="0" w:color="auto"/>
              <w:right w:val="single" w:sz="4" w:space="0" w:color="auto"/>
            </w:tcBorders>
            <w:shd w:val="clear" w:color="auto" w:fill="D9D9D9"/>
          </w:tcPr>
          <w:p w14:paraId="04047CF6" w14:textId="5E1A7D24" w:rsidR="008C1D67" w:rsidRPr="00BC3CC3" w:rsidRDefault="008C1D67" w:rsidP="00FC659E">
            <w:pPr>
              <w:overflowPunct w:val="0"/>
              <w:autoSpaceDE w:val="0"/>
              <w:autoSpaceDN w:val="0"/>
              <w:adjustRightInd w:val="0"/>
              <w:spacing w:after="0" w:line="240" w:lineRule="auto"/>
              <w:jc w:val="center"/>
              <w:textAlignment w:val="baseline"/>
              <w:rPr>
                <w:rFonts w:ascii="Arial" w:eastAsia="Calibri" w:hAnsi="Arial" w:cs="Arial"/>
                <w:b/>
                <w:bCs/>
                <w:kern w:val="22"/>
              </w:rPr>
            </w:pPr>
            <w:r w:rsidRPr="00BC3CC3">
              <w:rPr>
                <w:rFonts w:ascii="Arial" w:eastAsia="Calibri" w:hAnsi="Arial" w:cs="Arial"/>
                <w:b/>
                <w:bCs/>
                <w:kern w:val="22"/>
              </w:rPr>
              <w:t>TOTAL SCORE</w:t>
            </w:r>
          </w:p>
        </w:tc>
        <w:tc>
          <w:tcPr>
            <w:tcW w:w="2297" w:type="dxa"/>
            <w:tcBorders>
              <w:top w:val="single" w:sz="4" w:space="0" w:color="auto"/>
              <w:left w:val="single" w:sz="4" w:space="0" w:color="auto"/>
              <w:bottom w:val="single" w:sz="4" w:space="0" w:color="auto"/>
              <w:right w:val="single" w:sz="4" w:space="0" w:color="auto"/>
            </w:tcBorders>
          </w:tcPr>
          <w:p w14:paraId="3B3A9DBE" w14:textId="77777777" w:rsidR="008C1D67" w:rsidRPr="00BC3CC3" w:rsidRDefault="008C1D67" w:rsidP="00FC659E">
            <w:pPr>
              <w:overflowPunct w:val="0"/>
              <w:autoSpaceDE w:val="0"/>
              <w:autoSpaceDN w:val="0"/>
              <w:adjustRightInd w:val="0"/>
              <w:spacing w:after="0" w:line="240" w:lineRule="auto"/>
              <w:jc w:val="center"/>
              <w:textAlignment w:val="baseline"/>
              <w:rPr>
                <w:rFonts w:ascii="Arial" w:eastAsia="Calibri" w:hAnsi="Arial" w:cs="Arial"/>
                <w:b/>
                <w:bCs/>
                <w:kern w:val="22"/>
              </w:rPr>
            </w:pPr>
            <w:r w:rsidRPr="00BC3CC3">
              <w:rPr>
                <w:rFonts w:ascii="Arial" w:eastAsia="Calibri" w:hAnsi="Arial" w:cs="Arial"/>
                <w:b/>
                <w:bCs/>
                <w:kern w:val="22"/>
              </w:rPr>
              <w:t>100%</w:t>
            </w:r>
          </w:p>
        </w:tc>
      </w:tr>
    </w:tbl>
    <w:p w14:paraId="051A2129" w14:textId="77777777" w:rsidR="008C1D67" w:rsidRPr="008B5FBF" w:rsidRDefault="008C1D67" w:rsidP="00B65605">
      <w:pPr>
        <w:pStyle w:val="Heading4"/>
        <w:rPr>
          <w:rFonts w:eastAsia="Times New Roman"/>
        </w:rPr>
      </w:pPr>
    </w:p>
    <w:p w14:paraId="6AAB4EED" w14:textId="1A1185E8" w:rsidR="00645AF0" w:rsidRPr="00B65605" w:rsidRDefault="008C1D67" w:rsidP="00B65605">
      <w:pPr>
        <w:pStyle w:val="Heading4"/>
        <w:rPr>
          <w:rFonts w:eastAsia="Times New Roman"/>
          <w:bCs/>
        </w:rPr>
      </w:pPr>
      <w:r>
        <w:rPr>
          <w:rFonts w:eastAsia="Times New Roman"/>
          <w:b/>
        </w:rPr>
        <w:t xml:space="preserve"> </w:t>
      </w:r>
      <w:r w:rsidRPr="00B65605">
        <w:rPr>
          <w:rFonts w:eastAsia="Times New Roman"/>
          <w:bCs/>
        </w:rPr>
        <w:t xml:space="preserve">Table 2 – </w:t>
      </w:r>
      <w:r w:rsidR="00EA5245" w:rsidRPr="00B65605">
        <w:rPr>
          <w:rFonts w:eastAsia="Times New Roman"/>
          <w:bCs/>
        </w:rPr>
        <w:t xml:space="preserve">Potential 1 </w:t>
      </w:r>
      <w:r w:rsidRPr="00B65605">
        <w:rPr>
          <w:rFonts w:eastAsia="Times New Roman"/>
          <w:bCs/>
        </w:rPr>
        <w:t>score</w:t>
      </w:r>
      <w:r w:rsidR="00355EF1" w:rsidRPr="00B65605">
        <w:rPr>
          <w:rFonts w:eastAsia="Times New Roman"/>
          <w:bCs/>
        </w:rPr>
        <w:t>s</w:t>
      </w:r>
      <w:r w:rsidR="00C153D0">
        <w:rPr>
          <w:rFonts w:eastAsia="Times New Roman"/>
          <w:bCs/>
        </w:rPr>
        <w:t xml:space="preserve"> for Question 1 </w:t>
      </w:r>
      <w:r w:rsidR="00C153D0" w:rsidRPr="00B65605">
        <w:rPr>
          <w:rFonts w:eastAsia="Times New Roman"/>
          <w:bCs/>
        </w:rPr>
        <w:t>(</w:t>
      </w:r>
      <w:r w:rsidRPr="00B65605">
        <w:rPr>
          <w:rFonts w:eastAsia="Times New Roman"/>
          <w:bCs/>
        </w:rPr>
        <w:t xml:space="preserve">applying </w:t>
      </w:r>
      <w:r w:rsidR="00EA5245" w:rsidRPr="00B65605">
        <w:rPr>
          <w:rFonts w:eastAsia="Times New Roman"/>
          <w:bCs/>
        </w:rPr>
        <w:t>the</w:t>
      </w:r>
      <w:r w:rsidRPr="00B65605">
        <w:rPr>
          <w:rFonts w:eastAsia="Times New Roman"/>
          <w:bCs/>
        </w:rPr>
        <w:t xml:space="preserve"> 30% Weighting</w:t>
      </w:r>
      <w:r w:rsidR="00EA5245" w:rsidRPr="00B65605">
        <w:rPr>
          <w:rFonts w:eastAsia="Times New Roman"/>
          <w:bCs/>
        </w:rPr>
        <w:t>)</w:t>
      </w:r>
      <w:r w:rsidRPr="00B65605">
        <w:rPr>
          <w:rFonts w:eastAsia="Times New Roman"/>
          <w:bCs/>
        </w:rPr>
        <w:t xml:space="preserve">. </w:t>
      </w:r>
    </w:p>
    <w:p w14:paraId="43CBA86F" w14:textId="77777777" w:rsidR="00BB6A4E" w:rsidRDefault="00BB6A4E" w:rsidP="008C1D67">
      <w:pPr>
        <w:overflowPunct w:val="0"/>
        <w:autoSpaceDE w:val="0"/>
        <w:autoSpaceDN w:val="0"/>
        <w:adjustRightInd w:val="0"/>
        <w:spacing w:after="0" w:line="240" w:lineRule="auto"/>
        <w:textAlignment w:val="baseline"/>
        <w:rPr>
          <w:rFonts w:ascii="Arial" w:eastAsia="Times New Roman" w:hAnsi="Arial" w:cs="Arial"/>
          <w:b/>
          <w:kern w:val="22"/>
        </w:rPr>
      </w:pPr>
    </w:p>
    <w:p w14:paraId="382E0B2D" w14:textId="69A2873C" w:rsidR="00645AF0" w:rsidRPr="00645AF0" w:rsidRDefault="00645AF0" w:rsidP="00645AF0">
      <w:pPr>
        <w:pStyle w:val="DWParaNum1"/>
        <w:numPr>
          <w:ilvl w:val="0"/>
          <w:numId w:val="0"/>
        </w:numPr>
        <w:spacing w:after="60"/>
        <w:jc w:val="both"/>
        <w:rPr>
          <w:rFonts w:cs="Arial"/>
          <w:i/>
          <w:iCs/>
        </w:rPr>
      </w:pPr>
      <w:r>
        <w:rPr>
          <w:rFonts w:cs="Arial"/>
          <w:i/>
          <w:iCs/>
        </w:rPr>
        <w:t>T</w:t>
      </w:r>
      <w:r w:rsidRPr="00645AF0">
        <w:rPr>
          <w:rFonts w:cs="Arial"/>
          <w:i/>
          <w:iCs/>
        </w:rPr>
        <w:t xml:space="preserve">his example </w:t>
      </w:r>
      <w:r w:rsidR="00BB6A4E">
        <w:rPr>
          <w:rFonts w:cs="Arial"/>
          <w:i/>
          <w:iCs/>
        </w:rPr>
        <w:t>shows each weight</w:t>
      </w:r>
      <w:r w:rsidR="00584E09">
        <w:rPr>
          <w:rFonts w:cs="Arial"/>
          <w:i/>
          <w:iCs/>
        </w:rPr>
        <w:t>ed</w:t>
      </w:r>
      <w:r w:rsidR="00BB6A4E">
        <w:rPr>
          <w:rFonts w:cs="Arial"/>
          <w:i/>
          <w:iCs/>
        </w:rPr>
        <w:t xml:space="preserve"> score that could be</w:t>
      </w:r>
      <w:r w:rsidRPr="00645AF0">
        <w:rPr>
          <w:rFonts w:cs="Arial"/>
          <w:i/>
          <w:iCs/>
        </w:rPr>
        <w:t xml:space="preserve"> achieved </w:t>
      </w:r>
      <w:r w:rsidR="00BB6A4E">
        <w:rPr>
          <w:rFonts w:cs="Arial"/>
          <w:i/>
          <w:iCs/>
        </w:rPr>
        <w:t xml:space="preserve">for </w:t>
      </w:r>
      <w:r w:rsidR="00584E09">
        <w:rPr>
          <w:rFonts w:cs="Arial"/>
          <w:i/>
          <w:iCs/>
        </w:rPr>
        <w:t>Q</w:t>
      </w:r>
      <w:r w:rsidR="00BB6A4E">
        <w:rPr>
          <w:rFonts w:cs="Arial"/>
          <w:i/>
          <w:iCs/>
        </w:rPr>
        <w:t xml:space="preserve">uestion </w:t>
      </w:r>
      <w:r w:rsidR="00584E09">
        <w:rPr>
          <w:rFonts w:cs="Arial"/>
          <w:i/>
          <w:iCs/>
        </w:rPr>
        <w:t>1</w:t>
      </w:r>
      <w:r w:rsidR="00BB6A4E">
        <w:rPr>
          <w:rFonts w:cs="Arial"/>
          <w:i/>
          <w:iCs/>
        </w:rPr>
        <w:t xml:space="preserve"> when weighted at </w:t>
      </w:r>
      <w:r w:rsidR="00584E09">
        <w:rPr>
          <w:rFonts w:cs="Arial"/>
          <w:i/>
          <w:iCs/>
        </w:rPr>
        <w:t>30%.</w:t>
      </w:r>
    </w:p>
    <w:p w14:paraId="26D35B79" w14:textId="77777777" w:rsidR="008C1D67" w:rsidRPr="008B5FBF" w:rsidRDefault="008C1D67" w:rsidP="008C1D67">
      <w:pPr>
        <w:overflowPunct w:val="0"/>
        <w:autoSpaceDE w:val="0"/>
        <w:autoSpaceDN w:val="0"/>
        <w:adjustRightInd w:val="0"/>
        <w:spacing w:after="0" w:line="240" w:lineRule="auto"/>
        <w:textAlignment w:val="baseline"/>
        <w:rPr>
          <w:rFonts w:ascii="Arial" w:eastAsia="Times New Roman" w:hAnsi="Arial" w:cs="Arial"/>
          <w:b/>
          <w:kern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2181"/>
      </w:tblGrid>
      <w:tr w:rsidR="008C1D67" w:rsidRPr="008B5FBF" w14:paraId="54E1CE33" w14:textId="77777777" w:rsidTr="00A06EDA">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1568EBDB" w14:textId="4A17CF44" w:rsidR="008C1D67" w:rsidRPr="002A2169" w:rsidRDefault="008C1D67" w:rsidP="00A06EDA">
            <w:pPr>
              <w:overflowPunct w:val="0"/>
              <w:autoSpaceDE w:val="0"/>
              <w:autoSpaceDN w:val="0"/>
              <w:adjustRightInd w:val="0"/>
              <w:spacing w:after="0" w:line="240" w:lineRule="auto"/>
              <w:textAlignment w:val="baseline"/>
              <w:rPr>
                <w:rFonts w:ascii="Arial" w:eastAsia="Calibri" w:hAnsi="Arial" w:cs="Arial"/>
                <w:bCs/>
                <w:kern w:val="22"/>
              </w:rPr>
            </w:pPr>
            <w:r w:rsidRPr="002A2169">
              <w:rPr>
                <w:rFonts w:ascii="Arial" w:eastAsia="Calibri" w:hAnsi="Arial" w:cs="Arial"/>
                <w:bCs/>
                <w:kern w:val="22"/>
              </w:rPr>
              <w:t>S</w:t>
            </w:r>
            <w:r w:rsidR="00584E09">
              <w:rPr>
                <w:rFonts w:ascii="Arial" w:eastAsia="Calibri" w:hAnsi="Arial" w:cs="Arial"/>
                <w:bCs/>
                <w:kern w:val="22"/>
              </w:rPr>
              <w:t>core</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752CDB31" w14:textId="5B662FDE" w:rsidR="008C1D67" w:rsidRPr="002A2169" w:rsidRDefault="00584E09" w:rsidP="00A06EDA">
            <w:pPr>
              <w:overflowPunct w:val="0"/>
              <w:autoSpaceDE w:val="0"/>
              <w:autoSpaceDN w:val="0"/>
              <w:adjustRightInd w:val="0"/>
              <w:spacing w:after="0" w:line="240" w:lineRule="auto"/>
              <w:textAlignment w:val="baseline"/>
              <w:rPr>
                <w:rFonts w:ascii="Arial" w:eastAsia="Calibri" w:hAnsi="Arial" w:cs="Arial"/>
                <w:bCs/>
                <w:kern w:val="22"/>
              </w:rPr>
            </w:pPr>
            <w:r>
              <w:rPr>
                <w:rFonts w:ascii="Arial" w:eastAsia="Calibri" w:hAnsi="Arial" w:cs="Arial"/>
                <w:bCs/>
                <w:kern w:val="22"/>
              </w:rPr>
              <w:t xml:space="preserve">Total Weight Scored </w:t>
            </w:r>
          </w:p>
        </w:tc>
      </w:tr>
      <w:tr w:rsidR="008C1D67" w:rsidRPr="008B5FBF" w14:paraId="2936D3A8" w14:textId="77777777" w:rsidTr="00A06EDA">
        <w:tc>
          <w:tcPr>
            <w:tcW w:w="0" w:type="auto"/>
            <w:tcBorders>
              <w:top w:val="single" w:sz="4" w:space="0" w:color="auto"/>
              <w:left w:val="single" w:sz="4" w:space="0" w:color="auto"/>
              <w:bottom w:val="single" w:sz="4" w:space="0" w:color="auto"/>
              <w:right w:val="single" w:sz="4" w:space="0" w:color="auto"/>
            </w:tcBorders>
            <w:hideMark/>
          </w:tcPr>
          <w:p w14:paraId="75B06DD7" w14:textId="77777777" w:rsidR="008C1D67" w:rsidRPr="002A2169" w:rsidRDefault="008C1D67" w:rsidP="00A06EDA">
            <w:pPr>
              <w:overflowPunct w:val="0"/>
              <w:autoSpaceDE w:val="0"/>
              <w:autoSpaceDN w:val="0"/>
              <w:adjustRightInd w:val="0"/>
              <w:spacing w:after="0" w:line="240" w:lineRule="auto"/>
              <w:jc w:val="center"/>
              <w:textAlignment w:val="baseline"/>
              <w:rPr>
                <w:rFonts w:ascii="Arial" w:eastAsia="Calibri" w:hAnsi="Arial" w:cs="Arial"/>
                <w:bCs/>
                <w:kern w:val="22"/>
              </w:rPr>
            </w:pPr>
            <w:r w:rsidRPr="002A2169">
              <w:rPr>
                <w:rFonts w:ascii="Arial" w:eastAsia="Calibri" w:hAnsi="Arial" w:cs="Arial"/>
                <w:bCs/>
                <w:kern w:val="22"/>
              </w:rPr>
              <w:t>5</w:t>
            </w:r>
          </w:p>
        </w:tc>
        <w:tc>
          <w:tcPr>
            <w:tcW w:w="0" w:type="auto"/>
            <w:tcBorders>
              <w:top w:val="single" w:sz="4" w:space="0" w:color="auto"/>
              <w:left w:val="single" w:sz="4" w:space="0" w:color="auto"/>
              <w:bottom w:val="single" w:sz="4" w:space="0" w:color="auto"/>
              <w:right w:val="single" w:sz="4" w:space="0" w:color="auto"/>
            </w:tcBorders>
            <w:hideMark/>
          </w:tcPr>
          <w:p w14:paraId="0C72BFDA" w14:textId="77777777" w:rsidR="008C1D67" w:rsidRPr="002A2169" w:rsidRDefault="008C1D67" w:rsidP="00A06EDA">
            <w:pPr>
              <w:overflowPunct w:val="0"/>
              <w:autoSpaceDE w:val="0"/>
              <w:autoSpaceDN w:val="0"/>
              <w:adjustRightInd w:val="0"/>
              <w:spacing w:after="0" w:line="240" w:lineRule="auto"/>
              <w:jc w:val="center"/>
              <w:textAlignment w:val="baseline"/>
              <w:rPr>
                <w:rFonts w:ascii="Arial" w:eastAsia="Calibri" w:hAnsi="Arial" w:cs="Arial"/>
                <w:bCs/>
                <w:kern w:val="22"/>
              </w:rPr>
            </w:pPr>
            <w:r w:rsidRPr="002A2169">
              <w:rPr>
                <w:rFonts w:ascii="Arial" w:eastAsia="Calibri" w:hAnsi="Arial" w:cs="Arial"/>
                <w:bCs/>
                <w:kern w:val="22"/>
              </w:rPr>
              <w:t>30%</w:t>
            </w:r>
          </w:p>
        </w:tc>
      </w:tr>
      <w:tr w:rsidR="008C1D67" w:rsidRPr="008B5FBF" w14:paraId="33DC94A0" w14:textId="77777777" w:rsidTr="00A06EDA">
        <w:tc>
          <w:tcPr>
            <w:tcW w:w="0" w:type="auto"/>
            <w:tcBorders>
              <w:top w:val="single" w:sz="4" w:space="0" w:color="auto"/>
              <w:left w:val="single" w:sz="4" w:space="0" w:color="auto"/>
              <w:bottom w:val="single" w:sz="4" w:space="0" w:color="auto"/>
              <w:right w:val="single" w:sz="4" w:space="0" w:color="auto"/>
            </w:tcBorders>
            <w:hideMark/>
          </w:tcPr>
          <w:p w14:paraId="3762961E" w14:textId="77777777" w:rsidR="008C1D67" w:rsidRPr="002A2169" w:rsidRDefault="008C1D67" w:rsidP="00A06EDA">
            <w:pPr>
              <w:overflowPunct w:val="0"/>
              <w:autoSpaceDE w:val="0"/>
              <w:autoSpaceDN w:val="0"/>
              <w:adjustRightInd w:val="0"/>
              <w:spacing w:after="0" w:line="240" w:lineRule="auto"/>
              <w:jc w:val="center"/>
              <w:textAlignment w:val="baseline"/>
              <w:rPr>
                <w:rFonts w:ascii="Arial" w:eastAsia="Calibri" w:hAnsi="Arial" w:cs="Arial"/>
                <w:bCs/>
                <w:kern w:val="22"/>
              </w:rPr>
            </w:pPr>
            <w:r w:rsidRPr="002A2169">
              <w:rPr>
                <w:rFonts w:ascii="Arial" w:eastAsia="Calibri" w:hAnsi="Arial" w:cs="Arial"/>
                <w:bCs/>
                <w:kern w:val="22"/>
              </w:rPr>
              <w:t>4</w:t>
            </w:r>
          </w:p>
        </w:tc>
        <w:tc>
          <w:tcPr>
            <w:tcW w:w="0" w:type="auto"/>
            <w:tcBorders>
              <w:top w:val="single" w:sz="4" w:space="0" w:color="auto"/>
              <w:left w:val="single" w:sz="4" w:space="0" w:color="auto"/>
              <w:bottom w:val="single" w:sz="4" w:space="0" w:color="auto"/>
              <w:right w:val="single" w:sz="4" w:space="0" w:color="auto"/>
            </w:tcBorders>
            <w:hideMark/>
          </w:tcPr>
          <w:p w14:paraId="5C25DEAE" w14:textId="77777777" w:rsidR="008C1D67" w:rsidRPr="002A2169" w:rsidRDefault="008C1D67" w:rsidP="00A06EDA">
            <w:pPr>
              <w:overflowPunct w:val="0"/>
              <w:autoSpaceDE w:val="0"/>
              <w:autoSpaceDN w:val="0"/>
              <w:adjustRightInd w:val="0"/>
              <w:spacing w:after="0" w:line="240" w:lineRule="auto"/>
              <w:jc w:val="center"/>
              <w:textAlignment w:val="baseline"/>
              <w:rPr>
                <w:rFonts w:ascii="Arial" w:eastAsia="Calibri" w:hAnsi="Arial" w:cs="Arial"/>
                <w:bCs/>
                <w:kern w:val="22"/>
              </w:rPr>
            </w:pPr>
            <w:r w:rsidRPr="002A2169">
              <w:rPr>
                <w:rFonts w:ascii="Arial" w:eastAsia="Calibri" w:hAnsi="Arial" w:cs="Arial"/>
                <w:bCs/>
                <w:kern w:val="22"/>
              </w:rPr>
              <w:t>24%</w:t>
            </w:r>
          </w:p>
        </w:tc>
      </w:tr>
      <w:tr w:rsidR="008C1D67" w:rsidRPr="008B5FBF" w14:paraId="4157D71D" w14:textId="77777777" w:rsidTr="00A06EDA">
        <w:tc>
          <w:tcPr>
            <w:tcW w:w="0" w:type="auto"/>
            <w:tcBorders>
              <w:top w:val="single" w:sz="4" w:space="0" w:color="auto"/>
              <w:left w:val="single" w:sz="4" w:space="0" w:color="auto"/>
              <w:bottom w:val="single" w:sz="4" w:space="0" w:color="auto"/>
              <w:right w:val="single" w:sz="4" w:space="0" w:color="auto"/>
            </w:tcBorders>
            <w:hideMark/>
          </w:tcPr>
          <w:p w14:paraId="303E88AE" w14:textId="77777777" w:rsidR="008C1D67" w:rsidRPr="002A2169" w:rsidRDefault="008C1D67" w:rsidP="00A06EDA">
            <w:pPr>
              <w:overflowPunct w:val="0"/>
              <w:autoSpaceDE w:val="0"/>
              <w:autoSpaceDN w:val="0"/>
              <w:adjustRightInd w:val="0"/>
              <w:spacing w:after="0" w:line="240" w:lineRule="auto"/>
              <w:jc w:val="center"/>
              <w:textAlignment w:val="baseline"/>
              <w:rPr>
                <w:rFonts w:ascii="Arial" w:eastAsia="Calibri" w:hAnsi="Arial" w:cs="Arial"/>
                <w:bCs/>
                <w:kern w:val="22"/>
              </w:rPr>
            </w:pPr>
            <w:r w:rsidRPr="002A2169">
              <w:rPr>
                <w:rFonts w:ascii="Arial" w:eastAsia="Calibri" w:hAnsi="Arial" w:cs="Arial"/>
                <w:bCs/>
                <w:kern w:val="22"/>
              </w:rPr>
              <w:t>3</w:t>
            </w:r>
          </w:p>
        </w:tc>
        <w:tc>
          <w:tcPr>
            <w:tcW w:w="0" w:type="auto"/>
            <w:tcBorders>
              <w:top w:val="single" w:sz="4" w:space="0" w:color="auto"/>
              <w:left w:val="single" w:sz="4" w:space="0" w:color="auto"/>
              <w:bottom w:val="single" w:sz="4" w:space="0" w:color="auto"/>
              <w:right w:val="single" w:sz="4" w:space="0" w:color="auto"/>
            </w:tcBorders>
            <w:hideMark/>
          </w:tcPr>
          <w:p w14:paraId="6A0E4AC8" w14:textId="77777777" w:rsidR="008C1D67" w:rsidRPr="002A2169" w:rsidRDefault="008C1D67" w:rsidP="00A06EDA">
            <w:pPr>
              <w:overflowPunct w:val="0"/>
              <w:autoSpaceDE w:val="0"/>
              <w:autoSpaceDN w:val="0"/>
              <w:adjustRightInd w:val="0"/>
              <w:spacing w:after="0" w:line="240" w:lineRule="auto"/>
              <w:jc w:val="center"/>
              <w:textAlignment w:val="baseline"/>
              <w:rPr>
                <w:rFonts w:ascii="Arial" w:eastAsia="Calibri" w:hAnsi="Arial" w:cs="Arial"/>
                <w:bCs/>
                <w:kern w:val="22"/>
              </w:rPr>
            </w:pPr>
            <w:r w:rsidRPr="002A2169">
              <w:rPr>
                <w:rFonts w:ascii="Arial" w:eastAsia="Calibri" w:hAnsi="Arial" w:cs="Arial"/>
                <w:bCs/>
                <w:kern w:val="22"/>
              </w:rPr>
              <w:t>18%</w:t>
            </w:r>
          </w:p>
        </w:tc>
      </w:tr>
      <w:tr w:rsidR="008C1D67" w:rsidRPr="008B5FBF" w14:paraId="4E4CB7C2" w14:textId="77777777" w:rsidTr="00A06EDA">
        <w:tc>
          <w:tcPr>
            <w:tcW w:w="0" w:type="auto"/>
            <w:tcBorders>
              <w:top w:val="single" w:sz="4" w:space="0" w:color="auto"/>
              <w:left w:val="single" w:sz="4" w:space="0" w:color="auto"/>
              <w:bottom w:val="single" w:sz="4" w:space="0" w:color="auto"/>
              <w:right w:val="single" w:sz="4" w:space="0" w:color="auto"/>
            </w:tcBorders>
            <w:hideMark/>
          </w:tcPr>
          <w:p w14:paraId="61E4420F" w14:textId="77777777" w:rsidR="008C1D67" w:rsidRPr="002A2169" w:rsidRDefault="008C1D67" w:rsidP="00A06EDA">
            <w:pPr>
              <w:overflowPunct w:val="0"/>
              <w:autoSpaceDE w:val="0"/>
              <w:autoSpaceDN w:val="0"/>
              <w:adjustRightInd w:val="0"/>
              <w:spacing w:after="0" w:line="240" w:lineRule="auto"/>
              <w:jc w:val="center"/>
              <w:textAlignment w:val="baseline"/>
              <w:rPr>
                <w:rFonts w:ascii="Arial" w:eastAsia="Calibri" w:hAnsi="Arial" w:cs="Arial"/>
                <w:bCs/>
                <w:kern w:val="22"/>
              </w:rPr>
            </w:pPr>
            <w:r w:rsidRPr="002A2169">
              <w:rPr>
                <w:rFonts w:ascii="Arial" w:eastAsia="Calibri" w:hAnsi="Arial" w:cs="Arial"/>
                <w:bCs/>
                <w:kern w:val="22"/>
              </w:rPr>
              <w:t>2</w:t>
            </w:r>
          </w:p>
        </w:tc>
        <w:tc>
          <w:tcPr>
            <w:tcW w:w="0" w:type="auto"/>
            <w:tcBorders>
              <w:top w:val="single" w:sz="4" w:space="0" w:color="auto"/>
              <w:left w:val="single" w:sz="4" w:space="0" w:color="auto"/>
              <w:bottom w:val="single" w:sz="4" w:space="0" w:color="auto"/>
              <w:right w:val="single" w:sz="4" w:space="0" w:color="auto"/>
            </w:tcBorders>
            <w:hideMark/>
          </w:tcPr>
          <w:p w14:paraId="0CC72114" w14:textId="77777777" w:rsidR="008C1D67" w:rsidRPr="002A2169" w:rsidRDefault="008C1D67" w:rsidP="00A06EDA">
            <w:pPr>
              <w:overflowPunct w:val="0"/>
              <w:autoSpaceDE w:val="0"/>
              <w:autoSpaceDN w:val="0"/>
              <w:adjustRightInd w:val="0"/>
              <w:spacing w:after="0" w:line="240" w:lineRule="auto"/>
              <w:jc w:val="center"/>
              <w:textAlignment w:val="baseline"/>
              <w:rPr>
                <w:rFonts w:ascii="Arial" w:eastAsia="Calibri" w:hAnsi="Arial" w:cs="Arial"/>
                <w:bCs/>
                <w:kern w:val="22"/>
              </w:rPr>
            </w:pPr>
            <w:r w:rsidRPr="002A2169">
              <w:rPr>
                <w:rFonts w:ascii="Arial" w:eastAsia="Calibri" w:hAnsi="Arial" w:cs="Arial"/>
                <w:bCs/>
                <w:kern w:val="22"/>
              </w:rPr>
              <w:t>12%</w:t>
            </w:r>
          </w:p>
        </w:tc>
      </w:tr>
      <w:tr w:rsidR="008C1D67" w:rsidRPr="008B5FBF" w14:paraId="6978A001" w14:textId="77777777" w:rsidTr="00A06EDA">
        <w:tc>
          <w:tcPr>
            <w:tcW w:w="0" w:type="auto"/>
            <w:tcBorders>
              <w:top w:val="single" w:sz="4" w:space="0" w:color="auto"/>
              <w:left w:val="single" w:sz="4" w:space="0" w:color="auto"/>
              <w:bottom w:val="single" w:sz="4" w:space="0" w:color="auto"/>
              <w:right w:val="single" w:sz="4" w:space="0" w:color="auto"/>
            </w:tcBorders>
            <w:hideMark/>
          </w:tcPr>
          <w:p w14:paraId="70326FDB" w14:textId="77777777" w:rsidR="008C1D67" w:rsidRPr="002A2169" w:rsidRDefault="008C1D67" w:rsidP="00A06EDA">
            <w:pPr>
              <w:overflowPunct w:val="0"/>
              <w:autoSpaceDE w:val="0"/>
              <w:autoSpaceDN w:val="0"/>
              <w:adjustRightInd w:val="0"/>
              <w:spacing w:after="0" w:line="240" w:lineRule="auto"/>
              <w:jc w:val="center"/>
              <w:textAlignment w:val="baseline"/>
              <w:rPr>
                <w:rFonts w:ascii="Arial" w:eastAsia="Calibri" w:hAnsi="Arial" w:cs="Arial"/>
                <w:bCs/>
                <w:kern w:val="22"/>
              </w:rPr>
            </w:pPr>
            <w:r w:rsidRPr="002A2169">
              <w:rPr>
                <w:rFonts w:ascii="Arial" w:eastAsia="Calibri" w:hAnsi="Arial" w:cs="Arial"/>
                <w:bCs/>
                <w:kern w:val="22"/>
              </w:rPr>
              <w:t>1</w:t>
            </w:r>
          </w:p>
        </w:tc>
        <w:tc>
          <w:tcPr>
            <w:tcW w:w="0" w:type="auto"/>
            <w:tcBorders>
              <w:top w:val="single" w:sz="4" w:space="0" w:color="auto"/>
              <w:left w:val="single" w:sz="4" w:space="0" w:color="auto"/>
              <w:bottom w:val="single" w:sz="4" w:space="0" w:color="auto"/>
              <w:right w:val="single" w:sz="4" w:space="0" w:color="auto"/>
            </w:tcBorders>
            <w:hideMark/>
          </w:tcPr>
          <w:p w14:paraId="59FA115A" w14:textId="77777777" w:rsidR="008C1D67" w:rsidRPr="002A2169" w:rsidRDefault="008C1D67" w:rsidP="00A06EDA">
            <w:pPr>
              <w:overflowPunct w:val="0"/>
              <w:autoSpaceDE w:val="0"/>
              <w:autoSpaceDN w:val="0"/>
              <w:adjustRightInd w:val="0"/>
              <w:spacing w:after="0" w:line="240" w:lineRule="auto"/>
              <w:jc w:val="center"/>
              <w:textAlignment w:val="baseline"/>
              <w:rPr>
                <w:rFonts w:ascii="Arial" w:eastAsia="Calibri" w:hAnsi="Arial" w:cs="Arial"/>
                <w:bCs/>
                <w:kern w:val="22"/>
              </w:rPr>
            </w:pPr>
            <w:r w:rsidRPr="002A2169">
              <w:rPr>
                <w:rFonts w:ascii="Arial" w:eastAsia="Calibri" w:hAnsi="Arial" w:cs="Arial"/>
                <w:bCs/>
                <w:kern w:val="22"/>
              </w:rPr>
              <w:t>6%</w:t>
            </w:r>
          </w:p>
        </w:tc>
      </w:tr>
      <w:tr w:rsidR="008C1D67" w:rsidRPr="008B5FBF" w14:paraId="477CE254" w14:textId="77777777" w:rsidTr="00A06EDA">
        <w:tc>
          <w:tcPr>
            <w:tcW w:w="0" w:type="auto"/>
            <w:tcBorders>
              <w:top w:val="single" w:sz="4" w:space="0" w:color="auto"/>
              <w:left w:val="single" w:sz="4" w:space="0" w:color="auto"/>
              <w:bottom w:val="single" w:sz="4" w:space="0" w:color="auto"/>
              <w:right w:val="single" w:sz="4" w:space="0" w:color="auto"/>
            </w:tcBorders>
            <w:hideMark/>
          </w:tcPr>
          <w:p w14:paraId="539F3F4C" w14:textId="77777777" w:rsidR="008C1D67" w:rsidRPr="002A2169" w:rsidRDefault="008C1D67" w:rsidP="00A06EDA">
            <w:pPr>
              <w:overflowPunct w:val="0"/>
              <w:autoSpaceDE w:val="0"/>
              <w:autoSpaceDN w:val="0"/>
              <w:adjustRightInd w:val="0"/>
              <w:spacing w:after="0" w:line="240" w:lineRule="auto"/>
              <w:jc w:val="center"/>
              <w:textAlignment w:val="baseline"/>
              <w:rPr>
                <w:rFonts w:ascii="Arial" w:eastAsia="Calibri" w:hAnsi="Arial" w:cs="Arial"/>
                <w:bCs/>
                <w:kern w:val="22"/>
              </w:rPr>
            </w:pPr>
            <w:r w:rsidRPr="002A2169">
              <w:rPr>
                <w:rFonts w:ascii="Arial" w:eastAsia="Calibri" w:hAnsi="Arial" w:cs="Arial"/>
                <w:bCs/>
                <w:kern w:val="22"/>
              </w:rPr>
              <w:t>0</w:t>
            </w:r>
          </w:p>
        </w:tc>
        <w:tc>
          <w:tcPr>
            <w:tcW w:w="0" w:type="auto"/>
            <w:tcBorders>
              <w:top w:val="single" w:sz="4" w:space="0" w:color="auto"/>
              <w:left w:val="single" w:sz="4" w:space="0" w:color="auto"/>
              <w:bottom w:val="single" w:sz="4" w:space="0" w:color="auto"/>
              <w:right w:val="single" w:sz="4" w:space="0" w:color="auto"/>
            </w:tcBorders>
            <w:hideMark/>
          </w:tcPr>
          <w:p w14:paraId="1F4C26E5" w14:textId="77777777" w:rsidR="008C1D67" w:rsidRPr="002A2169" w:rsidRDefault="008C1D67" w:rsidP="00A06EDA">
            <w:pPr>
              <w:overflowPunct w:val="0"/>
              <w:autoSpaceDE w:val="0"/>
              <w:autoSpaceDN w:val="0"/>
              <w:adjustRightInd w:val="0"/>
              <w:spacing w:after="0" w:line="240" w:lineRule="auto"/>
              <w:jc w:val="center"/>
              <w:textAlignment w:val="baseline"/>
              <w:rPr>
                <w:rFonts w:ascii="Arial" w:eastAsia="Calibri" w:hAnsi="Arial" w:cs="Arial"/>
                <w:bCs/>
                <w:kern w:val="22"/>
              </w:rPr>
            </w:pPr>
            <w:r w:rsidRPr="002A2169">
              <w:rPr>
                <w:rFonts w:ascii="Arial" w:eastAsia="Calibri" w:hAnsi="Arial" w:cs="Arial"/>
                <w:bCs/>
                <w:kern w:val="22"/>
              </w:rPr>
              <w:t>0%</w:t>
            </w:r>
          </w:p>
        </w:tc>
      </w:tr>
    </w:tbl>
    <w:p w14:paraId="1D0380C4" w14:textId="77777777" w:rsidR="008C1D67" w:rsidRPr="00786828" w:rsidRDefault="008C1D67" w:rsidP="008C1D67">
      <w:pPr>
        <w:overflowPunct w:val="0"/>
        <w:autoSpaceDE w:val="0"/>
        <w:autoSpaceDN w:val="0"/>
        <w:adjustRightInd w:val="0"/>
        <w:spacing w:after="0" w:line="240" w:lineRule="auto"/>
        <w:textAlignment w:val="baseline"/>
        <w:rPr>
          <w:rFonts w:ascii="Arial" w:eastAsia="Times New Roman" w:hAnsi="Arial" w:cs="Arial"/>
          <w:b/>
          <w:kern w:val="22"/>
        </w:rPr>
      </w:pPr>
    </w:p>
    <w:p w14:paraId="2A6FA749" w14:textId="77777777" w:rsidR="008C1D67" w:rsidRDefault="008C1D67" w:rsidP="008C1D67">
      <w:pPr>
        <w:overflowPunct w:val="0"/>
        <w:autoSpaceDE w:val="0"/>
        <w:autoSpaceDN w:val="0"/>
        <w:adjustRightInd w:val="0"/>
        <w:spacing w:after="0" w:line="240" w:lineRule="auto"/>
        <w:textAlignment w:val="baseline"/>
        <w:rPr>
          <w:rFonts w:ascii="Arial" w:eastAsia="Times New Roman" w:hAnsi="Arial" w:cs="Arial"/>
          <w:b/>
          <w:kern w:val="22"/>
        </w:rPr>
      </w:pPr>
    </w:p>
    <w:p w14:paraId="18716B52" w14:textId="2D7A3586" w:rsidR="008C1D67" w:rsidRPr="008B5FBF" w:rsidRDefault="007B606D" w:rsidP="00B65605">
      <w:pPr>
        <w:pStyle w:val="Heading4"/>
        <w:rPr>
          <w:rFonts w:eastAsia="Times New Roman"/>
        </w:rPr>
      </w:pPr>
      <w:r>
        <w:rPr>
          <w:rFonts w:eastAsia="Times New Roman"/>
        </w:rPr>
        <w:t xml:space="preserve"> </w:t>
      </w:r>
      <w:r w:rsidR="008C1D67">
        <w:rPr>
          <w:rFonts w:eastAsia="Times New Roman"/>
        </w:rPr>
        <w:t xml:space="preserve">Table </w:t>
      </w:r>
      <w:r w:rsidR="007412A9">
        <w:rPr>
          <w:rFonts w:eastAsia="Times New Roman"/>
        </w:rPr>
        <w:t>3 Example</w:t>
      </w:r>
      <w:r w:rsidR="008C1D67">
        <w:rPr>
          <w:rFonts w:eastAsia="Times New Roman"/>
        </w:rPr>
        <w:t xml:space="preserve"> of</w:t>
      </w:r>
      <w:r w:rsidR="00584E09">
        <w:rPr>
          <w:rFonts w:eastAsia="Times New Roman"/>
        </w:rPr>
        <w:t xml:space="preserve"> a</w:t>
      </w:r>
      <w:r w:rsidR="008C1D67">
        <w:rPr>
          <w:rFonts w:eastAsia="Times New Roman"/>
        </w:rPr>
        <w:t xml:space="preserve"> </w:t>
      </w:r>
      <w:r w:rsidR="008C1D67" w:rsidRPr="008B5FBF">
        <w:rPr>
          <w:rFonts w:eastAsia="Times New Roman"/>
        </w:rPr>
        <w:t xml:space="preserve">Potential Supplier </w:t>
      </w:r>
      <w:r w:rsidR="008C1D67">
        <w:rPr>
          <w:rFonts w:eastAsia="Times New Roman"/>
        </w:rPr>
        <w:t xml:space="preserve">Total score </w:t>
      </w:r>
    </w:p>
    <w:p w14:paraId="522EED6C" w14:textId="77777777" w:rsidR="008C1D67" w:rsidRDefault="008C1D67" w:rsidP="008C1D67">
      <w:pPr>
        <w:overflowPunct w:val="0"/>
        <w:autoSpaceDE w:val="0"/>
        <w:autoSpaceDN w:val="0"/>
        <w:adjustRightInd w:val="0"/>
        <w:spacing w:after="0" w:line="240" w:lineRule="auto"/>
        <w:textAlignment w:val="baseline"/>
        <w:rPr>
          <w:rFonts w:ascii="Arial" w:eastAsia="Times New Roman" w:hAnsi="Arial" w:cs="Arial"/>
          <w:kern w:val="22"/>
        </w:rPr>
      </w:pPr>
    </w:p>
    <w:p w14:paraId="6D5730C2" w14:textId="7272B7AA" w:rsidR="008C1D67" w:rsidRPr="00645AF0" w:rsidRDefault="00645AF0" w:rsidP="00645AF0">
      <w:pPr>
        <w:pStyle w:val="DWParaNum1"/>
        <w:numPr>
          <w:ilvl w:val="0"/>
          <w:numId w:val="0"/>
        </w:numPr>
        <w:spacing w:after="60"/>
        <w:jc w:val="both"/>
        <w:rPr>
          <w:rFonts w:cs="Arial"/>
          <w:i/>
          <w:iCs/>
        </w:rPr>
      </w:pPr>
      <w:r>
        <w:rPr>
          <w:rFonts w:cs="Arial"/>
          <w:i/>
          <w:iCs/>
        </w:rPr>
        <w:t xml:space="preserve">  </w:t>
      </w:r>
      <w:r w:rsidR="008C1D67" w:rsidRPr="00645AF0">
        <w:rPr>
          <w:rFonts w:cs="Arial"/>
          <w:i/>
          <w:iCs/>
        </w:rPr>
        <w:t xml:space="preserve">In this example the Potential Supplier has achieved a maximum score of 5 for each question. </w:t>
      </w:r>
    </w:p>
    <w:p w14:paraId="44F66B3A" w14:textId="77777777" w:rsidR="008C1D67" w:rsidRPr="008B5FBF" w:rsidRDefault="008C1D67" w:rsidP="008C1D67">
      <w:pPr>
        <w:overflowPunct w:val="0"/>
        <w:autoSpaceDE w:val="0"/>
        <w:autoSpaceDN w:val="0"/>
        <w:adjustRightInd w:val="0"/>
        <w:spacing w:after="0" w:line="240" w:lineRule="auto"/>
        <w:textAlignment w:val="baseline"/>
        <w:rPr>
          <w:rFonts w:ascii="Arial" w:eastAsia="Times New Roman" w:hAnsi="Arial" w:cs="Arial"/>
          <w:kern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417"/>
        <w:gridCol w:w="2268"/>
        <w:gridCol w:w="3261"/>
      </w:tblGrid>
      <w:tr w:rsidR="008C1D67" w:rsidRPr="008B5FBF" w14:paraId="4608991D" w14:textId="77777777" w:rsidTr="00584E09">
        <w:trPr>
          <w:trHeight w:val="571"/>
        </w:trPr>
        <w:tc>
          <w:tcPr>
            <w:tcW w:w="1305" w:type="dxa"/>
            <w:tcBorders>
              <w:top w:val="single" w:sz="4" w:space="0" w:color="auto"/>
              <w:left w:val="single" w:sz="4" w:space="0" w:color="auto"/>
              <w:bottom w:val="single" w:sz="4" w:space="0" w:color="auto"/>
              <w:right w:val="single" w:sz="4" w:space="0" w:color="auto"/>
            </w:tcBorders>
            <w:shd w:val="clear" w:color="auto" w:fill="D9D9D9"/>
            <w:hideMark/>
          </w:tcPr>
          <w:p w14:paraId="3C7C6783" w14:textId="3005E340" w:rsidR="008C1D67" w:rsidRPr="00584E09" w:rsidRDefault="008C1D67" w:rsidP="00A06EDA">
            <w:pPr>
              <w:overflowPunct w:val="0"/>
              <w:autoSpaceDE w:val="0"/>
              <w:autoSpaceDN w:val="0"/>
              <w:adjustRightInd w:val="0"/>
              <w:spacing w:after="0" w:line="240" w:lineRule="auto"/>
              <w:textAlignment w:val="baseline"/>
              <w:rPr>
                <w:rFonts w:ascii="Arial" w:eastAsia="Calibri" w:hAnsi="Arial" w:cs="Arial"/>
                <w:b/>
                <w:bCs/>
                <w:kern w:val="22"/>
              </w:rPr>
            </w:pPr>
            <w:r w:rsidRPr="00584E09">
              <w:rPr>
                <w:rFonts w:ascii="Arial" w:eastAsia="Calibri" w:hAnsi="Arial" w:cs="Arial"/>
                <w:b/>
                <w:bCs/>
                <w:kern w:val="22"/>
              </w:rPr>
              <w:t>Q</w:t>
            </w:r>
            <w:r w:rsidR="00584E09" w:rsidRPr="00584E09">
              <w:rPr>
                <w:rFonts w:ascii="Arial" w:eastAsia="Calibri" w:hAnsi="Arial" w:cs="Arial"/>
                <w:b/>
                <w:bCs/>
                <w:kern w:val="22"/>
              </w:rPr>
              <w:t>uestion Number</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0B9BE575" w14:textId="55E8E079" w:rsidR="008C1D67" w:rsidRPr="00584E09" w:rsidRDefault="00584E09" w:rsidP="00A06EDA">
            <w:pPr>
              <w:overflowPunct w:val="0"/>
              <w:autoSpaceDE w:val="0"/>
              <w:autoSpaceDN w:val="0"/>
              <w:adjustRightInd w:val="0"/>
              <w:spacing w:after="0" w:line="240" w:lineRule="auto"/>
              <w:textAlignment w:val="baseline"/>
              <w:rPr>
                <w:rFonts w:ascii="Arial" w:eastAsia="Calibri" w:hAnsi="Arial" w:cs="Arial"/>
                <w:b/>
                <w:bCs/>
                <w:kern w:val="22"/>
              </w:rPr>
            </w:pPr>
            <w:r w:rsidRPr="00584E09">
              <w:rPr>
                <w:rFonts w:ascii="Arial" w:eastAsia="Calibri" w:hAnsi="Arial" w:cs="Arial"/>
                <w:b/>
                <w:bCs/>
                <w:kern w:val="22"/>
              </w:rPr>
              <w:t>Score</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76BE7D50" w14:textId="37B9A300" w:rsidR="008C1D67" w:rsidRPr="00584E09" w:rsidRDefault="008C1D67" w:rsidP="00A06EDA">
            <w:pPr>
              <w:overflowPunct w:val="0"/>
              <w:autoSpaceDE w:val="0"/>
              <w:autoSpaceDN w:val="0"/>
              <w:adjustRightInd w:val="0"/>
              <w:spacing w:after="0" w:line="240" w:lineRule="auto"/>
              <w:textAlignment w:val="baseline"/>
              <w:rPr>
                <w:rFonts w:ascii="Arial" w:eastAsia="Calibri" w:hAnsi="Arial" w:cs="Arial"/>
                <w:b/>
                <w:bCs/>
                <w:kern w:val="22"/>
              </w:rPr>
            </w:pPr>
            <w:r w:rsidRPr="00584E09">
              <w:rPr>
                <w:rFonts w:ascii="Arial" w:eastAsia="Calibri" w:hAnsi="Arial" w:cs="Arial"/>
                <w:b/>
                <w:bCs/>
                <w:kern w:val="22"/>
              </w:rPr>
              <w:t>W</w:t>
            </w:r>
            <w:r w:rsidR="00584E09" w:rsidRPr="00584E09">
              <w:rPr>
                <w:rFonts w:ascii="Arial" w:eastAsia="Calibri" w:hAnsi="Arial" w:cs="Arial"/>
                <w:b/>
                <w:bCs/>
                <w:kern w:val="22"/>
              </w:rPr>
              <w:t>eighting Applied</w:t>
            </w:r>
          </w:p>
        </w:tc>
        <w:tc>
          <w:tcPr>
            <w:tcW w:w="3261" w:type="dxa"/>
            <w:tcBorders>
              <w:top w:val="single" w:sz="4" w:space="0" w:color="auto"/>
              <w:left w:val="single" w:sz="4" w:space="0" w:color="auto"/>
              <w:bottom w:val="single" w:sz="4" w:space="0" w:color="auto"/>
              <w:right w:val="single" w:sz="4" w:space="0" w:color="auto"/>
            </w:tcBorders>
            <w:shd w:val="clear" w:color="auto" w:fill="D9D9D9"/>
            <w:hideMark/>
          </w:tcPr>
          <w:p w14:paraId="04DA4EAB" w14:textId="048A8F8F" w:rsidR="008C1D67" w:rsidRPr="00584E09" w:rsidRDefault="00584E09" w:rsidP="00A06EDA">
            <w:pPr>
              <w:overflowPunct w:val="0"/>
              <w:autoSpaceDE w:val="0"/>
              <w:autoSpaceDN w:val="0"/>
              <w:adjustRightInd w:val="0"/>
              <w:spacing w:after="0" w:line="240" w:lineRule="auto"/>
              <w:textAlignment w:val="baseline"/>
              <w:rPr>
                <w:rFonts w:ascii="Arial" w:eastAsia="Calibri" w:hAnsi="Arial" w:cs="Arial"/>
                <w:b/>
                <w:bCs/>
                <w:kern w:val="22"/>
              </w:rPr>
            </w:pPr>
            <w:r w:rsidRPr="00584E09">
              <w:rPr>
                <w:rFonts w:ascii="Arial" w:eastAsia="Calibri" w:hAnsi="Arial" w:cs="Arial"/>
                <w:b/>
                <w:bCs/>
                <w:kern w:val="22"/>
              </w:rPr>
              <w:t>Total Weighted Score</w:t>
            </w:r>
          </w:p>
        </w:tc>
      </w:tr>
      <w:tr w:rsidR="008C1D67" w:rsidRPr="008B5FBF" w14:paraId="7709D43B" w14:textId="77777777" w:rsidTr="00584E09">
        <w:tc>
          <w:tcPr>
            <w:tcW w:w="1305" w:type="dxa"/>
            <w:tcBorders>
              <w:top w:val="single" w:sz="4" w:space="0" w:color="auto"/>
              <w:left w:val="single" w:sz="4" w:space="0" w:color="auto"/>
              <w:bottom w:val="single" w:sz="4" w:space="0" w:color="auto"/>
              <w:right w:val="single" w:sz="4" w:space="0" w:color="auto"/>
            </w:tcBorders>
            <w:hideMark/>
          </w:tcPr>
          <w:p w14:paraId="52E6C0B4" w14:textId="77777777" w:rsidR="008C1D67" w:rsidRPr="008B5FBF" w:rsidRDefault="008C1D67" w:rsidP="00A06EDA">
            <w:pPr>
              <w:overflowPunct w:val="0"/>
              <w:autoSpaceDE w:val="0"/>
              <w:autoSpaceDN w:val="0"/>
              <w:adjustRightInd w:val="0"/>
              <w:spacing w:after="0" w:line="240" w:lineRule="auto"/>
              <w:textAlignment w:val="baseline"/>
              <w:rPr>
                <w:rFonts w:ascii="Arial" w:eastAsia="Calibri" w:hAnsi="Arial" w:cs="Arial"/>
                <w:kern w:val="22"/>
              </w:rPr>
            </w:pPr>
            <w:r w:rsidRPr="008B5FBF">
              <w:rPr>
                <w:rFonts w:ascii="Arial" w:eastAsia="Calibri" w:hAnsi="Arial" w:cs="Arial"/>
                <w:kern w:val="22"/>
              </w:rPr>
              <w:t>1</w:t>
            </w:r>
          </w:p>
        </w:tc>
        <w:tc>
          <w:tcPr>
            <w:tcW w:w="1417" w:type="dxa"/>
            <w:tcBorders>
              <w:top w:val="single" w:sz="4" w:space="0" w:color="auto"/>
              <w:left w:val="single" w:sz="4" w:space="0" w:color="auto"/>
              <w:bottom w:val="single" w:sz="4" w:space="0" w:color="auto"/>
              <w:right w:val="single" w:sz="4" w:space="0" w:color="auto"/>
            </w:tcBorders>
            <w:hideMark/>
          </w:tcPr>
          <w:p w14:paraId="797BAB0E" w14:textId="77777777" w:rsidR="008C1D67" w:rsidRPr="008B5FBF" w:rsidRDefault="008C1D67" w:rsidP="00A06EDA">
            <w:pPr>
              <w:overflowPunct w:val="0"/>
              <w:autoSpaceDE w:val="0"/>
              <w:autoSpaceDN w:val="0"/>
              <w:adjustRightInd w:val="0"/>
              <w:spacing w:after="0" w:line="240" w:lineRule="auto"/>
              <w:textAlignment w:val="baseline"/>
              <w:rPr>
                <w:rFonts w:ascii="Arial" w:eastAsia="Calibri" w:hAnsi="Arial" w:cs="Arial"/>
                <w:kern w:val="22"/>
              </w:rPr>
            </w:pPr>
            <w:r w:rsidRPr="008B5FBF">
              <w:rPr>
                <w:rFonts w:ascii="Arial" w:eastAsia="Calibri" w:hAnsi="Arial" w:cs="Arial"/>
                <w:kern w:val="22"/>
              </w:rPr>
              <w:t>5</w:t>
            </w:r>
          </w:p>
        </w:tc>
        <w:tc>
          <w:tcPr>
            <w:tcW w:w="2268" w:type="dxa"/>
            <w:tcBorders>
              <w:top w:val="single" w:sz="4" w:space="0" w:color="auto"/>
              <w:left w:val="single" w:sz="4" w:space="0" w:color="auto"/>
              <w:bottom w:val="single" w:sz="4" w:space="0" w:color="auto"/>
              <w:right w:val="single" w:sz="4" w:space="0" w:color="auto"/>
            </w:tcBorders>
            <w:hideMark/>
          </w:tcPr>
          <w:p w14:paraId="185E26FC" w14:textId="77777777" w:rsidR="008C1D67" w:rsidRPr="008C1D67" w:rsidRDefault="008C1D67" w:rsidP="00A06EDA">
            <w:pPr>
              <w:overflowPunct w:val="0"/>
              <w:autoSpaceDE w:val="0"/>
              <w:autoSpaceDN w:val="0"/>
              <w:adjustRightInd w:val="0"/>
              <w:spacing w:after="0" w:line="240" w:lineRule="auto"/>
              <w:textAlignment w:val="baseline"/>
              <w:rPr>
                <w:rFonts w:ascii="Arial" w:eastAsia="Calibri" w:hAnsi="Arial" w:cs="Arial"/>
                <w:kern w:val="22"/>
              </w:rPr>
            </w:pPr>
            <w:r w:rsidRPr="008C1D67">
              <w:rPr>
                <w:rFonts w:ascii="Arial" w:eastAsia="Calibri" w:hAnsi="Arial" w:cs="Arial"/>
                <w:kern w:val="22"/>
              </w:rPr>
              <w:t>30%</w:t>
            </w:r>
          </w:p>
        </w:tc>
        <w:tc>
          <w:tcPr>
            <w:tcW w:w="3261" w:type="dxa"/>
            <w:tcBorders>
              <w:top w:val="single" w:sz="4" w:space="0" w:color="auto"/>
              <w:left w:val="single" w:sz="4" w:space="0" w:color="auto"/>
              <w:bottom w:val="single" w:sz="4" w:space="0" w:color="auto"/>
              <w:right w:val="single" w:sz="4" w:space="0" w:color="auto"/>
            </w:tcBorders>
            <w:hideMark/>
          </w:tcPr>
          <w:p w14:paraId="6F0A3E6D" w14:textId="77777777" w:rsidR="008C1D67" w:rsidRPr="008C1D67" w:rsidRDefault="008C1D67" w:rsidP="00A06EDA">
            <w:pPr>
              <w:overflowPunct w:val="0"/>
              <w:autoSpaceDE w:val="0"/>
              <w:autoSpaceDN w:val="0"/>
              <w:adjustRightInd w:val="0"/>
              <w:spacing w:after="0" w:line="240" w:lineRule="auto"/>
              <w:textAlignment w:val="baseline"/>
              <w:rPr>
                <w:rFonts w:ascii="Arial" w:eastAsia="Calibri" w:hAnsi="Arial" w:cs="Arial"/>
                <w:kern w:val="22"/>
              </w:rPr>
            </w:pPr>
            <w:r w:rsidRPr="008C1D67">
              <w:rPr>
                <w:rFonts w:ascii="Arial" w:eastAsia="Calibri" w:hAnsi="Arial" w:cs="Arial"/>
                <w:kern w:val="22"/>
              </w:rPr>
              <w:t>30%</w:t>
            </w:r>
          </w:p>
        </w:tc>
      </w:tr>
      <w:tr w:rsidR="008C1D67" w:rsidRPr="008B5FBF" w14:paraId="4172972E" w14:textId="77777777" w:rsidTr="00584E09">
        <w:tc>
          <w:tcPr>
            <w:tcW w:w="1305" w:type="dxa"/>
            <w:tcBorders>
              <w:top w:val="single" w:sz="4" w:space="0" w:color="auto"/>
              <w:left w:val="single" w:sz="4" w:space="0" w:color="auto"/>
              <w:bottom w:val="single" w:sz="4" w:space="0" w:color="auto"/>
              <w:right w:val="single" w:sz="4" w:space="0" w:color="auto"/>
            </w:tcBorders>
            <w:hideMark/>
          </w:tcPr>
          <w:p w14:paraId="4F1FC65B" w14:textId="77777777" w:rsidR="008C1D67" w:rsidRPr="008B5FBF" w:rsidRDefault="008C1D67" w:rsidP="00A06EDA">
            <w:pPr>
              <w:overflowPunct w:val="0"/>
              <w:autoSpaceDE w:val="0"/>
              <w:autoSpaceDN w:val="0"/>
              <w:adjustRightInd w:val="0"/>
              <w:spacing w:after="0" w:line="240" w:lineRule="auto"/>
              <w:textAlignment w:val="baseline"/>
              <w:rPr>
                <w:rFonts w:ascii="Arial" w:eastAsia="Calibri" w:hAnsi="Arial" w:cs="Arial"/>
                <w:kern w:val="22"/>
              </w:rPr>
            </w:pPr>
            <w:r w:rsidRPr="008B5FBF">
              <w:rPr>
                <w:rFonts w:ascii="Arial" w:eastAsia="Calibri" w:hAnsi="Arial" w:cs="Arial"/>
                <w:kern w:val="22"/>
              </w:rPr>
              <w:lastRenderedPageBreak/>
              <w:t>2</w:t>
            </w:r>
          </w:p>
        </w:tc>
        <w:tc>
          <w:tcPr>
            <w:tcW w:w="1417" w:type="dxa"/>
            <w:tcBorders>
              <w:top w:val="single" w:sz="4" w:space="0" w:color="auto"/>
              <w:left w:val="single" w:sz="4" w:space="0" w:color="auto"/>
              <w:bottom w:val="single" w:sz="4" w:space="0" w:color="auto"/>
              <w:right w:val="single" w:sz="4" w:space="0" w:color="auto"/>
            </w:tcBorders>
            <w:hideMark/>
          </w:tcPr>
          <w:p w14:paraId="110972B1" w14:textId="77777777" w:rsidR="008C1D67" w:rsidRPr="008B5FBF" w:rsidRDefault="008C1D67" w:rsidP="00A06EDA">
            <w:pPr>
              <w:overflowPunct w:val="0"/>
              <w:autoSpaceDE w:val="0"/>
              <w:autoSpaceDN w:val="0"/>
              <w:adjustRightInd w:val="0"/>
              <w:spacing w:after="0" w:line="240" w:lineRule="auto"/>
              <w:textAlignment w:val="baseline"/>
              <w:rPr>
                <w:rFonts w:ascii="Arial" w:eastAsia="Calibri" w:hAnsi="Arial" w:cs="Arial"/>
                <w:kern w:val="22"/>
              </w:rPr>
            </w:pPr>
            <w:r w:rsidRPr="008B5FBF">
              <w:rPr>
                <w:rFonts w:ascii="Arial" w:eastAsia="Calibri" w:hAnsi="Arial" w:cs="Arial"/>
                <w:kern w:val="22"/>
              </w:rPr>
              <w:t>5</w:t>
            </w:r>
          </w:p>
        </w:tc>
        <w:tc>
          <w:tcPr>
            <w:tcW w:w="2268" w:type="dxa"/>
            <w:tcBorders>
              <w:top w:val="single" w:sz="4" w:space="0" w:color="auto"/>
              <w:left w:val="single" w:sz="4" w:space="0" w:color="auto"/>
              <w:bottom w:val="single" w:sz="4" w:space="0" w:color="auto"/>
              <w:right w:val="single" w:sz="4" w:space="0" w:color="auto"/>
            </w:tcBorders>
            <w:hideMark/>
          </w:tcPr>
          <w:p w14:paraId="3281BDC7" w14:textId="77777777" w:rsidR="008C1D67" w:rsidRPr="008C1D67" w:rsidRDefault="008C1D67" w:rsidP="00A06EDA">
            <w:pPr>
              <w:overflowPunct w:val="0"/>
              <w:autoSpaceDE w:val="0"/>
              <w:autoSpaceDN w:val="0"/>
              <w:adjustRightInd w:val="0"/>
              <w:spacing w:after="0" w:line="240" w:lineRule="auto"/>
              <w:textAlignment w:val="baseline"/>
              <w:rPr>
                <w:rFonts w:ascii="Arial" w:eastAsia="Calibri" w:hAnsi="Arial" w:cs="Arial"/>
                <w:kern w:val="22"/>
              </w:rPr>
            </w:pPr>
            <w:r w:rsidRPr="008C1D67">
              <w:rPr>
                <w:rFonts w:ascii="Arial" w:eastAsia="Calibri" w:hAnsi="Arial" w:cs="Arial"/>
                <w:kern w:val="22"/>
              </w:rPr>
              <w:t>20%</w:t>
            </w:r>
          </w:p>
        </w:tc>
        <w:tc>
          <w:tcPr>
            <w:tcW w:w="3261" w:type="dxa"/>
            <w:tcBorders>
              <w:top w:val="single" w:sz="4" w:space="0" w:color="auto"/>
              <w:left w:val="single" w:sz="4" w:space="0" w:color="auto"/>
              <w:bottom w:val="single" w:sz="4" w:space="0" w:color="auto"/>
              <w:right w:val="single" w:sz="4" w:space="0" w:color="auto"/>
            </w:tcBorders>
            <w:hideMark/>
          </w:tcPr>
          <w:p w14:paraId="365A4E17" w14:textId="77777777" w:rsidR="008C1D67" w:rsidRPr="008C1D67" w:rsidRDefault="008C1D67" w:rsidP="00A06EDA">
            <w:pPr>
              <w:overflowPunct w:val="0"/>
              <w:autoSpaceDE w:val="0"/>
              <w:autoSpaceDN w:val="0"/>
              <w:adjustRightInd w:val="0"/>
              <w:spacing w:after="0" w:line="240" w:lineRule="auto"/>
              <w:textAlignment w:val="baseline"/>
              <w:rPr>
                <w:rFonts w:ascii="Arial" w:eastAsia="Calibri" w:hAnsi="Arial" w:cs="Arial"/>
                <w:kern w:val="22"/>
              </w:rPr>
            </w:pPr>
            <w:r w:rsidRPr="008C1D67">
              <w:rPr>
                <w:rFonts w:ascii="Arial" w:eastAsia="Calibri" w:hAnsi="Arial" w:cs="Arial"/>
                <w:kern w:val="22"/>
              </w:rPr>
              <w:t>20%</w:t>
            </w:r>
          </w:p>
        </w:tc>
      </w:tr>
      <w:tr w:rsidR="008C1D67" w:rsidRPr="008B5FBF" w14:paraId="00DC6A0D" w14:textId="77777777" w:rsidTr="00584E09">
        <w:tc>
          <w:tcPr>
            <w:tcW w:w="1305" w:type="dxa"/>
            <w:tcBorders>
              <w:top w:val="single" w:sz="4" w:space="0" w:color="auto"/>
              <w:left w:val="single" w:sz="4" w:space="0" w:color="auto"/>
              <w:bottom w:val="single" w:sz="4" w:space="0" w:color="auto"/>
              <w:right w:val="single" w:sz="4" w:space="0" w:color="auto"/>
            </w:tcBorders>
            <w:hideMark/>
          </w:tcPr>
          <w:p w14:paraId="641E9CD8" w14:textId="77777777" w:rsidR="008C1D67" w:rsidRPr="008B5FBF" w:rsidRDefault="008C1D67" w:rsidP="00A06EDA">
            <w:pPr>
              <w:overflowPunct w:val="0"/>
              <w:autoSpaceDE w:val="0"/>
              <w:autoSpaceDN w:val="0"/>
              <w:adjustRightInd w:val="0"/>
              <w:spacing w:after="0" w:line="240" w:lineRule="auto"/>
              <w:textAlignment w:val="baseline"/>
              <w:rPr>
                <w:rFonts w:ascii="Arial" w:eastAsia="Calibri" w:hAnsi="Arial" w:cs="Arial"/>
                <w:kern w:val="22"/>
              </w:rPr>
            </w:pPr>
            <w:r w:rsidRPr="008B5FBF">
              <w:rPr>
                <w:rFonts w:ascii="Arial" w:eastAsia="Calibri" w:hAnsi="Arial" w:cs="Arial"/>
                <w:kern w:val="22"/>
              </w:rPr>
              <w:t>3</w:t>
            </w:r>
          </w:p>
        </w:tc>
        <w:tc>
          <w:tcPr>
            <w:tcW w:w="1417" w:type="dxa"/>
            <w:tcBorders>
              <w:top w:val="single" w:sz="4" w:space="0" w:color="auto"/>
              <w:left w:val="single" w:sz="4" w:space="0" w:color="auto"/>
              <w:bottom w:val="single" w:sz="4" w:space="0" w:color="auto"/>
              <w:right w:val="single" w:sz="4" w:space="0" w:color="auto"/>
            </w:tcBorders>
            <w:hideMark/>
          </w:tcPr>
          <w:p w14:paraId="05740235" w14:textId="77777777" w:rsidR="008C1D67" w:rsidRPr="008B5FBF" w:rsidRDefault="008C1D67" w:rsidP="00A06EDA">
            <w:pPr>
              <w:overflowPunct w:val="0"/>
              <w:autoSpaceDE w:val="0"/>
              <w:autoSpaceDN w:val="0"/>
              <w:adjustRightInd w:val="0"/>
              <w:spacing w:after="0" w:line="240" w:lineRule="auto"/>
              <w:textAlignment w:val="baseline"/>
              <w:rPr>
                <w:rFonts w:ascii="Arial" w:eastAsia="Calibri" w:hAnsi="Arial" w:cs="Arial"/>
                <w:kern w:val="22"/>
              </w:rPr>
            </w:pPr>
            <w:r w:rsidRPr="008B5FBF">
              <w:rPr>
                <w:rFonts w:ascii="Arial" w:eastAsia="Calibri" w:hAnsi="Arial" w:cs="Arial"/>
                <w:kern w:val="22"/>
              </w:rPr>
              <w:t>5</w:t>
            </w:r>
          </w:p>
        </w:tc>
        <w:tc>
          <w:tcPr>
            <w:tcW w:w="2268" w:type="dxa"/>
            <w:tcBorders>
              <w:top w:val="single" w:sz="4" w:space="0" w:color="auto"/>
              <w:left w:val="single" w:sz="4" w:space="0" w:color="auto"/>
              <w:bottom w:val="single" w:sz="4" w:space="0" w:color="auto"/>
              <w:right w:val="single" w:sz="4" w:space="0" w:color="auto"/>
            </w:tcBorders>
            <w:hideMark/>
          </w:tcPr>
          <w:p w14:paraId="4E8568C5" w14:textId="77777777" w:rsidR="008C1D67" w:rsidRPr="008C1D67" w:rsidRDefault="008C1D67" w:rsidP="00A06EDA">
            <w:pPr>
              <w:overflowPunct w:val="0"/>
              <w:autoSpaceDE w:val="0"/>
              <w:autoSpaceDN w:val="0"/>
              <w:adjustRightInd w:val="0"/>
              <w:spacing w:after="0" w:line="240" w:lineRule="auto"/>
              <w:textAlignment w:val="baseline"/>
              <w:rPr>
                <w:rFonts w:ascii="Arial" w:eastAsia="Calibri" w:hAnsi="Arial" w:cs="Arial"/>
                <w:kern w:val="22"/>
              </w:rPr>
            </w:pPr>
            <w:r w:rsidRPr="008C1D67">
              <w:rPr>
                <w:rFonts w:ascii="Arial" w:eastAsia="Calibri" w:hAnsi="Arial" w:cs="Arial"/>
                <w:kern w:val="22"/>
              </w:rPr>
              <w:t>30%</w:t>
            </w:r>
          </w:p>
        </w:tc>
        <w:tc>
          <w:tcPr>
            <w:tcW w:w="3261" w:type="dxa"/>
            <w:tcBorders>
              <w:top w:val="single" w:sz="4" w:space="0" w:color="auto"/>
              <w:left w:val="single" w:sz="4" w:space="0" w:color="auto"/>
              <w:bottom w:val="single" w:sz="4" w:space="0" w:color="auto"/>
              <w:right w:val="single" w:sz="4" w:space="0" w:color="auto"/>
            </w:tcBorders>
            <w:hideMark/>
          </w:tcPr>
          <w:p w14:paraId="6F112C46" w14:textId="77777777" w:rsidR="008C1D67" w:rsidRPr="008C1D67" w:rsidRDefault="008C1D67" w:rsidP="00A06EDA">
            <w:pPr>
              <w:overflowPunct w:val="0"/>
              <w:autoSpaceDE w:val="0"/>
              <w:autoSpaceDN w:val="0"/>
              <w:adjustRightInd w:val="0"/>
              <w:spacing w:after="0" w:line="240" w:lineRule="auto"/>
              <w:textAlignment w:val="baseline"/>
              <w:rPr>
                <w:rFonts w:ascii="Arial" w:eastAsia="Calibri" w:hAnsi="Arial" w:cs="Arial"/>
                <w:kern w:val="22"/>
              </w:rPr>
            </w:pPr>
            <w:r w:rsidRPr="008C1D67">
              <w:rPr>
                <w:rFonts w:ascii="Arial" w:eastAsia="Calibri" w:hAnsi="Arial" w:cs="Arial"/>
                <w:kern w:val="22"/>
              </w:rPr>
              <w:t>30%</w:t>
            </w:r>
          </w:p>
        </w:tc>
      </w:tr>
      <w:tr w:rsidR="008C1D67" w:rsidRPr="008B5FBF" w14:paraId="33AA8107" w14:textId="77777777" w:rsidTr="00584E09">
        <w:tc>
          <w:tcPr>
            <w:tcW w:w="1305" w:type="dxa"/>
            <w:tcBorders>
              <w:top w:val="single" w:sz="4" w:space="0" w:color="auto"/>
              <w:left w:val="single" w:sz="4" w:space="0" w:color="auto"/>
              <w:bottom w:val="single" w:sz="4" w:space="0" w:color="auto"/>
              <w:right w:val="single" w:sz="4" w:space="0" w:color="auto"/>
            </w:tcBorders>
            <w:hideMark/>
          </w:tcPr>
          <w:p w14:paraId="22DD2880" w14:textId="77777777" w:rsidR="008C1D67" w:rsidRPr="008B5FBF" w:rsidRDefault="008C1D67" w:rsidP="00A06EDA">
            <w:pPr>
              <w:overflowPunct w:val="0"/>
              <w:autoSpaceDE w:val="0"/>
              <w:autoSpaceDN w:val="0"/>
              <w:adjustRightInd w:val="0"/>
              <w:spacing w:after="0" w:line="240" w:lineRule="auto"/>
              <w:textAlignment w:val="baseline"/>
              <w:rPr>
                <w:rFonts w:ascii="Arial" w:eastAsia="Calibri" w:hAnsi="Arial" w:cs="Arial"/>
                <w:kern w:val="22"/>
              </w:rPr>
            </w:pPr>
            <w:r w:rsidRPr="008B5FBF">
              <w:rPr>
                <w:rFonts w:ascii="Arial" w:eastAsia="Calibri" w:hAnsi="Arial" w:cs="Arial"/>
                <w:kern w:val="22"/>
              </w:rPr>
              <w:t>4</w:t>
            </w:r>
          </w:p>
        </w:tc>
        <w:tc>
          <w:tcPr>
            <w:tcW w:w="1417" w:type="dxa"/>
            <w:tcBorders>
              <w:top w:val="single" w:sz="4" w:space="0" w:color="auto"/>
              <w:left w:val="single" w:sz="4" w:space="0" w:color="auto"/>
              <w:bottom w:val="single" w:sz="4" w:space="0" w:color="auto"/>
              <w:right w:val="single" w:sz="4" w:space="0" w:color="auto"/>
            </w:tcBorders>
            <w:hideMark/>
          </w:tcPr>
          <w:p w14:paraId="19677DB0" w14:textId="77777777" w:rsidR="008C1D67" w:rsidRPr="008B5FBF" w:rsidRDefault="008C1D67" w:rsidP="00A06EDA">
            <w:pPr>
              <w:overflowPunct w:val="0"/>
              <w:autoSpaceDE w:val="0"/>
              <w:autoSpaceDN w:val="0"/>
              <w:adjustRightInd w:val="0"/>
              <w:spacing w:after="0" w:line="240" w:lineRule="auto"/>
              <w:textAlignment w:val="baseline"/>
              <w:rPr>
                <w:rFonts w:ascii="Arial" w:eastAsia="Calibri" w:hAnsi="Arial" w:cs="Arial"/>
                <w:kern w:val="22"/>
              </w:rPr>
            </w:pPr>
            <w:r w:rsidRPr="008B5FBF">
              <w:rPr>
                <w:rFonts w:ascii="Arial" w:eastAsia="Calibri" w:hAnsi="Arial" w:cs="Arial"/>
                <w:kern w:val="22"/>
              </w:rPr>
              <w:t>5</w:t>
            </w:r>
          </w:p>
        </w:tc>
        <w:tc>
          <w:tcPr>
            <w:tcW w:w="2268" w:type="dxa"/>
            <w:tcBorders>
              <w:top w:val="single" w:sz="4" w:space="0" w:color="auto"/>
              <w:left w:val="single" w:sz="4" w:space="0" w:color="auto"/>
              <w:bottom w:val="single" w:sz="4" w:space="0" w:color="auto"/>
              <w:right w:val="single" w:sz="4" w:space="0" w:color="auto"/>
            </w:tcBorders>
            <w:hideMark/>
          </w:tcPr>
          <w:p w14:paraId="324D76FB" w14:textId="77777777" w:rsidR="008C1D67" w:rsidRPr="008C1D67" w:rsidRDefault="008C1D67" w:rsidP="00A06EDA">
            <w:pPr>
              <w:overflowPunct w:val="0"/>
              <w:autoSpaceDE w:val="0"/>
              <w:autoSpaceDN w:val="0"/>
              <w:adjustRightInd w:val="0"/>
              <w:spacing w:after="0" w:line="240" w:lineRule="auto"/>
              <w:textAlignment w:val="baseline"/>
              <w:rPr>
                <w:rFonts w:ascii="Arial" w:eastAsia="Calibri" w:hAnsi="Arial" w:cs="Arial"/>
                <w:kern w:val="22"/>
              </w:rPr>
            </w:pPr>
            <w:r w:rsidRPr="008C1D67">
              <w:rPr>
                <w:rFonts w:ascii="Arial" w:eastAsia="Calibri" w:hAnsi="Arial" w:cs="Arial"/>
                <w:kern w:val="22"/>
              </w:rPr>
              <w:t>10%</w:t>
            </w:r>
          </w:p>
        </w:tc>
        <w:tc>
          <w:tcPr>
            <w:tcW w:w="3261" w:type="dxa"/>
            <w:tcBorders>
              <w:top w:val="single" w:sz="4" w:space="0" w:color="auto"/>
              <w:left w:val="single" w:sz="4" w:space="0" w:color="auto"/>
              <w:bottom w:val="single" w:sz="4" w:space="0" w:color="auto"/>
              <w:right w:val="single" w:sz="4" w:space="0" w:color="auto"/>
            </w:tcBorders>
            <w:hideMark/>
          </w:tcPr>
          <w:p w14:paraId="60DA598E" w14:textId="77777777" w:rsidR="008C1D67" w:rsidRPr="008C1D67" w:rsidRDefault="008C1D67" w:rsidP="00A06EDA">
            <w:pPr>
              <w:overflowPunct w:val="0"/>
              <w:autoSpaceDE w:val="0"/>
              <w:autoSpaceDN w:val="0"/>
              <w:adjustRightInd w:val="0"/>
              <w:spacing w:after="0" w:line="240" w:lineRule="auto"/>
              <w:textAlignment w:val="baseline"/>
              <w:rPr>
                <w:rFonts w:ascii="Arial" w:eastAsia="Calibri" w:hAnsi="Arial" w:cs="Arial"/>
                <w:kern w:val="22"/>
              </w:rPr>
            </w:pPr>
            <w:r w:rsidRPr="008C1D67">
              <w:rPr>
                <w:rFonts w:ascii="Arial" w:eastAsia="Calibri" w:hAnsi="Arial" w:cs="Arial"/>
                <w:kern w:val="22"/>
              </w:rPr>
              <w:t>10%</w:t>
            </w:r>
          </w:p>
        </w:tc>
      </w:tr>
      <w:tr w:rsidR="008C1D67" w:rsidRPr="008B5FBF" w14:paraId="14100ADD" w14:textId="77777777" w:rsidTr="00584E09">
        <w:tc>
          <w:tcPr>
            <w:tcW w:w="1305" w:type="dxa"/>
            <w:tcBorders>
              <w:top w:val="single" w:sz="4" w:space="0" w:color="auto"/>
              <w:left w:val="single" w:sz="4" w:space="0" w:color="auto"/>
              <w:bottom w:val="single" w:sz="4" w:space="0" w:color="auto"/>
              <w:right w:val="single" w:sz="4" w:space="0" w:color="auto"/>
            </w:tcBorders>
            <w:hideMark/>
          </w:tcPr>
          <w:p w14:paraId="2F24C302" w14:textId="77777777" w:rsidR="008C1D67" w:rsidRPr="008B5FBF" w:rsidRDefault="008C1D67" w:rsidP="00A06EDA">
            <w:pPr>
              <w:overflowPunct w:val="0"/>
              <w:autoSpaceDE w:val="0"/>
              <w:autoSpaceDN w:val="0"/>
              <w:adjustRightInd w:val="0"/>
              <w:spacing w:after="0" w:line="240" w:lineRule="auto"/>
              <w:textAlignment w:val="baseline"/>
              <w:rPr>
                <w:rFonts w:ascii="Arial" w:eastAsia="Calibri" w:hAnsi="Arial" w:cs="Arial"/>
                <w:kern w:val="22"/>
              </w:rPr>
            </w:pPr>
            <w:r w:rsidRPr="008B5FBF">
              <w:rPr>
                <w:rFonts w:ascii="Arial" w:eastAsia="Calibri" w:hAnsi="Arial" w:cs="Arial"/>
                <w:kern w:val="22"/>
              </w:rPr>
              <w:t>5</w:t>
            </w:r>
          </w:p>
        </w:tc>
        <w:tc>
          <w:tcPr>
            <w:tcW w:w="1417" w:type="dxa"/>
            <w:tcBorders>
              <w:top w:val="single" w:sz="4" w:space="0" w:color="auto"/>
              <w:left w:val="single" w:sz="4" w:space="0" w:color="auto"/>
              <w:bottom w:val="single" w:sz="4" w:space="0" w:color="auto"/>
              <w:right w:val="single" w:sz="4" w:space="0" w:color="auto"/>
            </w:tcBorders>
            <w:hideMark/>
          </w:tcPr>
          <w:p w14:paraId="3059F8EC" w14:textId="77777777" w:rsidR="008C1D67" w:rsidRPr="008B5FBF" w:rsidRDefault="008C1D67" w:rsidP="00A06EDA">
            <w:pPr>
              <w:overflowPunct w:val="0"/>
              <w:autoSpaceDE w:val="0"/>
              <w:autoSpaceDN w:val="0"/>
              <w:adjustRightInd w:val="0"/>
              <w:spacing w:after="0" w:line="240" w:lineRule="auto"/>
              <w:textAlignment w:val="baseline"/>
              <w:rPr>
                <w:rFonts w:ascii="Arial" w:eastAsia="Calibri" w:hAnsi="Arial" w:cs="Arial"/>
                <w:kern w:val="22"/>
              </w:rPr>
            </w:pPr>
            <w:r w:rsidRPr="008B5FBF">
              <w:rPr>
                <w:rFonts w:ascii="Arial" w:eastAsia="Calibri" w:hAnsi="Arial" w:cs="Arial"/>
                <w:kern w:val="22"/>
              </w:rPr>
              <w:t>5</w:t>
            </w:r>
          </w:p>
        </w:tc>
        <w:tc>
          <w:tcPr>
            <w:tcW w:w="2268" w:type="dxa"/>
            <w:tcBorders>
              <w:top w:val="single" w:sz="4" w:space="0" w:color="auto"/>
              <w:left w:val="single" w:sz="4" w:space="0" w:color="auto"/>
              <w:bottom w:val="single" w:sz="4" w:space="0" w:color="auto"/>
              <w:right w:val="single" w:sz="4" w:space="0" w:color="auto"/>
            </w:tcBorders>
            <w:hideMark/>
          </w:tcPr>
          <w:p w14:paraId="06AF3D5F" w14:textId="77777777" w:rsidR="008C1D67" w:rsidRPr="008C1D67" w:rsidRDefault="008C1D67" w:rsidP="00A06EDA">
            <w:pPr>
              <w:overflowPunct w:val="0"/>
              <w:autoSpaceDE w:val="0"/>
              <w:autoSpaceDN w:val="0"/>
              <w:adjustRightInd w:val="0"/>
              <w:spacing w:after="0" w:line="240" w:lineRule="auto"/>
              <w:textAlignment w:val="baseline"/>
              <w:rPr>
                <w:rFonts w:ascii="Arial" w:eastAsia="Calibri" w:hAnsi="Arial" w:cs="Arial"/>
                <w:kern w:val="22"/>
              </w:rPr>
            </w:pPr>
            <w:r w:rsidRPr="008C1D67">
              <w:rPr>
                <w:rFonts w:ascii="Arial" w:eastAsia="Calibri" w:hAnsi="Arial" w:cs="Arial"/>
                <w:kern w:val="22"/>
              </w:rPr>
              <w:t>5%</w:t>
            </w:r>
          </w:p>
        </w:tc>
        <w:tc>
          <w:tcPr>
            <w:tcW w:w="3261" w:type="dxa"/>
            <w:tcBorders>
              <w:top w:val="single" w:sz="4" w:space="0" w:color="auto"/>
              <w:left w:val="single" w:sz="4" w:space="0" w:color="auto"/>
              <w:bottom w:val="single" w:sz="4" w:space="0" w:color="auto"/>
              <w:right w:val="single" w:sz="4" w:space="0" w:color="auto"/>
            </w:tcBorders>
            <w:hideMark/>
          </w:tcPr>
          <w:p w14:paraId="0BD20B81" w14:textId="77777777" w:rsidR="008C1D67" w:rsidRPr="008C1D67" w:rsidRDefault="008C1D67" w:rsidP="00A06EDA">
            <w:pPr>
              <w:overflowPunct w:val="0"/>
              <w:autoSpaceDE w:val="0"/>
              <w:autoSpaceDN w:val="0"/>
              <w:adjustRightInd w:val="0"/>
              <w:spacing w:after="0" w:line="240" w:lineRule="auto"/>
              <w:textAlignment w:val="baseline"/>
              <w:rPr>
                <w:rFonts w:ascii="Arial" w:eastAsia="Calibri" w:hAnsi="Arial" w:cs="Arial"/>
                <w:kern w:val="22"/>
              </w:rPr>
            </w:pPr>
            <w:r w:rsidRPr="008C1D67">
              <w:rPr>
                <w:rFonts w:ascii="Arial" w:eastAsia="Calibri" w:hAnsi="Arial" w:cs="Arial"/>
                <w:kern w:val="22"/>
              </w:rPr>
              <w:t>5%</w:t>
            </w:r>
          </w:p>
        </w:tc>
      </w:tr>
      <w:tr w:rsidR="008C1D67" w:rsidRPr="008B5FBF" w14:paraId="147EED4E" w14:textId="77777777" w:rsidTr="00584E09">
        <w:tc>
          <w:tcPr>
            <w:tcW w:w="1305" w:type="dxa"/>
            <w:tcBorders>
              <w:top w:val="single" w:sz="4" w:space="0" w:color="auto"/>
              <w:left w:val="single" w:sz="4" w:space="0" w:color="auto"/>
              <w:bottom w:val="single" w:sz="4" w:space="0" w:color="auto"/>
              <w:right w:val="single" w:sz="4" w:space="0" w:color="auto"/>
            </w:tcBorders>
          </w:tcPr>
          <w:p w14:paraId="467D8033" w14:textId="77777777" w:rsidR="008C1D67" w:rsidRPr="008B5FBF" w:rsidRDefault="008C1D67" w:rsidP="00A06EDA">
            <w:pPr>
              <w:overflowPunct w:val="0"/>
              <w:autoSpaceDE w:val="0"/>
              <w:autoSpaceDN w:val="0"/>
              <w:adjustRightInd w:val="0"/>
              <w:spacing w:after="0" w:line="240" w:lineRule="auto"/>
              <w:textAlignment w:val="baseline"/>
              <w:rPr>
                <w:rFonts w:ascii="Arial" w:eastAsia="Calibri" w:hAnsi="Arial" w:cs="Arial"/>
                <w:kern w:val="22"/>
              </w:rPr>
            </w:pPr>
            <w:r w:rsidRPr="008B5FBF">
              <w:rPr>
                <w:rFonts w:ascii="Arial" w:eastAsia="Calibri" w:hAnsi="Arial" w:cs="Arial"/>
                <w:kern w:val="22"/>
              </w:rPr>
              <w:t>6</w:t>
            </w:r>
          </w:p>
        </w:tc>
        <w:tc>
          <w:tcPr>
            <w:tcW w:w="1417" w:type="dxa"/>
            <w:tcBorders>
              <w:top w:val="single" w:sz="4" w:space="0" w:color="auto"/>
              <w:left w:val="single" w:sz="4" w:space="0" w:color="auto"/>
              <w:bottom w:val="single" w:sz="4" w:space="0" w:color="auto"/>
              <w:right w:val="single" w:sz="4" w:space="0" w:color="auto"/>
            </w:tcBorders>
          </w:tcPr>
          <w:p w14:paraId="57ABFC0B" w14:textId="77777777" w:rsidR="008C1D67" w:rsidRPr="008B5FBF" w:rsidRDefault="008C1D67" w:rsidP="00A06EDA">
            <w:pPr>
              <w:overflowPunct w:val="0"/>
              <w:autoSpaceDE w:val="0"/>
              <w:autoSpaceDN w:val="0"/>
              <w:adjustRightInd w:val="0"/>
              <w:spacing w:after="0" w:line="240" w:lineRule="auto"/>
              <w:textAlignment w:val="baseline"/>
              <w:rPr>
                <w:rFonts w:ascii="Arial" w:eastAsia="Calibri" w:hAnsi="Arial" w:cs="Arial"/>
                <w:kern w:val="22"/>
              </w:rPr>
            </w:pPr>
            <w:r w:rsidRPr="008B5FBF">
              <w:rPr>
                <w:rFonts w:ascii="Arial" w:eastAsia="Calibri" w:hAnsi="Arial" w:cs="Arial"/>
                <w:kern w:val="22"/>
              </w:rPr>
              <w:t>5</w:t>
            </w:r>
          </w:p>
        </w:tc>
        <w:tc>
          <w:tcPr>
            <w:tcW w:w="2268" w:type="dxa"/>
            <w:tcBorders>
              <w:top w:val="single" w:sz="4" w:space="0" w:color="auto"/>
              <w:left w:val="single" w:sz="4" w:space="0" w:color="auto"/>
              <w:bottom w:val="single" w:sz="4" w:space="0" w:color="auto"/>
              <w:right w:val="single" w:sz="4" w:space="0" w:color="auto"/>
            </w:tcBorders>
          </w:tcPr>
          <w:p w14:paraId="7BF111D3" w14:textId="77777777" w:rsidR="008C1D67" w:rsidRPr="008C1D67" w:rsidRDefault="008C1D67" w:rsidP="00A06EDA">
            <w:pPr>
              <w:overflowPunct w:val="0"/>
              <w:autoSpaceDE w:val="0"/>
              <w:autoSpaceDN w:val="0"/>
              <w:adjustRightInd w:val="0"/>
              <w:spacing w:after="0" w:line="240" w:lineRule="auto"/>
              <w:textAlignment w:val="baseline"/>
              <w:rPr>
                <w:rFonts w:ascii="Arial" w:eastAsia="Calibri" w:hAnsi="Arial" w:cs="Arial"/>
                <w:kern w:val="22"/>
              </w:rPr>
            </w:pPr>
            <w:r w:rsidRPr="008C1D67">
              <w:rPr>
                <w:rFonts w:ascii="Arial" w:eastAsia="Calibri" w:hAnsi="Arial" w:cs="Arial"/>
                <w:kern w:val="22"/>
              </w:rPr>
              <w:t>5%</w:t>
            </w:r>
          </w:p>
        </w:tc>
        <w:tc>
          <w:tcPr>
            <w:tcW w:w="3261" w:type="dxa"/>
            <w:tcBorders>
              <w:top w:val="single" w:sz="4" w:space="0" w:color="auto"/>
              <w:left w:val="single" w:sz="4" w:space="0" w:color="auto"/>
              <w:bottom w:val="single" w:sz="4" w:space="0" w:color="auto"/>
              <w:right w:val="single" w:sz="4" w:space="0" w:color="auto"/>
            </w:tcBorders>
          </w:tcPr>
          <w:p w14:paraId="6A45D811" w14:textId="77777777" w:rsidR="008C1D67" w:rsidRPr="008C1D67" w:rsidRDefault="008C1D67" w:rsidP="00A06EDA">
            <w:pPr>
              <w:overflowPunct w:val="0"/>
              <w:autoSpaceDE w:val="0"/>
              <w:autoSpaceDN w:val="0"/>
              <w:adjustRightInd w:val="0"/>
              <w:spacing w:after="0" w:line="240" w:lineRule="auto"/>
              <w:textAlignment w:val="baseline"/>
              <w:rPr>
                <w:rFonts w:ascii="Arial" w:eastAsia="Calibri" w:hAnsi="Arial" w:cs="Arial"/>
                <w:kern w:val="22"/>
              </w:rPr>
            </w:pPr>
            <w:r w:rsidRPr="008C1D67">
              <w:rPr>
                <w:rFonts w:ascii="Arial" w:eastAsia="Calibri" w:hAnsi="Arial" w:cs="Arial"/>
                <w:kern w:val="22"/>
              </w:rPr>
              <w:t>5%</w:t>
            </w:r>
          </w:p>
        </w:tc>
      </w:tr>
      <w:tr w:rsidR="008C1D67" w:rsidRPr="008B5FBF" w14:paraId="51E6CB3D" w14:textId="77777777" w:rsidTr="00584E09">
        <w:tc>
          <w:tcPr>
            <w:tcW w:w="2722" w:type="dxa"/>
            <w:gridSpan w:val="2"/>
            <w:tcBorders>
              <w:top w:val="single" w:sz="4" w:space="0" w:color="auto"/>
              <w:left w:val="nil"/>
              <w:bottom w:val="nil"/>
              <w:right w:val="single" w:sz="4" w:space="0" w:color="auto"/>
            </w:tcBorders>
          </w:tcPr>
          <w:p w14:paraId="646276BE" w14:textId="77777777" w:rsidR="008C1D67" w:rsidRPr="008B5FBF" w:rsidRDefault="008C1D67" w:rsidP="00A06EDA">
            <w:pPr>
              <w:overflowPunct w:val="0"/>
              <w:autoSpaceDE w:val="0"/>
              <w:autoSpaceDN w:val="0"/>
              <w:adjustRightInd w:val="0"/>
              <w:spacing w:after="0" w:line="240" w:lineRule="auto"/>
              <w:textAlignment w:val="baseline"/>
              <w:rPr>
                <w:rFonts w:ascii="Arial" w:eastAsia="Calibri" w:hAnsi="Arial" w:cs="Arial"/>
                <w:kern w:val="22"/>
              </w:rPr>
            </w:pP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307233B6" w14:textId="77777777" w:rsidR="008C1D67" w:rsidRPr="00CC683F" w:rsidRDefault="008C1D67" w:rsidP="00A06EDA">
            <w:pPr>
              <w:overflowPunct w:val="0"/>
              <w:autoSpaceDE w:val="0"/>
              <w:autoSpaceDN w:val="0"/>
              <w:adjustRightInd w:val="0"/>
              <w:spacing w:after="0" w:line="240" w:lineRule="auto"/>
              <w:textAlignment w:val="baseline"/>
              <w:rPr>
                <w:rFonts w:ascii="Arial" w:eastAsia="Calibri" w:hAnsi="Arial" w:cs="Arial"/>
                <w:b/>
                <w:bCs/>
                <w:kern w:val="22"/>
              </w:rPr>
            </w:pPr>
            <w:r w:rsidRPr="00CC683F">
              <w:rPr>
                <w:rFonts w:ascii="Arial" w:eastAsia="Calibri" w:hAnsi="Arial" w:cs="Arial"/>
                <w:b/>
                <w:bCs/>
                <w:kern w:val="22"/>
              </w:rPr>
              <w:t>TOTAL SCORE</w:t>
            </w:r>
          </w:p>
        </w:tc>
        <w:tc>
          <w:tcPr>
            <w:tcW w:w="3261" w:type="dxa"/>
            <w:tcBorders>
              <w:top w:val="single" w:sz="4" w:space="0" w:color="auto"/>
              <w:left w:val="single" w:sz="4" w:space="0" w:color="auto"/>
              <w:bottom w:val="single" w:sz="4" w:space="0" w:color="auto"/>
              <w:right w:val="single" w:sz="4" w:space="0" w:color="auto"/>
            </w:tcBorders>
            <w:hideMark/>
          </w:tcPr>
          <w:p w14:paraId="28369B0B" w14:textId="77777777" w:rsidR="008C1D67" w:rsidRPr="00CC683F" w:rsidRDefault="008C1D67" w:rsidP="00A06EDA">
            <w:pPr>
              <w:overflowPunct w:val="0"/>
              <w:autoSpaceDE w:val="0"/>
              <w:autoSpaceDN w:val="0"/>
              <w:adjustRightInd w:val="0"/>
              <w:spacing w:after="0" w:line="240" w:lineRule="auto"/>
              <w:textAlignment w:val="baseline"/>
              <w:rPr>
                <w:rFonts w:ascii="Arial" w:eastAsia="Calibri" w:hAnsi="Arial" w:cs="Arial"/>
                <w:b/>
                <w:bCs/>
                <w:kern w:val="22"/>
              </w:rPr>
            </w:pPr>
            <w:r w:rsidRPr="00CC683F">
              <w:rPr>
                <w:rFonts w:ascii="Arial" w:eastAsia="Calibri" w:hAnsi="Arial" w:cs="Arial"/>
                <w:b/>
                <w:bCs/>
                <w:kern w:val="22"/>
              </w:rPr>
              <w:t>100%</w:t>
            </w:r>
          </w:p>
        </w:tc>
      </w:tr>
    </w:tbl>
    <w:p w14:paraId="5EC5CE4A" w14:textId="77777777" w:rsidR="008C1D67" w:rsidRPr="008C1D67" w:rsidRDefault="008C1D67" w:rsidP="008C1D67">
      <w:pPr>
        <w:pStyle w:val="DWParaNum1"/>
        <w:numPr>
          <w:ilvl w:val="0"/>
          <w:numId w:val="0"/>
        </w:numPr>
        <w:spacing w:after="60"/>
        <w:jc w:val="both"/>
        <w:rPr>
          <w:rFonts w:cs="Arial"/>
        </w:rPr>
      </w:pPr>
    </w:p>
    <w:p w14:paraId="3424C5CA" w14:textId="77777777" w:rsidR="006C263F" w:rsidRDefault="006C263F" w:rsidP="00B764B3">
      <w:pPr>
        <w:pStyle w:val="DWParaNum1"/>
        <w:numPr>
          <w:ilvl w:val="0"/>
          <w:numId w:val="0"/>
        </w:numPr>
        <w:spacing w:after="60"/>
        <w:jc w:val="both"/>
      </w:pPr>
    </w:p>
    <w:p w14:paraId="5514E2CC" w14:textId="6C51720C" w:rsidR="00B764B3" w:rsidRDefault="00BF53C8" w:rsidP="00BF53C8">
      <w:pPr>
        <w:pStyle w:val="Heading3"/>
        <w:jc w:val="both"/>
      </w:pPr>
      <w:r>
        <w:t>Request to participate considerations.</w:t>
      </w:r>
    </w:p>
    <w:p w14:paraId="1D67BDB4" w14:textId="77777777" w:rsidR="00C95134" w:rsidRPr="00F32850" w:rsidRDefault="00C95134" w:rsidP="00F32850">
      <w:pPr>
        <w:pStyle w:val="DWParaNum1"/>
        <w:numPr>
          <w:ilvl w:val="0"/>
          <w:numId w:val="0"/>
        </w:numPr>
        <w:spacing w:after="60"/>
        <w:ind w:left="426"/>
        <w:jc w:val="both"/>
        <w:rPr>
          <w:rFonts w:cs="Arial"/>
        </w:rPr>
      </w:pPr>
    </w:p>
    <w:p w14:paraId="2FE55CC3" w14:textId="2C984BBC" w:rsidR="00C95134" w:rsidRPr="00F32850" w:rsidRDefault="00C95134" w:rsidP="00F32850">
      <w:pPr>
        <w:pStyle w:val="DWParaNum1"/>
        <w:numPr>
          <w:ilvl w:val="0"/>
          <w:numId w:val="2"/>
        </w:numPr>
        <w:spacing w:after="60"/>
        <w:ind w:left="426" w:hanging="426"/>
        <w:jc w:val="both"/>
        <w:rPr>
          <w:rFonts w:cs="Arial"/>
        </w:rPr>
      </w:pPr>
      <w:r w:rsidRPr="00F32850">
        <w:rPr>
          <w:rFonts w:cs="Arial"/>
        </w:rPr>
        <w:t>The</w:t>
      </w:r>
      <w:r w:rsidR="00296043" w:rsidRPr="00F32850">
        <w:rPr>
          <w:rFonts w:cs="Arial"/>
        </w:rPr>
        <w:t xml:space="preserve"> Authority has </w:t>
      </w:r>
      <w:r w:rsidR="009D5D6A" w:rsidRPr="00F32850">
        <w:rPr>
          <w:rFonts w:cs="Arial"/>
        </w:rPr>
        <w:t>provided</w:t>
      </w:r>
      <w:r w:rsidR="00296043" w:rsidRPr="00F32850">
        <w:rPr>
          <w:rFonts w:cs="Arial"/>
        </w:rPr>
        <w:t xml:space="preserve"> </w:t>
      </w:r>
      <w:r w:rsidR="009D5D6A" w:rsidRPr="00F32850">
        <w:rPr>
          <w:rFonts w:cs="Arial"/>
        </w:rPr>
        <w:t xml:space="preserve">additional information below to allow </w:t>
      </w:r>
      <w:r w:rsidR="00296043" w:rsidRPr="00F32850">
        <w:rPr>
          <w:rFonts w:cs="Arial"/>
        </w:rPr>
        <w:t xml:space="preserve">potential suppliers a fuller understanding </w:t>
      </w:r>
      <w:r w:rsidR="009D5D6A" w:rsidRPr="00F32850">
        <w:rPr>
          <w:rFonts w:cs="Arial"/>
        </w:rPr>
        <w:t xml:space="preserve">of </w:t>
      </w:r>
      <w:r w:rsidR="00296043" w:rsidRPr="00F32850">
        <w:rPr>
          <w:rFonts w:cs="Arial"/>
        </w:rPr>
        <w:t xml:space="preserve">the evaluation process </w:t>
      </w:r>
      <w:r w:rsidR="009D5D6A" w:rsidRPr="00F32850">
        <w:rPr>
          <w:rFonts w:cs="Arial"/>
        </w:rPr>
        <w:t xml:space="preserve">so </w:t>
      </w:r>
      <w:r w:rsidR="00296043" w:rsidRPr="00F32850">
        <w:rPr>
          <w:rFonts w:cs="Arial"/>
        </w:rPr>
        <w:t xml:space="preserve">to that it can </w:t>
      </w:r>
      <w:r w:rsidRPr="00F32850">
        <w:rPr>
          <w:rFonts w:cs="Arial"/>
        </w:rPr>
        <w:t>be taken into consideration before</w:t>
      </w:r>
      <w:r w:rsidR="0032236C" w:rsidRPr="00F32850">
        <w:rPr>
          <w:rFonts w:cs="Arial"/>
        </w:rPr>
        <w:t xml:space="preserve"> requesting to </w:t>
      </w:r>
      <w:r w:rsidR="00296043" w:rsidRPr="00F32850">
        <w:rPr>
          <w:rFonts w:cs="Arial"/>
        </w:rPr>
        <w:t xml:space="preserve">participate. </w:t>
      </w:r>
    </w:p>
    <w:p w14:paraId="6BFB292E" w14:textId="77777777" w:rsidR="00C95134" w:rsidRDefault="00C95134" w:rsidP="00C95134"/>
    <w:p w14:paraId="21EDCDB8" w14:textId="0E84F443" w:rsidR="00756F52" w:rsidRDefault="00756F52" w:rsidP="00756F52">
      <w:pPr>
        <w:pStyle w:val="Heading4"/>
        <w:rPr>
          <w:rFonts w:eastAsia="Times New Roman"/>
        </w:rPr>
      </w:pPr>
      <w:r w:rsidRPr="00756F52">
        <w:rPr>
          <w:rFonts w:eastAsia="Times New Roman"/>
        </w:rPr>
        <w:t xml:space="preserve">Procurement process </w:t>
      </w:r>
    </w:p>
    <w:p w14:paraId="3D44C6D4" w14:textId="77777777" w:rsidR="00756F52" w:rsidRPr="00756F52" w:rsidRDefault="00756F52" w:rsidP="00756F52"/>
    <w:p w14:paraId="6DD9D2A8" w14:textId="7F2D5F16" w:rsidR="00B764B3" w:rsidRDefault="00B764B3" w:rsidP="00F32850">
      <w:pPr>
        <w:pStyle w:val="DWParaNum1"/>
        <w:numPr>
          <w:ilvl w:val="0"/>
          <w:numId w:val="2"/>
        </w:numPr>
        <w:spacing w:after="60"/>
        <w:ind w:left="709" w:hanging="709"/>
        <w:jc w:val="both"/>
        <w:rPr>
          <w:bCs/>
          <w:szCs w:val="22"/>
        </w:rPr>
      </w:pPr>
      <w:r>
        <w:t xml:space="preserve">The Procurement Process will be conducted in several </w:t>
      </w:r>
      <w:r w:rsidR="0032236C">
        <w:t>phase.</w:t>
      </w:r>
    </w:p>
    <w:p w14:paraId="58736E9E" w14:textId="77777777" w:rsidR="00B764B3" w:rsidRDefault="00B764B3" w:rsidP="00B764B3">
      <w:pPr>
        <w:pStyle w:val="DWParaNum1"/>
        <w:numPr>
          <w:ilvl w:val="0"/>
          <w:numId w:val="0"/>
        </w:numPr>
        <w:spacing w:after="60"/>
        <w:jc w:val="both"/>
        <w:rPr>
          <w:bCs/>
          <w:szCs w:val="22"/>
        </w:rPr>
      </w:pPr>
    </w:p>
    <w:p w14:paraId="5F677957" w14:textId="2B47C249" w:rsidR="00B764B3" w:rsidRPr="00BB49F3" w:rsidRDefault="00B764B3" w:rsidP="00B764B3">
      <w:pPr>
        <w:pStyle w:val="DWParaNum1"/>
        <w:numPr>
          <w:ilvl w:val="0"/>
          <w:numId w:val="20"/>
        </w:numPr>
        <w:spacing w:after="60"/>
        <w:jc w:val="both"/>
        <w:rPr>
          <w:bCs/>
          <w:szCs w:val="22"/>
        </w:rPr>
      </w:pPr>
      <w:r w:rsidRPr="00BB49F3">
        <w:rPr>
          <w:u w:val="single"/>
        </w:rPr>
        <w:t>Supplier Selection (</w:t>
      </w:r>
      <w:r w:rsidR="00A37C46">
        <w:rPr>
          <w:u w:val="single"/>
        </w:rPr>
        <w:t>D</w:t>
      </w:r>
      <w:r w:rsidRPr="00BB49F3">
        <w:rPr>
          <w:u w:val="single"/>
        </w:rPr>
        <w:t>PQQ)</w:t>
      </w:r>
      <w:r>
        <w:t xml:space="preserve"> </w:t>
      </w:r>
      <w:r w:rsidR="009D5D6A">
        <w:t xml:space="preserve">in </w:t>
      </w:r>
      <w:r>
        <w:t xml:space="preserve">which the Authority selects the 6 highest scoring Potential Suppliers that have requested to participate in response to the Contract Notice and invites them to </w:t>
      </w:r>
      <w:r w:rsidR="00A37C46">
        <w:t>Negotiate</w:t>
      </w:r>
      <w:r>
        <w:t xml:space="preserve">. </w:t>
      </w:r>
    </w:p>
    <w:p w14:paraId="1FA6E58F" w14:textId="77777777" w:rsidR="00B764B3" w:rsidRPr="00482666" w:rsidRDefault="00B764B3" w:rsidP="00B764B3">
      <w:pPr>
        <w:pStyle w:val="DWParaNum1"/>
        <w:numPr>
          <w:ilvl w:val="0"/>
          <w:numId w:val="0"/>
        </w:numPr>
        <w:spacing w:after="60"/>
        <w:ind w:left="1080"/>
        <w:jc w:val="both"/>
        <w:rPr>
          <w:bCs/>
          <w:szCs w:val="22"/>
        </w:rPr>
      </w:pPr>
    </w:p>
    <w:p w14:paraId="60C16874" w14:textId="3766F56D" w:rsidR="00B764B3" w:rsidRDefault="00B764B3" w:rsidP="00B764B3">
      <w:pPr>
        <w:pStyle w:val="DWParaNum1"/>
        <w:numPr>
          <w:ilvl w:val="0"/>
          <w:numId w:val="20"/>
        </w:numPr>
        <w:spacing w:after="60"/>
        <w:jc w:val="both"/>
      </w:pPr>
      <w:r w:rsidRPr="00764C62">
        <w:rPr>
          <w:u w:val="single"/>
        </w:rPr>
        <w:t xml:space="preserve">Initial </w:t>
      </w:r>
      <w:r w:rsidR="00A37C46">
        <w:rPr>
          <w:u w:val="single"/>
        </w:rPr>
        <w:t>T</w:t>
      </w:r>
      <w:r w:rsidRPr="00764C62">
        <w:rPr>
          <w:u w:val="single"/>
        </w:rPr>
        <w:t>ender Evaluation</w:t>
      </w:r>
      <w:r>
        <w:rPr>
          <w:u w:val="single"/>
        </w:rPr>
        <w:t xml:space="preserve"> </w:t>
      </w:r>
      <w:r>
        <w:t>in which the Authority selects the 3 highest scoring Tenderer’s from those that submitted</w:t>
      </w:r>
      <w:r w:rsidR="004815F5">
        <w:t xml:space="preserve"> a</w:t>
      </w:r>
      <w:r>
        <w:t xml:space="preserve"> </w:t>
      </w:r>
      <w:r w:rsidR="004815F5">
        <w:t xml:space="preserve">compliant </w:t>
      </w:r>
      <w:r>
        <w:t xml:space="preserve">ITN response and invites them to </w:t>
      </w:r>
      <w:r w:rsidR="00F32850">
        <w:t>the Equipment</w:t>
      </w:r>
      <w:r w:rsidR="00787A06">
        <w:t xml:space="preserve"> </w:t>
      </w:r>
      <w:r w:rsidR="009E58C0">
        <w:t>T</w:t>
      </w:r>
      <w:r w:rsidR="00787A06">
        <w:t xml:space="preserve">rials phase where the Tenderer’s Equipment will be subjected to </w:t>
      </w:r>
      <w:r w:rsidR="009E58C0">
        <w:t>a</w:t>
      </w:r>
      <w:r w:rsidR="00D902C9">
        <w:t xml:space="preserve"> series of trials. </w:t>
      </w:r>
    </w:p>
    <w:p w14:paraId="76D10B3F" w14:textId="77777777" w:rsidR="00B764B3" w:rsidRDefault="00B764B3" w:rsidP="00B764B3">
      <w:pPr>
        <w:pStyle w:val="DWParaNum1"/>
        <w:numPr>
          <w:ilvl w:val="0"/>
          <w:numId w:val="0"/>
        </w:numPr>
        <w:spacing w:after="60"/>
        <w:jc w:val="both"/>
      </w:pPr>
    </w:p>
    <w:p w14:paraId="4CA9594F" w14:textId="1AA858AA" w:rsidR="00B764B3" w:rsidRDefault="00B764B3" w:rsidP="00B764B3">
      <w:pPr>
        <w:pStyle w:val="DWParaNum1"/>
        <w:numPr>
          <w:ilvl w:val="0"/>
          <w:numId w:val="20"/>
        </w:numPr>
        <w:spacing w:after="60"/>
        <w:jc w:val="both"/>
      </w:pPr>
      <w:r w:rsidRPr="00764C62">
        <w:rPr>
          <w:u w:val="single"/>
        </w:rPr>
        <w:t xml:space="preserve">Equipment </w:t>
      </w:r>
      <w:r w:rsidR="00A37C46">
        <w:rPr>
          <w:u w:val="single"/>
        </w:rPr>
        <w:t>T</w:t>
      </w:r>
      <w:r w:rsidRPr="00764C62">
        <w:rPr>
          <w:u w:val="single"/>
        </w:rPr>
        <w:t>rials</w:t>
      </w:r>
      <w:r>
        <w:t xml:space="preserve"> in which the Authority will carry out Un-manned </w:t>
      </w:r>
      <w:r w:rsidR="009E58C0">
        <w:t>S</w:t>
      </w:r>
      <w:r>
        <w:t xml:space="preserve">afety </w:t>
      </w:r>
      <w:r w:rsidR="009E58C0">
        <w:t>T</w:t>
      </w:r>
      <w:r>
        <w:t xml:space="preserve">rials and </w:t>
      </w:r>
      <w:r w:rsidR="002969A7">
        <w:t xml:space="preserve">Manned </w:t>
      </w:r>
      <w:r w:rsidR="009E58C0">
        <w:t>T</w:t>
      </w:r>
      <w:r w:rsidR="002969A7">
        <w:t>ri</w:t>
      </w:r>
      <w:r w:rsidR="00A37C46">
        <w:t>a</w:t>
      </w:r>
      <w:r w:rsidR="002969A7">
        <w:t xml:space="preserve">ls </w:t>
      </w:r>
      <w:r>
        <w:t xml:space="preserve">(MOD </w:t>
      </w:r>
      <w:r w:rsidR="00D902C9">
        <w:t xml:space="preserve">Divers) </w:t>
      </w:r>
      <w:r>
        <w:t xml:space="preserve">on the equipment to </w:t>
      </w:r>
      <w:r w:rsidR="00D0069A">
        <w:t xml:space="preserve">confirm safety claims </w:t>
      </w:r>
      <w:r>
        <w:t>validate its performance</w:t>
      </w:r>
      <w:r w:rsidR="00D0069A">
        <w:t xml:space="preserve"> and </w:t>
      </w:r>
      <w:r w:rsidR="00F32850">
        <w:t>confirm.</w:t>
      </w:r>
      <w:r w:rsidR="00D0069A">
        <w:t xml:space="preserve"> </w:t>
      </w:r>
      <w:r w:rsidR="009E58C0">
        <w:t xml:space="preserve"> </w:t>
      </w:r>
    </w:p>
    <w:p w14:paraId="17D41B6C" w14:textId="77777777" w:rsidR="00B764B3" w:rsidRDefault="00B764B3" w:rsidP="00D0069A">
      <w:pPr>
        <w:ind w:left="360"/>
      </w:pPr>
    </w:p>
    <w:p w14:paraId="3F2CAB0B" w14:textId="4D222075" w:rsidR="00B764B3" w:rsidRPr="00764C62" w:rsidRDefault="00B764B3" w:rsidP="00B764B3">
      <w:pPr>
        <w:pStyle w:val="DWParaNum1"/>
        <w:numPr>
          <w:ilvl w:val="0"/>
          <w:numId w:val="20"/>
        </w:numPr>
        <w:spacing w:after="60"/>
        <w:jc w:val="both"/>
        <w:rPr>
          <w:u w:val="single"/>
        </w:rPr>
      </w:pPr>
      <w:r w:rsidRPr="00764C62">
        <w:rPr>
          <w:u w:val="single"/>
        </w:rPr>
        <w:t xml:space="preserve">Final </w:t>
      </w:r>
      <w:r w:rsidR="00EA3BBC" w:rsidRPr="00764C62">
        <w:rPr>
          <w:u w:val="single"/>
        </w:rPr>
        <w:t>section</w:t>
      </w:r>
      <w:r w:rsidR="00EA3BBC">
        <w:rPr>
          <w:u w:val="single"/>
        </w:rPr>
        <w:t xml:space="preserve"> </w:t>
      </w:r>
      <w:r w:rsidR="00EA3BBC" w:rsidRPr="00843522">
        <w:t>in</w:t>
      </w:r>
      <w:r>
        <w:t xml:space="preserve"> which </w:t>
      </w:r>
      <w:r w:rsidR="00A37C46">
        <w:t xml:space="preserve">Equipment Trials </w:t>
      </w:r>
      <w:r>
        <w:t>scores</w:t>
      </w:r>
      <w:r w:rsidR="00A37C46">
        <w:t xml:space="preserve"> will be considered</w:t>
      </w:r>
      <w:r w:rsidR="00FB5C45">
        <w:t xml:space="preserve">. </w:t>
      </w:r>
      <w:r>
        <w:t xml:space="preserve"> The</w:t>
      </w:r>
      <w:r w:rsidR="00A37C46">
        <w:t xml:space="preserve"> overall</w:t>
      </w:r>
      <w:r>
        <w:t xml:space="preserve"> highest scoring tender will be </w:t>
      </w:r>
      <w:r w:rsidR="00EA3BBC">
        <w:t>award</w:t>
      </w:r>
      <w:r w:rsidR="00A37C46">
        <w:t>ed</w:t>
      </w:r>
      <w:r>
        <w:t xml:space="preserve"> the contract.  </w:t>
      </w:r>
    </w:p>
    <w:p w14:paraId="3826EEE8" w14:textId="77777777" w:rsidR="008B5FBF" w:rsidRPr="00756F52" w:rsidRDefault="008B5FBF" w:rsidP="00756F52">
      <w:pPr>
        <w:pStyle w:val="Heading4"/>
        <w:rPr>
          <w:rFonts w:eastAsia="Times New Roman"/>
        </w:rPr>
      </w:pPr>
    </w:p>
    <w:p w14:paraId="348604EC" w14:textId="74A5D09C" w:rsidR="00756F52" w:rsidRPr="00756F52" w:rsidRDefault="00A37C46" w:rsidP="00756F52">
      <w:pPr>
        <w:pStyle w:val="Heading4"/>
        <w:rPr>
          <w:rFonts w:eastAsia="Times New Roman"/>
        </w:rPr>
      </w:pPr>
      <w:r>
        <w:rPr>
          <w:rFonts w:eastAsia="Times New Roman"/>
        </w:rPr>
        <w:t xml:space="preserve">Equipment </w:t>
      </w:r>
      <w:r w:rsidR="00756F52" w:rsidRPr="00756F52">
        <w:rPr>
          <w:rFonts w:eastAsia="Times New Roman"/>
        </w:rPr>
        <w:t xml:space="preserve">Trials </w:t>
      </w:r>
    </w:p>
    <w:p w14:paraId="65F55BAB" w14:textId="77777777" w:rsidR="00756F52" w:rsidRPr="00FB5C45" w:rsidRDefault="00756F52" w:rsidP="00756F52">
      <w:pPr>
        <w:pStyle w:val="DWParaNum1"/>
        <w:numPr>
          <w:ilvl w:val="0"/>
          <w:numId w:val="0"/>
        </w:numPr>
        <w:spacing w:after="60"/>
        <w:rPr>
          <w:rFonts w:cs="Arial"/>
          <w:szCs w:val="22"/>
        </w:rPr>
      </w:pPr>
    </w:p>
    <w:p w14:paraId="75171ED4" w14:textId="42DD3CAD" w:rsidR="00ED4676" w:rsidRDefault="002A4C51" w:rsidP="00ED4676">
      <w:pPr>
        <w:pStyle w:val="DWParaNum1"/>
        <w:numPr>
          <w:ilvl w:val="0"/>
          <w:numId w:val="41"/>
        </w:numPr>
        <w:spacing w:after="60"/>
        <w:ind w:hanging="720"/>
        <w:rPr>
          <w:bCs/>
          <w:szCs w:val="22"/>
        </w:rPr>
      </w:pPr>
      <w:r>
        <w:rPr>
          <w:bCs/>
        </w:rPr>
        <w:t xml:space="preserve">Unmanned </w:t>
      </w:r>
      <w:r w:rsidR="00774142" w:rsidRPr="00ED4676">
        <w:rPr>
          <w:bCs/>
        </w:rPr>
        <w:t>Tr</w:t>
      </w:r>
      <w:r w:rsidR="00FB5C45" w:rsidRPr="003B6881">
        <w:rPr>
          <w:bCs/>
        </w:rPr>
        <w:t>ial</w:t>
      </w:r>
      <w:r w:rsidR="00774142" w:rsidRPr="00ED4676">
        <w:rPr>
          <w:bCs/>
        </w:rPr>
        <w:t xml:space="preserve">s will be </w:t>
      </w:r>
      <w:r w:rsidR="002969A7" w:rsidRPr="00ED4676">
        <w:rPr>
          <w:bCs/>
        </w:rPr>
        <w:t xml:space="preserve">conducted by a </w:t>
      </w:r>
      <w:r w:rsidR="006B5C49" w:rsidRPr="00ED4676">
        <w:rPr>
          <w:bCs/>
        </w:rPr>
        <w:t>3</w:t>
      </w:r>
      <w:r w:rsidR="006B5C49" w:rsidRPr="004E7070">
        <w:rPr>
          <w:bCs/>
        </w:rPr>
        <w:t>rd</w:t>
      </w:r>
      <w:r w:rsidR="006B5C49" w:rsidRPr="00ED4676">
        <w:rPr>
          <w:bCs/>
        </w:rPr>
        <w:t xml:space="preserve"> party </w:t>
      </w:r>
      <w:r w:rsidR="00756F52" w:rsidRPr="00ED4676">
        <w:rPr>
          <w:bCs/>
        </w:rPr>
        <w:t>(QinetiQ</w:t>
      </w:r>
      <w:r w:rsidR="006B5C49" w:rsidRPr="00ED4676">
        <w:rPr>
          <w:bCs/>
        </w:rPr>
        <w:t>)</w:t>
      </w:r>
      <w:r w:rsidR="00A37C46" w:rsidRPr="00ED4676">
        <w:rPr>
          <w:bCs/>
        </w:rPr>
        <w:t>.</w:t>
      </w:r>
      <w:r w:rsidR="006B5C49" w:rsidRPr="00ED4676">
        <w:rPr>
          <w:bCs/>
        </w:rPr>
        <w:t xml:space="preserve"> It will be the Suppliers responsibility to arrange </w:t>
      </w:r>
      <w:r w:rsidR="00A37C46" w:rsidRPr="00ED4676">
        <w:rPr>
          <w:bCs/>
        </w:rPr>
        <w:t>and confidentiality requirement</w:t>
      </w:r>
      <w:r>
        <w:rPr>
          <w:bCs/>
        </w:rPr>
        <w:t>s</w:t>
      </w:r>
      <w:r w:rsidR="00A37C46" w:rsidRPr="00ED4676">
        <w:rPr>
          <w:bCs/>
        </w:rPr>
        <w:t xml:space="preserve"> including Non-Disclosure </w:t>
      </w:r>
      <w:r w:rsidR="00AB7DE8" w:rsidRPr="00ED4676">
        <w:rPr>
          <w:bCs/>
        </w:rPr>
        <w:t>Agreements if required</w:t>
      </w:r>
      <w:r w:rsidR="00756F52" w:rsidRPr="00ED4676">
        <w:rPr>
          <w:bCs/>
        </w:rPr>
        <w:t>.</w:t>
      </w:r>
      <w:r w:rsidR="006B5C49" w:rsidRPr="00ED4676">
        <w:rPr>
          <w:bCs/>
        </w:rPr>
        <w:t xml:space="preserve"> </w:t>
      </w:r>
      <w:r w:rsidR="32DB5D59" w:rsidRPr="00ED4676">
        <w:rPr>
          <w:bCs/>
        </w:rPr>
        <w:t xml:space="preserve"> </w:t>
      </w:r>
      <w:r>
        <w:rPr>
          <w:bCs/>
        </w:rPr>
        <w:t xml:space="preserve">Unmanned </w:t>
      </w:r>
      <w:r w:rsidRPr="00ED4676">
        <w:rPr>
          <w:bCs/>
        </w:rPr>
        <w:t>Trials are</w:t>
      </w:r>
      <w:r>
        <w:rPr>
          <w:bCs/>
        </w:rPr>
        <w:t xml:space="preserve"> anticipated to take place July 2025</w:t>
      </w:r>
    </w:p>
    <w:p w14:paraId="4FBC5BA3" w14:textId="77777777" w:rsidR="00ED4676" w:rsidRPr="00ED4676" w:rsidRDefault="00ED4676" w:rsidP="004E7070">
      <w:pPr>
        <w:overflowPunct w:val="0"/>
        <w:autoSpaceDE w:val="0"/>
        <w:autoSpaceDN w:val="0"/>
        <w:adjustRightInd w:val="0"/>
        <w:spacing w:after="60" w:line="240" w:lineRule="auto"/>
        <w:ind w:left="720"/>
        <w:jc w:val="both"/>
        <w:textAlignment w:val="baseline"/>
        <w:rPr>
          <w:bCs/>
        </w:rPr>
      </w:pPr>
    </w:p>
    <w:p w14:paraId="5BE9FB5E" w14:textId="59336925" w:rsidR="00FB5C45" w:rsidRPr="00FB5C45" w:rsidRDefault="008E4AE6" w:rsidP="004E7070">
      <w:pPr>
        <w:pStyle w:val="DWParaNum1"/>
        <w:numPr>
          <w:ilvl w:val="0"/>
          <w:numId w:val="41"/>
        </w:numPr>
        <w:spacing w:after="60"/>
        <w:ind w:hanging="720"/>
        <w:rPr>
          <w:rFonts w:cs="Arial"/>
        </w:rPr>
      </w:pPr>
      <w:r>
        <w:rPr>
          <w:bCs/>
        </w:rPr>
        <w:t>Manned trials</w:t>
      </w:r>
      <w:r w:rsidR="002A4C51">
        <w:rPr>
          <w:bCs/>
        </w:rPr>
        <w:t xml:space="preserve"> will be </w:t>
      </w:r>
      <w:r w:rsidR="00BD1894">
        <w:rPr>
          <w:bCs/>
        </w:rPr>
        <w:t>undertaken</w:t>
      </w:r>
      <w:r w:rsidR="002A4C51">
        <w:rPr>
          <w:bCs/>
        </w:rPr>
        <w:t xml:space="preserve"> by MOD </w:t>
      </w:r>
      <w:r w:rsidR="00BD1894">
        <w:rPr>
          <w:bCs/>
        </w:rPr>
        <w:t>Divers and</w:t>
      </w:r>
      <w:r w:rsidR="002A4C51">
        <w:rPr>
          <w:bCs/>
        </w:rPr>
        <w:t xml:space="preserve"> are expected to be undertaken</w:t>
      </w:r>
      <w:r w:rsidR="00256B81">
        <w:rPr>
          <w:bCs/>
        </w:rPr>
        <w:t xml:space="preserve"> Oct 2025</w:t>
      </w:r>
      <w:r w:rsidR="002A4C51">
        <w:rPr>
          <w:bCs/>
        </w:rPr>
        <w:t xml:space="preserve"> – Dec </w:t>
      </w:r>
      <w:r w:rsidR="00BD1894">
        <w:rPr>
          <w:bCs/>
        </w:rPr>
        <w:t>2025.  As</w:t>
      </w:r>
      <w:r w:rsidR="005413ED" w:rsidRPr="00ED4676">
        <w:rPr>
          <w:bCs/>
        </w:rPr>
        <w:t xml:space="preserve"> such contract award is anticipated early </w:t>
      </w:r>
      <w:r w:rsidR="00BC3BAB" w:rsidRPr="00ED4676">
        <w:rPr>
          <w:bCs/>
        </w:rPr>
        <w:t>2026.</w:t>
      </w:r>
      <w:r w:rsidR="005413ED" w:rsidRPr="00FB5C45">
        <w:rPr>
          <w:rFonts w:cs="Arial"/>
        </w:rPr>
        <w:t xml:space="preserve"> </w:t>
      </w:r>
      <w:r w:rsidR="4B17376B" w:rsidRPr="00FB5C45">
        <w:rPr>
          <w:rFonts w:cs="Arial"/>
        </w:rPr>
        <w:t xml:space="preserve"> </w:t>
      </w:r>
    </w:p>
    <w:p w14:paraId="7228B2A8" w14:textId="77777777" w:rsidR="00FB5C45" w:rsidRDefault="00FB5C45" w:rsidP="004E7070">
      <w:pPr>
        <w:pStyle w:val="DWParaNum1"/>
        <w:numPr>
          <w:ilvl w:val="0"/>
          <w:numId w:val="0"/>
        </w:numPr>
        <w:spacing w:after="60"/>
        <w:ind w:left="720"/>
        <w:rPr>
          <w:rFonts w:cs="Arial"/>
        </w:rPr>
      </w:pPr>
    </w:p>
    <w:p w14:paraId="3A10ED22" w14:textId="2DF1D23F" w:rsidR="00AB7DE8" w:rsidRPr="00AB7DE8" w:rsidRDefault="00756F52" w:rsidP="004E7070">
      <w:pPr>
        <w:pStyle w:val="DWParaNum1"/>
        <w:numPr>
          <w:ilvl w:val="0"/>
          <w:numId w:val="22"/>
        </w:numPr>
        <w:spacing w:after="60"/>
        <w:ind w:hanging="720"/>
        <w:rPr>
          <w:rFonts w:cs="Arial"/>
          <w:szCs w:val="22"/>
        </w:rPr>
      </w:pPr>
      <w:r>
        <w:rPr>
          <w:rFonts w:cs="Arial"/>
          <w:szCs w:val="22"/>
        </w:rPr>
        <w:t>Suppliers invited to tri</w:t>
      </w:r>
      <w:r w:rsidR="005413ED">
        <w:rPr>
          <w:rFonts w:cs="Arial"/>
          <w:szCs w:val="22"/>
        </w:rPr>
        <w:t>a</w:t>
      </w:r>
      <w:r>
        <w:rPr>
          <w:rFonts w:cs="Arial"/>
          <w:szCs w:val="22"/>
        </w:rPr>
        <w:t xml:space="preserve">ls </w:t>
      </w:r>
      <w:r w:rsidR="005413ED">
        <w:rPr>
          <w:rFonts w:cs="Arial"/>
          <w:szCs w:val="22"/>
        </w:rPr>
        <w:t>will be</w:t>
      </w:r>
      <w:r>
        <w:rPr>
          <w:rFonts w:cs="Arial"/>
          <w:szCs w:val="22"/>
        </w:rPr>
        <w:t xml:space="preserve"> </w:t>
      </w:r>
      <w:r w:rsidR="005413ED">
        <w:rPr>
          <w:rFonts w:cs="Arial"/>
          <w:szCs w:val="22"/>
        </w:rPr>
        <w:t>expected</w:t>
      </w:r>
      <w:r>
        <w:rPr>
          <w:rFonts w:cs="Arial"/>
          <w:szCs w:val="22"/>
        </w:rPr>
        <w:t xml:space="preserve"> to provide 4 </w:t>
      </w:r>
      <w:r w:rsidR="005413ED">
        <w:rPr>
          <w:rFonts w:cs="Arial"/>
          <w:szCs w:val="22"/>
        </w:rPr>
        <w:t xml:space="preserve">sets of there proposed solutions.  </w:t>
      </w:r>
      <w:r w:rsidR="00BD1894">
        <w:rPr>
          <w:rFonts w:cs="Arial"/>
          <w:szCs w:val="22"/>
        </w:rPr>
        <w:t>Supplier</w:t>
      </w:r>
      <w:r w:rsidR="00487BCD">
        <w:rPr>
          <w:rFonts w:cs="Arial"/>
          <w:szCs w:val="22"/>
        </w:rPr>
        <w:t>s</w:t>
      </w:r>
      <w:r w:rsidR="00BD1894">
        <w:rPr>
          <w:rFonts w:cs="Arial"/>
          <w:szCs w:val="22"/>
        </w:rPr>
        <w:t xml:space="preserve"> will be give</w:t>
      </w:r>
      <w:r w:rsidR="00C81CE1">
        <w:rPr>
          <w:rFonts w:cs="Arial"/>
          <w:szCs w:val="22"/>
        </w:rPr>
        <w:t>n</w:t>
      </w:r>
      <w:r w:rsidR="00BD1894">
        <w:rPr>
          <w:rFonts w:cs="Arial"/>
          <w:szCs w:val="22"/>
        </w:rPr>
        <w:t xml:space="preserve"> a minimum 3 months notice of the</w:t>
      </w:r>
      <w:r w:rsidR="00487BCD">
        <w:rPr>
          <w:rFonts w:cs="Arial"/>
          <w:szCs w:val="22"/>
        </w:rPr>
        <w:t xml:space="preserve"> Trials C</w:t>
      </w:r>
      <w:r w:rsidR="00BD1894">
        <w:rPr>
          <w:rFonts w:cs="Arial"/>
          <w:szCs w:val="22"/>
        </w:rPr>
        <w:t xml:space="preserve">ommencement </w:t>
      </w:r>
      <w:r w:rsidR="00487BCD">
        <w:rPr>
          <w:rFonts w:cs="Arial"/>
          <w:szCs w:val="22"/>
        </w:rPr>
        <w:t>dates, allowing</w:t>
      </w:r>
      <w:r w:rsidR="00BD1894">
        <w:rPr>
          <w:rFonts w:cs="Arial"/>
          <w:szCs w:val="22"/>
        </w:rPr>
        <w:t xml:space="preserve"> time to prepare </w:t>
      </w:r>
      <w:r w:rsidR="00487BCD">
        <w:rPr>
          <w:rFonts w:cs="Arial"/>
          <w:szCs w:val="22"/>
        </w:rPr>
        <w:t>their</w:t>
      </w:r>
      <w:r w:rsidR="00BD1894">
        <w:rPr>
          <w:rFonts w:cs="Arial"/>
          <w:szCs w:val="22"/>
        </w:rPr>
        <w:t xml:space="preserve"> equipment</w:t>
      </w:r>
      <w:r w:rsidR="00F32850">
        <w:rPr>
          <w:rFonts w:cs="Arial"/>
          <w:szCs w:val="22"/>
        </w:rPr>
        <w:t xml:space="preserve"> ready for trials</w:t>
      </w:r>
      <w:r w:rsidR="00BD1894">
        <w:rPr>
          <w:rFonts w:cs="Arial"/>
          <w:szCs w:val="22"/>
        </w:rPr>
        <w:t>.</w:t>
      </w:r>
      <w:r w:rsidR="00F32850">
        <w:rPr>
          <w:rFonts w:cs="Arial"/>
          <w:szCs w:val="22"/>
        </w:rPr>
        <w:t xml:space="preserve"> </w:t>
      </w:r>
      <w:r w:rsidR="00BD1894">
        <w:rPr>
          <w:rFonts w:cs="Arial"/>
          <w:szCs w:val="22"/>
        </w:rPr>
        <w:t xml:space="preserve"> </w:t>
      </w:r>
      <w:r w:rsidR="00A37C46">
        <w:rPr>
          <w:rFonts w:cs="Arial"/>
          <w:szCs w:val="22"/>
        </w:rPr>
        <w:t xml:space="preserve">All costs associated with the Equipment Trials </w:t>
      </w:r>
      <w:r w:rsidR="005413ED">
        <w:rPr>
          <w:rFonts w:cs="Arial"/>
          <w:szCs w:val="22"/>
        </w:rPr>
        <w:t>will be at the suppliers’ own costs</w:t>
      </w:r>
      <w:r w:rsidR="00BC3BAB">
        <w:rPr>
          <w:rFonts w:cs="Arial"/>
          <w:szCs w:val="22"/>
        </w:rPr>
        <w:t>.</w:t>
      </w:r>
      <w:r w:rsidR="008707C4">
        <w:rPr>
          <w:rFonts w:cs="Arial"/>
          <w:szCs w:val="22"/>
        </w:rPr>
        <w:t xml:space="preserve"> </w:t>
      </w:r>
      <w:r w:rsidR="00BC3BAB">
        <w:rPr>
          <w:rFonts w:cs="Arial"/>
          <w:szCs w:val="22"/>
        </w:rPr>
        <w:t xml:space="preserve"> All </w:t>
      </w:r>
      <w:r w:rsidR="00E41CDA">
        <w:rPr>
          <w:rFonts w:cs="Arial"/>
          <w:szCs w:val="22"/>
        </w:rPr>
        <w:t xml:space="preserve">equipment will be returned </w:t>
      </w:r>
      <w:r w:rsidR="00BC3BAB">
        <w:rPr>
          <w:rFonts w:cs="Arial"/>
          <w:szCs w:val="22"/>
        </w:rPr>
        <w:t xml:space="preserve">to the suppliers </w:t>
      </w:r>
      <w:r w:rsidR="00E41CDA">
        <w:rPr>
          <w:rFonts w:cs="Arial"/>
          <w:szCs w:val="22"/>
        </w:rPr>
        <w:t xml:space="preserve">at end of the </w:t>
      </w:r>
      <w:r w:rsidR="00BC3BAB">
        <w:rPr>
          <w:rFonts w:cs="Arial"/>
          <w:szCs w:val="22"/>
        </w:rPr>
        <w:t>trials</w:t>
      </w:r>
      <w:r w:rsidR="00BC3BAB" w:rsidRPr="00AB7DE8">
        <w:rPr>
          <w:rFonts w:cs="Arial"/>
          <w:szCs w:val="22"/>
        </w:rPr>
        <w:t xml:space="preserve">. </w:t>
      </w:r>
      <w:r w:rsidR="00AB7DE8" w:rsidRPr="00AB7DE8">
        <w:rPr>
          <w:rFonts w:cs="Arial"/>
          <w:szCs w:val="22"/>
        </w:rPr>
        <w:t xml:space="preserve"> </w:t>
      </w:r>
      <w:r w:rsidR="00AB7DE8" w:rsidRPr="00AB7DE8">
        <w:rPr>
          <w:rStyle w:val="cf01"/>
          <w:rFonts w:ascii="Arial" w:hAnsi="Arial" w:cs="Arial"/>
          <w:i w:val="0"/>
          <w:iCs w:val="0"/>
          <w:sz w:val="22"/>
          <w:szCs w:val="22"/>
        </w:rPr>
        <w:t xml:space="preserve">The Authority does </w:t>
      </w:r>
      <w:r w:rsidR="00AB7DE8" w:rsidRPr="00AB7DE8">
        <w:rPr>
          <w:rStyle w:val="cf01"/>
          <w:rFonts w:ascii="Arial" w:hAnsi="Arial" w:cs="Arial"/>
          <w:i w:val="0"/>
          <w:iCs w:val="0"/>
          <w:sz w:val="22"/>
          <w:szCs w:val="22"/>
        </w:rPr>
        <w:lastRenderedPageBreak/>
        <w:t>not accept any responsibility for the damage caused to the Trial Equipment which renders the equipment no longer suitable or usable.”</w:t>
      </w:r>
      <w:r w:rsidR="00AB7DE8" w:rsidRPr="00AB7DE8">
        <w:rPr>
          <w:rStyle w:val="cf01"/>
          <w:sz w:val="22"/>
          <w:szCs w:val="22"/>
        </w:rPr>
        <w:t xml:space="preserve"> </w:t>
      </w:r>
    </w:p>
    <w:p w14:paraId="3CEE33B2" w14:textId="77777777" w:rsidR="00AB7DE8" w:rsidRPr="00AB7DE8" w:rsidRDefault="00AB7DE8" w:rsidP="004E7070">
      <w:pPr>
        <w:pStyle w:val="DWParaNum1"/>
        <w:numPr>
          <w:ilvl w:val="0"/>
          <w:numId w:val="0"/>
        </w:numPr>
        <w:spacing w:after="60"/>
        <w:ind w:left="360"/>
        <w:rPr>
          <w:rFonts w:cs="Arial"/>
          <w:szCs w:val="22"/>
        </w:rPr>
      </w:pPr>
    </w:p>
    <w:p w14:paraId="5B0CCD89" w14:textId="77777777" w:rsidR="005A5185" w:rsidRPr="005A5185" w:rsidRDefault="005A5185" w:rsidP="005A5185">
      <w:pPr>
        <w:overflowPunct w:val="0"/>
        <w:autoSpaceDE w:val="0"/>
        <w:autoSpaceDN w:val="0"/>
        <w:adjustRightInd w:val="0"/>
        <w:spacing w:after="60" w:line="240" w:lineRule="auto"/>
        <w:jc w:val="both"/>
        <w:textAlignment w:val="baseline"/>
        <w:rPr>
          <w:rFonts w:ascii="Arial" w:eastAsia="Times New Roman" w:hAnsi="Arial" w:cs="Times New Roman"/>
          <w:kern w:val="22"/>
        </w:rPr>
      </w:pPr>
    </w:p>
    <w:p w14:paraId="1535E2B4" w14:textId="0259994D" w:rsidR="005A5185" w:rsidRPr="005A5185" w:rsidRDefault="005A5185" w:rsidP="005A5185">
      <w:pPr>
        <w:keepNext/>
        <w:keepLines/>
        <w:spacing w:before="40" w:after="0"/>
        <w:outlineLvl w:val="2"/>
        <w:rPr>
          <w:rFonts w:asciiTheme="majorHAnsi" w:eastAsiaTheme="majorEastAsia" w:hAnsiTheme="majorHAnsi" w:cstheme="majorBidi"/>
          <w:color w:val="1F3763" w:themeColor="accent1" w:themeShade="7F"/>
          <w:sz w:val="24"/>
          <w:szCs w:val="24"/>
        </w:rPr>
      </w:pPr>
      <w:r>
        <w:rPr>
          <w:rFonts w:asciiTheme="majorHAnsi" w:eastAsiaTheme="majorEastAsia" w:hAnsiTheme="majorHAnsi" w:cstheme="majorBidi"/>
          <w:color w:val="1F3763" w:themeColor="accent1" w:themeShade="7F"/>
          <w:sz w:val="24"/>
          <w:szCs w:val="24"/>
        </w:rPr>
        <w:t>Contact Notice Attachments</w:t>
      </w:r>
    </w:p>
    <w:p w14:paraId="4F46D660" w14:textId="77777777" w:rsidR="005A5185" w:rsidRPr="005A5185" w:rsidRDefault="005A5185" w:rsidP="005A5185">
      <w:pPr>
        <w:overflowPunct w:val="0"/>
        <w:autoSpaceDE w:val="0"/>
        <w:autoSpaceDN w:val="0"/>
        <w:adjustRightInd w:val="0"/>
        <w:spacing w:after="60" w:line="240" w:lineRule="auto"/>
        <w:jc w:val="both"/>
        <w:textAlignment w:val="baseline"/>
        <w:rPr>
          <w:rFonts w:ascii="Arial" w:eastAsia="Times New Roman" w:hAnsi="Arial" w:cs="Arial"/>
          <w:bCs/>
          <w:kern w:val="22"/>
        </w:rPr>
      </w:pPr>
    </w:p>
    <w:p w14:paraId="6B9B098C" w14:textId="03254988" w:rsidR="005A5185" w:rsidRPr="005A5185" w:rsidRDefault="00AF7DF3" w:rsidP="005A5185">
      <w:pPr>
        <w:numPr>
          <w:ilvl w:val="0"/>
          <w:numId w:val="2"/>
        </w:numPr>
        <w:contextualSpacing/>
        <w:rPr>
          <w:rFonts w:ascii="Arial" w:eastAsia="Times New Roman" w:hAnsi="Arial" w:cs="Arial"/>
          <w:bCs/>
          <w:kern w:val="22"/>
        </w:rPr>
      </w:pPr>
      <w:r>
        <w:rPr>
          <w:rFonts w:ascii="Arial" w:eastAsia="Times New Roman" w:hAnsi="Arial" w:cs="Arial"/>
          <w:bCs/>
          <w:kern w:val="22"/>
        </w:rPr>
        <w:t xml:space="preserve">The </w:t>
      </w:r>
      <w:r w:rsidR="005A5185" w:rsidRPr="005A5185">
        <w:rPr>
          <w:rFonts w:ascii="Arial" w:eastAsia="Times New Roman" w:hAnsi="Arial" w:cs="Arial"/>
          <w:bCs/>
          <w:kern w:val="22"/>
        </w:rPr>
        <w:t>SCADE DSPCR 2011 Pre-Qualification Questionnaire Assessment. (DPQQ) to carry out the supplier selection process contains the following documents.</w:t>
      </w:r>
    </w:p>
    <w:p w14:paraId="35CA368C" w14:textId="77777777" w:rsidR="005A5185" w:rsidRPr="005A5185" w:rsidRDefault="005A5185" w:rsidP="005A5185">
      <w:pPr>
        <w:ind w:left="360"/>
        <w:contextualSpacing/>
        <w:rPr>
          <w:rFonts w:ascii="Arial" w:eastAsia="Times New Roman" w:hAnsi="Arial" w:cs="Arial"/>
          <w:bCs/>
          <w:kern w:val="22"/>
        </w:rPr>
      </w:pPr>
    </w:p>
    <w:p w14:paraId="299B67E9" w14:textId="77777777" w:rsidR="005A5185" w:rsidRPr="005A5185" w:rsidRDefault="005A5185" w:rsidP="005A5185">
      <w:pPr>
        <w:numPr>
          <w:ilvl w:val="0"/>
          <w:numId w:val="21"/>
        </w:numPr>
        <w:contextualSpacing/>
        <w:rPr>
          <w:rFonts w:ascii="Arial" w:eastAsia="Times New Roman" w:hAnsi="Arial" w:cs="Arial"/>
          <w:bCs/>
          <w:kern w:val="22"/>
        </w:rPr>
      </w:pPr>
      <w:r w:rsidRPr="005A5185">
        <w:rPr>
          <w:rFonts w:ascii="Arial" w:hAnsi="Arial" w:cs="Arial"/>
          <w:bCs/>
        </w:rPr>
        <w:t xml:space="preserve">The </w:t>
      </w:r>
      <w:r w:rsidRPr="005A5185">
        <w:rPr>
          <w:rFonts w:ascii="Arial" w:eastAsia="Times New Roman" w:hAnsi="Arial" w:cs="Arial"/>
          <w:bCs/>
          <w:kern w:val="22"/>
        </w:rPr>
        <w:t xml:space="preserve">SCADE DSPCR 2011 Pre-Qualification Questionnaire Assessment </w:t>
      </w:r>
    </w:p>
    <w:p w14:paraId="49EE2152" w14:textId="77777777" w:rsidR="005A5185" w:rsidRPr="005A5185" w:rsidRDefault="005A5185" w:rsidP="005A5185">
      <w:pPr>
        <w:ind w:left="1440"/>
        <w:contextualSpacing/>
        <w:rPr>
          <w:rFonts w:ascii="Arial" w:eastAsia="Times New Roman" w:hAnsi="Arial" w:cs="Arial"/>
          <w:bCs/>
          <w:kern w:val="22"/>
        </w:rPr>
      </w:pPr>
    </w:p>
    <w:p w14:paraId="4F813229" w14:textId="5723B22D" w:rsidR="005A5185" w:rsidRPr="005A5185" w:rsidRDefault="005A5185" w:rsidP="005A5185">
      <w:pPr>
        <w:numPr>
          <w:ilvl w:val="0"/>
          <w:numId w:val="21"/>
        </w:numPr>
        <w:contextualSpacing/>
        <w:rPr>
          <w:rFonts w:ascii="Arial" w:eastAsia="Times New Roman" w:hAnsi="Arial" w:cs="Arial"/>
          <w:bCs/>
          <w:kern w:val="22"/>
        </w:rPr>
      </w:pPr>
      <w:r w:rsidRPr="005A5185">
        <w:rPr>
          <w:rFonts w:ascii="Arial" w:hAnsi="Arial" w:cs="Arial"/>
          <w:bCs/>
        </w:rPr>
        <w:t xml:space="preserve">The </w:t>
      </w:r>
      <w:r w:rsidRPr="005A5185">
        <w:rPr>
          <w:rFonts w:ascii="Arial" w:eastAsia="Times New Roman" w:hAnsi="Arial" w:cs="Arial"/>
          <w:bCs/>
          <w:kern w:val="22"/>
        </w:rPr>
        <w:t xml:space="preserve">SCADE DSPCR 2011 Pre-Qualification Questionnaire Assessment Supplier </w:t>
      </w:r>
      <w:r w:rsidR="00695700" w:rsidRPr="005A5185">
        <w:rPr>
          <w:rFonts w:ascii="Arial" w:eastAsia="Times New Roman" w:hAnsi="Arial" w:cs="Arial"/>
          <w:bCs/>
          <w:kern w:val="22"/>
        </w:rPr>
        <w:t>Guidance V</w:t>
      </w:r>
      <w:r w:rsidR="00695700">
        <w:rPr>
          <w:rFonts w:ascii="Arial" w:eastAsia="Times New Roman" w:hAnsi="Arial" w:cs="Arial"/>
          <w:bCs/>
          <w:kern w:val="22"/>
        </w:rPr>
        <w:t xml:space="preserve">2 </w:t>
      </w:r>
    </w:p>
    <w:p w14:paraId="2A6E33E6" w14:textId="77777777" w:rsidR="005A5185" w:rsidRPr="005A5185" w:rsidRDefault="005A5185" w:rsidP="005A5185">
      <w:pPr>
        <w:ind w:left="1440"/>
        <w:contextualSpacing/>
        <w:rPr>
          <w:rFonts w:ascii="Arial" w:eastAsia="Times New Roman" w:hAnsi="Arial" w:cs="Arial"/>
          <w:bCs/>
          <w:kern w:val="22"/>
        </w:rPr>
      </w:pPr>
    </w:p>
    <w:p w14:paraId="60C9D2B3" w14:textId="77777777" w:rsidR="005A5185" w:rsidRPr="005A5185" w:rsidRDefault="005A5185" w:rsidP="005A5185">
      <w:pPr>
        <w:numPr>
          <w:ilvl w:val="0"/>
          <w:numId w:val="21"/>
        </w:numPr>
        <w:contextualSpacing/>
        <w:rPr>
          <w:rFonts w:ascii="Arial" w:eastAsia="Times New Roman" w:hAnsi="Arial" w:cs="Arial"/>
          <w:bCs/>
          <w:kern w:val="22"/>
        </w:rPr>
      </w:pPr>
      <w:r w:rsidRPr="005A5185">
        <w:rPr>
          <w:rFonts w:ascii="Arial" w:hAnsi="Arial" w:cs="Arial"/>
          <w:bCs/>
        </w:rPr>
        <w:t xml:space="preserve"> The </w:t>
      </w:r>
      <w:r w:rsidRPr="005A5185">
        <w:rPr>
          <w:rFonts w:ascii="Arial" w:eastAsia="Times New Roman" w:hAnsi="Arial" w:cs="Arial"/>
          <w:bCs/>
          <w:kern w:val="22"/>
        </w:rPr>
        <w:t xml:space="preserve">SCADE DSPCR 2011 Pre-Qualification Questionnaire Assessment </w:t>
      </w:r>
    </w:p>
    <w:p w14:paraId="39A4F631" w14:textId="77777777" w:rsidR="005A5185" w:rsidRPr="005A5185" w:rsidRDefault="005A5185" w:rsidP="005A5185">
      <w:pPr>
        <w:ind w:left="1440"/>
        <w:contextualSpacing/>
        <w:rPr>
          <w:rFonts w:ascii="Arial" w:hAnsi="Arial" w:cs="Arial"/>
        </w:rPr>
      </w:pPr>
      <w:r w:rsidRPr="005A5185">
        <w:rPr>
          <w:rFonts w:ascii="Arial" w:hAnsi="Arial" w:cs="Arial"/>
        </w:rPr>
        <w:t xml:space="preserve"> Annex A - Scoring Guidance for the Qualification Envelope (Non-Financial) </w:t>
      </w:r>
    </w:p>
    <w:p w14:paraId="0885957D" w14:textId="77777777" w:rsidR="005A5185" w:rsidRPr="005A5185" w:rsidRDefault="005A5185" w:rsidP="005A5185">
      <w:pPr>
        <w:ind w:left="1440"/>
        <w:contextualSpacing/>
        <w:rPr>
          <w:rFonts w:ascii="Arial" w:eastAsia="Times New Roman" w:hAnsi="Arial" w:cs="Arial"/>
          <w:bCs/>
          <w:kern w:val="22"/>
        </w:rPr>
      </w:pPr>
    </w:p>
    <w:p w14:paraId="07C48E2B" w14:textId="77777777" w:rsidR="005A5185" w:rsidRPr="005A5185" w:rsidRDefault="005A5185" w:rsidP="005A5185">
      <w:pPr>
        <w:numPr>
          <w:ilvl w:val="0"/>
          <w:numId w:val="21"/>
        </w:numPr>
        <w:contextualSpacing/>
        <w:rPr>
          <w:rFonts w:ascii="Arial" w:eastAsia="Times New Roman" w:hAnsi="Arial" w:cs="Arial"/>
          <w:bCs/>
          <w:kern w:val="22"/>
        </w:rPr>
      </w:pPr>
      <w:r w:rsidRPr="005A5185">
        <w:rPr>
          <w:rFonts w:ascii="Arial" w:hAnsi="Arial" w:cs="Arial"/>
          <w:bCs/>
        </w:rPr>
        <w:t xml:space="preserve">The </w:t>
      </w:r>
      <w:r w:rsidRPr="005A5185">
        <w:rPr>
          <w:rFonts w:ascii="Arial" w:eastAsia="Times New Roman" w:hAnsi="Arial" w:cs="Arial"/>
          <w:bCs/>
          <w:kern w:val="22"/>
        </w:rPr>
        <w:t xml:space="preserve">SCADE DSPCR 2011 Pre-Qualification Questionnaire Assessment </w:t>
      </w:r>
    </w:p>
    <w:p w14:paraId="1A8EAC1D" w14:textId="77777777" w:rsidR="005A5185" w:rsidRPr="005A5185" w:rsidRDefault="005A5185" w:rsidP="005A5185">
      <w:pPr>
        <w:ind w:left="1440"/>
        <w:contextualSpacing/>
        <w:rPr>
          <w:rFonts w:ascii="Arial" w:hAnsi="Arial" w:cs="Arial"/>
        </w:rPr>
      </w:pPr>
      <w:r w:rsidRPr="005A5185">
        <w:rPr>
          <w:rFonts w:ascii="Arial" w:hAnsi="Arial" w:cs="Arial"/>
        </w:rPr>
        <w:t>Annex B - Scoring Guidance for the Qualification Envelope (Financial) </w:t>
      </w:r>
    </w:p>
    <w:p w14:paraId="6E6D999E" w14:textId="77777777" w:rsidR="005A5185" w:rsidRPr="005A5185" w:rsidRDefault="005A5185" w:rsidP="005A5185">
      <w:pPr>
        <w:ind w:left="1440"/>
        <w:contextualSpacing/>
        <w:rPr>
          <w:rFonts w:ascii="Arial" w:hAnsi="Arial" w:cs="Arial"/>
        </w:rPr>
      </w:pPr>
    </w:p>
    <w:p w14:paraId="7DAB2E5E" w14:textId="77777777" w:rsidR="005A5185" w:rsidRPr="005A5185" w:rsidRDefault="005A5185" w:rsidP="005A5185">
      <w:pPr>
        <w:numPr>
          <w:ilvl w:val="0"/>
          <w:numId w:val="21"/>
        </w:numPr>
        <w:contextualSpacing/>
        <w:rPr>
          <w:rFonts w:ascii="Arial" w:eastAsia="Times New Roman" w:hAnsi="Arial" w:cs="Arial"/>
          <w:bCs/>
          <w:kern w:val="22"/>
        </w:rPr>
      </w:pPr>
      <w:r w:rsidRPr="005A5185">
        <w:rPr>
          <w:rFonts w:ascii="Arial" w:hAnsi="Arial" w:cs="Arial"/>
          <w:bCs/>
        </w:rPr>
        <w:t xml:space="preserve">The </w:t>
      </w:r>
      <w:r w:rsidRPr="005A5185">
        <w:rPr>
          <w:rFonts w:ascii="Arial" w:eastAsia="Times New Roman" w:hAnsi="Arial" w:cs="Arial"/>
          <w:bCs/>
          <w:kern w:val="22"/>
        </w:rPr>
        <w:t xml:space="preserve">SCADE DSPCR 2011 Pre-Qualification Questionnaire Assessment </w:t>
      </w:r>
    </w:p>
    <w:p w14:paraId="2B1EC29D" w14:textId="3CC9CD07" w:rsidR="005A5185" w:rsidRPr="005A5185" w:rsidRDefault="005A5185" w:rsidP="005A5185">
      <w:pPr>
        <w:ind w:left="1440"/>
        <w:contextualSpacing/>
        <w:rPr>
          <w:rFonts w:ascii="Arial" w:hAnsi="Arial" w:cs="Arial"/>
        </w:rPr>
      </w:pPr>
      <w:r w:rsidRPr="005A5185">
        <w:rPr>
          <w:rFonts w:ascii="Arial" w:hAnsi="Arial" w:cs="Arial"/>
        </w:rPr>
        <w:t>Annex C - Scoring Criteria for the Technical Envelope</w:t>
      </w:r>
      <w:r w:rsidR="00695700">
        <w:rPr>
          <w:rFonts w:ascii="Arial" w:hAnsi="Arial" w:cs="Arial"/>
        </w:rPr>
        <w:t xml:space="preserve"> </w:t>
      </w:r>
      <w:r w:rsidR="00695700" w:rsidRPr="00695700">
        <w:rPr>
          <w:rFonts w:ascii="Arial" w:hAnsi="Arial" w:cs="Arial"/>
          <w:highlight w:val="yellow"/>
        </w:rPr>
        <w:t>V2</w:t>
      </w:r>
    </w:p>
    <w:p w14:paraId="561CBB41" w14:textId="77777777" w:rsidR="005A5185" w:rsidRPr="005A5185" w:rsidRDefault="005A5185" w:rsidP="005A5185">
      <w:pPr>
        <w:ind w:left="1440"/>
        <w:contextualSpacing/>
        <w:rPr>
          <w:rFonts w:ascii="Arial" w:hAnsi="Arial" w:cs="Arial"/>
        </w:rPr>
      </w:pPr>
    </w:p>
    <w:p w14:paraId="27488BA0" w14:textId="77777777" w:rsidR="005A5185" w:rsidRPr="005A5185" w:rsidRDefault="005A5185" w:rsidP="005A5185">
      <w:pPr>
        <w:numPr>
          <w:ilvl w:val="0"/>
          <w:numId w:val="21"/>
        </w:numPr>
        <w:contextualSpacing/>
        <w:rPr>
          <w:rFonts w:ascii="Arial" w:eastAsia="Times New Roman" w:hAnsi="Arial" w:cs="Arial"/>
          <w:bCs/>
          <w:kern w:val="22"/>
        </w:rPr>
      </w:pPr>
      <w:r w:rsidRPr="005A5185">
        <w:rPr>
          <w:rFonts w:ascii="Arial" w:hAnsi="Arial" w:cs="Arial"/>
          <w:bCs/>
        </w:rPr>
        <w:t xml:space="preserve">The </w:t>
      </w:r>
      <w:r w:rsidRPr="005A5185">
        <w:rPr>
          <w:rFonts w:ascii="Arial" w:eastAsia="Times New Roman" w:hAnsi="Arial" w:cs="Arial"/>
          <w:bCs/>
          <w:kern w:val="22"/>
        </w:rPr>
        <w:t xml:space="preserve">SCADE DSPCR 2011 Pre-Qualification Questionnaire Assessment </w:t>
      </w:r>
    </w:p>
    <w:p w14:paraId="252138E4" w14:textId="77777777" w:rsidR="005A5185" w:rsidRPr="005A5185" w:rsidRDefault="005A5185" w:rsidP="005A5185">
      <w:pPr>
        <w:ind w:left="1440"/>
        <w:contextualSpacing/>
        <w:rPr>
          <w:rFonts w:ascii="Arial" w:eastAsia="Times New Roman" w:hAnsi="Arial" w:cs="Arial"/>
          <w:bCs/>
          <w:kern w:val="22"/>
        </w:rPr>
      </w:pPr>
      <w:r w:rsidRPr="005A5185">
        <w:rPr>
          <w:rFonts w:ascii="Arial" w:hAnsi="Arial" w:cs="Arial"/>
        </w:rPr>
        <w:t xml:space="preserve">Annex C Appendix 1 - Marking Description for Technical Envelope </w:t>
      </w:r>
    </w:p>
    <w:p w14:paraId="69541DEC" w14:textId="77777777" w:rsidR="005A5185" w:rsidRPr="00276FFA" w:rsidRDefault="005A5185" w:rsidP="005413ED">
      <w:pPr>
        <w:pStyle w:val="DWParaNum1"/>
        <w:numPr>
          <w:ilvl w:val="0"/>
          <w:numId w:val="0"/>
        </w:numPr>
        <w:spacing w:after="60"/>
        <w:rPr>
          <w:rFonts w:cs="Arial"/>
          <w:szCs w:val="22"/>
        </w:rPr>
      </w:pPr>
    </w:p>
    <w:sectPr w:rsidR="005A5185" w:rsidRPr="00276F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C4103" w14:textId="77777777" w:rsidR="00F65B7A" w:rsidRDefault="00F65B7A" w:rsidP="00732A3B">
      <w:pPr>
        <w:spacing w:after="0" w:line="240" w:lineRule="auto"/>
      </w:pPr>
      <w:r>
        <w:separator/>
      </w:r>
    </w:p>
  </w:endnote>
  <w:endnote w:type="continuationSeparator" w:id="0">
    <w:p w14:paraId="2DCA9645" w14:textId="77777777" w:rsidR="00F65B7A" w:rsidRDefault="00F65B7A" w:rsidP="00732A3B">
      <w:pPr>
        <w:spacing w:after="0" w:line="240" w:lineRule="auto"/>
      </w:pPr>
      <w:r>
        <w:continuationSeparator/>
      </w:r>
    </w:p>
  </w:endnote>
  <w:endnote w:type="continuationNotice" w:id="1">
    <w:p w14:paraId="52562548" w14:textId="77777777" w:rsidR="00F65B7A" w:rsidRDefault="00F65B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5B62A" w14:textId="77777777" w:rsidR="00F65B7A" w:rsidRDefault="00F65B7A" w:rsidP="00732A3B">
      <w:pPr>
        <w:spacing w:after="0" w:line="240" w:lineRule="auto"/>
      </w:pPr>
      <w:r>
        <w:separator/>
      </w:r>
    </w:p>
  </w:footnote>
  <w:footnote w:type="continuationSeparator" w:id="0">
    <w:p w14:paraId="04E56203" w14:textId="77777777" w:rsidR="00F65B7A" w:rsidRDefault="00F65B7A" w:rsidP="00732A3B">
      <w:pPr>
        <w:spacing w:after="0" w:line="240" w:lineRule="auto"/>
      </w:pPr>
      <w:r>
        <w:continuationSeparator/>
      </w:r>
    </w:p>
  </w:footnote>
  <w:footnote w:type="continuationNotice" w:id="1">
    <w:p w14:paraId="30D379EE" w14:textId="77777777" w:rsidR="00F65B7A" w:rsidRDefault="00F65B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60D"/>
    <w:multiLevelType w:val="multilevel"/>
    <w:tmpl w:val="54CEBE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C44E45"/>
    <w:multiLevelType w:val="hybridMultilevel"/>
    <w:tmpl w:val="E4DA2CCE"/>
    <w:lvl w:ilvl="0" w:tplc="E7E4A97C">
      <w:start w:val="1"/>
      <w:numFmt w:val="decimal"/>
      <w:lvlText w:val="%1."/>
      <w:lvlJc w:val="left"/>
      <w:pPr>
        <w:ind w:left="1080" w:hanging="360"/>
      </w:pPr>
      <w:rPr>
        <w:b w:val="0"/>
        <w:sz w:val="22"/>
        <w:szCs w:val="20"/>
      </w:rPr>
    </w:lvl>
    <w:lvl w:ilvl="1" w:tplc="FDC4D6B2">
      <w:start w:val="1"/>
      <w:numFmt w:val="lowerLetter"/>
      <w:lvlText w:val="%2."/>
      <w:lvlJc w:val="left"/>
      <w:pPr>
        <w:ind w:left="1800" w:hanging="360"/>
      </w:pPr>
      <w:rPr>
        <w:b w:val="0"/>
        <w:sz w:val="22"/>
        <w:szCs w:val="22"/>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FA06B17"/>
    <w:multiLevelType w:val="hybridMultilevel"/>
    <w:tmpl w:val="593A89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AD60F32"/>
    <w:multiLevelType w:val="hybridMultilevel"/>
    <w:tmpl w:val="E544FF9A"/>
    <w:lvl w:ilvl="0" w:tplc="E7E4A97C">
      <w:start w:val="1"/>
      <w:numFmt w:val="decimal"/>
      <w:lvlText w:val="%1."/>
      <w:lvlJc w:val="left"/>
      <w:pPr>
        <w:ind w:left="360" w:hanging="360"/>
      </w:pPr>
      <w:rPr>
        <w:b w:val="0"/>
        <w:sz w:val="22"/>
        <w:szCs w:val="20"/>
      </w:rPr>
    </w:lvl>
    <w:lvl w:ilvl="1" w:tplc="FDC4D6B2">
      <w:start w:val="1"/>
      <w:numFmt w:val="lowerLetter"/>
      <w:lvlText w:val="%2."/>
      <w:lvlJc w:val="left"/>
      <w:pPr>
        <w:ind w:left="1080" w:hanging="360"/>
      </w:pPr>
      <w:rPr>
        <w:b w:val="0"/>
        <w:sz w:val="22"/>
        <w:szCs w:val="22"/>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650275"/>
    <w:multiLevelType w:val="multilevel"/>
    <w:tmpl w:val="E4E6E348"/>
    <w:lvl w:ilvl="0">
      <w:start w:val="1"/>
      <w:numFmt w:val="lowerLetter"/>
      <w:lvlText w:val="%1."/>
      <w:lvlJc w:val="left"/>
      <w:pPr>
        <w:ind w:left="1074" w:firstLine="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208"/>
        </w:tabs>
        <w:ind w:left="164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775"/>
        </w:tabs>
        <w:ind w:left="220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342"/>
        </w:tabs>
        <w:ind w:left="2775"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909"/>
        </w:tabs>
        <w:ind w:left="3342"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3909"/>
        </w:tabs>
        <w:ind w:left="3342" w:firstLine="0"/>
      </w:pPr>
      <w:rPr>
        <w:rFonts w:hint="default"/>
        <w:b w:val="0"/>
        <w:i w:val="0"/>
        <w:sz w:val="24"/>
      </w:rPr>
    </w:lvl>
    <w:lvl w:ilvl="6">
      <w:start w:val="1"/>
      <w:numFmt w:val="none"/>
      <w:lvlText w:val="%5."/>
      <w:lvlJc w:val="left"/>
      <w:pPr>
        <w:tabs>
          <w:tab w:val="num" w:pos="3909"/>
        </w:tabs>
        <w:ind w:left="3342" w:firstLine="0"/>
      </w:pPr>
      <w:rPr>
        <w:rFonts w:hint="default"/>
        <w:b w:val="0"/>
        <w:i w:val="0"/>
        <w:sz w:val="24"/>
      </w:rPr>
    </w:lvl>
    <w:lvl w:ilvl="7">
      <w:start w:val="1"/>
      <w:numFmt w:val="none"/>
      <w:lvlText w:val="%5."/>
      <w:lvlJc w:val="left"/>
      <w:pPr>
        <w:tabs>
          <w:tab w:val="num" w:pos="3909"/>
        </w:tabs>
        <w:ind w:left="3342" w:firstLine="0"/>
      </w:pPr>
      <w:rPr>
        <w:rFonts w:hint="default"/>
      </w:rPr>
    </w:lvl>
    <w:lvl w:ilvl="8">
      <w:start w:val="1"/>
      <w:numFmt w:val="none"/>
      <w:lvlText w:val="%5."/>
      <w:lvlJc w:val="left"/>
      <w:pPr>
        <w:tabs>
          <w:tab w:val="num" w:pos="3909"/>
        </w:tabs>
        <w:ind w:left="3342" w:firstLine="0"/>
      </w:pPr>
      <w:rPr>
        <w:rFonts w:hint="default"/>
      </w:rPr>
    </w:lvl>
  </w:abstractNum>
  <w:abstractNum w:abstractNumId="5" w15:restartNumberingAfterBreak="0">
    <w:nsid w:val="32923590"/>
    <w:multiLevelType w:val="hybridMultilevel"/>
    <w:tmpl w:val="E5A6B3D8"/>
    <w:lvl w:ilvl="0" w:tplc="0809000F">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EF24D7"/>
    <w:multiLevelType w:val="hybridMultilevel"/>
    <w:tmpl w:val="DC7ABB6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7751D30"/>
    <w:multiLevelType w:val="hybridMultilevel"/>
    <w:tmpl w:val="D98ED98A"/>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8" w15:restartNumberingAfterBreak="0">
    <w:nsid w:val="4F146A76"/>
    <w:multiLevelType w:val="hybridMultilevel"/>
    <w:tmpl w:val="4FCA913C"/>
    <w:lvl w:ilvl="0" w:tplc="F9F839A8">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B82F46"/>
    <w:multiLevelType w:val="multilevel"/>
    <w:tmpl w:val="E2D81A58"/>
    <w:lvl w:ilvl="0">
      <w:start w:val="1"/>
      <w:numFmt w:val="decimal"/>
      <w:lvlRestart w:val="0"/>
      <w:pStyle w:val="DWParaNum1"/>
      <w:suff w:val="space"/>
      <w:lvlText w:val="%1."/>
      <w:lvlJc w:val="left"/>
      <w:pPr>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0" w15:restartNumberingAfterBreak="0">
    <w:nsid w:val="5A4373DC"/>
    <w:multiLevelType w:val="hybridMultilevel"/>
    <w:tmpl w:val="00FACF86"/>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11" w15:restartNumberingAfterBreak="0">
    <w:nsid w:val="6034074B"/>
    <w:multiLevelType w:val="hybridMultilevel"/>
    <w:tmpl w:val="D98ED98A"/>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12" w15:restartNumberingAfterBreak="0">
    <w:nsid w:val="66964379"/>
    <w:multiLevelType w:val="hybridMultilevel"/>
    <w:tmpl w:val="CD9096FE"/>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8E32558"/>
    <w:multiLevelType w:val="hybridMultilevel"/>
    <w:tmpl w:val="9AB6D0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7729911">
    <w:abstractNumId w:val="9"/>
  </w:num>
  <w:num w:numId="2" w16cid:durableId="1591113456">
    <w:abstractNumId w:val="1"/>
  </w:num>
  <w:num w:numId="3" w16cid:durableId="1164004034">
    <w:abstractNumId w:val="3"/>
  </w:num>
  <w:num w:numId="4" w16cid:durableId="1872955384">
    <w:abstractNumId w:val="10"/>
  </w:num>
  <w:num w:numId="5" w16cid:durableId="777261239">
    <w:abstractNumId w:val="7"/>
  </w:num>
  <w:num w:numId="6" w16cid:durableId="1861160692">
    <w:abstractNumId w:val="11"/>
  </w:num>
  <w:num w:numId="7" w16cid:durableId="1457723214">
    <w:abstractNumId w:val="2"/>
  </w:num>
  <w:num w:numId="8" w16cid:durableId="853692628">
    <w:abstractNumId w:val="9"/>
  </w:num>
  <w:num w:numId="9" w16cid:durableId="1972008607">
    <w:abstractNumId w:val="12"/>
  </w:num>
  <w:num w:numId="10" w16cid:durableId="897282367">
    <w:abstractNumId w:val="0"/>
  </w:num>
  <w:num w:numId="11" w16cid:durableId="1350183146">
    <w:abstractNumId w:val="9"/>
  </w:num>
  <w:num w:numId="12" w16cid:durableId="1673291655">
    <w:abstractNumId w:val="9"/>
  </w:num>
  <w:num w:numId="13" w16cid:durableId="1597058457">
    <w:abstractNumId w:val="9"/>
  </w:num>
  <w:num w:numId="14" w16cid:durableId="1043754295">
    <w:abstractNumId w:val="9"/>
  </w:num>
  <w:num w:numId="15" w16cid:durableId="2137486799">
    <w:abstractNumId w:val="9"/>
  </w:num>
  <w:num w:numId="16" w16cid:durableId="1157578391">
    <w:abstractNumId w:val="9"/>
  </w:num>
  <w:num w:numId="17" w16cid:durableId="2020232236">
    <w:abstractNumId w:val="9"/>
  </w:num>
  <w:num w:numId="18" w16cid:durableId="795415341">
    <w:abstractNumId w:val="9"/>
  </w:num>
  <w:num w:numId="19" w16cid:durableId="2010593079">
    <w:abstractNumId w:val="4"/>
  </w:num>
  <w:num w:numId="20" w16cid:durableId="1588877987">
    <w:abstractNumId w:val="13"/>
  </w:num>
  <w:num w:numId="21" w16cid:durableId="1327784453">
    <w:abstractNumId w:val="6"/>
  </w:num>
  <w:num w:numId="22" w16cid:durableId="1310161664">
    <w:abstractNumId w:val="8"/>
  </w:num>
  <w:num w:numId="23" w16cid:durableId="1562792180">
    <w:abstractNumId w:val="9"/>
  </w:num>
  <w:num w:numId="24" w16cid:durableId="1228305232">
    <w:abstractNumId w:val="9"/>
  </w:num>
  <w:num w:numId="25" w16cid:durableId="1023942493">
    <w:abstractNumId w:val="9"/>
  </w:num>
  <w:num w:numId="26" w16cid:durableId="987783054">
    <w:abstractNumId w:val="9"/>
  </w:num>
  <w:num w:numId="27" w16cid:durableId="669797505">
    <w:abstractNumId w:val="9"/>
  </w:num>
  <w:num w:numId="28" w16cid:durableId="391730802">
    <w:abstractNumId w:val="9"/>
  </w:num>
  <w:num w:numId="29" w16cid:durableId="1087653960">
    <w:abstractNumId w:val="9"/>
  </w:num>
  <w:num w:numId="30" w16cid:durableId="1485930084">
    <w:abstractNumId w:val="9"/>
  </w:num>
  <w:num w:numId="31" w16cid:durableId="1787966890">
    <w:abstractNumId w:val="9"/>
  </w:num>
  <w:num w:numId="32" w16cid:durableId="383869255">
    <w:abstractNumId w:val="9"/>
  </w:num>
  <w:num w:numId="33" w16cid:durableId="916675136">
    <w:abstractNumId w:val="9"/>
  </w:num>
  <w:num w:numId="34" w16cid:durableId="1968856237">
    <w:abstractNumId w:val="9"/>
  </w:num>
  <w:num w:numId="35" w16cid:durableId="1487621935">
    <w:abstractNumId w:val="9"/>
  </w:num>
  <w:num w:numId="36" w16cid:durableId="556089229">
    <w:abstractNumId w:val="9"/>
  </w:num>
  <w:num w:numId="37" w16cid:durableId="231505469">
    <w:abstractNumId w:val="9"/>
  </w:num>
  <w:num w:numId="38" w16cid:durableId="1537038726">
    <w:abstractNumId w:val="9"/>
  </w:num>
  <w:num w:numId="39" w16cid:durableId="1971861809">
    <w:abstractNumId w:val="9"/>
  </w:num>
  <w:num w:numId="40" w16cid:durableId="1643004457">
    <w:abstractNumId w:val="9"/>
  </w:num>
  <w:num w:numId="41" w16cid:durableId="1948736003">
    <w:abstractNumId w:val="5"/>
  </w:num>
  <w:num w:numId="42" w16cid:durableId="524639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59"/>
    <w:rsid w:val="0007076A"/>
    <w:rsid w:val="000C7610"/>
    <w:rsid w:val="000E3B54"/>
    <w:rsid w:val="000F48E1"/>
    <w:rsid w:val="00100E2C"/>
    <w:rsid w:val="00103857"/>
    <w:rsid w:val="00114B99"/>
    <w:rsid w:val="00122BD2"/>
    <w:rsid w:val="00124C6B"/>
    <w:rsid w:val="00137936"/>
    <w:rsid w:val="0014615F"/>
    <w:rsid w:val="001848DC"/>
    <w:rsid w:val="001C2FCB"/>
    <w:rsid w:val="001C7345"/>
    <w:rsid w:val="001E0B96"/>
    <w:rsid w:val="001F22CD"/>
    <w:rsid w:val="001F271A"/>
    <w:rsid w:val="00202E7C"/>
    <w:rsid w:val="00220B7B"/>
    <w:rsid w:val="002240B9"/>
    <w:rsid w:val="00226AC6"/>
    <w:rsid w:val="00236D94"/>
    <w:rsid w:val="00242328"/>
    <w:rsid w:val="00256B81"/>
    <w:rsid w:val="00257608"/>
    <w:rsid w:val="00266872"/>
    <w:rsid w:val="00270965"/>
    <w:rsid w:val="00276FFA"/>
    <w:rsid w:val="0028106A"/>
    <w:rsid w:val="00286328"/>
    <w:rsid w:val="00296043"/>
    <w:rsid w:val="002969A7"/>
    <w:rsid w:val="002A2169"/>
    <w:rsid w:val="002A4C51"/>
    <w:rsid w:val="002A612A"/>
    <w:rsid w:val="002A68BA"/>
    <w:rsid w:val="002A7187"/>
    <w:rsid w:val="002B4726"/>
    <w:rsid w:val="002E4100"/>
    <w:rsid w:val="003053C1"/>
    <w:rsid w:val="00314D57"/>
    <w:rsid w:val="0032236C"/>
    <w:rsid w:val="00345DE5"/>
    <w:rsid w:val="00355EF1"/>
    <w:rsid w:val="003771C5"/>
    <w:rsid w:val="0037735F"/>
    <w:rsid w:val="00392B5B"/>
    <w:rsid w:val="003B6831"/>
    <w:rsid w:val="003B6881"/>
    <w:rsid w:val="003E4C30"/>
    <w:rsid w:val="00423728"/>
    <w:rsid w:val="00423B8A"/>
    <w:rsid w:val="004815F5"/>
    <w:rsid w:val="00487BCD"/>
    <w:rsid w:val="00490697"/>
    <w:rsid w:val="004911D2"/>
    <w:rsid w:val="00497F51"/>
    <w:rsid w:val="004A3296"/>
    <w:rsid w:val="004C42C5"/>
    <w:rsid w:val="004D242B"/>
    <w:rsid w:val="004E29A8"/>
    <w:rsid w:val="004E7070"/>
    <w:rsid w:val="004E7602"/>
    <w:rsid w:val="0050431E"/>
    <w:rsid w:val="00510277"/>
    <w:rsid w:val="00516159"/>
    <w:rsid w:val="00516E9E"/>
    <w:rsid w:val="00526B65"/>
    <w:rsid w:val="00536A91"/>
    <w:rsid w:val="005413ED"/>
    <w:rsid w:val="005775A5"/>
    <w:rsid w:val="00584E09"/>
    <w:rsid w:val="00595350"/>
    <w:rsid w:val="005A5185"/>
    <w:rsid w:val="005A79D7"/>
    <w:rsid w:val="005C1B32"/>
    <w:rsid w:val="005C2B03"/>
    <w:rsid w:val="005D7327"/>
    <w:rsid w:val="005D7B2A"/>
    <w:rsid w:val="005E12F6"/>
    <w:rsid w:val="005F72BD"/>
    <w:rsid w:val="00604326"/>
    <w:rsid w:val="006058CB"/>
    <w:rsid w:val="00610BB3"/>
    <w:rsid w:val="00617A20"/>
    <w:rsid w:val="00641214"/>
    <w:rsid w:val="00644F73"/>
    <w:rsid w:val="00645AF0"/>
    <w:rsid w:val="0066036E"/>
    <w:rsid w:val="00660CCB"/>
    <w:rsid w:val="006654F1"/>
    <w:rsid w:val="0066702F"/>
    <w:rsid w:val="00673188"/>
    <w:rsid w:val="00695700"/>
    <w:rsid w:val="006A53DC"/>
    <w:rsid w:val="006B2053"/>
    <w:rsid w:val="006B52BE"/>
    <w:rsid w:val="006B5C49"/>
    <w:rsid w:val="006C263F"/>
    <w:rsid w:val="006D08C2"/>
    <w:rsid w:val="006E4E9C"/>
    <w:rsid w:val="006F2FB3"/>
    <w:rsid w:val="00731574"/>
    <w:rsid w:val="00732A3B"/>
    <w:rsid w:val="0073656F"/>
    <w:rsid w:val="007412A9"/>
    <w:rsid w:val="00744443"/>
    <w:rsid w:val="00756F52"/>
    <w:rsid w:val="00757FDA"/>
    <w:rsid w:val="00761B15"/>
    <w:rsid w:val="0076408C"/>
    <w:rsid w:val="00774142"/>
    <w:rsid w:val="007812B0"/>
    <w:rsid w:val="00786828"/>
    <w:rsid w:val="00787A06"/>
    <w:rsid w:val="007B606D"/>
    <w:rsid w:val="007C3111"/>
    <w:rsid w:val="007E0ED1"/>
    <w:rsid w:val="007E43BC"/>
    <w:rsid w:val="007F3DC6"/>
    <w:rsid w:val="008006A6"/>
    <w:rsid w:val="00843522"/>
    <w:rsid w:val="008507C1"/>
    <w:rsid w:val="008707C4"/>
    <w:rsid w:val="00891B59"/>
    <w:rsid w:val="008B18CF"/>
    <w:rsid w:val="008B5FBF"/>
    <w:rsid w:val="008C1D67"/>
    <w:rsid w:val="008E4AE6"/>
    <w:rsid w:val="008F5406"/>
    <w:rsid w:val="009054C6"/>
    <w:rsid w:val="00911657"/>
    <w:rsid w:val="00922E9F"/>
    <w:rsid w:val="00941E30"/>
    <w:rsid w:val="0095370B"/>
    <w:rsid w:val="0095713F"/>
    <w:rsid w:val="00963258"/>
    <w:rsid w:val="00975D1D"/>
    <w:rsid w:val="00980A4A"/>
    <w:rsid w:val="00993436"/>
    <w:rsid w:val="009945A0"/>
    <w:rsid w:val="009C4F54"/>
    <w:rsid w:val="009D01EE"/>
    <w:rsid w:val="009D5D6A"/>
    <w:rsid w:val="009E58C0"/>
    <w:rsid w:val="009F555B"/>
    <w:rsid w:val="00A06A44"/>
    <w:rsid w:val="00A34223"/>
    <w:rsid w:val="00A37C46"/>
    <w:rsid w:val="00A455C7"/>
    <w:rsid w:val="00A531A2"/>
    <w:rsid w:val="00A53FC0"/>
    <w:rsid w:val="00A548E6"/>
    <w:rsid w:val="00A61A09"/>
    <w:rsid w:val="00AA08F9"/>
    <w:rsid w:val="00AA2B69"/>
    <w:rsid w:val="00AB7DE8"/>
    <w:rsid w:val="00AC4FFB"/>
    <w:rsid w:val="00AD1AAD"/>
    <w:rsid w:val="00AE1038"/>
    <w:rsid w:val="00AF5688"/>
    <w:rsid w:val="00AF7B98"/>
    <w:rsid w:val="00AF7DF3"/>
    <w:rsid w:val="00B33373"/>
    <w:rsid w:val="00B65605"/>
    <w:rsid w:val="00B764B3"/>
    <w:rsid w:val="00B8152E"/>
    <w:rsid w:val="00B95BEB"/>
    <w:rsid w:val="00B974BD"/>
    <w:rsid w:val="00BB49F3"/>
    <w:rsid w:val="00BB6A4E"/>
    <w:rsid w:val="00BC3BAB"/>
    <w:rsid w:val="00BC3CC3"/>
    <w:rsid w:val="00BC6857"/>
    <w:rsid w:val="00BD1894"/>
    <w:rsid w:val="00BD4B66"/>
    <w:rsid w:val="00BE73A5"/>
    <w:rsid w:val="00BE740E"/>
    <w:rsid w:val="00BF53C8"/>
    <w:rsid w:val="00C124FB"/>
    <w:rsid w:val="00C153D0"/>
    <w:rsid w:val="00C22447"/>
    <w:rsid w:val="00C24E0C"/>
    <w:rsid w:val="00C31897"/>
    <w:rsid w:val="00C47B4F"/>
    <w:rsid w:val="00C5194F"/>
    <w:rsid w:val="00C533A1"/>
    <w:rsid w:val="00C70A2D"/>
    <w:rsid w:val="00C81CE1"/>
    <w:rsid w:val="00C95134"/>
    <w:rsid w:val="00C976E8"/>
    <w:rsid w:val="00CC140A"/>
    <w:rsid w:val="00CC683F"/>
    <w:rsid w:val="00CE07CF"/>
    <w:rsid w:val="00CE47C7"/>
    <w:rsid w:val="00CE6129"/>
    <w:rsid w:val="00D0069A"/>
    <w:rsid w:val="00D07558"/>
    <w:rsid w:val="00D353C1"/>
    <w:rsid w:val="00D368BC"/>
    <w:rsid w:val="00D55030"/>
    <w:rsid w:val="00D651B3"/>
    <w:rsid w:val="00D66119"/>
    <w:rsid w:val="00D725E4"/>
    <w:rsid w:val="00D85DFD"/>
    <w:rsid w:val="00D860A8"/>
    <w:rsid w:val="00D902C9"/>
    <w:rsid w:val="00DC6986"/>
    <w:rsid w:val="00DE7FBF"/>
    <w:rsid w:val="00DF0E0F"/>
    <w:rsid w:val="00E21429"/>
    <w:rsid w:val="00E41CDA"/>
    <w:rsid w:val="00E42EE1"/>
    <w:rsid w:val="00E4643C"/>
    <w:rsid w:val="00E511E0"/>
    <w:rsid w:val="00E525F0"/>
    <w:rsid w:val="00E61C9E"/>
    <w:rsid w:val="00E63916"/>
    <w:rsid w:val="00E91A5B"/>
    <w:rsid w:val="00EA2ACF"/>
    <w:rsid w:val="00EA3BBC"/>
    <w:rsid w:val="00EA5245"/>
    <w:rsid w:val="00EA5713"/>
    <w:rsid w:val="00EB3020"/>
    <w:rsid w:val="00ECEEEC"/>
    <w:rsid w:val="00ED4676"/>
    <w:rsid w:val="00EF5268"/>
    <w:rsid w:val="00F02105"/>
    <w:rsid w:val="00F042C9"/>
    <w:rsid w:val="00F24DCF"/>
    <w:rsid w:val="00F32850"/>
    <w:rsid w:val="00F443D0"/>
    <w:rsid w:val="00F57F49"/>
    <w:rsid w:val="00F65B7A"/>
    <w:rsid w:val="00F956EB"/>
    <w:rsid w:val="00FB5C45"/>
    <w:rsid w:val="00FC659E"/>
    <w:rsid w:val="00FE4435"/>
    <w:rsid w:val="00FF69C9"/>
    <w:rsid w:val="01FCE29E"/>
    <w:rsid w:val="0A9BF5E7"/>
    <w:rsid w:val="0DBD26CB"/>
    <w:rsid w:val="14974BED"/>
    <w:rsid w:val="18A804E4"/>
    <w:rsid w:val="1A1DADDE"/>
    <w:rsid w:val="22EA75CB"/>
    <w:rsid w:val="266F2CE1"/>
    <w:rsid w:val="2A0A4430"/>
    <w:rsid w:val="2FB00A03"/>
    <w:rsid w:val="31CC734B"/>
    <w:rsid w:val="32DB5D59"/>
    <w:rsid w:val="37A5BD43"/>
    <w:rsid w:val="3D2C01C1"/>
    <w:rsid w:val="47561D8B"/>
    <w:rsid w:val="494C3930"/>
    <w:rsid w:val="4B17376B"/>
    <w:rsid w:val="54AADEC1"/>
    <w:rsid w:val="59A8A726"/>
    <w:rsid w:val="5A3D60E4"/>
    <w:rsid w:val="5D0681CD"/>
    <w:rsid w:val="614FE2C3"/>
    <w:rsid w:val="69F99B9D"/>
    <w:rsid w:val="78A8C0A0"/>
    <w:rsid w:val="7A07A72C"/>
    <w:rsid w:val="7D01B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A1A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B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91B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91B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6560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B59"/>
    <w:rPr>
      <w:rFonts w:asciiTheme="majorHAnsi" w:eastAsiaTheme="majorEastAsia" w:hAnsiTheme="majorHAnsi" w:cstheme="majorBidi"/>
      <w:color w:val="2F5496" w:themeColor="accent1" w:themeShade="BF"/>
      <w:sz w:val="32"/>
      <w:szCs w:val="32"/>
    </w:rPr>
  </w:style>
  <w:style w:type="paragraph" w:customStyle="1" w:styleId="DWParaNum1">
    <w:name w:val="DW Para Num1"/>
    <w:basedOn w:val="Normal"/>
    <w:rsid w:val="00891B59"/>
    <w:pPr>
      <w:numPr>
        <w:numId w:val="1"/>
      </w:numPr>
      <w:overflowPunct w:val="0"/>
      <w:autoSpaceDE w:val="0"/>
      <w:autoSpaceDN w:val="0"/>
      <w:adjustRightInd w:val="0"/>
      <w:spacing w:after="0" w:line="240" w:lineRule="auto"/>
      <w:textAlignment w:val="baseline"/>
    </w:pPr>
    <w:rPr>
      <w:rFonts w:ascii="Arial" w:eastAsia="Times New Roman" w:hAnsi="Arial" w:cs="Times New Roman"/>
      <w:kern w:val="22"/>
      <w:szCs w:val="20"/>
    </w:rPr>
  </w:style>
  <w:style w:type="paragraph" w:customStyle="1" w:styleId="DWParaNum2">
    <w:name w:val="DW Para Num2"/>
    <w:basedOn w:val="Normal"/>
    <w:rsid w:val="00891B59"/>
    <w:pPr>
      <w:numPr>
        <w:ilvl w:val="1"/>
        <w:numId w:val="1"/>
      </w:numPr>
      <w:overflowPunct w:val="0"/>
      <w:autoSpaceDE w:val="0"/>
      <w:autoSpaceDN w:val="0"/>
      <w:adjustRightInd w:val="0"/>
      <w:spacing w:after="0" w:line="240" w:lineRule="auto"/>
      <w:textAlignment w:val="baseline"/>
    </w:pPr>
    <w:rPr>
      <w:rFonts w:ascii="Arial" w:eastAsia="Times New Roman" w:hAnsi="Arial" w:cs="Times New Roman"/>
      <w:kern w:val="22"/>
      <w:szCs w:val="20"/>
    </w:rPr>
  </w:style>
  <w:style w:type="paragraph" w:customStyle="1" w:styleId="DWParaNum3">
    <w:name w:val="DW Para Num3"/>
    <w:basedOn w:val="Normal"/>
    <w:rsid w:val="00891B59"/>
    <w:pPr>
      <w:numPr>
        <w:ilvl w:val="2"/>
        <w:numId w:val="1"/>
      </w:numPr>
      <w:overflowPunct w:val="0"/>
      <w:autoSpaceDE w:val="0"/>
      <w:autoSpaceDN w:val="0"/>
      <w:adjustRightInd w:val="0"/>
      <w:spacing w:after="0" w:line="240" w:lineRule="auto"/>
      <w:textAlignment w:val="baseline"/>
    </w:pPr>
    <w:rPr>
      <w:rFonts w:ascii="Arial" w:eastAsia="Times New Roman" w:hAnsi="Arial" w:cs="Times New Roman"/>
      <w:kern w:val="22"/>
      <w:szCs w:val="20"/>
    </w:rPr>
  </w:style>
  <w:style w:type="paragraph" w:customStyle="1" w:styleId="DWParaNum4">
    <w:name w:val="DW Para Num4"/>
    <w:basedOn w:val="Normal"/>
    <w:rsid w:val="00891B59"/>
    <w:pPr>
      <w:numPr>
        <w:ilvl w:val="3"/>
        <w:numId w:val="1"/>
      </w:numPr>
      <w:overflowPunct w:val="0"/>
      <w:autoSpaceDE w:val="0"/>
      <w:autoSpaceDN w:val="0"/>
      <w:adjustRightInd w:val="0"/>
      <w:spacing w:after="0" w:line="240" w:lineRule="auto"/>
      <w:textAlignment w:val="baseline"/>
    </w:pPr>
    <w:rPr>
      <w:rFonts w:ascii="Arial" w:eastAsia="Times New Roman" w:hAnsi="Arial" w:cs="Times New Roman"/>
      <w:kern w:val="22"/>
      <w:szCs w:val="20"/>
    </w:rPr>
  </w:style>
  <w:style w:type="paragraph" w:customStyle="1" w:styleId="DWParaNum5">
    <w:name w:val="DW Para Num5"/>
    <w:basedOn w:val="Normal"/>
    <w:rsid w:val="00891B59"/>
    <w:pPr>
      <w:numPr>
        <w:ilvl w:val="4"/>
        <w:numId w:val="1"/>
      </w:numPr>
      <w:overflowPunct w:val="0"/>
      <w:autoSpaceDE w:val="0"/>
      <w:autoSpaceDN w:val="0"/>
      <w:adjustRightInd w:val="0"/>
      <w:spacing w:after="0" w:line="240" w:lineRule="auto"/>
      <w:textAlignment w:val="baseline"/>
    </w:pPr>
    <w:rPr>
      <w:rFonts w:ascii="Arial" w:eastAsia="Times New Roman" w:hAnsi="Arial" w:cs="Times New Roman"/>
      <w:kern w:val="22"/>
      <w:szCs w:val="20"/>
    </w:rPr>
  </w:style>
  <w:style w:type="character" w:customStyle="1" w:styleId="Heading2Char">
    <w:name w:val="Heading 2 Char"/>
    <w:basedOn w:val="DefaultParagraphFont"/>
    <w:link w:val="Heading2"/>
    <w:uiPriority w:val="9"/>
    <w:rsid w:val="00891B5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91B5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qFormat/>
    <w:rsid w:val="00891B59"/>
    <w:pPr>
      <w:ind w:left="720"/>
      <w:contextualSpacing/>
    </w:pPr>
  </w:style>
  <w:style w:type="character" w:styleId="CommentReference">
    <w:name w:val="annotation reference"/>
    <w:basedOn w:val="DefaultParagraphFont"/>
    <w:uiPriority w:val="99"/>
    <w:semiHidden/>
    <w:unhideWhenUsed/>
    <w:rsid w:val="00124C6B"/>
    <w:rPr>
      <w:sz w:val="16"/>
      <w:szCs w:val="16"/>
    </w:rPr>
  </w:style>
  <w:style w:type="paragraph" w:styleId="CommentText">
    <w:name w:val="annotation text"/>
    <w:basedOn w:val="Normal"/>
    <w:link w:val="CommentTextChar"/>
    <w:uiPriority w:val="99"/>
    <w:unhideWhenUsed/>
    <w:rsid w:val="00124C6B"/>
    <w:pPr>
      <w:spacing w:line="240" w:lineRule="auto"/>
    </w:pPr>
    <w:rPr>
      <w:sz w:val="20"/>
      <w:szCs w:val="20"/>
    </w:rPr>
  </w:style>
  <w:style w:type="character" w:customStyle="1" w:styleId="CommentTextChar">
    <w:name w:val="Comment Text Char"/>
    <w:basedOn w:val="DefaultParagraphFont"/>
    <w:link w:val="CommentText"/>
    <w:uiPriority w:val="99"/>
    <w:rsid w:val="00124C6B"/>
    <w:rPr>
      <w:sz w:val="20"/>
      <w:szCs w:val="20"/>
    </w:rPr>
  </w:style>
  <w:style w:type="paragraph" w:styleId="CommentSubject">
    <w:name w:val="annotation subject"/>
    <w:basedOn w:val="CommentText"/>
    <w:next w:val="CommentText"/>
    <w:link w:val="CommentSubjectChar"/>
    <w:uiPriority w:val="99"/>
    <w:semiHidden/>
    <w:unhideWhenUsed/>
    <w:rsid w:val="00124C6B"/>
    <w:rPr>
      <w:b/>
      <w:bCs/>
    </w:rPr>
  </w:style>
  <w:style w:type="character" w:customStyle="1" w:styleId="CommentSubjectChar">
    <w:name w:val="Comment Subject Char"/>
    <w:basedOn w:val="CommentTextChar"/>
    <w:link w:val="CommentSubject"/>
    <w:uiPriority w:val="99"/>
    <w:semiHidden/>
    <w:rsid w:val="00124C6B"/>
    <w:rPr>
      <w:b/>
      <w:bCs/>
      <w:sz w:val="20"/>
      <w:szCs w:val="20"/>
    </w:rPr>
  </w:style>
  <w:style w:type="character" w:styleId="Hyperlink">
    <w:name w:val="Hyperlink"/>
    <w:basedOn w:val="DefaultParagraphFont"/>
    <w:uiPriority w:val="99"/>
    <w:unhideWhenUsed/>
    <w:rsid w:val="00CE07CF"/>
    <w:rPr>
      <w:color w:val="0563C1" w:themeColor="hyperlink"/>
      <w:u w:val="single"/>
    </w:rPr>
  </w:style>
  <w:style w:type="character" w:styleId="UnresolvedMention">
    <w:name w:val="Unresolved Mention"/>
    <w:basedOn w:val="DefaultParagraphFont"/>
    <w:uiPriority w:val="99"/>
    <w:semiHidden/>
    <w:unhideWhenUsed/>
    <w:rsid w:val="00CE07CF"/>
    <w:rPr>
      <w:color w:val="605E5C"/>
      <w:shd w:val="clear" w:color="auto" w:fill="E1DFDD"/>
    </w:rPr>
  </w:style>
  <w:style w:type="character" w:customStyle="1" w:styleId="Heading4Char">
    <w:name w:val="Heading 4 Char"/>
    <w:basedOn w:val="DefaultParagraphFont"/>
    <w:link w:val="Heading4"/>
    <w:uiPriority w:val="9"/>
    <w:rsid w:val="00B65605"/>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1C7345"/>
    <w:pPr>
      <w:spacing w:after="0" w:line="240" w:lineRule="auto"/>
    </w:pPr>
  </w:style>
  <w:style w:type="paragraph" w:customStyle="1" w:styleId="pf0">
    <w:name w:val="pf0"/>
    <w:basedOn w:val="Normal"/>
    <w:rsid w:val="00AB7D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AB7DE8"/>
    <w:rPr>
      <w:rFonts w:ascii="Segoe UI" w:hAnsi="Segoe UI" w:cs="Segoe UI" w:hint="default"/>
      <w:i/>
      <w:iCs/>
      <w:sz w:val="18"/>
      <w:szCs w:val="18"/>
    </w:rPr>
  </w:style>
  <w:style w:type="paragraph" w:styleId="Header">
    <w:name w:val="header"/>
    <w:basedOn w:val="Normal"/>
    <w:link w:val="HeaderChar"/>
    <w:uiPriority w:val="99"/>
    <w:unhideWhenUsed/>
    <w:rsid w:val="00732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A3B"/>
  </w:style>
  <w:style w:type="paragraph" w:styleId="Footer">
    <w:name w:val="footer"/>
    <w:basedOn w:val="Normal"/>
    <w:link w:val="FooterChar"/>
    <w:uiPriority w:val="99"/>
    <w:unhideWhenUsed/>
    <w:rsid w:val="00732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31019">
      <w:bodyDiv w:val="1"/>
      <w:marLeft w:val="0"/>
      <w:marRight w:val="0"/>
      <w:marTop w:val="0"/>
      <w:marBottom w:val="0"/>
      <w:divBdr>
        <w:top w:val="none" w:sz="0" w:space="0" w:color="auto"/>
        <w:left w:val="none" w:sz="0" w:space="0" w:color="auto"/>
        <w:bottom w:val="none" w:sz="0" w:space="0" w:color="auto"/>
        <w:right w:val="none" w:sz="0" w:space="0" w:color="auto"/>
      </w:divBdr>
    </w:div>
    <w:div w:id="1221359589">
      <w:bodyDiv w:val="1"/>
      <w:marLeft w:val="0"/>
      <w:marRight w:val="0"/>
      <w:marTop w:val="0"/>
      <w:marBottom w:val="0"/>
      <w:divBdr>
        <w:top w:val="none" w:sz="0" w:space="0" w:color="auto"/>
        <w:left w:val="none" w:sz="0" w:space="0" w:color="auto"/>
        <w:bottom w:val="none" w:sz="0" w:space="0" w:color="auto"/>
        <w:right w:val="none" w:sz="0" w:space="0" w:color="auto"/>
      </w:divBdr>
    </w:div>
    <w:div w:id="195031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a.small375@mod.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b973624-d5f0-4314-a6ad-2d5508efed1a">DESSALMODEL-996897140-18030</_dlc_DocId>
    <_dlc_DocIdUrl xmlns="db973624-d5f0-4314-a6ad-2d5508efed1a">
      <Url>https://modgovuk.sharepoint.com/sites/DES-SALMOMarineHeavyLiftLTD/_layouts/15/DocIdRedir.aspx?ID=DESSALMODEL-996897140-18030</Url>
      <Description>DESSALMODEL-996897140-18030</Description>
    </_dlc_DocIdUrl>
    <lcf76f155ced4ddcb4097134ff3c332f xmlns="718395d6-22a4-4996-a355-3b5483d6a8ee">
      <Terms xmlns="http://schemas.microsoft.com/office/infopath/2007/PartnerControls"/>
    </lcf76f155ced4ddcb4097134ff3c332f>
    <TaxCatchAll xmlns="04738c6d-ecc8-46f1-821f-82e308eab3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BB08DB3D3EE48A553A54C7E5B8B25" ma:contentTypeVersion="20" ma:contentTypeDescription="Create a new document." ma:contentTypeScope="" ma:versionID="71d8cfcfc2e3537e1debe50989873c48">
  <xsd:schema xmlns:xsd="http://www.w3.org/2001/XMLSchema" xmlns:xs="http://www.w3.org/2001/XMLSchema" xmlns:p="http://schemas.microsoft.com/office/2006/metadata/properties" xmlns:ns2="db973624-d5f0-4314-a6ad-2d5508efed1a" xmlns:ns3="718395d6-22a4-4996-a355-3b5483d6a8ee" xmlns:ns4="04738c6d-ecc8-46f1-821f-82e308eab3d9" targetNamespace="http://schemas.microsoft.com/office/2006/metadata/properties" ma:root="true" ma:fieldsID="27abd920ded280fa96f2ea5efd30a2e4" ns2:_="" ns3:_="" ns4:_="">
    <xsd:import namespace="db973624-d5f0-4314-a6ad-2d5508efed1a"/>
    <xsd:import namespace="718395d6-22a4-4996-a355-3b5483d6a8ee"/>
    <xsd:import namespace="04738c6d-ecc8-46f1-821f-82e308eab3d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lcf76f155ced4ddcb4097134ff3c332f" minOccurs="0"/>
                <xsd:element ref="ns4: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73624-d5f0-4314-a6ad-2d5508efed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8395d6-22a4-4996-a355-3b5483d6a8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8fbc2-c97e-4eb1-afd9-813fb89a6043}" ma:internalName="TaxCatchAll" ma:showField="CatchAllData" ma:web="db973624-d5f0-4314-a6ad-2d5508efe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3B59B-BADA-4662-A9C4-659477B18DBF}">
  <ds:schemaRefs>
    <ds:schemaRef ds:uri="http://schemas.microsoft.com/office/2006/documentManagement/types"/>
    <ds:schemaRef ds:uri="db973624-d5f0-4314-a6ad-2d5508efed1a"/>
    <ds:schemaRef ds:uri="http://purl.org/dc/elements/1.1/"/>
    <ds:schemaRef ds:uri="http://schemas.openxmlformats.org/package/2006/metadata/core-properties"/>
    <ds:schemaRef ds:uri="http://www.w3.org/XML/1998/namespace"/>
    <ds:schemaRef ds:uri="http://purl.org/dc/dcmitype/"/>
    <ds:schemaRef ds:uri="http://purl.org/dc/terms/"/>
    <ds:schemaRef ds:uri="http://schemas.microsoft.com/office/infopath/2007/PartnerControls"/>
    <ds:schemaRef ds:uri="04738c6d-ecc8-46f1-821f-82e308eab3d9"/>
    <ds:schemaRef ds:uri="718395d6-22a4-4996-a355-3b5483d6a8ee"/>
    <ds:schemaRef ds:uri="http://schemas.microsoft.com/office/2006/metadata/properties"/>
  </ds:schemaRefs>
</ds:datastoreItem>
</file>

<file path=customXml/itemProps2.xml><?xml version="1.0" encoding="utf-8"?>
<ds:datastoreItem xmlns:ds="http://schemas.openxmlformats.org/officeDocument/2006/customXml" ds:itemID="{BD4672F4-DDFC-4835-9F95-A96011C70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73624-d5f0-4314-a6ad-2d5508efed1a"/>
    <ds:schemaRef ds:uri="718395d6-22a4-4996-a355-3b5483d6a8ee"/>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DCE15E-90BC-46FE-AA2F-F19C0CFF52EE}">
  <ds:schemaRefs>
    <ds:schemaRef ds:uri="http://schemas.microsoft.com/sharepoint/events"/>
  </ds:schemaRefs>
</ds:datastoreItem>
</file>

<file path=customXml/itemProps4.xml><?xml version="1.0" encoding="utf-8"?>
<ds:datastoreItem xmlns:ds="http://schemas.openxmlformats.org/officeDocument/2006/customXml" ds:itemID="{38BCE186-7F05-4CE3-AD4C-C7D4AB0954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1851</Words>
  <Characters>10557</Characters>
  <Application>Microsoft Office Word</Application>
  <DocSecurity>0</DocSecurity>
  <Lines>87</Lines>
  <Paragraphs>24</Paragraphs>
  <ScaleCrop>false</ScaleCrop>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2024-10-16T16:33:00Z</dcterms:created>
  <dcterms:modified xsi:type="dcterms:W3CDTF">2024-10-16T17:12:00Z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2024-10-04T09:57:34Z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f21a1cef-ec0a-4617-89e1-e955de6fca6c</vt:lpwstr>
  </property>
  <property fmtid="{D5CDD505-2E9C-101B-9397-08002B2CF9AE}" pid="8" name="MSIP_Label_d8a60473-494b-4586-a1bb-b0e663054676_ContentBits">
    <vt:lpwstr>0</vt:lpwstr>
  </property>
  <property fmtid="{D5CDD505-2E9C-101B-9397-08002B2CF9AE}" pid="9" name="MediaServiceImageTags">
    <vt:lpwstr/>
  </property>
  <property fmtid="{D5CDD505-2E9C-101B-9397-08002B2CF9AE}" pid="10" name="ContentTypeId">
    <vt:lpwstr>0x010100D1DBB08DB3D3EE48A553A54C7E5B8B25</vt:lpwstr>
  </property>
  <property fmtid="{D5CDD505-2E9C-101B-9397-08002B2CF9AE}" pid="11" name="_dlc_DocIdItemGuid">
    <vt:lpwstr>05d51a4c-a78f-4ab4-b398-9460399f1187</vt:lpwstr>
  </property>
</Properties>
</file>