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9D" w:rsidRDefault="00B451E4">
      <w:pPr>
        <w:spacing w:after="0" w:line="259" w:lineRule="auto"/>
        <w:rPr>
          <w:rFonts w:ascii="Arial" w:eastAsia="Arial" w:hAnsi="Arial" w:cs="Arial"/>
          <w:b/>
          <w:sz w:val="36"/>
          <w:szCs w:val="36"/>
        </w:rPr>
      </w:pPr>
      <w:r>
        <w:rPr>
          <w:rFonts w:ascii="Arial" w:eastAsia="Arial" w:hAnsi="Arial" w:cs="Arial"/>
          <w:b/>
          <w:sz w:val="36"/>
          <w:szCs w:val="36"/>
        </w:rPr>
        <w:t>Framework</w:t>
      </w:r>
      <w:r w:rsidR="003964FE">
        <w:rPr>
          <w:rFonts w:ascii="Arial" w:eastAsia="Arial" w:hAnsi="Arial" w:cs="Arial"/>
          <w:b/>
          <w:sz w:val="36"/>
          <w:szCs w:val="36"/>
        </w:rPr>
        <w:t xml:space="preserve"> Schedule 6 (Order Form</w:t>
      </w:r>
      <w:r>
        <w:rPr>
          <w:rFonts w:ascii="Arial" w:eastAsia="Arial" w:hAnsi="Arial" w:cs="Arial"/>
          <w:b/>
          <w:sz w:val="36"/>
          <w:szCs w:val="36"/>
        </w:rPr>
        <w:t xml:space="preserve"> and Call-Off Schedules)</w:t>
      </w:r>
    </w:p>
    <w:p w:rsidR="000B559D" w:rsidRDefault="000B559D">
      <w:pPr>
        <w:spacing w:after="0" w:line="259" w:lineRule="auto"/>
        <w:rPr>
          <w:rFonts w:ascii="Arial" w:eastAsia="Arial" w:hAnsi="Arial" w:cs="Arial"/>
          <w:b/>
          <w:sz w:val="36"/>
          <w:szCs w:val="36"/>
        </w:rPr>
      </w:pPr>
    </w:p>
    <w:p w:rsidR="000B559D" w:rsidRDefault="00B451E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0B559D" w:rsidRDefault="000B559D">
      <w:pPr>
        <w:spacing w:after="0" w:line="259" w:lineRule="auto"/>
        <w:rPr>
          <w:rFonts w:ascii="Arial" w:eastAsia="Arial" w:hAnsi="Arial" w:cs="Arial"/>
          <w:b/>
          <w:sz w:val="24"/>
          <w:szCs w:val="24"/>
        </w:rPr>
      </w:pPr>
    </w:p>
    <w:p w:rsidR="000B559D" w:rsidRDefault="000B559D">
      <w:pPr>
        <w:spacing w:after="0" w:line="259" w:lineRule="auto"/>
        <w:rPr>
          <w:rFonts w:ascii="Arial" w:eastAsia="Arial" w:hAnsi="Arial" w:cs="Arial"/>
          <w:b/>
          <w:sz w:val="24"/>
          <w:szCs w:val="24"/>
        </w:rPr>
      </w:pPr>
    </w:p>
    <w:p w:rsidR="000B559D" w:rsidRPr="00B237F1" w:rsidRDefault="00B451E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B237F1" w:rsidRPr="00B237F1">
        <w:rPr>
          <w:rFonts w:ascii="Arial" w:eastAsia="Arial" w:hAnsi="Arial" w:cs="Arial"/>
          <w:sz w:val="24"/>
          <w:szCs w:val="24"/>
        </w:rPr>
        <w:t>CCZN21A82</w:t>
      </w:r>
    </w:p>
    <w:p w:rsidR="000B559D" w:rsidRPr="00B237F1" w:rsidRDefault="000B559D">
      <w:pPr>
        <w:spacing w:after="0" w:line="259" w:lineRule="auto"/>
        <w:rPr>
          <w:rFonts w:ascii="Arial" w:eastAsia="Arial" w:hAnsi="Arial" w:cs="Arial"/>
          <w:sz w:val="24"/>
          <w:szCs w:val="24"/>
        </w:rPr>
      </w:pPr>
    </w:p>
    <w:p w:rsidR="000B559D" w:rsidRPr="00B237F1" w:rsidRDefault="00B451E4">
      <w:pPr>
        <w:spacing w:after="0" w:line="259" w:lineRule="auto"/>
        <w:rPr>
          <w:rFonts w:ascii="Arial" w:eastAsia="Arial" w:hAnsi="Arial" w:cs="Arial"/>
          <w:sz w:val="24"/>
          <w:szCs w:val="24"/>
        </w:rPr>
      </w:pPr>
      <w:r w:rsidRPr="00B237F1">
        <w:rPr>
          <w:rFonts w:ascii="Arial" w:eastAsia="Arial" w:hAnsi="Arial" w:cs="Arial"/>
          <w:sz w:val="24"/>
          <w:szCs w:val="24"/>
        </w:rPr>
        <w:t>THE BUYER:</w:t>
      </w:r>
      <w:r w:rsidRPr="00B237F1">
        <w:rPr>
          <w:rFonts w:ascii="Arial" w:eastAsia="Arial" w:hAnsi="Arial" w:cs="Arial"/>
          <w:sz w:val="24"/>
          <w:szCs w:val="24"/>
        </w:rPr>
        <w:tab/>
      </w:r>
      <w:r w:rsidRPr="00B237F1">
        <w:rPr>
          <w:rFonts w:ascii="Arial" w:eastAsia="Arial" w:hAnsi="Arial" w:cs="Arial"/>
          <w:sz w:val="24"/>
          <w:szCs w:val="24"/>
        </w:rPr>
        <w:tab/>
      </w:r>
      <w:r w:rsidRPr="00B237F1">
        <w:rPr>
          <w:rFonts w:ascii="Arial" w:eastAsia="Arial" w:hAnsi="Arial" w:cs="Arial"/>
          <w:sz w:val="24"/>
          <w:szCs w:val="24"/>
        </w:rPr>
        <w:tab/>
      </w:r>
      <w:r w:rsidR="00B237F1" w:rsidRPr="00B237F1">
        <w:rPr>
          <w:rFonts w:ascii="Arial" w:eastAsia="Arial" w:hAnsi="Arial" w:cs="Arial"/>
          <w:sz w:val="24"/>
          <w:szCs w:val="24"/>
        </w:rPr>
        <w:t>Cabinet Office</w:t>
      </w:r>
    </w:p>
    <w:p w:rsidR="000B559D" w:rsidRPr="00B237F1" w:rsidRDefault="00B451E4">
      <w:pPr>
        <w:spacing w:after="0" w:line="259" w:lineRule="auto"/>
        <w:rPr>
          <w:rFonts w:ascii="Arial" w:eastAsia="Arial" w:hAnsi="Arial" w:cs="Arial"/>
          <w:sz w:val="24"/>
          <w:szCs w:val="24"/>
        </w:rPr>
      </w:pPr>
      <w:r w:rsidRPr="00B237F1">
        <w:rPr>
          <w:rFonts w:ascii="Arial" w:eastAsia="Arial" w:hAnsi="Arial" w:cs="Arial"/>
          <w:sz w:val="24"/>
          <w:szCs w:val="24"/>
        </w:rPr>
        <w:t xml:space="preserve"> </w:t>
      </w:r>
    </w:p>
    <w:p w:rsidR="000B559D" w:rsidRDefault="00B451E4">
      <w:pPr>
        <w:spacing w:after="0" w:line="259" w:lineRule="auto"/>
        <w:rPr>
          <w:rFonts w:ascii="Arial" w:eastAsia="Arial" w:hAnsi="Arial" w:cs="Arial"/>
          <w:b/>
          <w:sz w:val="24"/>
          <w:szCs w:val="24"/>
        </w:rPr>
      </w:pPr>
      <w:r w:rsidRPr="00B237F1">
        <w:rPr>
          <w:rFonts w:ascii="Arial" w:eastAsia="Arial" w:hAnsi="Arial" w:cs="Arial"/>
          <w:sz w:val="24"/>
          <w:szCs w:val="24"/>
        </w:rPr>
        <w:t>BUYER ADDRESS</w:t>
      </w:r>
      <w:r w:rsidRPr="00B237F1">
        <w:rPr>
          <w:rFonts w:ascii="Arial" w:eastAsia="Arial" w:hAnsi="Arial" w:cs="Arial"/>
          <w:sz w:val="24"/>
          <w:szCs w:val="24"/>
        </w:rPr>
        <w:tab/>
      </w:r>
      <w:r w:rsidRPr="00B237F1">
        <w:rPr>
          <w:rFonts w:ascii="Arial" w:eastAsia="Arial" w:hAnsi="Arial" w:cs="Arial"/>
          <w:sz w:val="24"/>
          <w:szCs w:val="24"/>
        </w:rPr>
        <w:tab/>
      </w:r>
      <w:r w:rsidRPr="00B237F1">
        <w:rPr>
          <w:rFonts w:ascii="Arial" w:eastAsia="Arial" w:hAnsi="Arial" w:cs="Arial"/>
          <w:sz w:val="24"/>
          <w:szCs w:val="24"/>
        </w:rPr>
        <w:tab/>
      </w:r>
      <w:r w:rsidR="00B237F1" w:rsidRPr="00B237F1">
        <w:rPr>
          <w:rFonts w:ascii="Arial" w:eastAsia="Arial" w:hAnsi="Arial" w:cs="Arial"/>
          <w:sz w:val="24"/>
          <w:szCs w:val="24"/>
        </w:rPr>
        <w:t>1 Horseguards Road, London</w:t>
      </w:r>
      <w:r>
        <w:rPr>
          <w:rFonts w:ascii="Arial" w:eastAsia="Arial" w:hAnsi="Arial" w:cs="Arial"/>
          <w:b/>
          <w:sz w:val="24"/>
          <w:szCs w:val="24"/>
        </w:rPr>
        <w:t xml:space="preserve"> </w:t>
      </w:r>
    </w:p>
    <w:p w:rsidR="000B559D" w:rsidRDefault="000B559D">
      <w:pPr>
        <w:spacing w:after="0" w:line="259" w:lineRule="auto"/>
        <w:rPr>
          <w:rFonts w:ascii="Arial" w:eastAsia="Arial" w:hAnsi="Arial" w:cs="Arial"/>
          <w:sz w:val="24"/>
          <w:szCs w:val="24"/>
        </w:rPr>
      </w:pPr>
    </w:p>
    <w:p w:rsidR="000B559D" w:rsidRDefault="00B451E4" w:rsidP="00C47640">
      <w:pPr>
        <w:tabs>
          <w:tab w:val="center" w:pos="4153"/>
          <w:tab w:val="right" w:pos="8306"/>
        </w:tabs>
        <w:spacing w:after="120" w:line="240" w:lineRule="atLeast"/>
        <w:rPr>
          <w:rFonts w:ascii="Arial" w:eastAsiaTheme="minorEastAsia" w:hAnsi="Arial" w:cs="Arial"/>
        </w:rPr>
      </w:pPr>
      <w:r>
        <w:rPr>
          <w:rFonts w:ascii="Arial" w:eastAsia="Arial" w:hAnsi="Arial" w:cs="Arial"/>
          <w:sz w:val="24"/>
          <w:szCs w:val="24"/>
        </w:rPr>
        <w:t xml:space="preserve">THE SUPPLIER: </w:t>
      </w:r>
      <w:r>
        <w:rPr>
          <w:rFonts w:ascii="Arial" w:eastAsia="Arial" w:hAnsi="Arial" w:cs="Arial"/>
          <w:sz w:val="24"/>
          <w:szCs w:val="24"/>
        </w:rPr>
        <w:tab/>
      </w:r>
      <w:r w:rsidR="00C47640">
        <w:rPr>
          <w:rFonts w:ascii="Arial" w:eastAsia="Arial" w:hAnsi="Arial" w:cs="Arial"/>
          <w:sz w:val="24"/>
          <w:szCs w:val="24"/>
        </w:rPr>
        <w:t xml:space="preserve">      </w:t>
      </w:r>
      <w:r w:rsidR="00C47640" w:rsidRPr="00171C1B">
        <w:rPr>
          <w:rFonts w:ascii="Arial" w:eastAsiaTheme="minorEastAsia" w:hAnsi="Arial" w:cs="Arial"/>
        </w:rPr>
        <w:t>Covoxa Limited</w:t>
      </w:r>
      <w:r>
        <w:rPr>
          <w:rFonts w:ascii="Arial" w:eastAsia="Arial" w:hAnsi="Arial" w:cs="Arial"/>
          <w:sz w:val="24"/>
          <w:szCs w:val="24"/>
        </w:rPr>
        <w:tab/>
      </w:r>
      <w:r>
        <w:rPr>
          <w:rFonts w:ascii="Arial" w:eastAsia="Arial" w:hAnsi="Arial" w:cs="Arial"/>
          <w:sz w:val="24"/>
          <w:szCs w:val="24"/>
        </w:rPr>
        <w:tab/>
      </w:r>
      <w:r w:rsidR="00C47640">
        <w:rPr>
          <w:rFonts w:ascii="Arial" w:eastAsiaTheme="minorEastAsia" w:hAnsi="Arial" w:cs="Arial"/>
        </w:rPr>
        <w:t xml:space="preserve"> </w:t>
      </w:r>
    </w:p>
    <w:p w:rsidR="00C47640" w:rsidRPr="00C47640" w:rsidRDefault="00C47640" w:rsidP="00C47640">
      <w:pPr>
        <w:tabs>
          <w:tab w:val="center" w:pos="4153"/>
          <w:tab w:val="right" w:pos="8306"/>
        </w:tabs>
        <w:spacing w:after="120" w:line="240" w:lineRule="atLeast"/>
        <w:rPr>
          <w:rFonts w:ascii="Arial" w:eastAsiaTheme="minorEastAsia" w:hAnsi="Arial" w:cs="Arial"/>
        </w:rPr>
      </w:pPr>
    </w:p>
    <w:p w:rsidR="00C47640" w:rsidRPr="00171C1B" w:rsidRDefault="00B451E4" w:rsidP="00C47640">
      <w:pPr>
        <w:tabs>
          <w:tab w:val="center" w:pos="4153"/>
          <w:tab w:val="right" w:pos="8306"/>
        </w:tabs>
        <w:spacing w:after="120" w:line="240" w:lineRule="atLeast"/>
        <w:rPr>
          <w:rFonts w:ascii="Arial" w:eastAsiaTheme="minorEastAsia" w:hAnsi="Arial" w:cs="Arial"/>
        </w:rPr>
      </w:pPr>
      <w:r>
        <w:rPr>
          <w:rFonts w:ascii="Arial" w:eastAsia="Arial" w:hAnsi="Arial" w:cs="Arial"/>
          <w:sz w:val="24"/>
          <w:szCs w:val="24"/>
        </w:rPr>
        <w:t>SUPPLIER ADDRESS:</w:t>
      </w:r>
      <w:r w:rsidR="00C47640">
        <w:rPr>
          <w:rFonts w:ascii="Arial" w:eastAsia="Arial" w:hAnsi="Arial" w:cs="Arial"/>
          <w:b/>
          <w:sz w:val="24"/>
          <w:szCs w:val="24"/>
        </w:rPr>
        <w:t xml:space="preserve"> </w:t>
      </w:r>
      <w:r w:rsidR="00C47640">
        <w:rPr>
          <w:rFonts w:ascii="Arial" w:eastAsia="Arial" w:hAnsi="Arial" w:cs="Arial"/>
          <w:b/>
          <w:sz w:val="24"/>
          <w:szCs w:val="24"/>
        </w:rPr>
        <w:tab/>
        <w:t xml:space="preserve">               </w:t>
      </w:r>
      <w:r w:rsidR="00C47640" w:rsidRPr="00171C1B">
        <w:rPr>
          <w:rFonts w:ascii="Arial" w:eastAsiaTheme="minorEastAsia" w:hAnsi="Arial" w:cs="Arial"/>
        </w:rPr>
        <w:t>45 Stockbridge Road, Winchester, SO22 6RW</w:t>
      </w:r>
    </w:p>
    <w:p w:rsidR="00B237F1" w:rsidRDefault="00B237F1" w:rsidP="00B237F1">
      <w:pPr>
        <w:spacing w:line="240" w:lineRule="auto"/>
        <w:rPr>
          <w:rFonts w:ascii="Arial" w:eastAsia="Arial" w:hAnsi="Arial" w:cs="Arial"/>
          <w:sz w:val="24"/>
          <w:szCs w:val="24"/>
        </w:rPr>
      </w:pPr>
    </w:p>
    <w:p w:rsidR="00B237F1" w:rsidRDefault="00B451E4" w:rsidP="00B237F1">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321001">
        <w:rPr>
          <w:rFonts w:ascii="Arial" w:eastAsia="Arial" w:hAnsi="Arial" w:cs="Arial"/>
          <w:b/>
          <w:sz w:val="24"/>
          <w:szCs w:val="24"/>
        </w:rPr>
        <w:t xml:space="preserve"> </w:t>
      </w:r>
      <w:r w:rsidR="00B237F1">
        <w:rPr>
          <w:rFonts w:ascii="Arial" w:eastAsia="Arial" w:hAnsi="Arial" w:cs="Arial"/>
          <w:b/>
          <w:sz w:val="24"/>
          <w:szCs w:val="24"/>
        </w:rPr>
        <w:t xml:space="preserve"> </w:t>
      </w:r>
    </w:p>
    <w:p w:rsidR="000B559D" w:rsidRDefault="00B451E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321001">
        <w:rPr>
          <w:rFonts w:ascii="Arial" w:eastAsia="Arial" w:hAnsi="Arial" w:cs="Arial"/>
          <w:b/>
          <w:sz w:val="24"/>
          <w:szCs w:val="24"/>
        </w:rPr>
        <w:t xml:space="preserve"> </w:t>
      </w:r>
      <w:r w:rsidR="00B237F1">
        <w:rPr>
          <w:rFonts w:ascii="Arial" w:eastAsia="Arial" w:hAnsi="Arial" w:cs="Arial"/>
          <w:b/>
          <w:sz w:val="24"/>
          <w:szCs w:val="24"/>
        </w:rPr>
        <w:t xml:space="preserve"> </w:t>
      </w:r>
    </w:p>
    <w:p w:rsidR="000B559D" w:rsidRDefault="00B451E4" w:rsidP="00B9707B">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21001">
        <w:rPr>
          <w:rFonts w:ascii="Arial" w:eastAsia="Arial" w:hAnsi="Arial" w:cs="Arial"/>
          <w:b/>
          <w:sz w:val="24"/>
          <w:szCs w:val="24"/>
        </w:rPr>
        <w:t xml:space="preserve"> </w:t>
      </w:r>
      <w:r w:rsidR="00B237F1">
        <w:rPr>
          <w:rFonts w:ascii="Arial" w:eastAsia="Arial" w:hAnsi="Arial" w:cs="Arial"/>
          <w:b/>
          <w:sz w:val="24"/>
          <w:szCs w:val="24"/>
        </w:rPr>
        <w:t xml:space="preserve"> </w:t>
      </w:r>
    </w:p>
    <w:p w:rsidR="000B559D" w:rsidRDefault="000B559D">
      <w:pPr>
        <w:spacing w:after="0" w:line="259" w:lineRule="auto"/>
        <w:rPr>
          <w:rFonts w:ascii="Arial" w:eastAsia="Arial" w:hAnsi="Arial" w:cs="Arial"/>
          <w:sz w:val="24"/>
          <w:szCs w:val="24"/>
        </w:rPr>
      </w:pPr>
    </w:p>
    <w:p w:rsidR="000B559D" w:rsidRDefault="00B451E4">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0B559D" w:rsidRDefault="000B559D">
      <w:pPr>
        <w:spacing w:after="0" w:line="259" w:lineRule="auto"/>
        <w:rPr>
          <w:rFonts w:ascii="Arial" w:eastAsia="Arial" w:hAnsi="Arial" w:cs="Arial"/>
          <w:sz w:val="24"/>
          <w:szCs w:val="24"/>
        </w:rPr>
      </w:pPr>
    </w:p>
    <w:p w:rsidR="000B559D" w:rsidRDefault="00B451E4" w:rsidP="00C47640">
      <w:pPr>
        <w:spacing w:line="240" w:lineRule="auto"/>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C47640">
        <w:rPr>
          <w:rFonts w:ascii="Arial" w:eastAsia="Arial" w:hAnsi="Arial" w:cs="Arial"/>
          <w:sz w:val="24"/>
          <w:szCs w:val="24"/>
        </w:rPr>
        <w:t xml:space="preserve">dated </w:t>
      </w:r>
      <w:r w:rsidR="000033DA">
        <w:rPr>
          <w:rFonts w:ascii="Arial" w:eastAsia="Arial" w:hAnsi="Arial" w:cs="Arial"/>
          <w:sz w:val="24"/>
          <w:szCs w:val="24"/>
        </w:rPr>
        <w:t>26</w:t>
      </w:r>
      <w:r w:rsidR="00C47640" w:rsidRPr="00C47640">
        <w:rPr>
          <w:rFonts w:ascii="Arial" w:eastAsia="Arial" w:hAnsi="Arial" w:cs="Arial"/>
          <w:sz w:val="24"/>
          <w:szCs w:val="24"/>
          <w:vertAlign w:val="superscript"/>
        </w:rPr>
        <w:t>th</w:t>
      </w:r>
      <w:r w:rsidR="00C47640" w:rsidRPr="00C47640">
        <w:rPr>
          <w:rFonts w:ascii="Arial" w:eastAsia="Arial" w:hAnsi="Arial" w:cs="Arial"/>
          <w:sz w:val="24"/>
          <w:szCs w:val="24"/>
        </w:rPr>
        <w:t xml:space="preserve"> November 2021.</w:t>
      </w:r>
      <w:r w:rsidR="00506F74">
        <w:rPr>
          <w:rFonts w:ascii="Arial" w:eastAsia="Arial" w:hAnsi="Arial" w:cs="Arial"/>
          <w:b/>
          <w:sz w:val="24"/>
          <w:szCs w:val="24"/>
        </w:rPr>
        <w:t xml:space="preserve"> </w:t>
      </w:r>
    </w:p>
    <w:p w:rsidR="000B559D" w:rsidRDefault="00B451E4">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w:t>
      </w:r>
      <w:r w:rsidR="00506F74">
        <w:rPr>
          <w:rFonts w:ascii="Arial" w:eastAsia="Arial" w:hAnsi="Arial" w:cs="Arial"/>
          <w:sz w:val="24"/>
          <w:szCs w:val="24"/>
        </w:rPr>
        <w:t xml:space="preserve">tract with the reference number RM6193 Software Design and Implementation Lot 1 </w:t>
      </w:r>
      <w:r>
        <w:rPr>
          <w:rFonts w:ascii="Arial" w:eastAsia="Arial" w:hAnsi="Arial" w:cs="Arial"/>
          <w:sz w:val="24"/>
          <w:szCs w:val="24"/>
        </w:rPr>
        <w:t xml:space="preserve">for the provision of </w:t>
      </w:r>
      <w:r w:rsidR="00506F74" w:rsidRPr="00506F74">
        <w:rPr>
          <w:rFonts w:ascii="Arial" w:eastAsia="Arial" w:hAnsi="Arial" w:cs="Arial"/>
          <w:sz w:val="24"/>
          <w:szCs w:val="24"/>
        </w:rPr>
        <w:t>ERP Technical Support.</w:t>
      </w:r>
      <w:r>
        <w:rPr>
          <w:rFonts w:ascii="Arial" w:eastAsia="Arial" w:hAnsi="Arial" w:cs="Arial"/>
          <w:sz w:val="24"/>
          <w:szCs w:val="24"/>
        </w:rPr>
        <w:t xml:space="preserve"> </w:t>
      </w:r>
    </w:p>
    <w:p w:rsidR="000B559D" w:rsidRDefault="000B559D">
      <w:pPr>
        <w:tabs>
          <w:tab w:val="left" w:pos="2257"/>
        </w:tabs>
        <w:spacing w:after="0" w:line="259" w:lineRule="auto"/>
        <w:rPr>
          <w:rFonts w:ascii="Arial" w:eastAsia="Arial" w:hAnsi="Arial" w:cs="Arial"/>
          <w:b/>
          <w:sz w:val="24"/>
          <w:szCs w:val="24"/>
        </w:rPr>
      </w:pPr>
    </w:p>
    <w:p w:rsidR="000B559D" w:rsidRDefault="00AA41E7">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r w:rsidR="00B451E4">
        <w:rPr>
          <w:rFonts w:ascii="Arial" w:eastAsia="Arial" w:hAnsi="Arial" w:cs="Arial"/>
          <w:sz w:val="24"/>
          <w:szCs w:val="24"/>
        </w:rPr>
        <w:t>:</w:t>
      </w:r>
    </w:p>
    <w:p w:rsidR="000B559D" w:rsidRPr="00506F74" w:rsidRDefault="00506F74">
      <w:pPr>
        <w:tabs>
          <w:tab w:val="left" w:pos="2257"/>
        </w:tabs>
        <w:spacing w:after="0" w:line="259" w:lineRule="auto"/>
        <w:ind w:left="2880" w:hanging="2880"/>
        <w:rPr>
          <w:rFonts w:ascii="Arial" w:eastAsia="Arial" w:hAnsi="Arial" w:cs="Arial"/>
          <w:i/>
          <w:sz w:val="24"/>
          <w:szCs w:val="24"/>
        </w:rPr>
      </w:pPr>
      <w:r w:rsidRPr="00506F74">
        <w:rPr>
          <w:rFonts w:ascii="Arial" w:eastAsia="Arial" w:hAnsi="Arial" w:cs="Arial"/>
          <w:sz w:val="24"/>
          <w:szCs w:val="24"/>
        </w:rPr>
        <w:t xml:space="preserve">Lot 1 </w:t>
      </w:r>
    </w:p>
    <w:p w:rsidR="000B559D" w:rsidRDefault="00B451E4">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0B559D" w:rsidRDefault="00B451E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0B559D" w:rsidRDefault="00B451E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2A4DAC" w:rsidRPr="002A4DAC">
        <w:rPr>
          <w:rFonts w:ascii="Arial" w:eastAsia="Arial" w:hAnsi="Arial" w:cs="Arial"/>
          <w:color w:val="000000"/>
          <w:sz w:val="24"/>
          <w:szCs w:val="24"/>
        </w:rPr>
        <w:t>RM6193</w:t>
      </w:r>
    </w:p>
    <w:p w:rsidR="000B559D" w:rsidRPr="00B9707B" w:rsidRDefault="00B451E4" w:rsidP="00B9707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0B559D" w:rsidRDefault="000B559D">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0B559D" w:rsidRDefault="00B451E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t xml:space="preserve">     </w:t>
      </w:r>
      <w:r w:rsidR="002A4DAC">
        <w:rPr>
          <w:rFonts w:ascii="Arial" w:eastAsia="Arial" w:hAnsi="Arial" w:cs="Arial"/>
          <w:b/>
          <w:color w:val="000000"/>
          <w:sz w:val="24"/>
          <w:szCs w:val="24"/>
        </w:rPr>
        <w:t>RM6193</w:t>
      </w:r>
    </w:p>
    <w:p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4 (Commercially Sensitive Information)</w:t>
      </w:r>
    </w:p>
    <w:p w:rsidR="000B559D" w:rsidRPr="00B46214"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46214">
        <w:rPr>
          <w:rFonts w:ascii="Arial" w:eastAsia="Arial" w:hAnsi="Arial" w:cs="Arial"/>
          <w:color w:val="000000"/>
          <w:sz w:val="24"/>
          <w:szCs w:val="24"/>
        </w:rPr>
        <w:t>Joint Schedule 6 (Key Subcontractors)</w:t>
      </w:r>
      <w:r w:rsidRPr="00B46214">
        <w:rPr>
          <w:rFonts w:ascii="Arial" w:eastAsia="Arial" w:hAnsi="Arial" w:cs="Arial"/>
          <w:color w:val="000000"/>
          <w:sz w:val="24"/>
          <w:szCs w:val="24"/>
        </w:rPr>
        <w:tab/>
      </w:r>
      <w:r w:rsidRPr="00B46214">
        <w:rPr>
          <w:rFonts w:ascii="Arial" w:eastAsia="Arial" w:hAnsi="Arial" w:cs="Arial"/>
          <w:color w:val="000000"/>
          <w:sz w:val="24"/>
          <w:szCs w:val="24"/>
        </w:rPr>
        <w:tab/>
      </w:r>
    </w:p>
    <w:p w:rsidR="000B559D" w:rsidRPr="00B46214"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46214">
        <w:rPr>
          <w:rFonts w:ascii="Arial" w:eastAsia="Arial" w:hAnsi="Arial" w:cs="Arial"/>
          <w:color w:val="000000"/>
          <w:sz w:val="24"/>
          <w:szCs w:val="24"/>
        </w:rPr>
        <w:t xml:space="preserve">Joint Schedule 7 (Financial Difficulties) </w:t>
      </w:r>
      <w:r w:rsidRPr="00B46214">
        <w:rPr>
          <w:rFonts w:ascii="Arial" w:eastAsia="Arial" w:hAnsi="Arial" w:cs="Arial"/>
          <w:color w:val="000000"/>
          <w:sz w:val="24"/>
          <w:szCs w:val="24"/>
        </w:rPr>
        <w:tab/>
      </w:r>
      <w:r w:rsidRPr="00B46214">
        <w:rPr>
          <w:rFonts w:ascii="Arial" w:eastAsia="Arial" w:hAnsi="Arial" w:cs="Arial"/>
          <w:color w:val="000000"/>
          <w:sz w:val="24"/>
          <w:szCs w:val="24"/>
        </w:rPr>
        <w:tab/>
      </w:r>
    </w:p>
    <w:p w:rsidR="000B559D" w:rsidRPr="00B46214"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46214">
        <w:rPr>
          <w:rFonts w:ascii="Arial" w:eastAsia="Arial" w:hAnsi="Arial" w:cs="Arial"/>
          <w:color w:val="000000"/>
          <w:sz w:val="24"/>
          <w:szCs w:val="24"/>
        </w:rPr>
        <w:t xml:space="preserve">Joint Schedule 8 (Guarantee) </w:t>
      </w:r>
      <w:r w:rsidRPr="00B46214">
        <w:rPr>
          <w:rFonts w:ascii="Arial" w:eastAsia="Arial" w:hAnsi="Arial" w:cs="Arial"/>
          <w:color w:val="000000"/>
          <w:sz w:val="24"/>
          <w:szCs w:val="24"/>
        </w:rPr>
        <w:tab/>
      </w:r>
      <w:r w:rsidRPr="00B46214">
        <w:rPr>
          <w:rFonts w:ascii="Arial" w:eastAsia="Arial" w:hAnsi="Arial" w:cs="Arial"/>
          <w:color w:val="000000"/>
          <w:sz w:val="24"/>
          <w:szCs w:val="24"/>
        </w:rPr>
        <w:tab/>
      </w:r>
      <w:r w:rsidRPr="00B46214">
        <w:rPr>
          <w:rFonts w:ascii="Arial" w:eastAsia="Arial" w:hAnsi="Arial" w:cs="Arial"/>
          <w:color w:val="000000"/>
          <w:sz w:val="24"/>
          <w:szCs w:val="24"/>
        </w:rPr>
        <w:tab/>
      </w:r>
      <w:r w:rsidRPr="00B46214">
        <w:rPr>
          <w:rFonts w:ascii="Arial" w:eastAsia="Arial" w:hAnsi="Arial" w:cs="Arial"/>
          <w:color w:val="000000"/>
          <w:sz w:val="24"/>
          <w:szCs w:val="24"/>
        </w:rPr>
        <w:tab/>
      </w:r>
    </w:p>
    <w:p w:rsidR="000B559D" w:rsidRPr="00B46214"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46214">
        <w:rPr>
          <w:rFonts w:ascii="Arial" w:eastAsia="Arial" w:hAnsi="Arial" w:cs="Arial"/>
          <w:color w:val="000000"/>
          <w:sz w:val="24"/>
          <w:szCs w:val="24"/>
        </w:rPr>
        <w:t>Joint Schedule 9 (Minimum Standards of Reliability)</w:t>
      </w:r>
      <w:r w:rsidRPr="00B46214">
        <w:rPr>
          <w:rFonts w:ascii="Arial" w:eastAsia="Arial" w:hAnsi="Arial" w:cs="Arial"/>
          <w:color w:val="000000"/>
          <w:sz w:val="24"/>
          <w:szCs w:val="24"/>
        </w:rPr>
        <w:tab/>
      </w:r>
    </w:p>
    <w:p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B46214" w:rsidRDefault="00B4621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p>
    <w:p w:rsidR="000B559D" w:rsidRDefault="00B451E4">
      <w:pPr>
        <w:pBdr>
          <w:top w:val="nil"/>
          <w:left w:val="nil"/>
          <w:bottom w:val="nil"/>
          <w:right w:val="nil"/>
          <w:between w:val="nil"/>
        </w:pBdr>
        <w:spacing w:after="0" w:line="259" w:lineRule="auto"/>
        <w:ind w:left="1800"/>
        <w:rPr>
          <w:color w:val="000000"/>
        </w:rPr>
      </w:pPr>
      <w:r>
        <w:t xml:space="preserve">     </w:t>
      </w:r>
      <w:r>
        <w:rPr>
          <w:rFonts w:ascii="Arial" w:eastAsia="Arial" w:hAnsi="Arial" w:cs="Arial"/>
          <w:color w:val="000000"/>
          <w:sz w:val="24"/>
          <w:szCs w:val="24"/>
        </w:rPr>
        <w:tab/>
      </w:r>
    </w:p>
    <w:p w:rsidR="000B559D" w:rsidRDefault="00B451E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AD62C2" w:rsidRPr="00AD62C2">
        <w:rPr>
          <w:rFonts w:ascii="Arial" w:eastAsia="Arial" w:hAnsi="Arial" w:cs="Arial"/>
          <w:b/>
          <w:color w:val="000000"/>
          <w:sz w:val="24"/>
          <w:szCs w:val="24"/>
        </w:rPr>
        <w:t>RM6193</w:t>
      </w:r>
      <w:r>
        <w:rPr>
          <w:rFonts w:ascii="Arial" w:eastAsia="Arial" w:hAnsi="Arial" w:cs="Arial"/>
          <w:color w:val="000000"/>
          <w:sz w:val="24"/>
          <w:szCs w:val="24"/>
        </w:rPr>
        <w:tab/>
      </w:r>
      <w:r>
        <w:rPr>
          <w:rFonts w:ascii="Arial" w:eastAsia="Arial" w:hAnsi="Arial" w:cs="Arial"/>
          <w:color w:val="000000"/>
          <w:sz w:val="24"/>
          <w:szCs w:val="24"/>
        </w:rPr>
        <w:tab/>
      </w:r>
    </w:p>
    <w:p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0B559D"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5 (Pricing Details)</w:t>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t xml:space="preserve">                 </w:t>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 xml:space="preserve">Call-Off Schedule 6 (ICT Services) </w:t>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7 (Key Supplier Staff)</w:t>
      </w:r>
      <w:r w:rsidRPr="00AD62C2">
        <w:rPr>
          <w:rFonts w:ascii="Arial" w:eastAsia="Arial" w:hAnsi="Arial" w:cs="Arial"/>
          <w:color w:val="000000"/>
          <w:sz w:val="24"/>
          <w:szCs w:val="24"/>
        </w:rPr>
        <w:tab/>
      </w:r>
      <w:r w:rsidRPr="00AD62C2">
        <w:rPr>
          <w:rFonts w:ascii="Arial" w:eastAsia="Arial" w:hAnsi="Arial" w:cs="Arial"/>
          <w:color w:val="000000"/>
          <w:sz w:val="24"/>
          <w:szCs w:val="24"/>
        </w:rPr>
        <w:tab/>
        <w:t xml:space="preserve"> </w:t>
      </w:r>
      <w:r w:rsidRPr="00AD62C2">
        <w:rPr>
          <w:rFonts w:ascii="Arial" w:eastAsia="Arial" w:hAnsi="Arial" w:cs="Arial"/>
          <w:color w:val="000000"/>
          <w:sz w:val="24"/>
          <w:szCs w:val="24"/>
        </w:rPr>
        <w:tab/>
      </w:r>
      <w:r w:rsidRPr="00AD62C2">
        <w:rPr>
          <w:rFonts w:ascii="Arial" w:eastAsia="Arial" w:hAnsi="Arial" w:cs="Arial"/>
          <w:color w:val="000000"/>
          <w:sz w:val="24"/>
          <w:szCs w:val="24"/>
        </w:rPr>
        <w:tab/>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8 (Business Continuity and Disaster Recovery)</w:t>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9 (Security)</w:t>
      </w:r>
      <w:r w:rsidRPr="00AD62C2">
        <w:rPr>
          <w:rFonts w:ascii="Arial" w:eastAsia="Arial" w:hAnsi="Arial" w:cs="Arial"/>
          <w:color w:val="000000"/>
          <w:sz w:val="24"/>
          <w:szCs w:val="24"/>
        </w:rPr>
        <w:tab/>
      </w:r>
      <w:r w:rsidRPr="00AD62C2">
        <w:rPr>
          <w:rFonts w:ascii="Arial" w:eastAsia="Arial" w:hAnsi="Arial" w:cs="Arial"/>
          <w:color w:val="000000"/>
          <w:sz w:val="24"/>
          <w:szCs w:val="24"/>
        </w:rPr>
        <w:tab/>
        <w:t xml:space="preserve"> </w:t>
      </w:r>
      <w:r w:rsidRPr="00AD62C2">
        <w:rPr>
          <w:rFonts w:ascii="Arial" w:eastAsia="Arial" w:hAnsi="Arial" w:cs="Arial"/>
          <w:color w:val="000000"/>
          <w:sz w:val="24"/>
          <w:szCs w:val="24"/>
        </w:rPr>
        <w:tab/>
      </w:r>
      <w:r w:rsidRPr="00AD62C2">
        <w:rPr>
          <w:rFonts w:ascii="Arial" w:eastAsia="Arial" w:hAnsi="Arial" w:cs="Arial"/>
          <w:color w:val="000000"/>
          <w:sz w:val="24"/>
          <w:szCs w:val="24"/>
        </w:rPr>
        <w:tab/>
        <w:t xml:space="preserve">  </w:t>
      </w:r>
      <w:r w:rsidRPr="00AD62C2">
        <w:rPr>
          <w:rFonts w:ascii="Arial" w:eastAsia="Arial" w:hAnsi="Arial" w:cs="Arial"/>
          <w:color w:val="000000"/>
          <w:sz w:val="24"/>
          <w:szCs w:val="24"/>
        </w:rPr>
        <w:tab/>
        <w:t xml:space="preserve">  </w:t>
      </w:r>
    </w:p>
    <w:p w:rsidR="00AD62C2"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 xml:space="preserve">Call-Off Schedule 10 (Exit Management) </w:t>
      </w:r>
      <w:r w:rsidRPr="00AD62C2">
        <w:rPr>
          <w:rFonts w:ascii="Arial" w:eastAsia="Arial" w:hAnsi="Arial" w:cs="Arial"/>
          <w:color w:val="000000"/>
          <w:sz w:val="24"/>
          <w:szCs w:val="24"/>
        </w:rPr>
        <w:tab/>
      </w:r>
    </w:p>
    <w:p w:rsidR="000B559D" w:rsidRPr="00AD62C2" w:rsidRDefault="00AD62C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11 (Installation Works)</w:t>
      </w:r>
      <w:r w:rsidR="00B451E4" w:rsidRPr="00AD62C2">
        <w:rPr>
          <w:rFonts w:ascii="Arial" w:eastAsia="Arial" w:hAnsi="Arial" w:cs="Arial"/>
          <w:color w:val="000000"/>
          <w:sz w:val="24"/>
          <w:szCs w:val="24"/>
        </w:rPr>
        <w:tab/>
      </w:r>
      <w:r w:rsidR="00B451E4" w:rsidRPr="00AD62C2">
        <w:rPr>
          <w:rFonts w:ascii="Arial" w:eastAsia="Arial" w:hAnsi="Arial" w:cs="Arial"/>
          <w:color w:val="000000"/>
          <w:sz w:val="24"/>
          <w:szCs w:val="24"/>
        </w:rPr>
        <w:tab/>
        <w:t xml:space="preserve"> </w:t>
      </w:r>
      <w:r w:rsidR="00B451E4" w:rsidRPr="00AD62C2">
        <w:rPr>
          <w:rFonts w:ascii="Arial" w:eastAsia="Arial" w:hAnsi="Arial" w:cs="Arial"/>
          <w:color w:val="000000"/>
          <w:sz w:val="24"/>
          <w:szCs w:val="24"/>
        </w:rPr>
        <w:tab/>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 xml:space="preserve">Call-Off Schedule 12 (Clustering) </w:t>
      </w:r>
      <w:r w:rsidRPr="00AD62C2">
        <w:rPr>
          <w:rFonts w:ascii="Arial" w:eastAsia="Arial" w:hAnsi="Arial" w:cs="Arial"/>
          <w:color w:val="000000"/>
          <w:sz w:val="24"/>
          <w:szCs w:val="24"/>
        </w:rPr>
        <w:tab/>
        <w:t xml:space="preserve">        </w:t>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t xml:space="preserve">        </w:t>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 xml:space="preserve">Call-Off Schedule 13 (Implementation Plan and Testing) </w:t>
      </w:r>
      <w:r w:rsidRPr="00AD62C2">
        <w:rPr>
          <w:rFonts w:ascii="Arial" w:eastAsia="Arial" w:hAnsi="Arial" w:cs="Arial"/>
          <w:color w:val="000000"/>
          <w:sz w:val="24"/>
          <w:szCs w:val="24"/>
        </w:rPr>
        <w:tab/>
      </w:r>
      <w:r w:rsidRPr="00AD62C2">
        <w:rPr>
          <w:rFonts w:ascii="Arial" w:eastAsia="Arial" w:hAnsi="Arial" w:cs="Arial"/>
          <w:color w:val="000000"/>
          <w:sz w:val="24"/>
          <w:szCs w:val="24"/>
        </w:rPr>
        <w:tab/>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 xml:space="preserve">Call-Off Schedule 14 (Service Levels) </w:t>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 xml:space="preserve">Call-Off Schedule 15 (Call-Off Contract Management) </w:t>
      </w:r>
      <w:r w:rsidRPr="00AD62C2">
        <w:rPr>
          <w:rFonts w:ascii="Arial" w:eastAsia="Arial" w:hAnsi="Arial" w:cs="Arial"/>
          <w:color w:val="000000"/>
          <w:sz w:val="24"/>
          <w:szCs w:val="24"/>
        </w:rPr>
        <w:tab/>
      </w:r>
      <w:r w:rsidRPr="00AD62C2">
        <w:rPr>
          <w:rFonts w:ascii="Arial" w:eastAsia="Arial" w:hAnsi="Arial" w:cs="Arial"/>
          <w:color w:val="000000"/>
          <w:sz w:val="24"/>
          <w:szCs w:val="24"/>
        </w:rPr>
        <w:tab/>
      </w:r>
    </w:p>
    <w:p w:rsidR="000B559D" w:rsidRPr="00F64B9F" w:rsidRDefault="00B451E4" w:rsidP="00F64B9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w:t>
      </w:r>
      <w:r w:rsidR="00F64B9F">
        <w:rPr>
          <w:rFonts w:ascii="Arial" w:eastAsia="Arial" w:hAnsi="Arial" w:cs="Arial"/>
          <w:color w:val="000000"/>
          <w:sz w:val="24"/>
          <w:szCs w:val="24"/>
        </w:rPr>
        <w:t xml:space="preserve"> Schedule 16 (Benchmarking) </w:t>
      </w:r>
      <w:r w:rsidRPr="00F64B9F">
        <w:rPr>
          <w:rFonts w:ascii="Arial" w:eastAsia="Arial" w:hAnsi="Arial" w:cs="Arial"/>
          <w:color w:val="000000"/>
          <w:sz w:val="24"/>
          <w:szCs w:val="24"/>
        </w:rPr>
        <w:tab/>
      </w:r>
      <w:r w:rsidRPr="00F64B9F">
        <w:rPr>
          <w:rFonts w:ascii="Arial" w:eastAsia="Arial" w:hAnsi="Arial" w:cs="Arial"/>
          <w:color w:val="000000"/>
          <w:sz w:val="24"/>
          <w:szCs w:val="24"/>
        </w:rPr>
        <w:tab/>
      </w:r>
      <w:r w:rsidRPr="00F64B9F">
        <w:rPr>
          <w:rFonts w:ascii="Arial" w:eastAsia="Arial" w:hAnsi="Arial" w:cs="Arial"/>
          <w:color w:val="000000"/>
          <w:sz w:val="24"/>
          <w:szCs w:val="24"/>
        </w:rPr>
        <w:tab/>
      </w:r>
      <w:r w:rsidRPr="00F64B9F">
        <w:rPr>
          <w:rFonts w:ascii="Arial" w:eastAsia="Arial" w:hAnsi="Arial" w:cs="Arial"/>
          <w:color w:val="000000"/>
          <w:sz w:val="24"/>
          <w:szCs w:val="24"/>
        </w:rPr>
        <w:tab/>
      </w:r>
    </w:p>
    <w:p w:rsidR="000B559D" w:rsidRPr="00F64B9F" w:rsidRDefault="00B451E4" w:rsidP="00F64B9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w:t>
      </w:r>
      <w:r w:rsidR="00F64B9F">
        <w:rPr>
          <w:rFonts w:ascii="Arial" w:eastAsia="Arial" w:hAnsi="Arial" w:cs="Arial"/>
          <w:color w:val="000000"/>
          <w:sz w:val="24"/>
          <w:szCs w:val="24"/>
        </w:rPr>
        <w:t xml:space="preserve">edule 18 (Background Checks) </w:t>
      </w:r>
      <w:r w:rsidRPr="00F64B9F">
        <w:rPr>
          <w:rFonts w:ascii="Arial" w:eastAsia="Arial" w:hAnsi="Arial" w:cs="Arial"/>
          <w:color w:val="000000"/>
          <w:sz w:val="24"/>
          <w:szCs w:val="24"/>
        </w:rPr>
        <w:tab/>
      </w:r>
      <w:r w:rsidRPr="00F64B9F">
        <w:rPr>
          <w:rFonts w:ascii="Arial" w:eastAsia="Arial" w:hAnsi="Arial" w:cs="Arial"/>
          <w:color w:val="000000"/>
          <w:sz w:val="24"/>
          <w:szCs w:val="24"/>
        </w:rPr>
        <w:tab/>
      </w:r>
      <w:r w:rsidRPr="00F64B9F">
        <w:rPr>
          <w:rFonts w:ascii="Arial" w:eastAsia="Arial" w:hAnsi="Arial" w:cs="Arial"/>
          <w:color w:val="000000"/>
          <w:sz w:val="24"/>
          <w:szCs w:val="24"/>
        </w:rPr>
        <w:tab/>
      </w:r>
      <w:r w:rsidRPr="00F64B9F">
        <w:rPr>
          <w:rFonts w:ascii="Arial" w:eastAsia="Arial" w:hAnsi="Arial" w:cs="Arial"/>
          <w:color w:val="000000"/>
          <w:sz w:val="24"/>
          <w:szCs w:val="24"/>
        </w:rPr>
        <w:tab/>
      </w:r>
    </w:p>
    <w:p w:rsidR="000B559D" w:rsidRPr="00AD62C2" w:rsidRDefault="00B451E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20 (Call-Off Specification)</w:t>
      </w:r>
      <w:r w:rsidRPr="00AD62C2">
        <w:rPr>
          <w:rFonts w:ascii="Arial" w:eastAsia="Arial" w:hAnsi="Arial" w:cs="Arial"/>
          <w:color w:val="000000"/>
          <w:sz w:val="24"/>
          <w:szCs w:val="24"/>
        </w:rPr>
        <w:tab/>
      </w:r>
      <w:r w:rsidRPr="00AD62C2">
        <w:rPr>
          <w:rFonts w:ascii="Arial" w:eastAsia="Arial" w:hAnsi="Arial" w:cs="Arial"/>
          <w:color w:val="000000"/>
          <w:sz w:val="24"/>
          <w:szCs w:val="24"/>
        </w:rPr>
        <w:tab/>
      </w:r>
      <w:r w:rsidRPr="00AD62C2">
        <w:rPr>
          <w:rFonts w:ascii="Arial" w:eastAsia="Arial" w:hAnsi="Arial" w:cs="Arial"/>
          <w:color w:val="000000"/>
          <w:sz w:val="24"/>
          <w:szCs w:val="24"/>
        </w:rPr>
        <w:tab/>
      </w:r>
    </w:p>
    <w:p w:rsidR="000B559D" w:rsidRPr="00AD62C2" w:rsidRDefault="00AD62C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22 (Lease Terms)</w:t>
      </w:r>
      <w:r w:rsidR="00B451E4" w:rsidRPr="00AD62C2">
        <w:rPr>
          <w:rFonts w:ascii="Arial" w:eastAsia="Arial" w:hAnsi="Arial" w:cs="Arial"/>
          <w:color w:val="000000"/>
          <w:sz w:val="24"/>
          <w:szCs w:val="24"/>
        </w:rPr>
        <w:tab/>
      </w:r>
      <w:r w:rsidR="00B451E4" w:rsidRPr="00AD62C2">
        <w:rPr>
          <w:rFonts w:ascii="Arial" w:eastAsia="Arial" w:hAnsi="Arial" w:cs="Arial"/>
          <w:color w:val="000000"/>
          <w:sz w:val="24"/>
          <w:szCs w:val="24"/>
        </w:rPr>
        <w:tab/>
      </w:r>
    </w:p>
    <w:p w:rsidR="000B559D" w:rsidRPr="00AD62C2" w:rsidRDefault="00AD62C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D62C2">
        <w:rPr>
          <w:rFonts w:ascii="Arial" w:eastAsia="Arial" w:hAnsi="Arial" w:cs="Arial"/>
          <w:color w:val="000000"/>
          <w:sz w:val="24"/>
          <w:szCs w:val="24"/>
        </w:rPr>
        <w:t>Call-Off Schedule 23 (Supplier</w:t>
      </w:r>
      <w:r w:rsidR="00B451E4" w:rsidRPr="00AD62C2">
        <w:rPr>
          <w:rFonts w:ascii="Arial" w:eastAsia="Arial" w:hAnsi="Arial" w:cs="Arial"/>
          <w:color w:val="000000"/>
          <w:sz w:val="24"/>
          <w:szCs w:val="24"/>
        </w:rPr>
        <w:t xml:space="preserve"> Terms)                                           </w:t>
      </w:r>
    </w:p>
    <w:p w:rsidR="000B559D" w:rsidRDefault="00B451E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rsidR="000B559D" w:rsidRPr="00AA41E7" w:rsidRDefault="00B451E4">
      <w:pPr>
        <w:numPr>
          <w:ilvl w:val="0"/>
          <w:numId w:val="1"/>
        </w:numPr>
        <w:pBdr>
          <w:top w:val="nil"/>
          <w:left w:val="nil"/>
          <w:bottom w:val="nil"/>
          <w:right w:val="nil"/>
          <w:between w:val="nil"/>
        </w:pBdr>
        <w:spacing w:after="0" w:line="259" w:lineRule="auto"/>
        <w:rPr>
          <w:rFonts w:ascii="Arial" w:eastAsia="Arial" w:hAnsi="Arial" w:cs="Arial"/>
          <w:sz w:val="24"/>
          <w:szCs w:val="24"/>
        </w:rPr>
      </w:pPr>
      <w:bookmarkStart w:id="0" w:name="_heading=h.gjdgxs" w:colFirst="0" w:colLast="0"/>
      <w:bookmarkEnd w:id="0"/>
      <w:r w:rsidRPr="00AA41E7">
        <w:rPr>
          <w:rFonts w:ascii="Arial" w:eastAsia="Arial" w:hAnsi="Arial" w:cs="Arial"/>
          <w:sz w:val="24"/>
          <w:szCs w:val="24"/>
        </w:rPr>
        <w:t xml:space="preserve">Joint Schedule 5 (Corporate Social Responsibility)      </w:t>
      </w:r>
      <w:r w:rsidR="00655B76" w:rsidRPr="00AA41E7">
        <w:rPr>
          <w:rFonts w:ascii="Arial" w:eastAsia="Arial" w:hAnsi="Arial" w:cs="Arial"/>
          <w:sz w:val="24"/>
          <w:szCs w:val="24"/>
        </w:rPr>
        <w:t>RM6193</w:t>
      </w:r>
    </w:p>
    <w:p w:rsidR="000B559D" w:rsidRPr="00AA41E7" w:rsidRDefault="00B451E4">
      <w:pPr>
        <w:numPr>
          <w:ilvl w:val="0"/>
          <w:numId w:val="1"/>
        </w:numPr>
        <w:pBdr>
          <w:top w:val="nil"/>
          <w:left w:val="nil"/>
          <w:bottom w:val="nil"/>
          <w:right w:val="nil"/>
          <w:between w:val="nil"/>
        </w:pBdr>
        <w:spacing w:after="0" w:line="259" w:lineRule="auto"/>
        <w:rPr>
          <w:rFonts w:ascii="Arial" w:eastAsia="Arial" w:hAnsi="Arial" w:cs="Arial"/>
          <w:sz w:val="24"/>
          <w:szCs w:val="24"/>
        </w:rPr>
      </w:pPr>
      <w:r w:rsidRPr="00AA41E7">
        <w:rPr>
          <w:rFonts w:ascii="Arial" w:eastAsia="Arial" w:hAnsi="Arial" w:cs="Arial"/>
          <w:sz w:val="24"/>
          <w:szCs w:val="24"/>
        </w:rPr>
        <w:t>Call-Off Schedule 4 (Call-Off Tender) as long as any parts of the Call-Off Tender that offer a better commercial position for the Buyer (as decided by the Buyer) take prece</w:t>
      </w:r>
      <w:r w:rsidR="00AA41E7" w:rsidRPr="00AA41E7">
        <w:rPr>
          <w:rFonts w:ascii="Arial" w:eastAsia="Arial" w:hAnsi="Arial" w:cs="Arial"/>
          <w:sz w:val="24"/>
          <w:szCs w:val="24"/>
        </w:rPr>
        <w:t>dence over the documents above.</w:t>
      </w:r>
    </w:p>
    <w:p w:rsidR="000B559D" w:rsidRDefault="000B559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0B559D" w:rsidRDefault="000B559D">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0B559D" w:rsidRDefault="00B9707B">
      <w:pPr>
        <w:spacing w:after="0"/>
        <w:ind w:right="936"/>
        <w:rPr>
          <w:rFonts w:ascii="Arial" w:eastAsia="Arial" w:hAnsi="Arial" w:cs="Arial"/>
          <w:sz w:val="24"/>
          <w:szCs w:val="24"/>
        </w:rPr>
      </w:pPr>
      <w:r>
        <w:rPr>
          <w:rFonts w:ascii="Arial" w:eastAsia="Arial" w:hAnsi="Arial" w:cs="Arial"/>
          <w:sz w:val="24"/>
          <w:szCs w:val="24"/>
        </w:rPr>
        <w:t>Not Applicable</w:t>
      </w:r>
    </w:p>
    <w:p w:rsidR="000B559D" w:rsidRDefault="000B559D">
      <w:pPr>
        <w:spacing w:after="0" w:line="259" w:lineRule="auto"/>
        <w:rPr>
          <w:rFonts w:ascii="Arial" w:eastAsia="Arial" w:hAnsi="Arial" w:cs="Arial"/>
          <w:b/>
          <w:sz w:val="24"/>
          <w:szCs w:val="24"/>
        </w:rPr>
      </w:pPr>
    </w:p>
    <w:p w:rsidR="000B559D" w:rsidRPr="00C47640" w:rsidRDefault="00B451E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033DA">
        <w:rPr>
          <w:rFonts w:ascii="Arial" w:eastAsia="Arial" w:hAnsi="Arial" w:cs="Arial"/>
          <w:sz w:val="24"/>
          <w:szCs w:val="24"/>
        </w:rPr>
        <w:t>1</w:t>
      </w:r>
      <w:r w:rsidR="000033DA" w:rsidRPr="000033DA">
        <w:rPr>
          <w:rFonts w:ascii="Arial" w:eastAsia="Arial" w:hAnsi="Arial" w:cs="Arial"/>
          <w:sz w:val="24"/>
          <w:szCs w:val="24"/>
          <w:vertAlign w:val="superscript"/>
        </w:rPr>
        <w:t>st</w:t>
      </w:r>
      <w:r w:rsidR="000033DA">
        <w:rPr>
          <w:rFonts w:ascii="Arial" w:eastAsia="Arial" w:hAnsi="Arial" w:cs="Arial"/>
          <w:sz w:val="24"/>
          <w:szCs w:val="24"/>
        </w:rPr>
        <w:t xml:space="preserve"> December</w:t>
      </w:r>
      <w:r w:rsidR="00C47640" w:rsidRPr="00C47640">
        <w:rPr>
          <w:rFonts w:ascii="Arial" w:eastAsia="Arial" w:hAnsi="Arial" w:cs="Arial"/>
          <w:sz w:val="24"/>
          <w:szCs w:val="24"/>
        </w:rPr>
        <w:t xml:space="preserve"> 2021</w:t>
      </w:r>
    </w:p>
    <w:p w:rsidR="000B559D" w:rsidRPr="00C47640" w:rsidRDefault="00B451E4">
      <w:pPr>
        <w:spacing w:after="0" w:line="259" w:lineRule="auto"/>
        <w:rPr>
          <w:rFonts w:ascii="Arial" w:eastAsia="Arial" w:hAnsi="Arial" w:cs="Arial"/>
          <w:sz w:val="24"/>
          <w:szCs w:val="24"/>
        </w:rPr>
      </w:pPr>
      <w:r w:rsidRPr="00C47640">
        <w:rPr>
          <w:rFonts w:ascii="Arial" w:eastAsia="Arial" w:hAnsi="Arial" w:cs="Arial"/>
          <w:sz w:val="24"/>
          <w:szCs w:val="24"/>
        </w:rPr>
        <w:t xml:space="preserve">CALL-OFF EXPIRY DATE: </w:t>
      </w:r>
      <w:r w:rsidRPr="00C47640">
        <w:rPr>
          <w:rFonts w:ascii="Arial" w:eastAsia="Arial" w:hAnsi="Arial" w:cs="Arial"/>
          <w:sz w:val="24"/>
          <w:szCs w:val="24"/>
        </w:rPr>
        <w:tab/>
      </w:r>
      <w:r w:rsidRPr="00C47640">
        <w:rPr>
          <w:rFonts w:ascii="Arial" w:eastAsia="Arial" w:hAnsi="Arial" w:cs="Arial"/>
          <w:sz w:val="24"/>
          <w:szCs w:val="24"/>
        </w:rPr>
        <w:tab/>
      </w:r>
      <w:r w:rsidR="000033DA">
        <w:rPr>
          <w:rFonts w:ascii="Arial" w:eastAsia="Arial" w:hAnsi="Arial" w:cs="Arial"/>
          <w:sz w:val="24"/>
          <w:szCs w:val="24"/>
        </w:rPr>
        <w:t>30</w:t>
      </w:r>
      <w:r w:rsidR="000033DA" w:rsidRPr="000033DA">
        <w:rPr>
          <w:rFonts w:ascii="Arial" w:eastAsia="Arial" w:hAnsi="Arial" w:cs="Arial"/>
          <w:sz w:val="24"/>
          <w:szCs w:val="24"/>
          <w:vertAlign w:val="superscript"/>
        </w:rPr>
        <w:t>th</w:t>
      </w:r>
      <w:r w:rsidR="000033DA">
        <w:rPr>
          <w:rFonts w:ascii="Arial" w:eastAsia="Arial" w:hAnsi="Arial" w:cs="Arial"/>
          <w:sz w:val="24"/>
          <w:szCs w:val="24"/>
        </w:rPr>
        <w:t xml:space="preserve"> </w:t>
      </w:r>
      <w:r w:rsidR="00C47640" w:rsidRPr="00C47640">
        <w:rPr>
          <w:rFonts w:ascii="Arial" w:eastAsia="Arial" w:hAnsi="Arial" w:cs="Arial"/>
          <w:sz w:val="24"/>
          <w:szCs w:val="24"/>
        </w:rPr>
        <w:t>November 2021</w:t>
      </w:r>
    </w:p>
    <w:p w:rsidR="000B559D" w:rsidRPr="00C47640" w:rsidRDefault="000B559D">
      <w:pPr>
        <w:spacing w:after="0" w:line="259" w:lineRule="auto"/>
        <w:rPr>
          <w:rFonts w:ascii="Arial" w:eastAsia="Arial" w:hAnsi="Arial" w:cs="Arial"/>
          <w:sz w:val="24"/>
          <w:szCs w:val="24"/>
        </w:rPr>
      </w:pPr>
    </w:p>
    <w:p w:rsidR="000B559D" w:rsidRDefault="00B451E4" w:rsidP="000F3D59">
      <w:pPr>
        <w:spacing w:after="0" w:line="259" w:lineRule="auto"/>
        <w:ind w:left="4253" w:hanging="4253"/>
        <w:rPr>
          <w:rFonts w:ascii="Arial" w:eastAsia="Arial" w:hAnsi="Arial" w:cs="Arial"/>
          <w:sz w:val="24"/>
          <w:szCs w:val="24"/>
        </w:rPr>
      </w:pPr>
      <w:r w:rsidRPr="00C47640">
        <w:rPr>
          <w:rFonts w:ascii="Arial" w:eastAsia="Arial" w:hAnsi="Arial" w:cs="Arial"/>
          <w:sz w:val="24"/>
          <w:szCs w:val="24"/>
        </w:rPr>
        <w:t>CALL-OFF INITIAL PERIOD:</w:t>
      </w:r>
      <w:r w:rsidRPr="00C47640">
        <w:rPr>
          <w:rFonts w:ascii="Arial" w:eastAsia="Arial" w:hAnsi="Arial" w:cs="Arial"/>
          <w:sz w:val="24"/>
          <w:szCs w:val="24"/>
        </w:rPr>
        <w:tab/>
      </w:r>
      <w:r w:rsidRPr="00C47640">
        <w:rPr>
          <w:rFonts w:ascii="Arial" w:eastAsia="Arial" w:hAnsi="Arial" w:cs="Arial"/>
          <w:sz w:val="24"/>
          <w:szCs w:val="24"/>
        </w:rPr>
        <w:tab/>
      </w:r>
      <w:r w:rsidR="000F3D59" w:rsidRPr="000F3D59">
        <w:rPr>
          <w:rFonts w:ascii="Arial" w:hAnsi="Arial" w:cs="Arial"/>
          <w:color w:val="000000"/>
          <w:sz w:val="24"/>
          <w:szCs w:val="24"/>
        </w:rPr>
        <w:t xml:space="preserve">The </w:t>
      </w:r>
      <w:r w:rsidR="000F3D59" w:rsidRPr="000F3D59">
        <w:rPr>
          <w:rFonts w:ascii="Arial" w:hAnsi="Arial" w:cs="Arial"/>
          <w:sz w:val="24"/>
          <w:szCs w:val="24"/>
        </w:rPr>
        <w:t xml:space="preserve">contract will be for a </w:t>
      </w:r>
      <w:r w:rsidR="000F3D59" w:rsidRPr="000F3D59">
        <w:rPr>
          <w:rFonts w:ascii="Arial" w:eastAsia="Arial" w:hAnsi="Arial" w:cs="Arial"/>
          <w:sz w:val="24"/>
          <w:szCs w:val="24"/>
        </w:rPr>
        <w:t>4 Years</w:t>
      </w:r>
      <w:r w:rsidR="000F3D59" w:rsidRPr="000F3D59">
        <w:rPr>
          <w:rFonts w:ascii="Arial" w:hAnsi="Arial" w:cs="Arial"/>
          <w:sz w:val="24"/>
          <w:szCs w:val="24"/>
        </w:rPr>
        <w:t xml:space="preserve"> period. 2                        years initially with the option to extend for up to 2 periods of 1 year. (2+1+1).</w:t>
      </w:r>
    </w:p>
    <w:p w:rsidR="000B559D" w:rsidRDefault="00B451E4">
      <w:pPr>
        <w:spacing w:after="0" w:line="259" w:lineRule="auto"/>
        <w:rPr>
          <w:rFonts w:ascii="Arial" w:eastAsia="Arial" w:hAnsi="Arial" w:cs="Arial"/>
          <w:sz w:val="24"/>
          <w:szCs w:val="24"/>
        </w:rPr>
      </w:pPr>
      <w:r>
        <w:rPr>
          <w:rFonts w:ascii="Arial" w:eastAsia="Arial" w:hAnsi="Arial" w:cs="Arial"/>
          <w:sz w:val="24"/>
          <w:szCs w:val="24"/>
        </w:rPr>
        <w:lastRenderedPageBreak/>
        <w:t xml:space="preserve">CALL-OFF DELIVERABLES </w:t>
      </w:r>
    </w:p>
    <w:tbl>
      <w:tblPr>
        <w:tblW w:w="9013" w:type="dxa"/>
        <w:tblLayout w:type="fixed"/>
        <w:tblLook w:val="0400" w:firstRow="0" w:lastRow="0" w:firstColumn="0" w:lastColumn="0" w:noHBand="0" w:noVBand="1"/>
      </w:tblPr>
      <w:tblGrid>
        <w:gridCol w:w="1958"/>
        <w:gridCol w:w="5532"/>
        <w:gridCol w:w="788"/>
        <w:gridCol w:w="735"/>
      </w:tblGrid>
      <w:tr w:rsidR="00C47640" w:rsidRPr="00C47640" w:rsidTr="006D7A18">
        <w:trPr>
          <w:trHeight w:val="315"/>
        </w:trPr>
        <w:tc>
          <w:tcPr>
            <w:tcW w:w="1958" w:type="dxa"/>
            <w:tcBorders>
              <w:top w:val="single" w:sz="6" w:space="0" w:color="000000"/>
              <w:left w:val="single" w:sz="6" w:space="0" w:color="000000"/>
              <w:bottom w:val="single" w:sz="6" w:space="0" w:color="000000"/>
              <w:right w:val="single" w:sz="6" w:space="0" w:color="000000"/>
            </w:tcBorders>
            <w:shd w:val="clear" w:color="auto" w:fill="000000"/>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color w:val="FFFFFF"/>
                <w:sz w:val="28"/>
                <w:szCs w:val="28"/>
                <w:lang w:eastAsia="zh-CN"/>
              </w:rPr>
            </w:pPr>
            <w:r w:rsidRPr="00C47640">
              <w:rPr>
                <w:rFonts w:ascii="Arial" w:eastAsia="SimSun" w:hAnsi="Arial" w:cs="Arial"/>
                <w:b/>
                <w:color w:val="FFFFFF"/>
                <w:sz w:val="28"/>
                <w:szCs w:val="28"/>
                <w:lang w:eastAsia="zh-CN"/>
              </w:rPr>
              <w:t>Requirements</w:t>
            </w:r>
          </w:p>
        </w:tc>
        <w:tc>
          <w:tcPr>
            <w:tcW w:w="5532" w:type="dxa"/>
            <w:tcBorders>
              <w:top w:val="single" w:sz="6" w:space="0" w:color="000000"/>
              <w:left w:val="single" w:sz="6" w:space="0" w:color="CCCCCC"/>
              <w:bottom w:val="single" w:sz="6" w:space="0" w:color="000000"/>
              <w:right w:val="single" w:sz="6" w:space="0" w:color="000000"/>
            </w:tcBorders>
            <w:shd w:val="clear" w:color="auto" w:fill="000000"/>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color w:val="FFFFFF"/>
                <w:sz w:val="28"/>
                <w:szCs w:val="28"/>
                <w:lang w:eastAsia="zh-CN"/>
              </w:rPr>
            </w:pPr>
            <w:r w:rsidRPr="00C47640">
              <w:rPr>
                <w:rFonts w:ascii="Arial" w:eastAsia="SimSun" w:hAnsi="Arial" w:cs="Arial"/>
                <w:b/>
                <w:color w:val="FFFFFF"/>
                <w:sz w:val="28"/>
                <w:szCs w:val="28"/>
                <w:lang w:eastAsia="zh-CN"/>
              </w:rPr>
              <w:t>Deliverables</w:t>
            </w:r>
          </w:p>
        </w:tc>
        <w:tc>
          <w:tcPr>
            <w:tcW w:w="1523" w:type="dxa"/>
            <w:gridSpan w:val="2"/>
            <w:vMerge w:val="restart"/>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color w:val="FFFFFF"/>
                <w:sz w:val="20"/>
                <w:szCs w:val="20"/>
                <w:lang w:eastAsia="zh-CN"/>
              </w:rPr>
            </w:pPr>
            <w:r w:rsidRPr="00C47640">
              <w:rPr>
                <w:rFonts w:ascii="Arial" w:eastAsia="SimSun" w:hAnsi="Arial" w:cs="Arial"/>
                <w:color w:val="FFFFFF"/>
                <w:sz w:val="20"/>
                <w:szCs w:val="20"/>
                <w:lang w:eastAsia="zh-CN"/>
              </w:rPr>
              <w:t xml:space="preserve">Indicative Dates - when we expect work required </w:t>
            </w:r>
          </w:p>
        </w:tc>
      </w:tr>
      <w:tr w:rsidR="00C47640" w:rsidRPr="00C47640" w:rsidTr="006D7A18">
        <w:trPr>
          <w:trHeight w:val="408"/>
        </w:trPr>
        <w:tc>
          <w:tcPr>
            <w:tcW w:w="7490" w:type="dxa"/>
            <w:gridSpan w:val="2"/>
            <w:vMerge w:val="restart"/>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9744C8" w:rsidP="00C47640">
            <w:pPr>
              <w:spacing w:after="0" w:line="240" w:lineRule="auto"/>
              <w:jc w:val="center"/>
              <w:rPr>
                <w:rFonts w:ascii="Arial" w:eastAsia="SimSun" w:hAnsi="Arial" w:cs="Arial"/>
                <w:b/>
                <w:color w:val="FFFFFF"/>
                <w:sz w:val="28"/>
                <w:szCs w:val="28"/>
                <w:u w:val="single"/>
                <w:lang w:eastAsia="zh-CN"/>
              </w:rPr>
            </w:pPr>
            <w:hyperlink w:anchor="bookmark=id.3as4poj">
              <w:r w:rsidR="00C47640" w:rsidRPr="00C47640">
                <w:rPr>
                  <w:rFonts w:ascii="Arial" w:eastAsia="SimSun" w:hAnsi="Arial" w:cs="Arial"/>
                  <w:b/>
                  <w:color w:val="FFFFFF"/>
                  <w:sz w:val="28"/>
                  <w:szCs w:val="28"/>
                  <w:u w:val="single"/>
                  <w:lang w:eastAsia="zh-CN"/>
                </w:rPr>
                <w:t>System and Process - Requirements &amp; Design</w:t>
              </w:r>
            </w:hyperlink>
          </w:p>
        </w:tc>
        <w:tc>
          <w:tcPr>
            <w:tcW w:w="1523" w:type="dxa"/>
            <w:gridSpan w:val="2"/>
            <w:vMerge/>
            <w:tcBorders>
              <w:top w:val="single" w:sz="6" w:space="0" w:color="CCCCCC"/>
              <w:left w:val="single" w:sz="6" w:space="0" w:color="CCCCCC"/>
              <w:bottom w:val="single" w:sz="6" w:space="0" w:color="CCCCCC"/>
              <w:right w:val="single" w:sz="6" w:space="0" w:color="CCCCCC"/>
            </w:tcBorders>
            <w:shd w:val="clear" w:color="auto" w:fill="666666"/>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r>
      <w:tr w:rsidR="00C47640" w:rsidRPr="00C47640" w:rsidTr="006D7A18">
        <w:trPr>
          <w:trHeight w:val="315"/>
        </w:trPr>
        <w:tc>
          <w:tcPr>
            <w:tcW w:w="7490" w:type="dxa"/>
            <w:gridSpan w:val="2"/>
            <w:vMerge/>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c>
          <w:tcPr>
            <w:tcW w:w="788" w:type="dxa"/>
            <w:tcBorders>
              <w:top w:val="single" w:sz="6" w:space="0" w:color="CCCCCC"/>
              <w:left w:val="single" w:sz="6" w:space="0" w:color="CCCCCC"/>
              <w:bottom w:val="single" w:sz="6" w:space="0" w:color="000000"/>
              <w:right w:val="single" w:sz="6" w:space="0" w:color="CCCCCC"/>
            </w:tcBorders>
            <w:shd w:val="clear" w:color="auto" w:fill="000000"/>
            <w:tcMar>
              <w:top w:w="30" w:type="dxa"/>
              <w:left w:w="45" w:type="dxa"/>
              <w:bottom w:w="30" w:type="dxa"/>
              <w:right w:w="45" w:type="dxa"/>
            </w:tcMar>
            <w:vAlign w:val="bottom"/>
          </w:tcPr>
          <w:p w:rsidR="00C47640" w:rsidRPr="00C47640" w:rsidRDefault="00C47640" w:rsidP="00C47640">
            <w:pPr>
              <w:spacing w:after="0" w:line="240" w:lineRule="auto"/>
              <w:jc w:val="center"/>
              <w:rPr>
                <w:rFonts w:ascii="Arial" w:eastAsia="SimSun" w:hAnsi="Arial" w:cs="Arial"/>
                <w:color w:val="FFFFFF"/>
                <w:sz w:val="20"/>
                <w:szCs w:val="20"/>
                <w:lang w:eastAsia="zh-CN"/>
              </w:rPr>
            </w:pPr>
            <w:r w:rsidRPr="00C47640">
              <w:rPr>
                <w:rFonts w:ascii="Arial" w:eastAsia="SimSun" w:hAnsi="Arial" w:cs="Arial"/>
                <w:color w:val="FFFFFF"/>
                <w:sz w:val="20"/>
                <w:szCs w:val="20"/>
                <w:lang w:eastAsia="zh-CN"/>
              </w:rPr>
              <w:t>From</w:t>
            </w:r>
          </w:p>
        </w:tc>
        <w:tc>
          <w:tcPr>
            <w:tcW w:w="735" w:type="dxa"/>
            <w:tcBorders>
              <w:top w:val="single" w:sz="6" w:space="0" w:color="CCCCCC"/>
              <w:left w:val="single" w:sz="6" w:space="0" w:color="CCCCCC"/>
              <w:bottom w:val="single" w:sz="6" w:space="0" w:color="000000"/>
              <w:right w:val="single" w:sz="6" w:space="0" w:color="CCCCCC"/>
            </w:tcBorders>
            <w:shd w:val="clear" w:color="auto" w:fill="000000"/>
            <w:tcMar>
              <w:top w:w="30" w:type="dxa"/>
              <w:left w:w="45" w:type="dxa"/>
              <w:bottom w:w="30" w:type="dxa"/>
              <w:right w:w="45" w:type="dxa"/>
            </w:tcMar>
            <w:vAlign w:val="bottom"/>
          </w:tcPr>
          <w:p w:rsidR="00C47640" w:rsidRPr="00C47640" w:rsidRDefault="00C47640" w:rsidP="00C47640">
            <w:pPr>
              <w:spacing w:after="0" w:line="240" w:lineRule="auto"/>
              <w:jc w:val="center"/>
              <w:rPr>
                <w:rFonts w:ascii="Arial" w:eastAsia="SimSun" w:hAnsi="Arial" w:cs="Arial"/>
                <w:color w:val="FFFFFF"/>
                <w:sz w:val="20"/>
                <w:szCs w:val="20"/>
                <w:lang w:eastAsia="zh-CN"/>
              </w:rPr>
            </w:pPr>
            <w:r w:rsidRPr="00C47640">
              <w:rPr>
                <w:rFonts w:ascii="Arial" w:eastAsia="SimSun" w:hAnsi="Arial" w:cs="Arial"/>
                <w:color w:val="FFFFFF"/>
                <w:sz w:val="20"/>
                <w:szCs w:val="20"/>
                <w:lang w:eastAsia="zh-CN"/>
              </w:rPr>
              <w:t>To</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Requirement and Technical Specifications</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Accountable for establishing a version-controlled set of documents that records the specification required for each report ( across 24 process areas as set out in section 5) from which the system integrator and MyCO  team will build the required workflows, reports, analytics or dashboards.</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Mar 2022</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Functional Design</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Understand what impact matrix programme design has on CO requirements, where this differs from previously agreed requirements, resolve and seek approval (Also Functions) - Change impact assessment document, across all process areas set out in section 5.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Jun 2022</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Requirement and Configuration Workbooks</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highlight w:val="yellow"/>
                <w:lang w:eastAsia="zh-CN"/>
              </w:rPr>
            </w:pPr>
            <w:r w:rsidRPr="00C47640">
              <w:rPr>
                <w:rFonts w:ascii="Arial" w:eastAsia="SimSun" w:hAnsi="Arial" w:cs="Arial"/>
                <w:szCs w:val="24"/>
                <w:lang w:eastAsia="zh-CN"/>
              </w:rPr>
              <w:t>Version controlled set of documents that records the specification required for the functional area as well as reference data values for configuration set up across all 23 process areas.</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Sep 2026</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Business Change Artefacts</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Change impact assessment across design estate, produce business change, functional walk throughs and training documentation. Including user journeys, value propositions and personas, across all process areas as set out in section 5.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Jan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Sep 2024</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 xml:space="preserve">Service Transformation </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BPO Transition Management, Manage changes to Gov services (e.g GRS) - Deliver detailed transformation roadmap/ plans, commercial transition arrangements in place and operational and Transition/ Change documentation, including acceptance in to service documents.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Jul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Sep 2024</w:t>
            </w:r>
          </w:p>
        </w:tc>
      </w:tr>
      <w:tr w:rsidR="00C47640" w:rsidRPr="00C47640" w:rsidTr="006D7A18">
        <w:trPr>
          <w:trHeight w:val="408"/>
        </w:trPr>
        <w:tc>
          <w:tcPr>
            <w:tcW w:w="9013" w:type="dxa"/>
            <w:gridSpan w:val="4"/>
            <w:vMerge w:val="restart"/>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9744C8" w:rsidP="00C47640">
            <w:pPr>
              <w:spacing w:after="0" w:line="240" w:lineRule="auto"/>
              <w:jc w:val="center"/>
              <w:rPr>
                <w:rFonts w:ascii="Arial" w:eastAsia="SimSun" w:hAnsi="Arial" w:cs="Arial"/>
                <w:b/>
                <w:color w:val="FFFFFF"/>
                <w:sz w:val="28"/>
                <w:szCs w:val="28"/>
                <w:u w:val="single"/>
                <w:lang w:eastAsia="zh-CN"/>
              </w:rPr>
            </w:pPr>
            <w:hyperlink w:anchor="bookmark=id.1pxezwc">
              <w:r w:rsidR="00C47640" w:rsidRPr="00C47640">
                <w:rPr>
                  <w:rFonts w:ascii="Arial" w:eastAsia="SimSun" w:hAnsi="Arial" w:cs="Arial"/>
                  <w:b/>
                  <w:color w:val="FFFFFF"/>
                  <w:sz w:val="28"/>
                  <w:szCs w:val="28"/>
                  <w:u w:val="single"/>
                  <w:lang w:eastAsia="zh-CN"/>
                </w:rPr>
                <w:t xml:space="preserve">Commercial </w:t>
              </w:r>
            </w:hyperlink>
          </w:p>
        </w:tc>
      </w:tr>
      <w:tr w:rsidR="00C47640" w:rsidRPr="00C47640" w:rsidTr="006D7A18">
        <w:trPr>
          <w:trHeight w:val="408"/>
        </w:trPr>
        <w:tc>
          <w:tcPr>
            <w:tcW w:w="9013" w:type="dxa"/>
            <w:gridSpan w:val="4"/>
            <w:vMerge/>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 xml:space="preserve">Commercial </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highlight w:val="yellow"/>
                <w:lang w:eastAsia="zh-CN"/>
              </w:rPr>
            </w:pPr>
            <w:r w:rsidRPr="00C47640">
              <w:rPr>
                <w:rFonts w:ascii="Arial" w:eastAsia="SimSun" w:hAnsi="Arial" w:cs="Arial"/>
                <w:color w:val="000000"/>
                <w:szCs w:val="24"/>
                <w:lang w:eastAsia="zh-CN"/>
              </w:rPr>
              <w:t>SSCL extension, transitional commercial arrangements, system adoption and handover documentation - Commercial case development - OBC/FBC, assure Pre Market engagement activity and products - BPO service providers, Drafting Commercial and Contractual documents</w:t>
            </w:r>
            <w:r w:rsidRPr="00C47640">
              <w:rPr>
                <w:rFonts w:ascii="Arial" w:eastAsia="SimSun" w:hAnsi="Arial" w:cs="Arial"/>
                <w:color w:val="000000"/>
                <w:szCs w:val="24"/>
                <w:highlight w:val="yellow"/>
                <w:lang w:eastAsia="zh-CN"/>
              </w:rPr>
              <w:t xml:space="preserve">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Sep 2024</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Commercial</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color w:val="000000"/>
                <w:szCs w:val="24"/>
                <w:lang w:eastAsia="zh-CN"/>
              </w:rPr>
              <w:t>Assure the cluster level Production and Review of a SaaS ERP Licence commercial strategy documentation, aligned to relevant CCS Frameworks, which includes negotiation options, from a strategic commercial perspective.</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Sep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 xml:space="preserve">Commercial </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color w:val="000000"/>
                <w:szCs w:val="24"/>
                <w:lang w:eastAsia="zh-CN"/>
              </w:rPr>
              <w:t xml:space="preserve">Develop and deliver a contracts and sourcing solution to align to departmental strategic objectives, plugging the gaps identified in the Boardman report on the need for a contracts database and sourcing solution. Delivering the detailed technical and functional solution </w:t>
            </w:r>
            <w:r w:rsidRPr="00C47640">
              <w:rPr>
                <w:rFonts w:ascii="Arial" w:eastAsia="SimSun" w:hAnsi="Arial" w:cs="Arial"/>
                <w:color w:val="000000"/>
                <w:szCs w:val="24"/>
                <w:lang w:eastAsia="zh-CN"/>
              </w:rPr>
              <w:lastRenderedPageBreak/>
              <w:t xml:space="preserve">for the specialist procurement users in the CO to assert greater commercial control. Run the procurement process at a departmental level. Produce Implementation planning documentation for the P2P and Finance functionality that covers all implementation activities for the service, this should utilise ERP finance technical skills to enhance specialist finance business knowledge.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lastRenderedPageBreak/>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2022</w:t>
            </w:r>
          </w:p>
        </w:tc>
      </w:tr>
      <w:tr w:rsidR="00C47640" w:rsidRPr="00C47640" w:rsidTr="006D7A18">
        <w:trPr>
          <w:trHeight w:val="408"/>
        </w:trPr>
        <w:tc>
          <w:tcPr>
            <w:tcW w:w="9013" w:type="dxa"/>
            <w:gridSpan w:val="4"/>
            <w:vMerge w:val="restart"/>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9744C8" w:rsidP="00C47640">
            <w:pPr>
              <w:spacing w:after="0" w:line="240" w:lineRule="auto"/>
              <w:jc w:val="center"/>
              <w:rPr>
                <w:rFonts w:ascii="Arial" w:eastAsia="SimSun" w:hAnsi="Arial" w:cs="Arial"/>
                <w:b/>
                <w:color w:val="FFFFFF"/>
                <w:sz w:val="28"/>
                <w:szCs w:val="28"/>
                <w:u w:val="single"/>
                <w:lang w:eastAsia="zh-CN"/>
              </w:rPr>
            </w:pPr>
            <w:hyperlink w:anchor="bookmark=id.49x2ik5">
              <w:r w:rsidR="00C47640" w:rsidRPr="00C47640">
                <w:rPr>
                  <w:rFonts w:ascii="Arial" w:eastAsia="SimSun" w:hAnsi="Arial" w:cs="Arial"/>
                  <w:b/>
                  <w:color w:val="FFFFFF"/>
                  <w:sz w:val="28"/>
                  <w:szCs w:val="28"/>
                  <w:u w:val="single"/>
                  <w:lang w:eastAsia="zh-CN"/>
                </w:rPr>
                <w:t xml:space="preserve">Data Management </w:t>
              </w:r>
            </w:hyperlink>
          </w:p>
        </w:tc>
      </w:tr>
      <w:tr w:rsidR="00C47640" w:rsidRPr="00C47640" w:rsidTr="006D7A18">
        <w:trPr>
          <w:trHeight w:val="408"/>
        </w:trPr>
        <w:tc>
          <w:tcPr>
            <w:tcW w:w="9013" w:type="dxa"/>
            <w:gridSpan w:val="4"/>
            <w:vMerge/>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Data Migration Strategy</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Internally signed off document that records the approach to be taken to achieving MyCO Data Migration including:- Across HR, Finance and P2P Processes (as set out in section 5) , DM Cycles, roles and responsibilities and reconciliation. This will align to the wider cluster DM strategy in approach and standards.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Data Cleanse/ Extraction Specification</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Version controlled set of documents that records the specification required for the data cleanse activities within business areas and at the extraction stage of data migration.</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Data Migration Cycles</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Manage, co-ordinate and be ultimately responsible for ensuring all documentation required of test, validate and actual live data migration cycles specifically relevant for the CO are executed and assured in accordance with the programme baselined plan, by the cluster SI.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Jun 2024</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Data Reconciliation Definition</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A documented set of rules and methods to validate data in the target system is as expected and can be reconciled against CO source data. Methods to use will include:- Load logs, reports, extracts, system data queries.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Data Transformation Specification</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Version controlled set of transformation rules for mapping data from extraction into a format and state ready for load to the target solution.</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408"/>
        </w:trPr>
        <w:tc>
          <w:tcPr>
            <w:tcW w:w="9013" w:type="dxa"/>
            <w:gridSpan w:val="4"/>
            <w:vMerge w:val="restart"/>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9744C8" w:rsidP="00C47640">
            <w:pPr>
              <w:spacing w:after="0" w:line="240" w:lineRule="auto"/>
              <w:jc w:val="center"/>
              <w:rPr>
                <w:rFonts w:ascii="Arial" w:eastAsia="SimSun" w:hAnsi="Arial" w:cs="Arial"/>
                <w:b/>
                <w:color w:val="FFFFFF"/>
                <w:sz w:val="28"/>
                <w:szCs w:val="28"/>
                <w:u w:val="single"/>
                <w:lang w:eastAsia="zh-CN"/>
              </w:rPr>
            </w:pPr>
            <w:hyperlink w:anchor="bookmark=id.2p2csry">
              <w:r w:rsidR="00C47640" w:rsidRPr="00C47640">
                <w:rPr>
                  <w:rFonts w:ascii="Arial" w:eastAsia="SimSun" w:hAnsi="Arial" w:cs="Arial"/>
                  <w:b/>
                  <w:color w:val="FFFFFF"/>
                  <w:sz w:val="28"/>
                  <w:szCs w:val="28"/>
                  <w:u w:val="single"/>
                  <w:lang w:eastAsia="zh-CN"/>
                </w:rPr>
                <w:t>Technology Architecture &amp; Design</w:t>
              </w:r>
            </w:hyperlink>
          </w:p>
        </w:tc>
      </w:tr>
      <w:tr w:rsidR="00C47640" w:rsidRPr="00C47640" w:rsidTr="006D7A18">
        <w:trPr>
          <w:trHeight w:val="408"/>
        </w:trPr>
        <w:tc>
          <w:tcPr>
            <w:tcW w:w="9013" w:type="dxa"/>
            <w:gridSpan w:val="4"/>
            <w:vMerge/>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Technology Enterprise Architecture</w:t>
            </w:r>
          </w:p>
        </w:tc>
        <w:tc>
          <w:tcPr>
            <w:tcW w:w="55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Working with the cluster enterprise architect for the Matrix Portfolio,  provide an assurance statement that the cluster level options set out meet our departmental requirements and are fit for purpose. Utilising and conducting cloud readiness assessments, assuring production of technical roadmaps and assessing additional technical Matrix products.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Technology Design Principles</w:t>
            </w:r>
          </w:p>
        </w:tc>
        <w:tc>
          <w:tcPr>
            <w:tcW w:w="55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Provide technical assurance documentation for the Cabinet Office technical set up ensuring the Matrix Principles are aligned to CO standards and requirements.</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lastRenderedPageBreak/>
              <w:t>Technology Architecture</w:t>
            </w:r>
          </w:p>
        </w:tc>
        <w:tc>
          <w:tcPr>
            <w:tcW w:w="55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Assure the outputs of the Matrix Portfolio Technical Design Authority Forum from a CO perspective.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SaaS ERP Cloud Readiness</w:t>
            </w:r>
          </w:p>
        </w:tc>
        <w:tc>
          <w:tcPr>
            <w:tcW w:w="55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Conduct analysis and produce a SaaS ERP Cloud Readiness Assessment for the CO.</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Technology Architecture</w:t>
            </w:r>
          </w:p>
        </w:tc>
        <w:tc>
          <w:tcPr>
            <w:tcW w:w="55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Define and deliver the Technology Roadmaps aligned with Government strategy for use of Gov services and shared technology, specifically for the CO requirements.</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Implementation Planning</w:t>
            </w:r>
          </w:p>
        </w:tc>
        <w:tc>
          <w:tcPr>
            <w:tcW w:w="55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Develop a best practice implementation plan for implementing an ERP solution for the CO working with the selected SI that specifically addresses CO departmental requirements.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Nov 2021</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408"/>
        </w:trPr>
        <w:tc>
          <w:tcPr>
            <w:tcW w:w="9013" w:type="dxa"/>
            <w:gridSpan w:val="4"/>
            <w:vMerge w:val="restart"/>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9744C8" w:rsidP="00C47640">
            <w:pPr>
              <w:spacing w:after="0" w:line="240" w:lineRule="auto"/>
              <w:jc w:val="center"/>
              <w:rPr>
                <w:rFonts w:ascii="Arial" w:eastAsia="SimSun" w:hAnsi="Arial" w:cs="Arial"/>
                <w:b/>
                <w:color w:val="FFFFFF"/>
                <w:sz w:val="28"/>
                <w:szCs w:val="28"/>
                <w:u w:val="single"/>
                <w:lang w:eastAsia="zh-CN"/>
              </w:rPr>
            </w:pPr>
            <w:hyperlink w:anchor="bookmark=id.147n2zr">
              <w:r w:rsidR="00C47640" w:rsidRPr="00C47640">
                <w:rPr>
                  <w:rFonts w:ascii="Arial" w:eastAsia="SimSun" w:hAnsi="Arial" w:cs="Arial"/>
                  <w:b/>
                  <w:color w:val="FFFFFF"/>
                  <w:sz w:val="28"/>
                  <w:szCs w:val="28"/>
                  <w:u w:val="single"/>
                  <w:lang w:eastAsia="zh-CN"/>
                </w:rPr>
                <w:t>Testing</w:t>
              </w:r>
            </w:hyperlink>
          </w:p>
        </w:tc>
      </w:tr>
      <w:tr w:rsidR="00C47640" w:rsidRPr="00C47640" w:rsidTr="006D7A18">
        <w:trPr>
          <w:trHeight w:val="408"/>
        </w:trPr>
        <w:tc>
          <w:tcPr>
            <w:tcW w:w="9013" w:type="dxa"/>
            <w:gridSpan w:val="4"/>
            <w:vMerge/>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Testing strategy</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A departmentally agreed document that records the approach to be taken to conducting MyCO Testing Stages including:- Process, Stages, Roles and responsibility, defect resolution, acceptance criteria, across the process areas as set out in section 5.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Jul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Jun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SIT</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Coordinate the testing, reporting, defect management of testing activities and provide assurance that Matrix testing activities meet Cabinet Office Standards</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Jan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Sep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Unit Test</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Unit testing phase management including:- Documented and base lined execution schedule, Defect management, Entry and Exit gate specifically for the CO.</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Jan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PCT</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PCT testing phase management including:- Documented and base lined execution schedule, Defect management, Entry and Exit gate and In partnership with Cabinet Office SME’s and BPO provider be an integral part of the PCT activities that will be required</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Jun 2024</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UAT</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UAT testing phase management including:- Documented and base lined execution schedule, Defect management, Entry and Exit gate and In partnership with Cabinet Office SME’s conduct the UAT testing focusing on test execution, defect identification, resolution and re-test.</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Apr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Jun</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2024</w:t>
            </w:r>
          </w:p>
        </w:tc>
      </w:tr>
      <w:tr w:rsidR="00C47640" w:rsidRPr="00C47640" w:rsidTr="006D7A18">
        <w:trPr>
          <w:trHeight w:val="408"/>
        </w:trPr>
        <w:tc>
          <w:tcPr>
            <w:tcW w:w="9013" w:type="dxa"/>
            <w:gridSpan w:val="4"/>
            <w:vMerge w:val="restart"/>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9744C8" w:rsidP="00C47640">
            <w:pPr>
              <w:spacing w:after="0" w:line="240" w:lineRule="auto"/>
              <w:jc w:val="center"/>
              <w:rPr>
                <w:rFonts w:ascii="Arial" w:eastAsia="SimSun" w:hAnsi="Arial" w:cs="Arial"/>
                <w:b/>
                <w:color w:val="FFFFFF"/>
                <w:sz w:val="28"/>
                <w:szCs w:val="28"/>
                <w:u w:val="single"/>
                <w:lang w:eastAsia="zh-CN"/>
              </w:rPr>
            </w:pPr>
            <w:hyperlink w:anchor="bookmark=id.3o7alnk">
              <w:r w:rsidR="00C47640" w:rsidRPr="00C47640">
                <w:rPr>
                  <w:rFonts w:ascii="Arial" w:eastAsia="SimSun" w:hAnsi="Arial" w:cs="Arial"/>
                  <w:b/>
                  <w:color w:val="FFFFFF"/>
                  <w:sz w:val="28"/>
                  <w:szCs w:val="28"/>
                  <w:u w:val="single"/>
                  <w:lang w:eastAsia="zh-CN"/>
                </w:rPr>
                <w:t>Acceptance &amp; Training</w:t>
              </w:r>
            </w:hyperlink>
          </w:p>
        </w:tc>
      </w:tr>
      <w:tr w:rsidR="00C47640" w:rsidRPr="00C47640" w:rsidTr="006D7A18">
        <w:trPr>
          <w:trHeight w:val="408"/>
        </w:trPr>
        <w:tc>
          <w:tcPr>
            <w:tcW w:w="9013" w:type="dxa"/>
            <w:gridSpan w:val="4"/>
            <w:vMerge/>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Acceptance into service</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In partnership with Cabinet Office SME’s, BPO provider, System Implementer and 3rd Parties provide CO stakeholders with assurance that the matrix documentation meets our requirements for; the transition to live service, the management of post go-live hyper-care through delivery of detailed plans and documentation seeking agreement to activity by relevant parties</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Oct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Mar 2025</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lastRenderedPageBreak/>
              <w:t>Training Strategy</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Delivery of training strategy that takes into account resource and materials available from the cluster level, to assure these and adapt them to deliver targeted training to general and specialist users within the CO for process areas as set out in section 5.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Jul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Dec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Training Execution</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Training programme delivery - including targeted materials and training sessions where necessary (e.g train the trainer)</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Jul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2023</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Mar 2025</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Organisational design</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 xml:space="preserve">Delivery of Target Operating Model, Change impact assessments and new service model focused on Impact of programme on existing organisation / Shared Service (New roles, Job Description, Redeployment, Redundancy) - Removal of extant roles, deduplication of roles etc. </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Jul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Mar 2023</w:t>
            </w: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Reporting Strategy</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A departmentally agreed document that details the approach to be taken to achieving Cabinet Office Reporting Strategy objectives within the Matrix including:- Reporting Tools, Requirements which support organisational analysis and decision making.</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Jan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2022</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Mar 2023</w:t>
            </w:r>
          </w:p>
        </w:tc>
      </w:tr>
      <w:tr w:rsidR="00C47640" w:rsidRPr="00C47640" w:rsidTr="006D7A18">
        <w:trPr>
          <w:trHeight w:val="408"/>
        </w:trPr>
        <w:tc>
          <w:tcPr>
            <w:tcW w:w="9013" w:type="dxa"/>
            <w:gridSpan w:val="4"/>
            <w:vMerge w:val="restart"/>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9744C8" w:rsidP="00C47640">
            <w:pPr>
              <w:spacing w:after="0" w:line="240" w:lineRule="auto"/>
              <w:jc w:val="center"/>
              <w:rPr>
                <w:rFonts w:ascii="Arial" w:eastAsia="SimSun" w:hAnsi="Arial" w:cs="Arial"/>
                <w:b/>
                <w:color w:val="FFFFFF"/>
                <w:sz w:val="28"/>
                <w:szCs w:val="28"/>
                <w:u w:val="single"/>
                <w:lang w:eastAsia="zh-CN"/>
              </w:rPr>
            </w:pPr>
            <w:hyperlink w:anchor="bookmark=id.23ckvvd">
              <w:r w:rsidR="00C47640" w:rsidRPr="00C47640">
                <w:rPr>
                  <w:rFonts w:ascii="Arial" w:eastAsia="SimSun" w:hAnsi="Arial" w:cs="Arial"/>
                  <w:b/>
                  <w:color w:val="FFFFFF"/>
                  <w:sz w:val="28"/>
                  <w:szCs w:val="28"/>
                  <w:u w:val="single"/>
                  <w:lang w:eastAsia="zh-CN"/>
                </w:rPr>
                <w:t>Day 2 Delivery</w:t>
              </w:r>
            </w:hyperlink>
          </w:p>
        </w:tc>
      </w:tr>
      <w:tr w:rsidR="00C47640" w:rsidRPr="00C47640" w:rsidTr="006D7A18">
        <w:trPr>
          <w:trHeight w:val="408"/>
        </w:trPr>
        <w:tc>
          <w:tcPr>
            <w:tcW w:w="9013" w:type="dxa"/>
            <w:gridSpan w:val="4"/>
            <w:vMerge/>
            <w:tcBorders>
              <w:top w:val="single" w:sz="6" w:space="0" w:color="CCCCCC"/>
              <w:left w:val="single" w:sz="6" w:space="0" w:color="000000"/>
              <w:bottom w:val="single" w:sz="6" w:space="0" w:color="000000"/>
              <w:right w:val="single" w:sz="6" w:space="0" w:color="000000"/>
            </w:tcBorders>
            <w:shd w:val="clear" w:color="auto" w:fill="0B5394"/>
            <w:tcMar>
              <w:top w:w="30" w:type="dxa"/>
              <w:left w:w="45" w:type="dxa"/>
              <w:bottom w:w="30" w:type="dxa"/>
              <w:right w:w="45" w:type="dxa"/>
            </w:tcMar>
            <w:vAlign w:val="center"/>
          </w:tcPr>
          <w:p w:rsidR="00C47640" w:rsidRPr="00C47640" w:rsidRDefault="00C47640" w:rsidP="00C47640">
            <w:pPr>
              <w:widowControl w:val="0"/>
              <w:pBdr>
                <w:top w:val="nil"/>
                <w:left w:val="nil"/>
                <w:bottom w:val="nil"/>
                <w:right w:val="nil"/>
                <w:between w:val="nil"/>
              </w:pBdr>
              <w:spacing w:after="0"/>
              <w:rPr>
                <w:rFonts w:ascii="Arial" w:eastAsia="SimSun" w:hAnsi="Arial" w:cs="Arial"/>
                <w:b/>
                <w:color w:val="FFFFFF"/>
                <w:sz w:val="28"/>
                <w:szCs w:val="28"/>
                <w:u w:val="single"/>
                <w:lang w:eastAsia="zh-CN"/>
              </w:rPr>
            </w:pPr>
          </w:p>
        </w:tc>
      </w:tr>
      <w:tr w:rsidR="00C47640" w:rsidRPr="00C47640" w:rsidTr="006D7A18">
        <w:trPr>
          <w:trHeight w:val="315"/>
        </w:trPr>
        <w:tc>
          <w:tcPr>
            <w:tcW w:w="195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b/>
                <w:szCs w:val="24"/>
                <w:lang w:eastAsia="zh-CN"/>
              </w:rPr>
            </w:pPr>
            <w:r w:rsidRPr="00C47640">
              <w:rPr>
                <w:rFonts w:ascii="Arial" w:eastAsia="SimSun" w:hAnsi="Arial" w:cs="Arial"/>
                <w:b/>
                <w:szCs w:val="24"/>
                <w:lang w:eastAsia="zh-CN"/>
              </w:rPr>
              <w:t>Day 2 Delivery</w:t>
            </w:r>
          </w:p>
        </w:tc>
        <w:tc>
          <w:tcPr>
            <w:tcW w:w="55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C47640" w:rsidRPr="00C47640" w:rsidRDefault="00C47640" w:rsidP="00C47640">
            <w:pPr>
              <w:spacing w:after="0" w:line="240" w:lineRule="auto"/>
              <w:rPr>
                <w:rFonts w:ascii="Arial" w:eastAsia="SimSun" w:hAnsi="Arial" w:cs="Arial"/>
                <w:szCs w:val="24"/>
                <w:lang w:eastAsia="zh-CN"/>
              </w:rPr>
            </w:pPr>
            <w:r w:rsidRPr="00C47640">
              <w:rPr>
                <w:rFonts w:ascii="Arial" w:eastAsia="SimSun" w:hAnsi="Arial" w:cs="Arial"/>
                <w:szCs w:val="24"/>
                <w:lang w:eastAsia="zh-CN"/>
              </w:rPr>
              <w:t>Delivery of suggested Day 2 system and service enhancements including potential benefits / impact of implementation, including proposals. process/ technology design, implementation plans and new organisational charts for HR, finance and P2P functions for future operating models, and change impact assessments.</w:t>
            </w:r>
          </w:p>
        </w:tc>
        <w:tc>
          <w:tcPr>
            <w:tcW w:w="78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 xml:space="preserve">Oct </w:t>
            </w:r>
          </w:p>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2024</w:t>
            </w:r>
          </w:p>
        </w:tc>
        <w:tc>
          <w:tcPr>
            <w:tcW w:w="73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C47640" w:rsidRPr="00C47640" w:rsidRDefault="00C47640" w:rsidP="00C47640">
            <w:pPr>
              <w:spacing w:after="0" w:line="240" w:lineRule="auto"/>
              <w:jc w:val="center"/>
              <w:rPr>
                <w:rFonts w:ascii="Arial" w:eastAsia="SimSun" w:hAnsi="Arial" w:cs="Arial"/>
                <w:b/>
                <w:szCs w:val="24"/>
                <w:lang w:eastAsia="zh-CN"/>
              </w:rPr>
            </w:pPr>
            <w:r w:rsidRPr="00C47640">
              <w:rPr>
                <w:rFonts w:ascii="Arial" w:eastAsia="SimSun" w:hAnsi="Arial" w:cs="Arial"/>
                <w:b/>
                <w:szCs w:val="24"/>
                <w:lang w:eastAsia="zh-CN"/>
              </w:rPr>
              <w:t>Sep 2026</w:t>
            </w:r>
          </w:p>
        </w:tc>
      </w:tr>
    </w:tbl>
    <w:p w:rsidR="000B559D" w:rsidRDefault="000B559D">
      <w:pPr>
        <w:tabs>
          <w:tab w:val="left" w:pos="2257"/>
        </w:tabs>
        <w:spacing w:after="0" w:line="259" w:lineRule="auto"/>
        <w:rPr>
          <w:rFonts w:ascii="Arial" w:eastAsia="Arial" w:hAnsi="Arial" w:cs="Arial"/>
          <w:b/>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0B559D" w:rsidRDefault="00B451E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00B9707B">
        <w:rPr>
          <w:rFonts w:ascii="Arial" w:eastAsia="Arial" w:hAnsi="Arial" w:cs="Arial"/>
          <w:b/>
          <w:sz w:val="24"/>
          <w:szCs w:val="24"/>
          <w:highlight w:val="yellow"/>
        </w:rPr>
        <w:t xml:space="preserve"> </w:t>
      </w:r>
      <w:r w:rsidR="00C47640" w:rsidRPr="00C47640">
        <w:rPr>
          <w:rFonts w:ascii="Arial" w:eastAsia="Arial" w:hAnsi="Arial" w:cs="Arial"/>
          <w:sz w:val="24"/>
          <w:szCs w:val="24"/>
        </w:rPr>
        <w:t>£999,270.63(exc VAT)</w:t>
      </w:r>
    </w:p>
    <w:p w:rsidR="000B559D" w:rsidRDefault="000B559D">
      <w:pPr>
        <w:tabs>
          <w:tab w:val="left" w:pos="2257"/>
        </w:tabs>
        <w:spacing w:after="0" w:line="259" w:lineRule="auto"/>
        <w:rPr>
          <w:rFonts w:ascii="Arial" w:eastAsia="Arial" w:hAnsi="Arial" w:cs="Arial"/>
          <w:b/>
          <w:sz w:val="24"/>
          <w:szCs w:val="24"/>
        </w:rPr>
      </w:pPr>
    </w:p>
    <w:p w:rsidR="00B9707B" w:rsidRDefault="00B451E4" w:rsidP="00B9707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0B559D" w:rsidRDefault="00B451E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rsidR="000B559D" w:rsidRDefault="00B451E4" w:rsidP="00B9707B">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w:t>
      </w:r>
      <w:r w:rsidR="00CE2540">
        <w:rPr>
          <w:rFonts w:ascii="Arial" w:eastAsia="Arial" w:hAnsi="Arial" w:cs="Arial"/>
          <w:sz w:val="24"/>
          <w:szCs w:val="24"/>
        </w:rPr>
        <w:t>k Schedule 3 (Framework Prices)</w:t>
      </w:r>
    </w:p>
    <w:p w:rsidR="00CE2540" w:rsidRPr="00952822" w:rsidRDefault="00952822" w:rsidP="00B9707B">
      <w:pPr>
        <w:tabs>
          <w:tab w:val="left" w:pos="2257"/>
        </w:tabs>
        <w:spacing w:after="0" w:line="259" w:lineRule="auto"/>
        <w:rPr>
          <w:rFonts w:ascii="Arial" w:eastAsia="Arial" w:hAnsi="Arial" w:cs="Arial"/>
          <w:sz w:val="24"/>
          <w:szCs w:val="24"/>
        </w:rPr>
      </w:pPr>
      <w:r w:rsidRPr="00952822">
        <w:rPr>
          <w:rFonts w:ascii="Arial" w:hAnsi="Arial" w:cs="Arial"/>
          <w:noProof/>
        </w:rPr>
        <w:t>REDACTED</w:t>
      </w:r>
    </w:p>
    <w:p w:rsidR="000B559D" w:rsidRDefault="000B559D">
      <w:pPr>
        <w:tabs>
          <w:tab w:val="left" w:pos="2257"/>
        </w:tabs>
        <w:spacing w:after="0" w:line="259" w:lineRule="auto"/>
        <w:rPr>
          <w:rFonts w:ascii="Arial" w:eastAsia="Arial" w:hAnsi="Arial" w:cs="Arial"/>
          <w:sz w:val="24"/>
          <w:szCs w:val="24"/>
          <w:highlight w:val="yellow"/>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0B559D" w:rsidRDefault="00B9707B">
      <w:pPr>
        <w:tabs>
          <w:tab w:val="left" w:pos="2257"/>
        </w:tabs>
        <w:spacing w:after="0" w:line="259" w:lineRule="auto"/>
        <w:rPr>
          <w:rFonts w:ascii="Arial" w:eastAsia="Arial" w:hAnsi="Arial" w:cs="Arial"/>
          <w:sz w:val="24"/>
          <w:szCs w:val="24"/>
        </w:rPr>
      </w:pPr>
      <w:r w:rsidRPr="00B9707B">
        <w:rPr>
          <w:rFonts w:ascii="Arial" w:eastAsia="Arial" w:hAnsi="Arial" w:cs="Arial"/>
          <w:sz w:val="24"/>
          <w:szCs w:val="24"/>
        </w:rPr>
        <w:t>None</w:t>
      </w:r>
    </w:p>
    <w:p w:rsidR="000B559D" w:rsidRDefault="000B559D">
      <w:pPr>
        <w:tabs>
          <w:tab w:val="left" w:pos="2257"/>
        </w:tabs>
        <w:spacing w:after="0" w:line="259" w:lineRule="auto"/>
        <w:rPr>
          <w:rFonts w:ascii="Arial" w:eastAsia="Arial" w:hAnsi="Arial" w:cs="Arial"/>
          <w:b/>
          <w:sz w:val="24"/>
          <w:szCs w:val="24"/>
        </w:rPr>
      </w:pPr>
    </w:p>
    <w:p w:rsidR="000B559D" w:rsidRDefault="00B451E4">
      <w:pPr>
        <w:tabs>
          <w:tab w:val="left" w:pos="2257"/>
        </w:tabs>
        <w:spacing w:after="0" w:line="259" w:lineRule="auto"/>
        <w:rPr>
          <w:rFonts w:ascii="Arial" w:eastAsia="Arial" w:hAnsi="Arial" w:cs="Arial"/>
          <w:sz w:val="24"/>
          <w:szCs w:val="24"/>
        </w:rPr>
      </w:pPr>
      <w:bookmarkStart w:id="1" w:name="_heading=h.30j0zll" w:colFirst="0" w:colLast="0"/>
      <w:bookmarkEnd w:id="1"/>
      <w:r>
        <w:rPr>
          <w:rFonts w:ascii="Arial" w:eastAsia="Arial" w:hAnsi="Arial" w:cs="Arial"/>
          <w:sz w:val="24"/>
          <w:szCs w:val="24"/>
        </w:rPr>
        <w:t>PAYMENT METHOD</w:t>
      </w:r>
    </w:p>
    <w:p w:rsidR="00B643F6" w:rsidRDefault="00B643F6" w:rsidP="00B643F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Invoices should be raised on a monthly basis for progress made against each of the key programme deliverables (as agreed with Project Manager and Head of PMO) </w:t>
      </w:r>
    </w:p>
    <w:p w:rsidR="000B559D" w:rsidRDefault="000B559D">
      <w:pPr>
        <w:tabs>
          <w:tab w:val="left" w:pos="2257"/>
        </w:tabs>
        <w:spacing w:after="0" w:line="259" w:lineRule="auto"/>
        <w:rPr>
          <w:rFonts w:ascii="Arial" w:eastAsia="Arial" w:hAnsi="Arial" w:cs="Arial"/>
          <w:b/>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BUYER’S INVOICE ADDRESS: </w:t>
      </w:r>
    </w:p>
    <w:p w:rsidR="000B559D" w:rsidRDefault="00321001" w:rsidP="00B643F6">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bookmarkStart w:id="2" w:name="_GoBack"/>
      <w:bookmarkEnd w:id="2"/>
    </w:p>
    <w:p w:rsidR="000B559D" w:rsidRDefault="000B559D">
      <w:pPr>
        <w:tabs>
          <w:tab w:val="left" w:pos="2257"/>
        </w:tabs>
        <w:spacing w:after="0" w:line="259" w:lineRule="auto"/>
        <w:rPr>
          <w:rFonts w:ascii="Arial" w:eastAsia="Arial" w:hAnsi="Arial" w:cs="Arial"/>
          <w:sz w:val="24"/>
          <w:szCs w:val="24"/>
        </w:rPr>
      </w:pPr>
    </w:p>
    <w:p w:rsidR="00B451E4" w:rsidRPr="00B643F6" w:rsidRDefault="00B451E4">
      <w:pPr>
        <w:tabs>
          <w:tab w:val="left" w:pos="2257"/>
        </w:tabs>
        <w:spacing w:after="0" w:line="259" w:lineRule="auto"/>
        <w:rPr>
          <w:rFonts w:ascii="Arial" w:eastAsia="Arial" w:hAnsi="Arial" w:cs="Arial"/>
          <w:sz w:val="24"/>
          <w:szCs w:val="24"/>
        </w:rPr>
      </w:pPr>
      <w:r w:rsidRPr="00B643F6">
        <w:rPr>
          <w:rFonts w:ascii="Arial" w:eastAsia="Arial" w:hAnsi="Arial" w:cs="Arial"/>
          <w:sz w:val="24"/>
          <w:szCs w:val="24"/>
        </w:rPr>
        <w:t>FINANCIAL TRANSPARENCY OBJECTIVES</w:t>
      </w:r>
    </w:p>
    <w:p w:rsidR="00B451E4" w:rsidRPr="00B643F6" w:rsidRDefault="00B451E4">
      <w:pPr>
        <w:tabs>
          <w:tab w:val="left" w:pos="2257"/>
        </w:tabs>
        <w:spacing w:after="0" w:line="259" w:lineRule="auto"/>
        <w:rPr>
          <w:rFonts w:ascii="Arial" w:eastAsia="Arial" w:hAnsi="Arial" w:cs="Arial"/>
          <w:sz w:val="24"/>
          <w:szCs w:val="24"/>
        </w:rPr>
      </w:pPr>
      <w:r w:rsidRPr="00B643F6">
        <w:rPr>
          <w:rFonts w:ascii="Arial" w:eastAsia="Arial" w:hAnsi="Arial" w:cs="Arial"/>
          <w:sz w:val="24"/>
          <w:szCs w:val="24"/>
        </w:rPr>
        <w:t>The Fin</w:t>
      </w:r>
      <w:r w:rsidR="00B643F6">
        <w:rPr>
          <w:rFonts w:ascii="Arial" w:eastAsia="Arial" w:hAnsi="Arial" w:cs="Arial"/>
          <w:sz w:val="24"/>
          <w:szCs w:val="24"/>
        </w:rPr>
        <w:t xml:space="preserve">ancial Transparency Objectives </w:t>
      </w:r>
      <w:r w:rsidRPr="00B643F6">
        <w:rPr>
          <w:rFonts w:ascii="Arial" w:eastAsia="Arial" w:hAnsi="Arial" w:cs="Arial"/>
          <w:sz w:val="24"/>
          <w:szCs w:val="24"/>
        </w:rPr>
        <w:t xml:space="preserve">apply to this </w:t>
      </w:r>
      <w:r w:rsidR="00322F20" w:rsidRPr="00B643F6">
        <w:rPr>
          <w:rFonts w:ascii="Arial" w:eastAsia="Arial" w:hAnsi="Arial" w:cs="Arial"/>
          <w:sz w:val="24"/>
          <w:szCs w:val="24"/>
        </w:rPr>
        <w:t xml:space="preserve">Call-Off </w:t>
      </w:r>
      <w:r w:rsidRPr="00B643F6">
        <w:rPr>
          <w:rFonts w:ascii="Arial" w:eastAsia="Arial" w:hAnsi="Arial" w:cs="Arial"/>
          <w:sz w:val="24"/>
          <w:szCs w:val="24"/>
        </w:rPr>
        <w:t>Contract.</w:t>
      </w:r>
    </w:p>
    <w:p w:rsidR="00B451E4" w:rsidRDefault="00B451E4">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C47640" w:rsidRPr="00C47640" w:rsidRDefault="00952822" w:rsidP="00C47640">
      <w:pPr>
        <w:tabs>
          <w:tab w:val="center" w:pos="4153"/>
          <w:tab w:val="right" w:pos="8306"/>
        </w:tabs>
        <w:spacing w:after="120" w:line="240" w:lineRule="atLeast"/>
        <w:rPr>
          <w:rFonts w:ascii="Arial" w:eastAsiaTheme="minorEastAsia" w:hAnsi="Arial" w:cs="Arial"/>
          <w:sz w:val="24"/>
          <w:szCs w:val="24"/>
        </w:rPr>
      </w:pPr>
      <w:r>
        <w:rPr>
          <w:rFonts w:ascii="Arial" w:eastAsiaTheme="minorEastAsia" w:hAnsi="Arial" w:cs="Arial"/>
          <w:sz w:val="24"/>
          <w:szCs w:val="24"/>
        </w:rPr>
        <w:t>REDACTED</w:t>
      </w:r>
    </w:p>
    <w:p w:rsidR="000B559D" w:rsidRDefault="000B559D">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0B559D" w:rsidRPr="00B643F6" w:rsidRDefault="000272EF" w:rsidP="00B643F6">
      <w:pPr>
        <w:tabs>
          <w:tab w:val="left" w:pos="2257"/>
        </w:tabs>
        <w:spacing w:after="0" w:line="259" w:lineRule="auto"/>
        <w:rPr>
          <w:rFonts w:ascii="Arial" w:eastAsia="Arial" w:hAnsi="Arial" w:cs="Arial"/>
          <w:sz w:val="24"/>
          <w:szCs w:val="24"/>
        </w:rPr>
      </w:pPr>
      <w:r>
        <w:rPr>
          <w:rFonts w:ascii="Arial" w:eastAsia="Arial" w:hAnsi="Arial" w:cs="Arial"/>
          <w:sz w:val="24"/>
          <w:szCs w:val="24"/>
        </w:rPr>
        <w:t>Please refer to Appendix 2</w:t>
      </w:r>
    </w:p>
    <w:p w:rsidR="000B559D" w:rsidRDefault="000B559D">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0B559D" w:rsidRPr="00AA41E7" w:rsidRDefault="000B18FB" w:rsidP="00AA41E7">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Short Form Security and please refer to </w:t>
      </w:r>
      <w:r w:rsidR="003F477B">
        <w:rPr>
          <w:rFonts w:ascii="Arial" w:eastAsia="Arial" w:hAnsi="Arial" w:cs="Arial"/>
          <w:sz w:val="24"/>
          <w:szCs w:val="24"/>
        </w:rPr>
        <w:t>Call Off Schedule 9- Annex B Security Management Plan</w:t>
      </w:r>
      <w:r>
        <w:rPr>
          <w:rFonts w:ascii="Arial" w:eastAsia="Arial" w:hAnsi="Arial" w:cs="Arial"/>
          <w:sz w:val="24"/>
          <w:szCs w:val="24"/>
        </w:rPr>
        <w:t>.</w:t>
      </w:r>
    </w:p>
    <w:p w:rsidR="000B559D" w:rsidRDefault="000B559D">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C47640" w:rsidRPr="00C47640" w:rsidRDefault="00952822" w:rsidP="00C47640">
      <w:pPr>
        <w:tabs>
          <w:tab w:val="center" w:pos="4153"/>
          <w:tab w:val="right" w:pos="8306"/>
        </w:tabs>
        <w:spacing w:after="120" w:line="240" w:lineRule="atLeast"/>
        <w:rPr>
          <w:rFonts w:ascii="Arial" w:eastAsiaTheme="minorEastAsia" w:hAnsi="Arial" w:cs="Arial"/>
          <w:sz w:val="24"/>
          <w:szCs w:val="24"/>
        </w:rPr>
      </w:pPr>
      <w:r>
        <w:rPr>
          <w:rFonts w:ascii="Arial" w:eastAsiaTheme="minorEastAsia" w:hAnsi="Arial" w:cs="Arial"/>
          <w:sz w:val="24"/>
          <w:szCs w:val="24"/>
        </w:rPr>
        <w:t>REDACTED</w:t>
      </w:r>
    </w:p>
    <w:p w:rsidR="00C47640" w:rsidRPr="00C47640" w:rsidRDefault="00C47640" w:rsidP="00C47640">
      <w:pPr>
        <w:tabs>
          <w:tab w:val="center" w:pos="4153"/>
          <w:tab w:val="right" w:pos="8306"/>
        </w:tabs>
        <w:spacing w:after="120" w:line="240" w:lineRule="atLeast"/>
        <w:rPr>
          <w:rFonts w:ascii="Arial" w:eastAsiaTheme="minorEastAsia" w:hAnsi="Arial" w:cs="Arial"/>
          <w:sz w:val="24"/>
          <w:szCs w:val="24"/>
        </w:rPr>
      </w:pPr>
      <w:r w:rsidRPr="00C47640">
        <w:rPr>
          <w:rFonts w:ascii="Arial" w:eastAsiaTheme="minorEastAsia" w:hAnsi="Arial" w:cs="Arial"/>
          <w:sz w:val="24"/>
          <w:szCs w:val="24"/>
        </w:rPr>
        <w:t>Covoxa Limited</w:t>
      </w:r>
    </w:p>
    <w:p w:rsidR="00C47640" w:rsidRPr="00C47640" w:rsidRDefault="00C47640" w:rsidP="00C47640">
      <w:pPr>
        <w:tabs>
          <w:tab w:val="center" w:pos="4153"/>
          <w:tab w:val="right" w:pos="8306"/>
        </w:tabs>
        <w:spacing w:after="120" w:line="240" w:lineRule="atLeast"/>
        <w:rPr>
          <w:rFonts w:ascii="Arial" w:eastAsiaTheme="minorEastAsia" w:hAnsi="Arial" w:cs="Arial"/>
          <w:sz w:val="24"/>
          <w:szCs w:val="24"/>
        </w:rPr>
      </w:pPr>
      <w:r w:rsidRPr="00C47640">
        <w:rPr>
          <w:rFonts w:ascii="Arial" w:eastAsiaTheme="minorEastAsia" w:hAnsi="Arial" w:cs="Arial"/>
          <w:sz w:val="24"/>
          <w:szCs w:val="24"/>
        </w:rPr>
        <w:t xml:space="preserve">45 Stockbridge Road, </w:t>
      </w:r>
    </w:p>
    <w:p w:rsidR="00C47640" w:rsidRPr="00C47640" w:rsidRDefault="00C47640" w:rsidP="00C47640">
      <w:pPr>
        <w:tabs>
          <w:tab w:val="center" w:pos="4153"/>
          <w:tab w:val="right" w:pos="8306"/>
        </w:tabs>
        <w:spacing w:after="120" w:line="240" w:lineRule="atLeast"/>
        <w:rPr>
          <w:rFonts w:ascii="Arial" w:eastAsiaTheme="minorEastAsia" w:hAnsi="Arial" w:cs="Arial"/>
          <w:sz w:val="24"/>
          <w:szCs w:val="24"/>
        </w:rPr>
      </w:pPr>
      <w:r w:rsidRPr="00C47640">
        <w:rPr>
          <w:rFonts w:ascii="Arial" w:eastAsiaTheme="minorEastAsia" w:hAnsi="Arial" w:cs="Arial"/>
          <w:sz w:val="24"/>
          <w:szCs w:val="24"/>
        </w:rPr>
        <w:t xml:space="preserve">Winchester, </w:t>
      </w:r>
    </w:p>
    <w:p w:rsidR="00C47640" w:rsidRPr="00C47640" w:rsidRDefault="00C47640" w:rsidP="00C47640">
      <w:pPr>
        <w:tabs>
          <w:tab w:val="center" w:pos="4153"/>
          <w:tab w:val="right" w:pos="8306"/>
        </w:tabs>
        <w:spacing w:after="120" w:line="240" w:lineRule="atLeast"/>
        <w:rPr>
          <w:rFonts w:ascii="Arial" w:eastAsiaTheme="minorEastAsia" w:hAnsi="Arial" w:cs="Arial"/>
          <w:sz w:val="24"/>
          <w:szCs w:val="24"/>
        </w:rPr>
      </w:pPr>
      <w:r w:rsidRPr="00C47640">
        <w:rPr>
          <w:rFonts w:ascii="Arial" w:eastAsiaTheme="minorEastAsia" w:hAnsi="Arial" w:cs="Arial"/>
          <w:sz w:val="24"/>
          <w:szCs w:val="24"/>
        </w:rPr>
        <w:t>SO22 6RW</w:t>
      </w:r>
    </w:p>
    <w:p w:rsidR="000B559D" w:rsidRDefault="000B559D">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C47640" w:rsidRPr="00C47640" w:rsidRDefault="00952822" w:rsidP="00C47640">
      <w:pPr>
        <w:tabs>
          <w:tab w:val="center" w:pos="4153"/>
          <w:tab w:val="right" w:pos="8306"/>
        </w:tabs>
        <w:spacing w:after="120" w:line="240" w:lineRule="atLeast"/>
        <w:rPr>
          <w:rFonts w:ascii="Arial" w:eastAsiaTheme="minorEastAsia" w:hAnsi="Arial" w:cs="Arial"/>
          <w:sz w:val="24"/>
          <w:szCs w:val="24"/>
        </w:rPr>
      </w:pPr>
      <w:r>
        <w:rPr>
          <w:rFonts w:ascii="Arial" w:eastAsiaTheme="minorEastAsia" w:hAnsi="Arial" w:cs="Arial"/>
          <w:sz w:val="24"/>
          <w:szCs w:val="24"/>
        </w:rPr>
        <w:t>REDACTED</w:t>
      </w:r>
    </w:p>
    <w:p w:rsidR="000B559D" w:rsidRDefault="000B559D">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0B559D" w:rsidRPr="00687C36" w:rsidRDefault="00687C36">
      <w:pPr>
        <w:tabs>
          <w:tab w:val="left" w:pos="2257"/>
        </w:tabs>
        <w:spacing w:after="0" w:line="259" w:lineRule="auto"/>
        <w:rPr>
          <w:rFonts w:ascii="Arial" w:eastAsia="Arial" w:hAnsi="Arial" w:cs="Arial"/>
          <w:sz w:val="24"/>
          <w:szCs w:val="24"/>
        </w:rPr>
      </w:pPr>
      <w:r w:rsidRPr="00687C36">
        <w:rPr>
          <w:rFonts w:ascii="Arial" w:eastAsia="Arial" w:hAnsi="Arial" w:cs="Arial"/>
          <w:sz w:val="24"/>
          <w:szCs w:val="24"/>
        </w:rPr>
        <w:t xml:space="preserve">Fortnightly - Highlight report update meetings (with the Programme Director and MyCO Senior leadership team)  </w:t>
      </w:r>
    </w:p>
    <w:p w:rsidR="000B559D" w:rsidRPr="00687C36" w:rsidRDefault="000B559D">
      <w:pPr>
        <w:tabs>
          <w:tab w:val="left" w:pos="2257"/>
        </w:tabs>
        <w:spacing w:after="0" w:line="259" w:lineRule="auto"/>
        <w:rPr>
          <w:rFonts w:ascii="Arial" w:eastAsia="Arial" w:hAnsi="Arial" w:cs="Arial"/>
          <w:sz w:val="24"/>
          <w:szCs w:val="24"/>
        </w:rPr>
      </w:pPr>
    </w:p>
    <w:p w:rsidR="000B559D" w:rsidRPr="00687C36" w:rsidRDefault="00B451E4">
      <w:pPr>
        <w:tabs>
          <w:tab w:val="left" w:pos="2257"/>
        </w:tabs>
        <w:spacing w:after="0" w:line="259" w:lineRule="auto"/>
        <w:rPr>
          <w:rFonts w:ascii="Arial" w:eastAsia="Arial" w:hAnsi="Arial" w:cs="Arial"/>
          <w:sz w:val="24"/>
          <w:szCs w:val="24"/>
        </w:rPr>
      </w:pPr>
      <w:r w:rsidRPr="00687C36">
        <w:rPr>
          <w:rFonts w:ascii="Arial" w:eastAsia="Arial" w:hAnsi="Arial" w:cs="Arial"/>
          <w:sz w:val="24"/>
          <w:szCs w:val="24"/>
        </w:rPr>
        <w:t>PROGRESS MEETING FREQUENCY</w:t>
      </w:r>
    </w:p>
    <w:p w:rsidR="00687C36" w:rsidRPr="00687C36" w:rsidRDefault="00687C36" w:rsidP="00687C36">
      <w:pPr>
        <w:tabs>
          <w:tab w:val="left" w:pos="2257"/>
        </w:tabs>
        <w:spacing w:after="0" w:line="259" w:lineRule="auto"/>
        <w:rPr>
          <w:rFonts w:ascii="Arial" w:eastAsia="Arial" w:hAnsi="Arial" w:cs="Arial"/>
          <w:sz w:val="24"/>
          <w:szCs w:val="24"/>
        </w:rPr>
      </w:pPr>
      <w:r w:rsidRPr="00687C36">
        <w:rPr>
          <w:rFonts w:ascii="Arial" w:eastAsia="Arial" w:hAnsi="Arial" w:cs="Arial"/>
          <w:sz w:val="24"/>
          <w:szCs w:val="24"/>
        </w:rPr>
        <w:t>Monthly - Progress review and payment authorisation meetings (with the Programme Manager and Head of PMO)</w:t>
      </w:r>
    </w:p>
    <w:p w:rsidR="000B559D" w:rsidRDefault="000B559D">
      <w:pPr>
        <w:tabs>
          <w:tab w:val="left" w:pos="2257"/>
        </w:tabs>
        <w:spacing w:after="0" w:line="259" w:lineRule="auto"/>
        <w:rPr>
          <w:rFonts w:ascii="Arial" w:eastAsia="Arial" w:hAnsi="Arial" w:cs="Arial"/>
          <w:b/>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0B559D" w:rsidRPr="00DE5408" w:rsidRDefault="00C47640" w:rsidP="001A4D15">
      <w:pPr>
        <w:tabs>
          <w:tab w:val="left" w:pos="2257"/>
        </w:tabs>
        <w:spacing w:after="0" w:line="259" w:lineRule="auto"/>
        <w:rPr>
          <w:rFonts w:ascii="Arial" w:eastAsia="Arial" w:hAnsi="Arial" w:cs="Arial"/>
          <w:sz w:val="24"/>
          <w:szCs w:val="24"/>
        </w:rPr>
      </w:pPr>
      <w:r w:rsidRPr="00DE5408">
        <w:rPr>
          <w:rFonts w:ascii="Arial" w:eastAsia="Arial" w:hAnsi="Arial" w:cs="Arial"/>
          <w:sz w:val="24"/>
          <w:szCs w:val="24"/>
        </w:rPr>
        <w:t xml:space="preserve">Buyer: </w:t>
      </w:r>
      <w:r w:rsidR="00952822">
        <w:rPr>
          <w:rFonts w:ascii="Arial" w:eastAsia="Arial" w:hAnsi="Arial" w:cs="Arial"/>
          <w:sz w:val="24"/>
          <w:szCs w:val="24"/>
        </w:rPr>
        <w:t>REDACTED</w:t>
      </w:r>
    </w:p>
    <w:p w:rsidR="00DE5408" w:rsidRPr="00DE5408" w:rsidRDefault="00C47640" w:rsidP="00DE5408">
      <w:pPr>
        <w:tabs>
          <w:tab w:val="center" w:pos="4153"/>
          <w:tab w:val="right" w:pos="8306"/>
        </w:tabs>
        <w:spacing w:after="120" w:line="240" w:lineRule="atLeast"/>
        <w:rPr>
          <w:rFonts w:ascii="Arial" w:eastAsiaTheme="minorEastAsia" w:hAnsi="Arial" w:cs="Arial"/>
          <w:sz w:val="24"/>
          <w:szCs w:val="24"/>
        </w:rPr>
      </w:pPr>
      <w:r w:rsidRPr="00DE5408">
        <w:rPr>
          <w:rFonts w:ascii="Arial" w:eastAsia="Arial" w:hAnsi="Arial" w:cs="Arial"/>
          <w:sz w:val="24"/>
          <w:szCs w:val="24"/>
        </w:rPr>
        <w:t xml:space="preserve">Supplier: </w:t>
      </w:r>
      <w:r w:rsidR="00952822">
        <w:rPr>
          <w:rFonts w:ascii="Arial" w:eastAsiaTheme="minorEastAsia" w:hAnsi="Arial" w:cs="Arial"/>
          <w:sz w:val="24"/>
          <w:szCs w:val="24"/>
        </w:rPr>
        <w:t>REDACTED</w:t>
      </w:r>
    </w:p>
    <w:p w:rsidR="000B559D" w:rsidRDefault="000B559D">
      <w:pPr>
        <w:tabs>
          <w:tab w:val="left" w:pos="2257"/>
        </w:tabs>
        <w:spacing w:after="0" w:line="259" w:lineRule="auto"/>
        <w:rPr>
          <w:rFonts w:ascii="Arial" w:eastAsia="Arial" w:hAnsi="Arial" w:cs="Arial"/>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0B559D" w:rsidRPr="00DE5408" w:rsidRDefault="00DE5408">
      <w:pPr>
        <w:tabs>
          <w:tab w:val="left" w:pos="2257"/>
        </w:tabs>
        <w:spacing w:after="0" w:line="259" w:lineRule="auto"/>
        <w:rPr>
          <w:rFonts w:ascii="Arial" w:eastAsia="Arial" w:hAnsi="Arial" w:cs="Arial"/>
          <w:sz w:val="24"/>
          <w:szCs w:val="24"/>
        </w:rPr>
      </w:pPr>
      <w:r w:rsidRPr="00DE5408">
        <w:rPr>
          <w:rFonts w:ascii="Arial" w:eastAsia="Arial" w:hAnsi="Arial" w:cs="Arial"/>
          <w:sz w:val="24"/>
          <w:szCs w:val="24"/>
        </w:rPr>
        <w:t>Not Applicable</w:t>
      </w:r>
    </w:p>
    <w:p w:rsidR="001A4D15" w:rsidRDefault="001A4D15">
      <w:pPr>
        <w:tabs>
          <w:tab w:val="left" w:pos="2257"/>
        </w:tabs>
        <w:spacing w:after="0" w:line="259" w:lineRule="auto"/>
        <w:rPr>
          <w:rFonts w:ascii="Arial" w:eastAsia="Arial" w:hAnsi="Arial" w:cs="Arial"/>
          <w:b/>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0B559D" w:rsidRPr="00C47640" w:rsidRDefault="00C47640">
      <w:pPr>
        <w:tabs>
          <w:tab w:val="left" w:pos="2257"/>
        </w:tabs>
        <w:spacing w:after="0" w:line="259" w:lineRule="auto"/>
        <w:rPr>
          <w:rFonts w:ascii="Arial" w:eastAsia="Arial" w:hAnsi="Arial" w:cs="Arial"/>
          <w:sz w:val="24"/>
          <w:szCs w:val="24"/>
        </w:rPr>
      </w:pPr>
      <w:r w:rsidRPr="00C47640">
        <w:rPr>
          <w:rFonts w:ascii="Arial" w:eastAsia="Arial" w:hAnsi="Arial" w:cs="Arial"/>
          <w:sz w:val="24"/>
          <w:szCs w:val="24"/>
        </w:rPr>
        <w:t>Not Applicable</w:t>
      </w:r>
    </w:p>
    <w:p w:rsidR="000B559D" w:rsidRDefault="000B559D">
      <w:pPr>
        <w:tabs>
          <w:tab w:val="left" w:pos="2257"/>
        </w:tabs>
        <w:spacing w:after="0" w:line="259" w:lineRule="auto"/>
        <w:rPr>
          <w:rFonts w:ascii="Arial" w:eastAsia="Arial" w:hAnsi="Arial" w:cs="Arial"/>
          <w:b/>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SERVICE CREDITS</w:t>
      </w:r>
    </w:p>
    <w:p w:rsidR="000B559D" w:rsidRDefault="001A4D15">
      <w:pPr>
        <w:tabs>
          <w:tab w:val="left" w:pos="2257"/>
        </w:tabs>
        <w:spacing w:after="0" w:line="259" w:lineRule="auto"/>
        <w:rPr>
          <w:rFonts w:ascii="Arial" w:eastAsia="Arial" w:hAnsi="Arial" w:cs="Arial"/>
          <w:b/>
          <w:sz w:val="24"/>
          <w:szCs w:val="24"/>
        </w:rPr>
      </w:pPr>
      <w:r>
        <w:rPr>
          <w:rFonts w:ascii="Arial" w:eastAsia="Arial" w:hAnsi="Arial" w:cs="Arial"/>
          <w:sz w:val="24"/>
          <w:szCs w:val="24"/>
        </w:rPr>
        <w:t>Not applicable</w:t>
      </w:r>
    </w:p>
    <w:p w:rsidR="000B559D" w:rsidRDefault="000B559D">
      <w:pPr>
        <w:tabs>
          <w:tab w:val="left" w:pos="2257"/>
        </w:tabs>
        <w:spacing w:after="0" w:line="259" w:lineRule="auto"/>
        <w:rPr>
          <w:rFonts w:ascii="Arial" w:eastAsia="Arial" w:hAnsi="Arial" w:cs="Arial"/>
          <w:b/>
          <w:sz w:val="24"/>
          <w:szCs w:val="24"/>
        </w:rPr>
      </w:pP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687C36" w:rsidRDefault="00687C36" w:rsidP="00687C36">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 required in accordance with Joint Schedule 3 (Insurance Requirements</w:t>
      </w:r>
    </w:p>
    <w:p w:rsidR="00687C36" w:rsidRDefault="00687C36" w:rsidP="00687C36">
      <w:pPr>
        <w:spacing w:after="0" w:line="240" w:lineRule="auto"/>
        <w:jc w:val="both"/>
        <w:rPr>
          <w:rFonts w:ascii="Arial" w:eastAsia="Arial" w:hAnsi="Arial" w:cs="Arial"/>
          <w:sz w:val="24"/>
          <w:szCs w:val="24"/>
        </w:rPr>
      </w:pPr>
    </w:p>
    <w:p w:rsidR="00687C36" w:rsidRDefault="00687C36" w:rsidP="00687C36">
      <w:pPr>
        <w:spacing w:after="0" w:line="240" w:lineRule="auto"/>
        <w:jc w:val="both"/>
        <w:rPr>
          <w:rFonts w:ascii="Arial" w:eastAsia="Arial" w:hAnsi="Arial" w:cs="Arial"/>
          <w:sz w:val="24"/>
          <w:szCs w:val="24"/>
        </w:rPr>
      </w:pPr>
      <w:r>
        <w:rPr>
          <w:rFonts w:ascii="Arial" w:eastAsia="Arial" w:hAnsi="Arial" w:cs="Arial"/>
          <w:sz w:val="24"/>
          <w:szCs w:val="24"/>
        </w:rPr>
        <w:t>The insurance(s) required will be:</w:t>
      </w:r>
    </w:p>
    <w:p w:rsidR="00687C36" w:rsidRDefault="00687C36" w:rsidP="00687C36">
      <w:pPr>
        <w:spacing w:after="0" w:line="240" w:lineRule="auto"/>
        <w:jc w:val="both"/>
        <w:rPr>
          <w:rFonts w:ascii="Arial" w:eastAsia="Arial" w:hAnsi="Arial" w:cs="Arial"/>
          <w:sz w:val="24"/>
          <w:szCs w:val="24"/>
        </w:rPr>
      </w:pPr>
    </w:p>
    <w:p w:rsidR="00687C36" w:rsidRDefault="00687C36" w:rsidP="00687C36">
      <w:pPr>
        <w:spacing w:after="0" w:line="240" w:lineRule="auto"/>
        <w:jc w:val="both"/>
        <w:rPr>
          <w:rFonts w:ascii="Arial" w:eastAsia="Arial" w:hAnsi="Arial" w:cs="Arial"/>
          <w:sz w:val="24"/>
          <w:szCs w:val="24"/>
        </w:rPr>
      </w:pPr>
      <w:r>
        <w:rPr>
          <w:rFonts w:ascii="Arial" w:eastAsia="Arial" w:hAnsi="Arial" w:cs="Arial"/>
          <w:sz w:val="24"/>
          <w:szCs w:val="24"/>
        </w:rPr>
        <w:t>● a minimum insurance period of 6 years following the expiration or Ending of this Call-Off Contract.</w:t>
      </w:r>
    </w:p>
    <w:p w:rsidR="00687C36" w:rsidRDefault="00687C36" w:rsidP="00687C36">
      <w:pPr>
        <w:spacing w:after="0" w:line="240" w:lineRule="auto"/>
        <w:jc w:val="both"/>
        <w:rPr>
          <w:rFonts w:ascii="Arial" w:eastAsia="Arial" w:hAnsi="Arial" w:cs="Arial"/>
          <w:sz w:val="24"/>
          <w:szCs w:val="24"/>
        </w:rPr>
      </w:pPr>
      <w:r>
        <w:rPr>
          <w:rFonts w:ascii="Arial" w:eastAsia="Arial" w:hAnsi="Arial" w:cs="Arial"/>
          <w:sz w:val="24"/>
          <w:szCs w:val="24"/>
        </w:rPr>
        <w:t>● professional indemnity insurance cover to be held by the Supplier and by any agent, Subcontractor or consultant involved in the supply of  Services. This professional indemnity insurance cover will have a minimum limit of indemnity of £1,000,000 for each individual claim or any higher limit the Buyer requires (and as required by Law).</w:t>
      </w:r>
    </w:p>
    <w:p w:rsidR="00687C36" w:rsidRDefault="00687C36" w:rsidP="00687C36">
      <w:pPr>
        <w:spacing w:after="0" w:line="240" w:lineRule="auto"/>
        <w:jc w:val="both"/>
        <w:rPr>
          <w:rFonts w:ascii="Arial" w:eastAsia="Arial" w:hAnsi="Arial" w:cs="Arial"/>
          <w:sz w:val="24"/>
          <w:szCs w:val="24"/>
        </w:rPr>
      </w:pPr>
      <w:r>
        <w:rPr>
          <w:rFonts w:ascii="Arial" w:eastAsia="Arial" w:hAnsi="Arial" w:cs="Arial"/>
          <w:sz w:val="24"/>
          <w:szCs w:val="24"/>
        </w:rPr>
        <w:t>● employers' liability insurance with a minimum limit of £5,000,000 or any higher minimum limit required by Law</w:t>
      </w:r>
    </w:p>
    <w:p w:rsidR="000B559D" w:rsidRDefault="000B559D">
      <w:pPr>
        <w:spacing w:after="0" w:line="240" w:lineRule="auto"/>
        <w:jc w:val="both"/>
        <w:rPr>
          <w:rFonts w:ascii="Arial" w:eastAsia="Arial" w:hAnsi="Arial" w:cs="Arial"/>
          <w:sz w:val="24"/>
          <w:szCs w:val="24"/>
        </w:rPr>
      </w:pPr>
    </w:p>
    <w:p w:rsidR="00E924BC" w:rsidRDefault="00B451E4" w:rsidP="00E924BC">
      <w:pPr>
        <w:spacing w:after="0" w:line="240" w:lineRule="auto"/>
        <w:jc w:val="both"/>
        <w:rPr>
          <w:rFonts w:ascii="Arial" w:eastAsia="Arial" w:hAnsi="Arial" w:cs="Arial"/>
          <w:sz w:val="24"/>
          <w:szCs w:val="24"/>
        </w:rPr>
      </w:pPr>
      <w:r>
        <w:rPr>
          <w:rFonts w:ascii="Arial" w:eastAsia="Arial" w:hAnsi="Arial" w:cs="Arial"/>
          <w:sz w:val="24"/>
          <w:szCs w:val="24"/>
        </w:rPr>
        <w:t>GUARANTEE</w:t>
      </w:r>
    </w:p>
    <w:p w:rsidR="000B559D" w:rsidRDefault="00B451E4">
      <w:pPr>
        <w:tabs>
          <w:tab w:val="left" w:pos="2257"/>
        </w:tabs>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Call-Off Contracts enter</w:t>
      </w:r>
      <w:r w:rsidR="00E924BC">
        <w:rPr>
          <w:rFonts w:ascii="Arial" w:eastAsia="Arial" w:hAnsi="Arial" w:cs="Arial"/>
          <w:sz w:val="24"/>
          <w:szCs w:val="24"/>
        </w:rPr>
        <w:t>ed under the Framework Contract.</w:t>
      </w:r>
    </w:p>
    <w:p w:rsidR="000B559D" w:rsidRDefault="000B559D">
      <w:pPr>
        <w:spacing w:after="0" w:line="259" w:lineRule="auto"/>
        <w:rPr>
          <w:rFonts w:ascii="Arial" w:eastAsia="Arial" w:hAnsi="Arial" w:cs="Arial"/>
          <w:b/>
          <w:sz w:val="24"/>
          <w:szCs w:val="24"/>
          <w:highlight w:val="yellow"/>
        </w:rPr>
      </w:pPr>
    </w:p>
    <w:p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0B559D" w:rsidRDefault="00B451E4">
      <w:pPr>
        <w:spacing w:after="0" w:line="240" w:lineRule="auto"/>
        <w:jc w:val="both"/>
        <w:rPr>
          <w:rFonts w:ascii="Arial" w:eastAsia="Arial" w:hAnsi="Arial" w:cs="Arial"/>
          <w:sz w:val="24"/>
          <w:szCs w:val="24"/>
        </w:rPr>
      </w:pPr>
      <w:r>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w:t>
      </w:r>
      <w:r w:rsidR="00E924BC">
        <w:rPr>
          <w:rFonts w:ascii="Arial" w:eastAsia="Arial" w:hAnsi="Arial" w:cs="Arial"/>
          <w:sz w:val="24"/>
          <w:szCs w:val="24"/>
        </w:rPr>
        <w:t xml:space="preserve"> Tender)</w:t>
      </w:r>
    </w:p>
    <w:p w:rsidR="000B559D" w:rsidRDefault="000B559D">
      <w:pPr>
        <w:spacing w:after="240"/>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0B559D" w:rsidTr="000B5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0B559D" w:rsidRDefault="00B451E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0B559D" w:rsidRDefault="00B451E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0B559D" w:rsidTr="000B5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0B559D" w:rsidRDefault="0095282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0B559D" w:rsidRDefault="00952822">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0B559D" w:rsidTr="000B559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0B559D" w:rsidRDefault="0095282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0B559D" w:rsidRDefault="00952822">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0B559D" w:rsidTr="000B559D">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0B559D" w:rsidRDefault="000B559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0B559D" w:rsidTr="000B559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0B559D" w:rsidRDefault="00B451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0B559D" w:rsidRDefault="00B451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0B559D" w:rsidRDefault="000B559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0B559D" w:rsidRDefault="000B559D">
      <w:pPr>
        <w:tabs>
          <w:tab w:val="left" w:pos="2257"/>
        </w:tabs>
        <w:spacing w:after="0" w:line="259" w:lineRule="auto"/>
      </w:pPr>
    </w:p>
    <w:sectPr w:rsidR="000B559D">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C8" w:rsidRDefault="009744C8">
      <w:pPr>
        <w:spacing w:after="0" w:line="240" w:lineRule="auto"/>
      </w:pPr>
      <w:r>
        <w:separator/>
      </w:r>
    </w:p>
  </w:endnote>
  <w:endnote w:type="continuationSeparator" w:id="0">
    <w:p w:rsidR="009744C8" w:rsidRDefault="0097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4" w:rsidRDefault="00D3124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RM6193</w:t>
    </w:r>
    <w:r w:rsidR="00B451E4">
      <w:rPr>
        <w:rFonts w:ascii="Arial" w:eastAsia="Arial" w:hAnsi="Arial" w:cs="Arial"/>
        <w:sz w:val="20"/>
        <w:szCs w:val="20"/>
      </w:rPr>
      <w:tab/>
      <w:t xml:space="preserve">                                           </w:t>
    </w:r>
  </w:p>
  <w:p w:rsidR="00B451E4" w:rsidRDefault="00B451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21001">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B451E4" w:rsidRDefault="00B451E4">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4" w:rsidRDefault="00B451E4">
    <w:pPr>
      <w:tabs>
        <w:tab w:val="center" w:pos="4513"/>
        <w:tab w:val="right" w:pos="9026"/>
      </w:tabs>
      <w:spacing w:after="0"/>
      <w:jc w:val="both"/>
      <w:rPr>
        <w:color w:val="A6A6A6"/>
      </w:rPr>
    </w:pPr>
  </w:p>
  <w:p w:rsidR="00B451E4" w:rsidRDefault="00B451E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B451E4" w:rsidRDefault="00B451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B451E4" w:rsidRDefault="00B451E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C8" w:rsidRDefault="009744C8">
      <w:pPr>
        <w:spacing w:after="0" w:line="240" w:lineRule="auto"/>
      </w:pPr>
      <w:r>
        <w:separator/>
      </w:r>
    </w:p>
  </w:footnote>
  <w:footnote w:type="continuationSeparator" w:id="0">
    <w:p w:rsidR="009744C8" w:rsidRDefault="0097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4" w:rsidRDefault="00B451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w:t>
    </w:r>
    <w:r w:rsidR="00C47640">
      <w:rPr>
        <w:rFonts w:ascii="Arial" w:eastAsia="Arial" w:hAnsi="Arial" w:cs="Arial"/>
        <w:b/>
        <w:color w:val="000000"/>
        <w:sz w:val="20"/>
        <w:szCs w:val="20"/>
      </w:rPr>
      <w:t xml:space="preserve"> Schedule 6 (Order Form</w:t>
    </w:r>
    <w:r>
      <w:rPr>
        <w:rFonts w:ascii="Arial" w:eastAsia="Arial" w:hAnsi="Arial" w:cs="Arial"/>
        <w:b/>
        <w:color w:val="000000"/>
        <w:sz w:val="20"/>
        <w:szCs w:val="20"/>
      </w:rPr>
      <w:t xml:space="preserve"> and Call-Off Schedules)</w:t>
    </w:r>
  </w:p>
  <w:p w:rsidR="00B451E4" w:rsidRDefault="00B451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4" w:rsidRDefault="00B451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B451E4" w:rsidRDefault="00B451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0589"/>
    <w:multiLevelType w:val="multilevel"/>
    <w:tmpl w:val="1B76079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2D3A92"/>
    <w:multiLevelType w:val="multilevel"/>
    <w:tmpl w:val="699A9D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46DF272B"/>
    <w:multiLevelType w:val="multilevel"/>
    <w:tmpl w:val="AEC8CD6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9E80671"/>
    <w:multiLevelType w:val="multilevel"/>
    <w:tmpl w:val="B9C66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9D"/>
    <w:rsid w:val="000033DA"/>
    <w:rsid w:val="000272EF"/>
    <w:rsid w:val="00047922"/>
    <w:rsid w:val="00067DAB"/>
    <w:rsid w:val="000A61DD"/>
    <w:rsid w:val="000B18FB"/>
    <w:rsid w:val="000B559D"/>
    <w:rsid w:val="000F3D59"/>
    <w:rsid w:val="001A4D15"/>
    <w:rsid w:val="0027630D"/>
    <w:rsid w:val="002A4DAC"/>
    <w:rsid w:val="002E3DFD"/>
    <w:rsid w:val="00321001"/>
    <w:rsid w:val="00322F20"/>
    <w:rsid w:val="00337D96"/>
    <w:rsid w:val="003964FE"/>
    <w:rsid w:val="003F477B"/>
    <w:rsid w:val="00506F74"/>
    <w:rsid w:val="00582B35"/>
    <w:rsid w:val="00621273"/>
    <w:rsid w:val="0063471D"/>
    <w:rsid w:val="00655B76"/>
    <w:rsid w:val="00680A93"/>
    <w:rsid w:val="00687C36"/>
    <w:rsid w:val="007443A4"/>
    <w:rsid w:val="007743EA"/>
    <w:rsid w:val="007B757A"/>
    <w:rsid w:val="00855A87"/>
    <w:rsid w:val="00952822"/>
    <w:rsid w:val="00954ECA"/>
    <w:rsid w:val="009744C8"/>
    <w:rsid w:val="009E1996"/>
    <w:rsid w:val="00A339B5"/>
    <w:rsid w:val="00A50CB8"/>
    <w:rsid w:val="00AA41E7"/>
    <w:rsid w:val="00AD62C2"/>
    <w:rsid w:val="00AF2415"/>
    <w:rsid w:val="00B237F1"/>
    <w:rsid w:val="00B451E4"/>
    <w:rsid w:val="00B46214"/>
    <w:rsid w:val="00B643F6"/>
    <w:rsid w:val="00B9707B"/>
    <w:rsid w:val="00C47640"/>
    <w:rsid w:val="00CE2540"/>
    <w:rsid w:val="00CF4D8F"/>
    <w:rsid w:val="00D258B3"/>
    <w:rsid w:val="00D310E6"/>
    <w:rsid w:val="00D31243"/>
    <w:rsid w:val="00D349DF"/>
    <w:rsid w:val="00D37106"/>
    <w:rsid w:val="00DE5408"/>
    <w:rsid w:val="00DF2A59"/>
    <w:rsid w:val="00E205BA"/>
    <w:rsid w:val="00E6219D"/>
    <w:rsid w:val="00E7762F"/>
    <w:rsid w:val="00E924BC"/>
    <w:rsid w:val="00EB3F9C"/>
    <w:rsid w:val="00EF54AC"/>
    <w:rsid w:val="00F01FA5"/>
    <w:rsid w:val="00F64B9F"/>
    <w:rsid w:val="00F94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F0AA7"/>
  <w15:docId w15:val="{BF9815CB-DB83-4219-9393-899FAFB2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Awt38XgXjWERimU7UBpa5bPwUA==">AMUW2mU5Ty0Dvw4W1JZj5KiyqgVqg9x7g3y5/FCwFxCpj90q9ML7iLEJ4Rou1ClGnY7oslKYgCGuYosr1auGCbyo3YOE7tKoSOpHDtHEOf5+RWi8ncWiZKj+B9GzHctux6t29jihbkhv/7TqwgnHgbnOw3XEPY2bZA==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Nick Williams</cp:lastModifiedBy>
  <cp:revision>4</cp:revision>
  <dcterms:created xsi:type="dcterms:W3CDTF">2021-11-16T09:16:00Z</dcterms:created>
  <dcterms:modified xsi:type="dcterms:W3CDTF">2021-11-26T08:41:00Z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