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7F" w:rsidRDefault="00FA41D6" w:rsidP="00FA41D6">
      <w:pPr>
        <w:spacing w:after="0"/>
        <w:jc w:val="center"/>
        <w:rPr>
          <w:b/>
        </w:rPr>
      </w:pPr>
      <w:r>
        <w:rPr>
          <w:b/>
        </w:rPr>
        <w:t>Tender For Housing Services (Homelessness, Housing advice and Choice Based Lettings)</w:t>
      </w:r>
    </w:p>
    <w:p w:rsidR="00FA41D6" w:rsidRDefault="00FA41D6" w:rsidP="00FA41D6">
      <w:pPr>
        <w:spacing w:after="0"/>
        <w:jc w:val="center"/>
      </w:pPr>
    </w:p>
    <w:p w:rsidR="00FA41D6" w:rsidRDefault="00FA41D6" w:rsidP="00FA41D6">
      <w:pPr>
        <w:spacing w:after="0"/>
        <w:jc w:val="both"/>
      </w:pPr>
      <w:r>
        <w:t xml:space="preserve">The PIN has been issued ahead of a proposed procurement of the above named service by East Northamptonshire Council. There is potential for Borough Council Wellingborough to join this procurement although that decision has yet to be finalised. </w:t>
      </w:r>
    </w:p>
    <w:p w:rsidR="00FA41D6" w:rsidRDefault="00FA41D6" w:rsidP="00FA41D6">
      <w:pPr>
        <w:spacing w:after="0"/>
        <w:jc w:val="both"/>
      </w:pPr>
    </w:p>
    <w:p w:rsidR="00FA41D6" w:rsidRDefault="00FA41D6" w:rsidP="00FA41D6">
      <w:pPr>
        <w:spacing w:after="0"/>
        <w:jc w:val="both"/>
      </w:pPr>
      <w:r>
        <w:t xml:space="preserve">The detailed specification for the service is still being developed but in the meantime the Councils have some areas where they would appreciate information and input from the market. Please be aware that the information you provide may be used in finalising procurement documentation but there will be no advantage (intended or actual) for those who have responded to this PIN and no disadvantage (intended or actual) for those who haven’t in the final procurement process. </w:t>
      </w:r>
    </w:p>
    <w:p w:rsidR="00FA41D6" w:rsidRDefault="00FA41D6" w:rsidP="00FA41D6">
      <w:pPr>
        <w:spacing w:after="0"/>
        <w:jc w:val="both"/>
      </w:pPr>
    </w:p>
    <w:p w:rsidR="00FA41D6" w:rsidRPr="009F5F85" w:rsidRDefault="00FA41D6" w:rsidP="00FA41D6">
      <w:pPr>
        <w:spacing w:after="0"/>
        <w:jc w:val="both"/>
      </w:pPr>
      <w:r w:rsidRPr="009F5F85">
        <w:t>The current contract for East Northamptonshir</w:t>
      </w:r>
      <w:r w:rsidR="00ED74DD" w:rsidRPr="009F5F85">
        <w:t xml:space="preserve">e covers </w:t>
      </w:r>
      <w:r w:rsidRPr="009F5F85">
        <w:t>the following volume of work</w:t>
      </w:r>
      <w:r w:rsidR="00ED74DD" w:rsidRPr="009F5F85">
        <w:t xml:space="preserve"> during 2017</w:t>
      </w:r>
      <w:r w:rsidRPr="009F5F85">
        <w:t>:</w:t>
      </w:r>
    </w:p>
    <w:p w:rsidR="00ED74DD" w:rsidRPr="009F5F85" w:rsidRDefault="00FA41D6" w:rsidP="00ED74DD">
      <w:pPr>
        <w:pStyle w:val="ListParagraph"/>
        <w:numPr>
          <w:ilvl w:val="0"/>
          <w:numId w:val="1"/>
        </w:numPr>
        <w:spacing w:after="0"/>
        <w:jc w:val="both"/>
      </w:pPr>
      <w:r w:rsidRPr="009F5F85">
        <w:t xml:space="preserve"> </w:t>
      </w:r>
      <w:r w:rsidR="00ED74DD" w:rsidRPr="009F5F85">
        <w:t xml:space="preserve">157 </w:t>
      </w:r>
      <w:r w:rsidRPr="009F5F85">
        <w:t>homeless applications</w:t>
      </w:r>
      <w:r w:rsidR="00ED74DD" w:rsidRPr="009F5F85">
        <w:t xml:space="preserve"> of which 78 were accepted as owed the full duty</w:t>
      </w:r>
    </w:p>
    <w:p w:rsidR="00ED74DD" w:rsidRPr="009F5F85" w:rsidRDefault="00ED74DD" w:rsidP="00FA41D6">
      <w:pPr>
        <w:pStyle w:val="ListParagraph"/>
        <w:numPr>
          <w:ilvl w:val="0"/>
          <w:numId w:val="1"/>
        </w:numPr>
        <w:spacing w:after="0"/>
        <w:jc w:val="both"/>
      </w:pPr>
      <w:r w:rsidRPr="009F5F85">
        <w:t>286 homelessness preventions</w:t>
      </w:r>
    </w:p>
    <w:p w:rsidR="00FA41D6" w:rsidRPr="009F5F85" w:rsidRDefault="00ED74DD" w:rsidP="00FA41D6">
      <w:pPr>
        <w:pStyle w:val="ListParagraph"/>
        <w:numPr>
          <w:ilvl w:val="0"/>
          <w:numId w:val="1"/>
        </w:numPr>
        <w:spacing w:after="0"/>
        <w:jc w:val="both"/>
      </w:pPr>
      <w:r w:rsidRPr="009F5F85">
        <w:t>1</w:t>
      </w:r>
      <w:r w:rsidR="009F5F85">
        <w:t>,</w:t>
      </w:r>
      <w:r w:rsidRPr="009F5F85">
        <w:t>397</w:t>
      </w:r>
      <w:r w:rsidR="00FA41D6" w:rsidRPr="009F5F85">
        <w:t xml:space="preserve"> housing advice cases</w:t>
      </w:r>
    </w:p>
    <w:p w:rsidR="009F5F85" w:rsidRPr="009F5F85" w:rsidRDefault="00ED74DD" w:rsidP="00FA41D6">
      <w:pPr>
        <w:pStyle w:val="ListParagraph"/>
        <w:numPr>
          <w:ilvl w:val="0"/>
          <w:numId w:val="1"/>
        </w:numPr>
        <w:spacing w:after="0"/>
        <w:jc w:val="both"/>
        <w:rPr>
          <w:u w:val="single"/>
        </w:rPr>
      </w:pPr>
      <w:r w:rsidRPr="009F5F85">
        <w:t>315 properties advertised and nominated to throu</w:t>
      </w:r>
      <w:r w:rsidR="009F5F85">
        <w:t>gh Choice Based Lettings</w:t>
      </w:r>
      <w:r w:rsidRPr="009F5F85">
        <w:t xml:space="preserve"> </w:t>
      </w:r>
    </w:p>
    <w:p w:rsidR="009F5F85" w:rsidRDefault="009F5F85" w:rsidP="00E151F5">
      <w:pPr>
        <w:spacing w:after="0"/>
        <w:jc w:val="both"/>
        <w:rPr>
          <w:u w:val="single"/>
        </w:rPr>
      </w:pPr>
    </w:p>
    <w:p w:rsidR="00E151F5" w:rsidRPr="00E151F5" w:rsidRDefault="00E151F5" w:rsidP="00E151F5">
      <w:pPr>
        <w:spacing w:after="0"/>
        <w:jc w:val="both"/>
      </w:pPr>
      <w:r>
        <w:t>This work is covered by 6.6 FTE members of staff.</w:t>
      </w:r>
    </w:p>
    <w:p w:rsidR="00E151F5" w:rsidRPr="00E151F5" w:rsidRDefault="00E151F5" w:rsidP="00E151F5">
      <w:pPr>
        <w:spacing w:after="0"/>
        <w:jc w:val="both"/>
        <w:rPr>
          <w:u w:val="single"/>
        </w:rPr>
      </w:pPr>
    </w:p>
    <w:p w:rsidR="003E0B85" w:rsidRDefault="009F5F85" w:rsidP="003E0B85">
      <w:pPr>
        <w:widowControl w:val="0"/>
        <w:spacing w:after="0" w:line="240" w:lineRule="auto"/>
        <w:rPr>
          <w:rFonts w:ascii="Arial" w:eastAsia="Times New Roman" w:hAnsi="Arial" w:cs="Times New Roman"/>
          <w:snapToGrid w:val="0"/>
          <w:sz w:val="24"/>
          <w:szCs w:val="20"/>
          <w:u w:val="single"/>
          <w:lang w:val="en-US"/>
        </w:rPr>
      </w:pPr>
      <w:r w:rsidRPr="009F5F85">
        <w:t xml:space="preserve">The current contract for </w:t>
      </w:r>
      <w:r>
        <w:t>Borough Council Wellingborough</w:t>
      </w:r>
      <w:r w:rsidRPr="009F5F85">
        <w:t xml:space="preserve"> covers the following volume of work during 2017</w:t>
      </w:r>
      <w:r>
        <w:t>/18:</w:t>
      </w:r>
    </w:p>
    <w:p w:rsidR="00872D58" w:rsidRPr="003346AD" w:rsidRDefault="00872D58" w:rsidP="003E0B85">
      <w:pPr>
        <w:widowControl w:val="0"/>
        <w:spacing w:after="0" w:line="240" w:lineRule="auto"/>
        <w:rPr>
          <w:rFonts w:ascii="Arial" w:eastAsia="Times New Roman" w:hAnsi="Arial" w:cs="Times New Roman"/>
          <w:snapToGrid w:val="0"/>
          <w:sz w:val="24"/>
          <w:szCs w:val="20"/>
          <w:u w:val="single"/>
          <w:lang w:val="en-US"/>
        </w:rPr>
      </w:pPr>
    </w:p>
    <w:tbl>
      <w:tblPr>
        <w:tblStyle w:val="TableGrid1"/>
        <w:tblW w:w="0" w:type="auto"/>
        <w:tblInd w:w="108" w:type="dxa"/>
        <w:tblLayout w:type="fixed"/>
        <w:tblLook w:val="04A0" w:firstRow="1" w:lastRow="0" w:firstColumn="1" w:lastColumn="0" w:noHBand="0" w:noVBand="1"/>
      </w:tblPr>
      <w:tblGrid>
        <w:gridCol w:w="10065"/>
        <w:gridCol w:w="1275"/>
      </w:tblGrid>
      <w:tr w:rsidR="003E0B85" w:rsidRPr="003346AD" w:rsidTr="00E151F5">
        <w:tc>
          <w:tcPr>
            <w:tcW w:w="10065" w:type="dxa"/>
            <w:shd w:val="clear" w:color="auto" w:fill="EEECE1" w:themeFill="background2"/>
          </w:tcPr>
          <w:p w:rsidR="003E0B85" w:rsidRPr="003346AD" w:rsidRDefault="003E0B85" w:rsidP="009F5F85">
            <w:pPr>
              <w:contextualSpacing/>
              <w:rPr>
                <w:rFonts w:ascii="Arial" w:hAnsi="Arial" w:cs="Arial"/>
                <w:b/>
                <w:sz w:val="24"/>
              </w:rPr>
            </w:pPr>
            <w:r>
              <w:rPr>
                <w:rFonts w:ascii="Arial" w:hAnsi="Arial" w:cs="Arial"/>
                <w:b/>
                <w:sz w:val="24"/>
              </w:rPr>
              <w:t>2017/18</w:t>
            </w:r>
            <w:r w:rsidR="00DE6999">
              <w:rPr>
                <w:rFonts w:ascii="Arial" w:hAnsi="Arial" w:cs="Arial"/>
                <w:b/>
                <w:sz w:val="24"/>
              </w:rPr>
              <w:t xml:space="preserve"> data</w:t>
            </w:r>
            <w:r w:rsidR="00CE3347">
              <w:rPr>
                <w:rFonts w:ascii="Arial" w:hAnsi="Arial" w:cs="Arial"/>
                <w:b/>
                <w:sz w:val="24"/>
              </w:rPr>
              <w:t xml:space="preserve"> for BCW</w:t>
            </w:r>
          </w:p>
        </w:tc>
        <w:tc>
          <w:tcPr>
            <w:tcW w:w="1275" w:type="dxa"/>
            <w:shd w:val="clear" w:color="auto" w:fill="EEECE1" w:themeFill="background2"/>
          </w:tcPr>
          <w:p w:rsidR="003E0B85" w:rsidRPr="003346AD" w:rsidRDefault="003E0B85" w:rsidP="003E0B85">
            <w:pPr>
              <w:contextualSpacing/>
              <w:rPr>
                <w:rFonts w:ascii="Arial" w:hAnsi="Arial" w:cs="Arial"/>
                <w:b/>
                <w:sz w:val="24"/>
              </w:rPr>
            </w:pPr>
          </w:p>
        </w:tc>
      </w:tr>
      <w:tr w:rsidR="003E0B85" w:rsidRPr="003346AD" w:rsidTr="00E151F5">
        <w:tc>
          <w:tcPr>
            <w:tcW w:w="10065" w:type="dxa"/>
          </w:tcPr>
          <w:p w:rsidR="003E0B85" w:rsidRPr="003346AD" w:rsidRDefault="003E0B85" w:rsidP="002F51B9">
            <w:pPr>
              <w:contextualSpacing/>
              <w:rPr>
                <w:rFonts w:ascii="Arial" w:hAnsi="Arial" w:cs="Arial"/>
                <w:sz w:val="24"/>
              </w:rPr>
            </w:pPr>
            <w:r w:rsidRPr="003346AD">
              <w:rPr>
                <w:rFonts w:ascii="Arial" w:hAnsi="Arial" w:cs="Arial"/>
                <w:sz w:val="24"/>
              </w:rPr>
              <w:t xml:space="preserve">Homeless applications </w:t>
            </w:r>
          </w:p>
        </w:tc>
        <w:tc>
          <w:tcPr>
            <w:tcW w:w="1275" w:type="dxa"/>
          </w:tcPr>
          <w:p w:rsidR="003E0B85" w:rsidRPr="003346AD" w:rsidRDefault="003E0B85" w:rsidP="002F51B9">
            <w:pPr>
              <w:contextualSpacing/>
              <w:jc w:val="center"/>
              <w:rPr>
                <w:rFonts w:ascii="Arial" w:hAnsi="Arial" w:cs="Arial"/>
                <w:sz w:val="24"/>
              </w:rPr>
            </w:pPr>
            <w:r>
              <w:rPr>
                <w:rFonts w:ascii="Arial" w:hAnsi="Arial" w:cs="Arial"/>
                <w:sz w:val="24"/>
              </w:rPr>
              <w:t>306</w:t>
            </w:r>
          </w:p>
        </w:tc>
      </w:tr>
      <w:tr w:rsidR="003E0B85" w:rsidRPr="003346AD" w:rsidTr="00E151F5">
        <w:trPr>
          <w:trHeight w:val="335"/>
        </w:trPr>
        <w:tc>
          <w:tcPr>
            <w:tcW w:w="10065" w:type="dxa"/>
          </w:tcPr>
          <w:p w:rsidR="003E0B85" w:rsidRPr="003346AD" w:rsidRDefault="003E0B85" w:rsidP="002F51B9">
            <w:pPr>
              <w:contextualSpacing/>
              <w:rPr>
                <w:rFonts w:ascii="Arial" w:hAnsi="Arial" w:cs="Arial"/>
                <w:sz w:val="24"/>
              </w:rPr>
            </w:pPr>
            <w:r w:rsidRPr="003346AD">
              <w:rPr>
                <w:rFonts w:ascii="Arial" w:hAnsi="Arial" w:cs="Arial"/>
                <w:sz w:val="24"/>
              </w:rPr>
              <w:t>Homeless acceptances</w:t>
            </w:r>
          </w:p>
        </w:tc>
        <w:tc>
          <w:tcPr>
            <w:tcW w:w="1275" w:type="dxa"/>
          </w:tcPr>
          <w:p w:rsidR="003E0B85" w:rsidRPr="003346AD" w:rsidRDefault="003E0B85" w:rsidP="002F51B9">
            <w:pPr>
              <w:contextualSpacing/>
              <w:jc w:val="center"/>
              <w:rPr>
                <w:rFonts w:ascii="Arial" w:hAnsi="Arial" w:cs="Arial"/>
                <w:sz w:val="24"/>
              </w:rPr>
            </w:pPr>
            <w:r w:rsidRPr="003346AD">
              <w:rPr>
                <w:rFonts w:ascii="Arial" w:hAnsi="Arial" w:cs="Arial"/>
                <w:sz w:val="24"/>
              </w:rPr>
              <w:t>2</w:t>
            </w:r>
            <w:r>
              <w:rPr>
                <w:rFonts w:ascii="Arial" w:hAnsi="Arial" w:cs="Arial"/>
                <w:sz w:val="24"/>
              </w:rPr>
              <w:t>13</w:t>
            </w:r>
          </w:p>
        </w:tc>
      </w:tr>
      <w:tr w:rsidR="003E0B85" w:rsidRPr="003346AD" w:rsidTr="00E151F5">
        <w:tc>
          <w:tcPr>
            <w:tcW w:w="10065" w:type="dxa"/>
          </w:tcPr>
          <w:p w:rsidR="003E0B85" w:rsidRPr="003346AD" w:rsidRDefault="003E0B85" w:rsidP="002F51B9">
            <w:pPr>
              <w:contextualSpacing/>
              <w:rPr>
                <w:rFonts w:ascii="Arial" w:hAnsi="Arial" w:cs="Arial"/>
                <w:sz w:val="24"/>
              </w:rPr>
            </w:pPr>
            <w:r w:rsidRPr="003346AD">
              <w:rPr>
                <w:rFonts w:ascii="Arial" w:hAnsi="Arial" w:cs="Arial"/>
                <w:sz w:val="24"/>
              </w:rPr>
              <w:t xml:space="preserve">Use of temporary accommodation (total number of placements by household) </w:t>
            </w:r>
          </w:p>
        </w:tc>
        <w:tc>
          <w:tcPr>
            <w:tcW w:w="1275" w:type="dxa"/>
          </w:tcPr>
          <w:p w:rsidR="003E0B85" w:rsidRPr="003346AD" w:rsidRDefault="003E0B85" w:rsidP="002F51B9">
            <w:pPr>
              <w:contextualSpacing/>
              <w:jc w:val="center"/>
              <w:rPr>
                <w:rFonts w:ascii="Arial" w:hAnsi="Arial" w:cs="Arial"/>
                <w:sz w:val="24"/>
              </w:rPr>
            </w:pPr>
            <w:r w:rsidRPr="003346AD">
              <w:rPr>
                <w:rFonts w:ascii="Arial" w:hAnsi="Arial" w:cs="Arial"/>
                <w:sz w:val="24"/>
              </w:rPr>
              <w:t>271</w:t>
            </w:r>
          </w:p>
        </w:tc>
      </w:tr>
      <w:tr w:rsidR="003E0B85" w:rsidRPr="003346AD" w:rsidTr="00E151F5">
        <w:tc>
          <w:tcPr>
            <w:tcW w:w="10065" w:type="dxa"/>
          </w:tcPr>
          <w:p w:rsidR="003E0B85" w:rsidRPr="003346AD" w:rsidRDefault="003E0B85" w:rsidP="002F51B9">
            <w:pPr>
              <w:contextualSpacing/>
              <w:rPr>
                <w:rFonts w:ascii="Arial" w:hAnsi="Arial" w:cs="Arial"/>
                <w:sz w:val="24"/>
              </w:rPr>
            </w:pPr>
            <w:r w:rsidRPr="003346AD">
              <w:rPr>
                <w:rFonts w:ascii="Arial" w:hAnsi="Arial" w:cs="Arial"/>
                <w:sz w:val="24"/>
              </w:rPr>
              <w:t xml:space="preserve">Average length of stay in emergency and temporary accommodation (days) </w:t>
            </w:r>
          </w:p>
        </w:tc>
        <w:tc>
          <w:tcPr>
            <w:tcW w:w="1275" w:type="dxa"/>
          </w:tcPr>
          <w:p w:rsidR="003E0B85" w:rsidRPr="003346AD" w:rsidRDefault="003E0B85" w:rsidP="002F51B9">
            <w:pPr>
              <w:contextualSpacing/>
              <w:jc w:val="center"/>
              <w:rPr>
                <w:rFonts w:ascii="Arial" w:hAnsi="Arial" w:cs="Arial"/>
                <w:sz w:val="24"/>
              </w:rPr>
            </w:pPr>
            <w:r w:rsidRPr="003346AD">
              <w:rPr>
                <w:rFonts w:ascii="Arial" w:hAnsi="Arial" w:cs="Arial"/>
                <w:sz w:val="24"/>
              </w:rPr>
              <w:t>62</w:t>
            </w:r>
          </w:p>
        </w:tc>
      </w:tr>
      <w:tr w:rsidR="003E0B85" w:rsidRPr="003346AD" w:rsidTr="00E151F5">
        <w:tc>
          <w:tcPr>
            <w:tcW w:w="10065" w:type="dxa"/>
          </w:tcPr>
          <w:p w:rsidR="003E0B85" w:rsidRPr="003346AD" w:rsidRDefault="003E0B85" w:rsidP="00252C69">
            <w:pPr>
              <w:contextualSpacing/>
              <w:rPr>
                <w:rFonts w:ascii="Arial" w:hAnsi="Arial" w:cs="Arial"/>
                <w:sz w:val="24"/>
              </w:rPr>
            </w:pPr>
            <w:r>
              <w:rPr>
                <w:rFonts w:ascii="Arial" w:hAnsi="Arial" w:cs="Arial"/>
                <w:sz w:val="24"/>
              </w:rPr>
              <w:t>Homeless prevention</w:t>
            </w:r>
            <w:r w:rsidR="00252C69">
              <w:rPr>
                <w:rFonts w:ascii="Arial" w:hAnsi="Arial" w:cs="Arial"/>
                <w:sz w:val="24"/>
              </w:rPr>
              <w:t xml:space="preserve"> and relief </w:t>
            </w:r>
          </w:p>
        </w:tc>
        <w:tc>
          <w:tcPr>
            <w:tcW w:w="1275" w:type="dxa"/>
          </w:tcPr>
          <w:p w:rsidR="003E0B85" w:rsidRPr="003E0B85" w:rsidRDefault="00252C69" w:rsidP="002F51B9">
            <w:pPr>
              <w:contextualSpacing/>
              <w:jc w:val="center"/>
              <w:rPr>
                <w:rFonts w:ascii="Arial" w:hAnsi="Arial" w:cs="Arial"/>
                <w:sz w:val="24"/>
                <w:highlight w:val="yellow"/>
              </w:rPr>
            </w:pPr>
            <w:r w:rsidRPr="00252C69">
              <w:rPr>
                <w:rFonts w:ascii="Arial" w:hAnsi="Arial" w:cs="Arial"/>
                <w:sz w:val="24"/>
              </w:rPr>
              <w:t>84</w:t>
            </w:r>
          </w:p>
        </w:tc>
      </w:tr>
      <w:tr w:rsidR="003E0B85" w:rsidRPr="003346AD" w:rsidTr="00E151F5">
        <w:tc>
          <w:tcPr>
            <w:tcW w:w="10065" w:type="dxa"/>
          </w:tcPr>
          <w:p w:rsidR="003E0B85" w:rsidRPr="003346AD" w:rsidRDefault="003E0B85" w:rsidP="002F51B9">
            <w:pPr>
              <w:contextualSpacing/>
              <w:rPr>
                <w:rFonts w:ascii="Arial" w:hAnsi="Arial" w:cs="Arial"/>
                <w:sz w:val="24"/>
              </w:rPr>
            </w:pPr>
            <w:r w:rsidRPr="003346AD">
              <w:rPr>
                <w:rFonts w:ascii="Arial" w:hAnsi="Arial" w:cs="Arial"/>
                <w:sz w:val="24"/>
              </w:rPr>
              <w:t xml:space="preserve">Housing register applications </w:t>
            </w:r>
          </w:p>
        </w:tc>
        <w:tc>
          <w:tcPr>
            <w:tcW w:w="1275" w:type="dxa"/>
          </w:tcPr>
          <w:p w:rsidR="003E0B85" w:rsidRPr="003346AD" w:rsidRDefault="003E0B85" w:rsidP="002F51B9">
            <w:pPr>
              <w:contextualSpacing/>
              <w:jc w:val="center"/>
              <w:rPr>
                <w:rFonts w:ascii="Arial" w:hAnsi="Arial" w:cs="Arial"/>
                <w:sz w:val="24"/>
              </w:rPr>
            </w:pPr>
            <w:r w:rsidRPr="003346AD">
              <w:rPr>
                <w:rFonts w:ascii="Arial" w:hAnsi="Arial" w:cs="Arial"/>
                <w:sz w:val="24"/>
              </w:rPr>
              <w:t>1230</w:t>
            </w:r>
          </w:p>
        </w:tc>
      </w:tr>
      <w:tr w:rsidR="003E0B85" w:rsidRPr="003346AD" w:rsidTr="00E151F5">
        <w:tc>
          <w:tcPr>
            <w:tcW w:w="10065" w:type="dxa"/>
          </w:tcPr>
          <w:p w:rsidR="003E0B85" w:rsidRPr="003346AD" w:rsidRDefault="00914296" w:rsidP="00252C69">
            <w:pPr>
              <w:contextualSpacing/>
              <w:rPr>
                <w:rFonts w:ascii="Arial" w:hAnsi="Arial" w:cs="Arial"/>
                <w:sz w:val="24"/>
              </w:rPr>
            </w:pPr>
            <w:r>
              <w:rPr>
                <w:rFonts w:ascii="Arial" w:hAnsi="Arial" w:cs="Arial"/>
                <w:sz w:val="24"/>
              </w:rPr>
              <w:t xml:space="preserve">Number of </w:t>
            </w:r>
            <w:r w:rsidR="00252C69">
              <w:rPr>
                <w:rFonts w:ascii="Arial" w:hAnsi="Arial" w:cs="Arial"/>
                <w:sz w:val="24"/>
              </w:rPr>
              <w:t xml:space="preserve">adverts </w:t>
            </w:r>
          </w:p>
        </w:tc>
        <w:tc>
          <w:tcPr>
            <w:tcW w:w="1275" w:type="dxa"/>
          </w:tcPr>
          <w:p w:rsidR="003E0B85" w:rsidRPr="00252C69" w:rsidRDefault="00F244DD" w:rsidP="002F51B9">
            <w:pPr>
              <w:contextualSpacing/>
              <w:jc w:val="center"/>
              <w:rPr>
                <w:rFonts w:ascii="Arial" w:hAnsi="Arial" w:cs="Arial"/>
                <w:sz w:val="24"/>
                <w:highlight w:val="yellow"/>
              </w:rPr>
            </w:pPr>
            <w:r w:rsidRPr="00F244DD">
              <w:rPr>
                <w:rFonts w:ascii="Arial" w:hAnsi="Arial" w:cs="Arial"/>
                <w:sz w:val="24"/>
              </w:rPr>
              <w:t>316</w:t>
            </w:r>
          </w:p>
        </w:tc>
      </w:tr>
    </w:tbl>
    <w:p w:rsidR="00E151F5" w:rsidRDefault="00E151F5" w:rsidP="00FA41D6">
      <w:pPr>
        <w:spacing w:after="0"/>
        <w:jc w:val="both"/>
      </w:pPr>
      <w:r>
        <w:t xml:space="preserve">This work is covered by 5.5 FTE members of </w:t>
      </w:r>
      <w:r w:rsidR="00E84C6D">
        <w:t>permanent</w:t>
      </w:r>
      <w:r>
        <w:t xml:space="preserve"> staff and 2.0 FTE additional staff who are grant funded until 2020.</w:t>
      </w:r>
    </w:p>
    <w:p w:rsidR="00E151F5" w:rsidRDefault="00E151F5" w:rsidP="00FA41D6">
      <w:pPr>
        <w:spacing w:after="0"/>
        <w:jc w:val="both"/>
      </w:pPr>
    </w:p>
    <w:p w:rsidR="00FA41D6" w:rsidRDefault="009F5F85" w:rsidP="00FA41D6">
      <w:pPr>
        <w:spacing w:after="0"/>
        <w:jc w:val="both"/>
      </w:pPr>
      <w:r>
        <w:t>Please be aware that these volumes are subject</w:t>
      </w:r>
      <w:r w:rsidR="00E84C6D">
        <w:t xml:space="preserve"> to </w:t>
      </w:r>
      <w:proofErr w:type="spellStart"/>
      <w:r w:rsidR="00E84C6D">
        <w:t>fluctuatation</w:t>
      </w:r>
      <w:proofErr w:type="spellEnd"/>
      <w:r>
        <w:t xml:space="preserve"> and are not a guarantee of </w:t>
      </w:r>
      <w:r w:rsidR="00E84C6D">
        <w:t xml:space="preserve">the </w:t>
      </w:r>
      <w:r>
        <w:t>volume of work through a new contract.</w:t>
      </w:r>
    </w:p>
    <w:p w:rsidR="003E0B85" w:rsidRDefault="003E0B85" w:rsidP="00FA41D6">
      <w:pPr>
        <w:spacing w:after="0"/>
        <w:jc w:val="both"/>
      </w:pPr>
    </w:p>
    <w:p w:rsidR="00FA41D6" w:rsidRDefault="00FA41D6" w:rsidP="00FA41D6">
      <w:pPr>
        <w:spacing w:after="0"/>
        <w:jc w:val="both"/>
      </w:pPr>
      <w:r>
        <w:t>We would be grateful if you could complete the following short questionnaire</w:t>
      </w:r>
      <w:r w:rsidR="00E04C77">
        <w:t xml:space="preserve"> and return it to Clare Ellis (Head of </w:t>
      </w:r>
      <w:proofErr w:type="spellStart"/>
      <w:r w:rsidR="00E04C77">
        <w:t>Welland</w:t>
      </w:r>
      <w:proofErr w:type="spellEnd"/>
      <w:r w:rsidR="00E04C77">
        <w:t xml:space="preserve"> Procurement at </w:t>
      </w:r>
      <w:hyperlink r:id="rId7" w:history="1">
        <w:r w:rsidR="00E04C77" w:rsidRPr="00F17758">
          <w:rPr>
            <w:rStyle w:val="Hyperlink"/>
          </w:rPr>
          <w:t>cellis@melton.gov.uk</w:t>
        </w:r>
      </w:hyperlink>
      <w:r w:rsidR="00CF41CB">
        <w:rPr>
          <w:rStyle w:val="Hyperlink"/>
          <w:color w:val="auto"/>
          <w:u w:val="none"/>
        </w:rPr>
        <w:t xml:space="preserve"> by </w:t>
      </w:r>
      <w:r w:rsidR="00CF41CB" w:rsidRPr="00CF41CB">
        <w:rPr>
          <w:rStyle w:val="Hyperlink"/>
          <w:b/>
          <w:color w:val="auto"/>
        </w:rPr>
        <w:t>31</w:t>
      </w:r>
      <w:r w:rsidR="00CF41CB" w:rsidRPr="00CF41CB">
        <w:rPr>
          <w:rStyle w:val="Hyperlink"/>
          <w:b/>
          <w:color w:val="auto"/>
          <w:vertAlign w:val="superscript"/>
        </w:rPr>
        <w:t>st</w:t>
      </w:r>
      <w:r w:rsidR="00CF41CB" w:rsidRPr="00CF41CB">
        <w:rPr>
          <w:rStyle w:val="Hyperlink"/>
          <w:b/>
          <w:color w:val="auto"/>
        </w:rPr>
        <w:t xml:space="preserve"> May 2018</w:t>
      </w:r>
      <w:r>
        <w:t>.</w:t>
      </w:r>
      <w:r w:rsidR="00E04C77">
        <w:t xml:space="preserve"> </w:t>
      </w:r>
      <w:r>
        <w:t xml:space="preserve"> </w:t>
      </w:r>
    </w:p>
    <w:p w:rsidR="00FA41D6" w:rsidRDefault="00FA41D6" w:rsidP="00FA41D6">
      <w:pPr>
        <w:spacing w:after="0"/>
        <w:jc w:val="both"/>
      </w:pPr>
      <w:bookmarkStart w:id="0" w:name="_GoBack"/>
      <w:bookmarkEnd w:id="0"/>
    </w:p>
    <w:tbl>
      <w:tblPr>
        <w:tblStyle w:val="TableGrid"/>
        <w:tblW w:w="0" w:type="auto"/>
        <w:tblLook w:val="04A0" w:firstRow="1" w:lastRow="0" w:firstColumn="1" w:lastColumn="0" w:noHBand="0" w:noVBand="1"/>
      </w:tblPr>
      <w:tblGrid>
        <w:gridCol w:w="965"/>
        <w:gridCol w:w="2971"/>
        <w:gridCol w:w="10206"/>
      </w:tblGrid>
      <w:tr w:rsidR="00FA41D6" w:rsidTr="00FA41D6">
        <w:tc>
          <w:tcPr>
            <w:tcW w:w="965" w:type="dxa"/>
          </w:tcPr>
          <w:p w:rsidR="00FA41D6" w:rsidRDefault="00FA41D6" w:rsidP="00FA41D6">
            <w:pPr>
              <w:jc w:val="both"/>
              <w:rPr>
                <w:b/>
              </w:rPr>
            </w:pPr>
            <w:r>
              <w:rPr>
                <w:b/>
              </w:rPr>
              <w:t>Number</w:t>
            </w:r>
          </w:p>
        </w:tc>
        <w:tc>
          <w:tcPr>
            <w:tcW w:w="2971" w:type="dxa"/>
          </w:tcPr>
          <w:p w:rsidR="00FA41D6" w:rsidRPr="00FA41D6" w:rsidRDefault="00FA41D6" w:rsidP="00FA41D6">
            <w:pPr>
              <w:jc w:val="both"/>
              <w:rPr>
                <w:b/>
              </w:rPr>
            </w:pPr>
            <w:r>
              <w:rPr>
                <w:b/>
              </w:rPr>
              <w:t>Question</w:t>
            </w:r>
          </w:p>
        </w:tc>
        <w:tc>
          <w:tcPr>
            <w:tcW w:w="10206" w:type="dxa"/>
          </w:tcPr>
          <w:p w:rsidR="00FA41D6" w:rsidRPr="00FA41D6" w:rsidRDefault="00FA41D6" w:rsidP="00FA41D6">
            <w:pPr>
              <w:jc w:val="both"/>
              <w:rPr>
                <w:b/>
              </w:rPr>
            </w:pPr>
            <w:r w:rsidRPr="00FA41D6">
              <w:rPr>
                <w:b/>
              </w:rPr>
              <w:t>Response</w:t>
            </w:r>
          </w:p>
        </w:tc>
      </w:tr>
      <w:tr w:rsidR="00FA41D6" w:rsidTr="00FA41D6">
        <w:tc>
          <w:tcPr>
            <w:tcW w:w="965" w:type="dxa"/>
          </w:tcPr>
          <w:p w:rsidR="00FA41D6" w:rsidRDefault="00FA41D6" w:rsidP="00FA41D6">
            <w:pPr>
              <w:jc w:val="both"/>
            </w:pPr>
            <w:r>
              <w:t>1</w:t>
            </w:r>
          </w:p>
        </w:tc>
        <w:tc>
          <w:tcPr>
            <w:tcW w:w="2971" w:type="dxa"/>
          </w:tcPr>
          <w:p w:rsidR="00FA41D6" w:rsidRDefault="00FA41D6" w:rsidP="00FA41D6">
            <w:pPr>
              <w:jc w:val="both"/>
            </w:pPr>
            <w:r>
              <w:t>Name of Organisation</w:t>
            </w:r>
          </w:p>
        </w:tc>
        <w:tc>
          <w:tcPr>
            <w:tcW w:w="10206" w:type="dxa"/>
          </w:tcPr>
          <w:p w:rsidR="00FA41D6" w:rsidRDefault="00FA41D6" w:rsidP="00FA41D6">
            <w:pPr>
              <w:jc w:val="both"/>
            </w:pPr>
          </w:p>
        </w:tc>
      </w:tr>
      <w:tr w:rsidR="00FA41D6" w:rsidTr="00FA41D6">
        <w:tc>
          <w:tcPr>
            <w:tcW w:w="965" w:type="dxa"/>
          </w:tcPr>
          <w:p w:rsidR="00FA41D6" w:rsidRDefault="00FA41D6" w:rsidP="00FA41D6">
            <w:pPr>
              <w:jc w:val="both"/>
            </w:pPr>
            <w:r>
              <w:t>2</w:t>
            </w:r>
          </w:p>
        </w:tc>
        <w:tc>
          <w:tcPr>
            <w:tcW w:w="2971" w:type="dxa"/>
          </w:tcPr>
          <w:p w:rsidR="00FA41D6" w:rsidRDefault="00FA41D6" w:rsidP="00FA41D6">
            <w:pPr>
              <w:jc w:val="both"/>
            </w:pPr>
            <w:r>
              <w:t xml:space="preserve">Address of Organisation </w:t>
            </w:r>
          </w:p>
        </w:tc>
        <w:tc>
          <w:tcPr>
            <w:tcW w:w="10206" w:type="dxa"/>
          </w:tcPr>
          <w:p w:rsidR="00FA41D6" w:rsidRDefault="00FA41D6" w:rsidP="00FA41D6">
            <w:pPr>
              <w:jc w:val="both"/>
            </w:pPr>
          </w:p>
        </w:tc>
      </w:tr>
      <w:tr w:rsidR="00FA41D6" w:rsidTr="00FA41D6">
        <w:tc>
          <w:tcPr>
            <w:tcW w:w="965" w:type="dxa"/>
          </w:tcPr>
          <w:p w:rsidR="00FA41D6" w:rsidRDefault="00FA41D6" w:rsidP="00FA41D6">
            <w:pPr>
              <w:jc w:val="both"/>
            </w:pPr>
            <w:r>
              <w:t>3</w:t>
            </w:r>
          </w:p>
        </w:tc>
        <w:tc>
          <w:tcPr>
            <w:tcW w:w="2971" w:type="dxa"/>
          </w:tcPr>
          <w:p w:rsidR="00FA41D6" w:rsidRDefault="00FA41D6" w:rsidP="00FA41D6">
            <w:pPr>
              <w:jc w:val="both"/>
            </w:pPr>
            <w:r>
              <w:t>Contact details for the person completing this form</w:t>
            </w:r>
          </w:p>
        </w:tc>
        <w:tc>
          <w:tcPr>
            <w:tcW w:w="10206" w:type="dxa"/>
          </w:tcPr>
          <w:p w:rsidR="00FA41D6" w:rsidRDefault="00FA41D6" w:rsidP="00FA41D6">
            <w:pPr>
              <w:jc w:val="both"/>
            </w:pPr>
          </w:p>
        </w:tc>
      </w:tr>
      <w:tr w:rsidR="00FA41D6" w:rsidTr="00FA41D6">
        <w:tc>
          <w:tcPr>
            <w:tcW w:w="965" w:type="dxa"/>
          </w:tcPr>
          <w:p w:rsidR="00FA41D6" w:rsidRDefault="00FA41D6" w:rsidP="00FA41D6">
            <w:pPr>
              <w:jc w:val="both"/>
            </w:pPr>
            <w:r>
              <w:t>4</w:t>
            </w:r>
          </w:p>
        </w:tc>
        <w:tc>
          <w:tcPr>
            <w:tcW w:w="2971" w:type="dxa"/>
          </w:tcPr>
          <w:p w:rsidR="00FA41D6" w:rsidRDefault="00FA41D6" w:rsidP="00FA41D6">
            <w:pPr>
              <w:jc w:val="both"/>
            </w:pPr>
            <w:r>
              <w:t>Please indicate which lot(s) you may be interested in bidding for</w:t>
            </w:r>
          </w:p>
        </w:tc>
        <w:tc>
          <w:tcPr>
            <w:tcW w:w="10206" w:type="dxa"/>
          </w:tcPr>
          <w:p w:rsidR="00FA41D6" w:rsidRDefault="00FA41D6" w:rsidP="00FA41D6">
            <w:pPr>
              <w:jc w:val="both"/>
            </w:pPr>
            <w:r>
              <w:t xml:space="preserve">Lot 1: East Northamptonshire                          </w:t>
            </w:r>
            <w:sdt>
              <w:sdtPr>
                <w:id w:val="302667220"/>
                <w14:checkbox>
                  <w14:checked w14:val="0"/>
                  <w14:checkedState w14:val="2612" w14:font="MS Gothic"/>
                  <w14:uncheckedState w14:val="2610" w14:font="MS Gothic"/>
                </w14:checkbox>
              </w:sdtPr>
              <w:sdtEndPr/>
              <w:sdtContent>
                <w:r>
                  <w:rPr>
                    <w:rFonts w:ascii="MS Gothic" w:eastAsia="MS Gothic" w:hint="eastAsia"/>
                  </w:rPr>
                  <w:t>☐</w:t>
                </w:r>
              </w:sdtContent>
            </w:sdt>
          </w:p>
          <w:p w:rsidR="00FA41D6" w:rsidRDefault="00FA41D6" w:rsidP="00FA41D6">
            <w:pPr>
              <w:jc w:val="both"/>
            </w:pPr>
            <w:r>
              <w:t xml:space="preserve">Lot 2: Borough Council Wellingborough        </w:t>
            </w:r>
            <w:sdt>
              <w:sdtPr>
                <w:id w:val="580587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FA41D6" w:rsidRDefault="00FA41D6" w:rsidP="00FA41D6">
            <w:pPr>
              <w:jc w:val="both"/>
            </w:pPr>
            <w:r>
              <w:t xml:space="preserve">Both Lots                                                              </w:t>
            </w:r>
            <w:sdt>
              <w:sdtPr>
                <w:id w:val="-10400493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A41D6" w:rsidTr="00FA41D6">
        <w:tc>
          <w:tcPr>
            <w:tcW w:w="965" w:type="dxa"/>
          </w:tcPr>
          <w:p w:rsidR="00FA41D6" w:rsidRDefault="00FA41D6" w:rsidP="00FA41D6">
            <w:pPr>
              <w:jc w:val="both"/>
            </w:pPr>
            <w:r>
              <w:t>5</w:t>
            </w:r>
          </w:p>
        </w:tc>
        <w:tc>
          <w:tcPr>
            <w:tcW w:w="2971" w:type="dxa"/>
          </w:tcPr>
          <w:p w:rsidR="00FA41D6" w:rsidRDefault="00FA41D6" w:rsidP="00AE5F4F">
            <w:pPr>
              <w:jc w:val="both"/>
            </w:pPr>
            <w:r>
              <w:t>The Council</w:t>
            </w:r>
            <w:r w:rsidR="00AE5F4F">
              <w:t>s</w:t>
            </w:r>
            <w:r>
              <w:t xml:space="preserve"> </w:t>
            </w:r>
            <w:r w:rsidR="00AE5F4F">
              <w:t>are</w:t>
            </w:r>
            <w:r>
              <w:t xml:space="preserve"> considering an initial </w:t>
            </w:r>
            <w:r w:rsidR="00AE5F4F">
              <w:t xml:space="preserve">contract </w:t>
            </w:r>
            <w:r>
              <w:t>term of 3 years with 2 possible extension period</w:t>
            </w:r>
            <w:r w:rsidR="00AE5F4F">
              <w:t>s</w:t>
            </w:r>
            <w:r>
              <w:t xml:space="preserve"> of 2 years each. Do you have an opinion on whether this is a suitable contract term?</w:t>
            </w:r>
            <w:r w:rsidR="00AE5F4F">
              <w:t xml:space="preserve"> Please bear in the mind the local authority structural changes in Northamptonshire when answering this question</w:t>
            </w:r>
          </w:p>
        </w:tc>
        <w:tc>
          <w:tcPr>
            <w:tcW w:w="10206" w:type="dxa"/>
          </w:tcPr>
          <w:p w:rsidR="00FA41D6" w:rsidRDefault="00FA41D6" w:rsidP="00FA41D6">
            <w:pPr>
              <w:jc w:val="both"/>
            </w:pPr>
          </w:p>
        </w:tc>
      </w:tr>
      <w:tr w:rsidR="00FA41D6" w:rsidTr="00FA41D6">
        <w:tc>
          <w:tcPr>
            <w:tcW w:w="965" w:type="dxa"/>
          </w:tcPr>
          <w:p w:rsidR="00FA41D6" w:rsidRDefault="00FA41D6" w:rsidP="00FA41D6">
            <w:pPr>
              <w:jc w:val="both"/>
            </w:pPr>
            <w:r>
              <w:t>5</w:t>
            </w:r>
          </w:p>
        </w:tc>
        <w:tc>
          <w:tcPr>
            <w:tcW w:w="2971" w:type="dxa"/>
          </w:tcPr>
          <w:p w:rsidR="00FA41D6" w:rsidRDefault="00AE5F4F" w:rsidP="00FA41D6">
            <w:pPr>
              <w:jc w:val="both"/>
            </w:pPr>
            <w:r>
              <w:t>The Councils would be interested in having an indicative annual cost for the provision of a like for like service</w:t>
            </w:r>
          </w:p>
        </w:tc>
        <w:tc>
          <w:tcPr>
            <w:tcW w:w="10206" w:type="dxa"/>
          </w:tcPr>
          <w:p w:rsidR="00FA41D6" w:rsidRDefault="00AE5F4F" w:rsidP="00FA41D6">
            <w:pPr>
              <w:jc w:val="both"/>
            </w:pPr>
            <w:r>
              <w:t>£</w:t>
            </w:r>
          </w:p>
        </w:tc>
      </w:tr>
      <w:tr w:rsidR="00FA41D6" w:rsidTr="00FA41D6">
        <w:tc>
          <w:tcPr>
            <w:tcW w:w="965" w:type="dxa"/>
          </w:tcPr>
          <w:p w:rsidR="00FA41D6" w:rsidRDefault="00AE5F4F" w:rsidP="00FA41D6">
            <w:pPr>
              <w:jc w:val="both"/>
            </w:pPr>
            <w:r>
              <w:t>6</w:t>
            </w:r>
          </w:p>
        </w:tc>
        <w:tc>
          <w:tcPr>
            <w:tcW w:w="2971" w:type="dxa"/>
          </w:tcPr>
          <w:p w:rsidR="00FA41D6" w:rsidRDefault="00AE5F4F" w:rsidP="00FA41D6">
            <w:pPr>
              <w:jc w:val="both"/>
            </w:pPr>
            <w:r>
              <w:t xml:space="preserve">Are there any specific services that you would like to see </w:t>
            </w:r>
            <w:r>
              <w:lastRenderedPageBreak/>
              <w:t>included in the Contract?</w:t>
            </w:r>
          </w:p>
        </w:tc>
        <w:tc>
          <w:tcPr>
            <w:tcW w:w="10206" w:type="dxa"/>
          </w:tcPr>
          <w:p w:rsidR="00FA41D6" w:rsidRDefault="00FA41D6" w:rsidP="00FA41D6">
            <w:pPr>
              <w:jc w:val="both"/>
            </w:pPr>
          </w:p>
        </w:tc>
      </w:tr>
      <w:tr w:rsidR="00FA41D6" w:rsidTr="00FA41D6">
        <w:tc>
          <w:tcPr>
            <w:tcW w:w="965" w:type="dxa"/>
          </w:tcPr>
          <w:p w:rsidR="00FA41D6" w:rsidRDefault="00AE5F4F" w:rsidP="00FA41D6">
            <w:pPr>
              <w:jc w:val="both"/>
            </w:pPr>
            <w:r>
              <w:lastRenderedPageBreak/>
              <w:t>7</w:t>
            </w:r>
          </w:p>
        </w:tc>
        <w:tc>
          <w:tcPr>
            <w:tcW w:w="2971" w:type="dxa"/>
          </w:tcPr>
          <w:p w:rsidR="00FA41D6" w:rsidRDefault="00AE5F4F" w:rsidP="00FA41D6">
            <w:pPr>
              <w:jc w:val="both"/>
            </w:pPr>
            <w:r>
              <w:t>Are there any specific services that you would like to see excluded from the Contract?</w:t>
            </w:r>
          </w:p>
        </w:tc>
        <w:tc>
          <w:tcPr>
            <w:tcW w:w="10206" w:type="dxa"/>
          </w:tcPr>
          <w:p w:rsidR="00FA41D6" w:rsidRDefault="00FA41D6" w:rsidP="00FA41D6">
            <w:pPr>
              <w:jc w:val="both"/>
            </w:pPr>
          </w:p>
        </w:tc>
      </w:tr>
      <w:tr w:rsidR="00FA41D6" w:rsidTr="00FA41D6">
        <w:tc>
          <w:tcPr>
            <w:tcW w:w="965" w:type="dxa"/>
          </w:tcPr>
          <w:p w:rsidR="00FA41D6" w:rsidRDefault="00AE5F4F" w:rsidP="00FA41D6">
            <w:pPr>
              <w:jc w:val="both"/>
            </w:pPr>
            <w:r>
              <w:t>8</w:t>
            </w:r>
          </w:p>
        </w:tc>
        <w:tc>
          <w:tcPr>
            <w:tcW w:w="2971" w:type="dxa"/>
          </w:tcPr>
          <w:p w:rsidR="00FA41D6" w:rsidRDefault="00AE5F4F" w:rsidP="00FA41D6">
            <w:pPr>
              <w:jc w:val="both"/>
            </w:pPr>
            <w:r>
              <w:t>Are there any additional comments you would like to make?</w:t>
            </w:r>
          </w:p>
        </w:tc>
        <w:tc>
          <w:tcPr>
            <w:tcW w:w="10206" w:type="dxa"/>
          </w:tcPr>
          <w:p w:rsidR="00FA41D6" w:rsidRDefault="00FA41D6" w:rsidP="00FA41D6">
            <w:pPr>
              <w:jc w:val="both"/>
            </w:pPr>
          </w:p>
        </w:tc>
      </w:tr>
    </w:tbl>
    <w:p w:rsidR="00FA41D6" w:rsidRPr="00FA41D6" w:rsidRDefault="00FA41D6" w:rsidP="00FA41D6">
      <w:pPr>
        <w:spacing w:after="0"/>
        <w:jc w:val="both"/>
      </w:pPr>
    </w:p>
    <w:sectPr w:rsidR="00FA41D6" w:rsidRPr="00FA41D6" w:rsidSect="00FA41D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95C7E"/>
    <w:multiLevelType w:val="hybridMultilevel"/>
    <w:tmpl w:val="4FC0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2F"/>
    <w:rsid w:val="000922F3"/>
    <w:rsid w:val="000A1901"/>
    <w:rsid w:val="00252C69"/>
    <w:rsid w:val="003E0B85"/>
    <w:rsid w:val="004A362F"/>
    <w:rsid w:val="007B587F"/>
    <w:rsid w:val="00872D58"/>
    <w:rsid w:val="00914296"/>
    <w:rsid w:val="009F5F85"/>
    <w:rsid w:val="00A12E23"/>
    <w:rsid w:val="00AE5F4F"/>
    <w:rsid w:val="00C2053E"/>
    <w:rsid w:val="00CE3347"/>
    <w:rsid w:val="00CF41CB"/>
    <w:rsid w:val="00DE6999"/>
    <w:rsid w:val="00E04C77"/>
    <w:rsid w:val="00E151F5"/>
    <w:rsid w:val="00E15815"/>
    <w:rsid w:val="00E84C6D"/>
    <w:rsid w:val="00ED74DD"/>
    <w:rsid w:val="00F244DD"/>
    <w:rsid w:val="00FA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4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1D6"/>
    <w:rPr>
      <w:rFonts w:ascii="Tahoma" w:hAnsi="Tahoma" w:cs="Tahoma"/>
      <w:sz w:val="16"/>
      <w:szCs w:val="16"/>
    </w:rPr>
  </w:style>
  <w:style w:type="paragraph" w:styleId="ListParagraph">
    <w:name w:val="List Paragraph"/>
    <w:basedOn w:val="Normal"/>
    <w:uiPriority w:val="34"/>
    <w:qFormat/>
    <w:rsid w:val="00FA41D6"/>
    <w:pPr>
      <w:ind w:left="720"/>
      <w:contextualSpacing/>
    </w:pPr>
  </w:style>
  <w:style w:type="table" w:customStyle="1" w:styleId="TableGrid1">
    <w:name w:val="Table Grid1"/>
    <w:basedOn w:val="TableNormal"/>
    <w:next w:val="TableGrid"/>
    <w:rsid w:val="003E0B85"/>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E23"/>
    <w:rPr>
      <w:sz w:val="16"/>
      <w:szCs w:val="16"/>
    </w:rPr>
  </w:style>
  <w:style w:type="paragraph" w:styleId="CommentText">
    <w:name w:val="annotation text"/>
    <w:basedOn w:val="Normal"/>
    <w:link w:val="CommentTextChar"/>
    <w:uiPriority w:val="99"/>
    <w:semiHidden/>
    <w:unhideWhenUsed/>
    <w:rsid w:val="00A12E23"/>
    <w:pPr>
      <w:spacing w:line="240" w:lineRule="auto"/>
    </w:pPr>
    <w:rPr>
      <w:sz w:val="20"/>
      <w:szCs w:val="20"/>
    </w:rPr>
  </w:style>
  <w:style w:type="character" w:customStyle="1" w:styleId="CommentTextChar">
    <w:name w:val="Comment Text Char"/>
    <w:basedOn w:val="DefaultParagraphFont"/>
    <w:link w:val="CommentText"/>
    <w:uiPriority w:val="99"/>
    <w:semiHidden/>
    <w:rsid w:val="00A12E23"/>
    <w:rPr>
      <w:sz w:val="20"/>
      <w:szCs w:val="20"/>
    </w:rPr>
  </w:style>
  <w:style w:type="paragraph" w:styleId="CommentSubject">
    <w:name w:val="annotation subject"/>
    <w:basedOn w:val="CommentText"/>
    <w:next w:val="CommentText"/>
    <w:link w:val="CommentSubjectChar"/>
    <w:uiPriority w:val="99"/>
    <w:semiHidden/>
    <w:unhideWhenUsed/>
    <w:rsid w:val="00A12E23"/>
    <w:rPr>
      <w:b/>
      <w:bCs/>
    </w:rPr>
  </w:style>
  <w:style w:type="character" w:customStyle="1" w:styleId="CommentSubjectChar">
    <w:name w:val="Comment Subject Char"/>
    <w:basedOn w:val="CommentTextChar"/>
    <w:link w:val="CommentSubject"/>
    <w:uiPriority w:val="99"/>
    <w:semiHidden/>
    <w:rsid w:val="00A12E23"/>
    <w:rPr>
      <w:b/>
      <w:bCs/>
      <w:sz w:val="20"/>
      <w:szCs w:val="20"/>
    </w:rPr>
  </w:style>
  <w:style w:type="character" w:styleId="Hyperlink">
    <w:name w:val="Hyperlink"/>
    <w:basedOn w:val="DefaultParagraphFont"/>
    <w:uiPriority w:val="99"/>
    <w:unhideWhenUsed/>
    <w:rsid w:val="00E04C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4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1D6"/>
    <w:rPr>
      <w:rFonts w:ascii="Tahoma" w:hAnsi="Tahoma" w:cs="Tahoma"/>
      <w:sz w:val="16"/>
      <w:szCs w:val="16"/>
    </w:rPr>
  </w:style>
  <w:style w:type="paragraph" w:styleId="ListParagraph">
    <w:name w:val="List Paragraph"/>
    <w:basedOn w:val="Normal"/>
    <w:uiPriority w:val="34"/>
    <w:qFormat/>
    <w:rsid w:val="00FA41D6"/>
    <w:pPr>
      <w:ind w:left="720"/>
      <w:contextualSpacing/>
    </w:pPr>
  </w:style>
  <w:style w:type="table" w:customStyle="1" w:styleId="TableGrid1">
    <w:name w:val="Table Grid1"/>
    <w:basedOn w:val="TableNormal"/>
    <w:next w:val="TableGrid"/>
    <w:rsid w:val="003E0B85"/>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E23"/>
    <w:rPr>
      <w:sz w:val="16"/>
      <w:szCs w:val="16"/>
    </w:rPr>
  </w:style>
  <w:style w:type="paragraph" w:styleId="CommentText">
    <w:name w:val="annotation text"/>
    <w:basedOn w:val="Normal"/>
    <w:link w:val="CommentTextChar"/>
    <w:uiPriority w:val="99"/>
    <w:semiHidden/>
    <w:unhideWhenUsed/>
    <w:rsid w:val="00A12E23"/>
    <w:pPr>
      <w:spacing w:line="240" w:lineRule="auto"/>
    </w:pPr>
    <w:rPr>
      <w:sz w:val="20"/>
      <w:szCs w:val="20"/>
    </w:rPr>
  </w:style>
  <w:style w:type="character" w:customStyle="1" w:styleId="CommentTextChar">
    <w:name w:val="Comment Text Char"/>
    <w:basedOn w:val="DefaultParagraphFont"/>
    <w:link w:val="CommentText"/>
    <w:uiPriority w:val="99"/>
    <w:semiHidden/>
    <w:rsid w:val="00A12E23"/>
    <w:rPr>
      <w:sz w:val="20"/>
      <w:szCs w:val="20"/>
    </w:rPr>
  </w:style>
  <w:style w:type="paragraph" w:styleId="CommentSubject">
    <w:name w:val="annotation subject"/>
    <w:basedOn w:val="CommentText"/>
    <w:next w:val="CommentText"/>
    <w:link w:val="CommentSubjectChar"/>
    <w:uiPriority w:val="99"/>
    <w:semiHidden/>
    <w:unhideWhenUsed/>
    <w:rsid w:val="00A12E23"/>
    <w:rPr>
      <w:b/>
      <w:bCs/>
    </w:rPr>
  </w:style>
  <w:style w:type="character" w:customStyle="1" w:styleId="CommentSubjectChar">
    <w:name w:val="Comment Subject Char"/>
    <w:basedOn w:val="CommentTextChar"/>
    <w:link w:val="CommentSubject"/>
    <w:uiPriority w:val="99"/>
    <w:semiHidden/>
    <w:rsid w:val="00A12E23"/>
    <w:rPr>
      <w:b/>
      <w:bCs/>
      <w:sz w:val="20"/>
      <w:szCs w:val="20"/>
    </w:rPr>
  </w:style>
  <w:style w:type="character" w:styleId="Hyperlink">
    <w:name w:val="Hyperlink"/>
    <w:basedOn w:val="DefaultParagraphFont"/>
    <w:uiPriority w:val="99"/>
    <w:unhideWhenUsed/>
    <w:rsid w:val="00E04C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66497">
      <w:bodyDiv w:val="1"/>
      <w:marLeft w:val="0"/>
      <w:marRight w:val="0"/>
      <w:marTop w:val="0"/>
      <w:marBottom w:val="0"/>
      <w:divBdr>
        <w:top w:val="none" w:sz="0" w:space="0" w:color="auto"/>
        <w:left w:val="none" w:sz="0" w:space="0" w:color="auto"/>
        <w:bottom w:val="none" w:sz="0" w:space="0" w:color="auto"/>
        <w:right w:val="none" w:sz="0" w:space="0" w:color="auto"/>
      </w:divBdr>
    </w:div>
    <w:div w:id="1518428193">
      <w:bodyDiv w:val="1"/>
      <w:marLeft w:val="0"/>
      <w:marRight w:val="0"/>
      <w:marTop w:val="0"/>
      <w:marBottom w:val="0"/>
      <w:divBdr>
        <w:top w:val="none" w:sz="0" w:space="0" w:color="auto"/>
        <w:left w:val="none" w:sz="0" w:space="0" w:color="auto"/>
        <w:bottom w:val="none" w:sz="0" w:space="0" w:color="auto"/>
        <w:right w:val="none" w:sz="0" w:space="0" w:color="auto"/>
      </w:divBdr>
    </w:div>
    <w:div w:id="20374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ellis@mel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F08C8-7CA8-4533-93BC-252B285E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4ACBBC7C</Template>
  <TotalTime>7</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Ellis</dc:creator>
  <cp:lastModifiedBy>Clare Ellis</cp:lastModifiedBy>
  <cp:revision>5</cp:revision>
  <dcterms:created xsi:type="dcterms:W3CDTF">2018-05-02T09:46:00Z</dcterms:created>
  <dcterms:modified xsi:type="dcterms:W3CDTF">2018-05-03T08:47:00Z</dcterms:modified>
</cp:coreProperties>
</file>