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59F09C45" w:rsidR="006B0572" w:rsidRDefault="00215D7D" w:rsidP="00BA2E43">
      <w:pPr>
        <w:jc w:val="center"/>
        <w:rPr>
          <w:rFonts w:cs="Arial"/>
          <w:b/>
          <w:sz w:val="28"/>
          <w:szCs w:val="28"/>
        </w:rPr>
      </w:pPr>
      <w:r w:rsidRPr="00215D7D">
        <w:rPr>
          <w:rFonts w:cs="Arial"/>
          <w:b/>
          <w:sz w:val="28"/>
          <w:szCs w:val="28"/>
        </w:rPr>
        <w:t>Interact Medical Ltd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23010D85" w:rsidR="00D0094A" w:rsidRPr="00C56AB2" w:rsidRDefault="001B3756"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1012AF71" w:rsidR="00D0094A" w:rsidRPr="00C56AB2" w:rsidRDefault="001B3756"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22C5D227" w14:textId="66EEFEA9" w:rsidR="00C56AB2" w:rsidRPr="00272955" w:rsidRDefault="00C56AB2" w:rsidP="00DB019A">
      <w:pPr>
        <w:widowControl w:val="0"/>
        <w:autoSpaceDE w:val="0"/>
        <w:autoSpaceDN w:val="0"/>
        <w:adjustRightInd w:val="0"/>
        <w:spacing w:before="120" w:after="120" w:line="240" w:lineRule="auto"/>
        <w:ind w:left="220"/>
        <w:jc w:val="both"/>
        <w:rPr>
          <w:rFonts w:cs="Arial"/>
          <w:b/>
          <w:bCs/>
          <w:color w:val="000000"/>
          <w:sz w:val="24"/>
          <w:szCs w:val="24"/>
        </w:rPr>
      </w:pPr>
      <w:r w:rsidRPr="00272955">
        <w:rPr>
          <w:rFonts w:cs="Arial"/>
          <w:b/>
          <w:bCs/>
          <w:color w:val="000000"/>
          <w:spacing w:val="-3"/>
          <w:sz w:val="24"/>
          <w:szCs w:val="24"/>
          <w:highlight w:val="darkGray"/>
        </w:rPr>
        <w:t>Nam</w:t>
      </w:r>
      <w:r w:rsidRPr="00272955">
        <w:rPr>
          <w:rFonts w:cs="Arial"/>
          <w:b/>
          <w:bCs/>
          <w:color w:val="000000"/>
          <w:sz w:val="24"/>
          <w:szCs w:val="24"/>
          <w:highlight w:val="darkGray"/>
        </w:rPr>
        <w:t>e</w:t>
      </w:r>
      <w:r w:rsidRPr="00272955">
        <w:rPr>
          <w:rFonts w:cs="Arial"/>
          <w:b/>
          <w:bCs/>
          <w:color w:val="000000"/>
          <w:spacing w:val="-6"/>
          <w:sz w:val="24"/>
          <w:szCs w:val="24"/>
          <w:highlight w:val="darkGray"/>
        </w:rPr>
        <w:t xml:space="preserve"> </w:t>
      </w:r>
      <w:r w:rsidRPr="00272955">
        <w:rPr>
          <w:rFonts w:cs="Arial"/>
          <w:b/>
          <w:bCs/>
          <w:color w:val="000000"/>
          <w:spacing w:val="-3"/>
          <w:sz w:val="24"/>
          <w:szCs w:val="24"/>
          <w:highlight w:val="darkGray"/>
        </w:rPr>
        <w:t>o</w:t>
      </w:r>
      <w:r w:rsidRPr="00272955">
        <w:rPr>
          <w:rFonts w:cs="Arial"/>
          <w:b/>
          <w:bCs/>
          <w:color w:val="000000"/>
          <w:sz w:val="24"/>
          <w:szCs w:val="24"/>
          <w:highlight w:val="darkGray"/>
        </w:rPr>
        <w:t>f</w:t>
      </w:r>
      <w:r w:rsidRPr="00272955">
        <w:rPr>
          <w:rFonts w:cs="Arial"/>
          <w:b/>
          <w:bCs/>
          <w:color w:val="000000"/>
          <w:spacing w:val="-6"/>
          <w:sz w:val="24"/>
          <w:szCs w:val="24"/>
          <w:highlight w:val="darkGray"/>
        </w:rPr>
        <w:t xml:space="preserve"> </w:t>
      </w:r>
      <w:r w:rsidRPr="00272955">
        <w:rPr>
          <w:rFonts w:cs="Arial"/>
          <w:b/>
          <w:bCs/>
          <w:color w:val="000000"/>
          <w:spacing w:val="-3"/>
          <w:sz w:val="24"/>
          <w:szCs w:val="24"/>
          <w:highlight w:val="darkGray"/>
        </w:rPr>
        <w:t>company'</w:t>
      </w:r>
      <w:r w:rsidRPr="00272955">
        <w:rPr>
          <w:rFonts w:cs="Arial"/>
          <w:b/>
          <w:bCs/>
          <w:color w:val="000000"/>
          <w:sz w:val="24"/>
          <w:szCs w:val="24"/>
          <w:highlight w:val="darkGray"/>
        </w:rPr>
        <w:t>s</w:t>
      </w:r>
      <w:r w:rsidRPr="00272955">
        <w:rPr>
          <w:rFonts w:cs="Arial"/>
          <w:b/>
          <w:bCs/>
          <w:color w:val="000000"/>
          <w:spacing w:val="-6"/>
          <w:sz w:val="24"/>
          <w:szCs w:val="24"/>
          <w:highlight w:val="darkGray"/>
        </w:rPr>
        <w:t xml:space="preserve"> </w:t>
      </w:r>
      <w:r w:rsidRPr="00272955">
        <w:rPr>
          <w:rFonts w:cs="Arial"/>
          <w:b/>
          <w:bCs/>
          <w:color w:val="000000"/>
          <w:spacing w:val="-3"/>
          <w:sz w:val="24"/>
          <w:szCs w:val="24"/>
          <w:highlight w:val="darkGray"/>
        </w:rPr>
        <w:t>approve</w:t>
      </w:r>
      <w:r w:rsidRPr="00272955">
        <w:rPr>
          <w:rFonts w:cs="Arial"/>
          <w:b/>
          <w:bCs/>
          <w:color w:val="000000"/>
          <w:sz w:val="24"/>
          <w:szCs w:val="24"/>
          <w:highlight w:val="darkGray"/>
        </w:rPr>
        <w:t>d</w:t>
      </w:r>
      <w:r w:rsidRPr="00272955">
        <w:rPr>
          <w:rFonts w:cs="Arial"/>
          <w:b/>
          <w:bCs/>
          <w:color w:val="000000"/>
          <w:spacing w:val="-6"/>
          <w:sz w:val="24"/>
          <w:szCs w:val="24"/>
          <w:highlight w:val="darkGray"/>
        </w:rPr>
        <w:t xml:space="preserve"> </w:t>
      </w:r>
      <w:r w:rsidRPr="00272955">
        <w:rPr>
          <w:rFonts w:cs="Arial"/>
          <w:b/>
          <w:bCs/>
          <w:color w:val="000000"/>
          <w:spacing w:val="-3"/>
          <w:sz w:val="24"/>
          <w:szCs w:val="24"/>
          <w:highlight w:val="darkGray"/>
        </w:rPr>
        <w:t>recipient including full address</w:t>
      </w:r>
      <w:r w:rsidR="00782B3C">
        <w:rPr>
          <w:rFonts w:cs="Arial"/>
          <w:b/>
          <w:bCs/>
          <w:color w:val="000000"/>
          <w:spacing w:val="-3"/>
          <w:sz w:val="24"/>
          <w:szCs w:val="24"/>
        </w:rPr>
        <w:t xml:space="preserve"> </w:t>
      </w:r>
      <w:r w:rsidR="00782B3C" w:rsidRPr="00782B3C">
        <w:rPr>
          <w:rFonts w:cs="Arial"/>
          <w:b/>
          <w:bCs/>
          <w:color w:val="000000"/>
          <w:spacing w:val="-3"/>
          <w:sz w:val="24"/>
          <w:szCs w:val="24"/>
          <w:highlight w:val="darkGray"/>
        </w:rPr>
        <w:t>to be inserted on Contract Award.</w:t>
      </w:r>
    </w:p>
    <w:p w14:paraId="3AE55556" w14:textId="279DE168" w:rsidR="00C56AB2" w:rsidRPr="00272955" w:rsidRDefault="00782B3C" w:rsidP="00DB019A">
      <w:pPr>
        <w:widowControl w:val="0"/>
        <w:autoSpaceDE w:val="0"/>
        <w:autoSpaceDN w:val="0"/>
        <w:adjustRightInd w:val="0"/>
        <w:spacing w:before="120" w:after="120" w:line="240" w:lineRule="auto"/>
        <w:jc w:val="both"/>
        <w:rPr>
          <w:rFonts w:cs="Arial"/>
          <w:color w:val="000000"/>
          <w:sz w:val="24"/>
          <w:szCs w:val="24"/>
        </w:rPr>
      </w:pPr>
      <w:r>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w:t>
      </w:r>
      <w:r w:rsidRPr="00272955">
        <w:rPr>
          <w:rFonts w:cs="Arial"/>
          <w:noProof/>
          <w:color w:val="000000"/>
          <w:sz w:val="24"/>
          <w:szCs w:val="24"/>
        </w:rPr>
        <w:lastRenderedPageBreak/>
        <w:t xml:space="preserve">1911 (as amended by the Act of 1989). In particular you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0740FA0A" w:rsidR="00C56AB2" w:rsidRPr="00272955" w:rsidRDefault="001B3756"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w:t>
      </w:r>
      <w:bookmarkStart w:id="486" w:name="_GoBack"/>
      <w:bookmarkEnd w:id="486"/>
      <w:r>
        <w:rPr>
          <w:rFonts w:cs="Arial"/>
          <w:sz w:val="24"/>
          <w:szCs w:val="24"/>
        </w:rPr>
        <w:t>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lastRenderedPageBreak/>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 xml:space="preserve">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w:t>
      </w:r>
      <w:r w:rsidRPr="00272955">
        <w:rPr>
          <w:rFonts w:cs="Arial"/>
          <w:color w:val="000000"/>
          <w:sz w:val="24"/>
          <w:szCs w:val="24"/>
        </w:rPr>
        <w:lastRenderedPageBreak/>
        <w:t>assessment/management and Cyber security requirements which can be found in the following links:</w:t>
      </w:r>
    </w:p>
    <w:p w14:paraId="3F848B70"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15. UK OFFICIAL and UK OFFICIAL-SENSITIVE documents may be distributed, both within and outside Contractor premises in such a way as to make sure that no 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21. The detailed functions that must be provided by an IT system to satisfy the minimum requirements cannot all be described here in specific detail; it is for the </w:t>
      </w:r>
      <w:r w:rsidRPr="00272955">
        <w:rPr>
          <w:rFonts w:cs="Arial"/>
          <w:color w:val="000000"/>
          <w:sz w:val="24"/>
          <w:szCs w:val="24"/>
        </w:rPr>
        <w:lastRenderedPageBreak/>
        <w:t>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or generating UK OFFICIAL or UK OFFICIAL-SENSITIVE information. The Contractor should ensure competent personnel apply 10 Steps to Cyber Security.</w:t>
      </w:r>
    </w:p>
    <w:p w14:paraId="326EECB4" w14:textId="77777777" w:rsidR="00C56AB2" w:rsidRPr="00272955" w:rsidRDefault="001B3756"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lastRenderedPageBreak/>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26. Unencrypted laptops and drives containing personal data are not to be taken outside of secure sites1. For the avoidance of doubt the term “drives” includes all 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1B3756"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1B3756"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1B3756"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1B3756">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5565"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5566"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5567"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5568"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5569"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5570"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5571"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5572"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1B3756">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1B3756">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5573"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5574"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5575"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1B3756">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1B3756">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7F9719C6"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1B3756">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0A277D31"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1B3756">
      <w:rPr>
        <w:rStyle w:val="PageNumber"/>
        <w:noProof/>
      </w:rPr>
      <w:t>126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75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5D7D"/>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A1F023-B255-47F2-9002-EA3DD171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147</Pages>
  <Words>46146</Words>
  <Characters>266619</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312141</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2022-09-13T08:13:00Z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