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CE" w:rsidRPr="00C52A96" w:rsidRDefault="00C52A96" w:rsidP="008049CE">
      <w:pPr>
        <w:pStyle w:val="Default"/>
        <w:rPr>
          <w:b/>
          <w:sz w:val="32"/>
          <w:szCs w:val="32"/>
        </w:rPr>
      </w:pPr>
      <w:bookmarkStart w:id="0" w:name="_GoBack"/>
      <w:bookmarkEnd w:id="0"/>
      <w:r w:rsidRPr="00C52A96">
        <w:rPr>
          <w:b/>
          <w:sz w:val="32"/>
          <w:szCs w:val="32"/>
        </w:rPr>
        <w:t>Director, Corporate Operations</w:t>
      </w:r>
    </w:p>
    <w:p w:rsidR="00C52A96" w:rsidRDefault="00C52A96" w:rsidP="00C52A96">
      <w:pPr>
        <w:pStyle w:val="Default"/>
        <w:spacing w:before="120" w:after="120"/>
        <w:rPr>
          <w:b/>
          <w:bCs/>
          <w:color w:val="auto"/>
        </w:rPr>
      </w:pPr>
    </w:p>
    <w:p w:rsidR="008049CE" w:rsidRPr="00C52A96" w:rsidRDefault="008049CE" w:rsidP="00C52A96">
      <w:pPr>
        <w:pStyle w:val="Default"/>
        <w:spacing w:before="120" w:after="120"/>
        <w:rPr>
          <w:color w:val="auto"/>
        </w:rPr>
      </w:pPr>
      <w:r w:rsidRPr="00C52A96">
        <w:rPr>
          <w:b/>
          <w:bCs/>
          <w:color w:val="auto"/>
        </w:rPr>
        <w:t xml:space="preserve">The role </w:t>
      </w:r>
    </w:p>
    <w:p w:rsidR="008049CE" w:rsidRPr="00C52A96" w:rsidRDefault="00C52A96" w:rsidP="00C52A96">
      <w:pPr>
        <w:pStyle w:val="Default"/>
        <w:spacing w:before="120" w:after="120"/>
        <w:rPr>
          <w:color w:val="auto"/>
        </w:rPr>
      </w:pPr>
      <w:r>
        <w:rPr>
          <w:b/>
          <w:bCs/>
          <w:color w:val="auto"/>
        </w:rPr>
        <w:t>P</w:t>
      </w:r>
      <w:r w:rsidR="008049CE" w:rsidRPr="00C52A96">
        <w:rPr>
          <w:b/>
          <w:bCs/>
          <w:color w:val="auto"/>
        </w:rPr>
        <w:t xml:space="preserve">urpose </w:t>
      </w:r>
    </w:p>
    <w:p w:rsidR="008049CE" w:rsidRPr="00C52A96" w:rsidRDefault="008049CE" w:rsidP="00C52A96">
      <w:pPr>
        <w:pStyle w:val="Default"/>
        <w:spacing w:before="120" w:after="120"/>
        <w:rPr>
          <w:color w:val="auto"/>
        </w:rPr>
      </w:pPr>
      <w:r w:rsidRPr="00C52A96">
        <w:rPr>
          <w:color w:val="auto"/>
        </w:rPr>
        <w:t xml:space="preserve">Working closely with the Chief Executive to lead the development of ORR’s capacity and capability to deliver both current and future duties, functions and objectives efficiently and effectively, achieving the goal of being a high-performing regulator. The Director, Corporate Operations and Organisational Development will provide strategic and operational leadership in the corporate operations activities of ORR to ensure the delivery of the support services and organisational change necessary to enable ORR to achieve its business objectives and to transform delivery. </w:t>
      </w:r>
    </w:p>
    <w:p w:rsidR="008049CE" w:rsidRPr="00C52A96" w:rsidRDefault="008049CE" w:rsidP="00C52A96">
      <w:pPr>
        <w:pStyle w:val="Default"/>
        <w:spacing w:before="120" w:after="120"/>
        <w:rPr>
          <w:color w:val="auto"/>
        </w:rPr>
      </w:pPr>
      <w:r w:rsidRPr="00C52A96">
        <w:rPr>
          <w:color w:val="auto"/>
        </w:rPr>
        <w:t xml:space="preserve">The ORR want to see a more integrated and effective approach to independent regulation of rail in the UK but are aware that they can only play that role if the ORR can convince </w:t>
      </w:r>
      <w:proofErr w:type="gramStart"/>
      <w:r w:rsidRPr="00C52A96">
        <w:rPr>
          <w:color w:val="auto"/>
        </w:rPr>
        <w:t>Government and the sector of its capability to undertake this.</w:t>
      </w:r>
      <w:proofErr w:type="gramEnd"/>
      <w:r w:rsidRPr="00C52A96">
        <w:rPr>
          <w:color w:val="auto"/>
        </w:rPr>
        <w:t xml:space="preserve"> This will involve understanding the commercial pressures on the sector and working with Network Rail (NR) and Train Operating Companies (TOCs) in innovative ways. </w:t>
      </w:r>
    </w:p>
    <w:p w:rsidR="008049CE" w:rsidRPr="00C52A96" w:rsidRDefault="008049CE" w:rsidP="00C52A96">
      <w:pPr>
        <w:pStyle w:val="Default"/>
        <w:spacing w:before="120" w:after="120"/>
        <w:rPr>
          <w:color w:val="auto"/>
        </w:rPr>
      </w:pPr>
      <w:r w:rsidRPr="00C52A96">
        <w:rPr>
          <w:b/>
          <w:bCs/>
          <w:color w:val="auto"/>
        </w:rPr>
        <w:t xml:space="preserve">Key requirements </w:t>
      </w:r>
    </w:p>
    <w:p w:rsidR="008049CE" w:rsidRPr="00C52A96" w:rsidRDefault="008049CE" w:rsidP="00C52A96">
      <w:pPr>
        <w:pStyle w:val="Default"/>
        <w:spacing w:before="120" w:after="120"/>
        <w:rPr>
          <w:color w:val="auto"/>
        </w:rPr>
      </w:pPr>
      <w:r w:rsidRPr="00C52A96">
        <w:rPr>
          <w:color w:val="auto"/>
        </w:rPr>
        <w:t xml:space="preserve">Working closely with the Chief Executive to raise the performance and efficiency of the ORR in delivering its strategic objectives, duties and functions, by embedding a culture of continuous improvement and by driving specific projects to achieve step changes in the organisation’s development, supported by effective management, governance and staff engagement. </w:t>
      </w:r>
    </w:p>
    <w:p w:rsidR="008049CE" w:rsidRPr="00C52A96" w:rsidRDefault="008049CE" w:rsidP="00C52A96">
      <w:pPr>
        <w:pStyle w:val="Default"/>
        <w:spacing w:before="120" w:after="120"/>
        <w:rPr>
          <w:color w:val="auto"/>
        </w:rPr>
      </w:pPr>
      <w:r w:rsidRPr="00C52A96">
        <w:rPr>
          <w:color w:val="auto"/>
        </w:rPr>
        <w:t xml:space="preserve">The Director, Corporate Operations and Organisational Development will have a significant leadership role in driving change to fulfil the ORR’s ambitions to quickly become best-in-class as a regulator, and is a great place to work. This will include: </w:t>
      </w:r>
    </w:p>
    <w:p w:rsidR="008049CE" w:rsidRPr="00C52A96" w:rsidRDefault="008049CE" w:rsidP="0016107B">
      <w:pPr>
        <w:pStyle w:val="Default"/>
        <w:numPr>
          <w:ilvl w:val="0"/>
          <w:numId w:val="1"/>
        </w:numPr>
        <w:spacing w:before="120" w:after="120"/>
        <w:rPr>
          <w:color w:val="auto"/>
        </w:rPr>
      </w:pPr>
      <w:r w:rsidRPr="00C52A96">
        <w:rPr>
          <w:color w:val="auto"/>
        </w:rPr>
        <w:t xml:space="preserve">significant change management to improve the operations, culture and dynamics of the organisation, making it a more fluid, collaborative and dynamic working environment – assessing with the Chief Executive the extent of structural change needed and then delivering on it; </w:t>
      </w:r>
    </w:p>
    <w:p w:rsidR="008049CE" w:rsidRPr="00C52A96" w:rsidRDefault="008049CE" w:rsidP="0016107B">
      <w:pPr>
        <w:pStyle w:val="Default"/>
        <w:numPr>
          <w:ilvl w:val="0"/>
          <w:numId w:val="1"/>
        </w:numPr>
        <w:spacing w:before="120" w:after="120"/>
        <w:rPr>
          <w:color w:val="auto"/>
        </w:rPr>
      </w:pPr>
      <w:proofErr w:type="gramStart"/>
      <w:r w:rsidRPr="00C52A96">
        <w:rPr>
          <w:color w:val="auto"/>
        </w:rPr>
        <w:t>development</w:t>
      </w:r>
      <w:proofErr w:type="gramEnd"/>
      <w:r w:rsidRPr="00C52A96">
        <w:rPr>
          <w:color w:val="auto"/>
        </w:rPr>
        <w:t xml:space="preserve"> of the ORR’s business management system to embed active and dynamic management of our resources, both in-year and between years; and working with the Chief Executive and Directors to make sure priorities are delivered and allocate effort across activities accordingly. Cutting out overlapping and unnecessarily burdensome bureaucracy in the process. </w:t>
      </w:r>
    </w:p>
    <w:p w:rsidR="008049CE" w:rsidRPr="00C52A96" w:rsidRDefault="008049CE" w:rsidP="00C52A96">
      <w:pPr>
        <w:pStyle w:val="Default"/>
        <w:spacing w:before="120" w:after="120"/>
        <w:rPr>
          <w:color w:val="auto"/>
        </w:rPr>
      </w:pPr>
      <w:r w:rsidRPr="00C52A96">
        <w:rPr>
          <w:color w:val="auto"/>
        </w:rPr>
        <w:t xml:space="preserve">Working with Directors and Corporate Operations staff in delivering key strategic initiatives to ensure effective and efficient operations thus enabling ORR’s outward facing activities to be carried out efficiently, in particular to ensure that there is in place: </w:t>
      </w:r>
    </w:p>
    <w:p w:rsidR="0016107B" w:rsidRDefault="008049CE" w:rsidP="00C52A96">
      <w:pPr>
        <w:pStyle w:val="Default"/>
        <w:numPr>
          <w:ilvl w:val="0"/>
          <w:numId w:val="5"/>
        </w:numPr>
        <w:spacing w:before="120" w:after="120"/>
        <w:rPr>
          <w:color w:val="auto"/>
        </w:rPr>
      </w:pPr>
      <w:r w:rsidRPr="00C52A96">
        <w:rPr>
          <w:color w:val="auto"/>
        </w:rPr>
        <w:t>business and workforce planning and robust in-year management, both firmly aligned to ORR’s strategic objectives; identifying and producing actionable management information on risks, mitigations, resource need, deployment and pressures, giving advice to the Executive Committee and the CEO on management actions needed to ensure delivery of activity towards the strategic objectives which represents VFM and maximises the sustained improvement in outcomes achievable with the resources available;</w:t>
      </w:r>
    </w:p>
    <w:p w:rsidR="0016107B" w:rsidRDefault="008049CE" w:rsidP="00C52A96">
      <w:pPr>
        <w:pStyle w:val="Default"/>
        <w:numPr>
          <w:ilvl w:val="0"/>
          <w:numId w:val="5"/>
        </w:numPr>
        <w:spacing w:before="120" w:after="120"/>
        <w:rPr>
          <w:color w:val="auto"/>
        </w:rPr>
      </w:pPr>
      <w:r w:rsidRPr="0016107B">
        <w:rPr>
          <w:color w:val="auto"/>
        </w:rPr>
        <w:t xml:space="preserve">robust management and financial accounting systems ensuring ORR’s resources are well-managed, matching priorities and are delivered to budget, ensuring that the Chief Executive is able to perform their duties as Accounting Officer; </w:t>
      </w:r>
    </w:p>
    <w:p w:rsidR="00F27917" w:rsidRDefault="00F27917" w:rsidP="00F27917">
      <w:pPr>
        <w:pStyle w:val="Default"/>
        <w:spacing w:before="120" w:after="120"/>
        <w:ind w:left="720"/>
        <w:rPr>
          <w:color w:val="auto"/>
        </w:rPr>
      </w:pPr>
    </w:p>
    <w:p w:rsidR="0016107B" w:rsidRDefault="008049CE" w:rsidP="00C52A96">
      <w:pPr>
        <w:pStyle w:val="Default"/>
        <w:numPr>
          <w:ilvl w:val="0"/>
          <w:numId w:val="5"/>
        </w:numPr>
        <w:spacing w:before="120" w:after="120"/>
        <w:rPr>
          <w:color w:val="auto"/>
        </w:rPr>
      </w:pPr>
      <w:r w:rsidRPr="0016107B">
        <w:rPr>
          <w:color w:val="auto"/>
        </w:rPr>
        <w:lastRenderedPageBreak/>
        <w:t xml:space="preserve">effective programme and project management for the organisation, proportionate to our policy and regulatory functions, and fully aligned to ORR’s business management system; </w:t>
      </w:r>
    </w:p>
    <w:p w:rsidR="0016107B" w:rsidRDefault="008049CE" w:rsidP="00C52A96">
      <w:pPr>
        <w:pStyle w:val="Default"/>
        <w:numPr>
          <w:ilvl w:val="0"/>
          <w:numId w:val="5"/>
        </w:numPr>
        <w:spacing w:before="120" w:after="120"/>
        <w:rPr>
          <w:color w:val="auto"/>
        </w:rPr>
      </w:pPr>
      <w:r w:rsidRPr="0016107B">
        <w:rPr>
          <w:color w:val="auto"/>
        </w:rPr>
        <w:t xml:space="preserve">development of ORR’s Business Management System to inform executives’ decision-making, assess progress against plans, risks and their mitigation and resource deployment; and allowing the Board to undertake its oversight role; </w:t>
      </w:r>
    </w:p>
    <w:p w:rsidR="0016107B" w:rsidRDefault="008049CE" w:rsidP="00C52A96">
      <w:pPr>
        <w:pStyle w:val="Default"/>
        <w:numPr>
          <w:ilvl w:val="0"/>
          <w:numId w:val="5"/>
        </w:numPr>
        <w:spacing w:before="120" w:after="120"/>
        <w:rPr>
          <w:color w:val="auto"/>
        </w:rPr>
      </w:pPr>
      <w:r w:rsidRPr="0016107B">
        <w:rPr>
          <w:color w:val="auto"/>
        </w:rPr>
        <w:t xml:space="preserve">ensuring that the ORR has information and management systems needed to meet its business needs – including driving performance measures for the organisation in a form of dashboards suitable for review of high level key indicators; and </w:t>
      </w:r>
    </w:p>
    <w:p w:rsidR="008049CE" w:rsidRPr="0016107B" w:rsidRDefault="008049CE" w:rsidP="00C52A96">
      <w:pPr>
        <w:pStyle w:val="Default"/>
        <w:numPr>
          <w:ilvl w:val="0"/>
          <w:numId w:val="5"/>
        </w:numPr>
        <w:spacing w:before="120" w:after="120"/>
        <w:rPr>
          <w:color w:val="auto"/>
        </w:rPr>
      </w:pPr>
      <w:proofErr w:type="gramStart"/>
      <w:r w:rsidRPr="0016107B">
        <w:rPr>
          <w:color w:val="auto"/>
        </w:rPr>
        <w:t>processes</w:t>
      </w:r>
      <w:proofErr w:type="gramEnd"/>
      <w:r w:rsidRPr="0016107B">
        <w:rPr>
          <w:color w:val="auto"/>
        </w:rPr>
        <w:t xml:space="preserve"> and techniques to ensure the ongoing availability of high quality, appropriately skilled staff to meet business needs, including resource planning, talent management and succession planning within a multi-year people strategy. </w:t>
      </w:r>
    </w:p>
    <w:p w:rsidR="008049CE" w:rsidRPr="00C52A96" w:rsidRDefault="008049CE" w:rsidP="00C52A96">
      <w:pPr>
        <w:pStyle w:val="Default"/>
        <w:spacing w:before="120" w:after="120"/>
        <w:rPr>
          <w:color w:val="auto"/>
        </w:rPr>
      </w:pPr>
      <w:r w:rsidRPr="00C52A96">
        <w:rPr>
          <w:color w:val="auto"/>
        </w:rPr>
        <w:t xml:space="preserve">Collaborate with the Chief Executive in the overall administration of ORR whilst ensuring that the formal responsibilities of the Accounting Officer are not compromised. </w:t>
      </w:r>
    </w:p>
    <w:p w:rsidR="008049CE" w:rsidRPr="00C52A96" w:rsidRDefault="008049CE" w:rsidP="00C52A96">
      <w:pPr>
        <w:pStyle w:val="Default"/>
        <w:spacing w:before="120" w:after="120"/>
        <w:rPr>
          <w:color w:val="auto"/>
        </w:rPr>
      </w:pPr>
      <w:r w:rsidRPr="00C52A96">
        <w:rPr>
          <w:color w:val="auto"/>
        </w:rPr>
        <w:t xml:space="preserve">Leading planning and processes to ensure ORR operational and financial goals are agreed and delivered. </w:t>
      </w:r>
    </w:p>
    <w:p w:rsidR="008049CE" w:rsidRPr="00C52A96" w:rsidRDefault="008049CE" w:rsidP="0016107B">
      <w:pPr>
        <w:pStyle w:val="Default"/>
        <w:numPr>
          <w:ilvl w:val="0"/>
          <w:numId w:val="6"/>
        </w:numPr>
        <w:spacing w:before="120" w:after="120"/>
        <w:rPr>
          <w:color w:val="auto"/>
        </w:rPr>
      </w:pPr>
      <w:r w:rsidRPr="00C52A96">
        <w:rPr>
          <w:color w:val="auto"/>
        </w:rPr>
        <w:t xml:space="preserve">lead the development and delivery of an ICT strategy which enables the ORRs staff to deliver efficiently and effectively, complies to appropriate security requirements and delivers good value for money to the organisation; </w:t>
      </w:r>
    </w:p>
    <w:p w:rsidR="008049CE" w:rsidRPr="00C52A96" w:rsidRDefault="008049CE" w:rsidP="0016107B">
      <w:pPr>
        <w:pStyle w:val="Default"/>
        <w:numPr>
          <w:ilvl w:val="0"/>
          <w:numId w:val="6"/>
        </w:numPr>
        <w:spacing w:before="120" w:after="120"/>
        <w:rPr>
          <w:color w:val="auto"/>
        </w:rPr>
      </w:pPr>
      <w:r w:rsidRPr="00C52A96">
        <w:rPr>
          <w:color w:val="auto"/>
        </w:rPr>
        <w:t xml:space="preserve">develop fit for purpose operational processes that create and efficient and effective work environment, whilst acting as a catalyst for change; </w:t>
      </w:r>
    </w:p>
    <w:p w:rsidR="008049CE" w:rsidRPr="00C52A96" w:rsidRDefault="008049CE" w:rsidP="0016107B">
      <w:pPr>
        <w:pStyle w:val="Default"/>
        <w:numPr>
          <w:ilvl w:val="0"/>
          <w:numId w:val="6"/>
        </w:numPr>
        <w:spacing w:before="120" w:after="120"/>
        <w:rPr>
          <w:color w:val="auto"/>
        </w:rPr>
      </w:pPr>
      <w:r w:rsidRPr="00C52A96">
        <w:rPr>
          <w:color w:val="auto"/>
        </w:rPr>
        <w:t xml:space="preserve">work with individual Directors to optimise performance and deliver an assurance process which demonstrates this to the satisfaction of the CEO and the Board; </w:t>
      </w:r>
    </w:p>
    <w:p w:rsidR="008049CE" w:rsidRPr="00C52A96" w:rsidRDefault="008049CE" w:rsidP="0016107B">
      <w:pPr>
        <w:pStyle w:val="Default"/>
        <w:numPr>
          <w:ilvl w:val="0"/>
          <w:numId w:val="6"/>
        </w:numPr>
        <w:spacing w:before="120" w:after="120"/>
        <w:rPr>
          <w:color w:val="auto"/>
        </w:rPr>
      </w:pPr>
      <w:r w:rsidRPr="00C52A96">
        <w:rPr>
          <w:color w:val="auto"/>
        </w:rPr>
        <w:t xml:space="preserve">work to ensure close alignment with the Chief Executive on approach to organisational delivery and performance to ensure consistency of approach and messaging; and </w:t>
      </w:r>
    </w:p>
    <w:p w:rsidR="008049CE" w:rsidRPr="00C52A96" w:rsidRDefault="008049CE" w:rsidP="0016107B">
      <w:pPr>
        <w:pStyle w:val="Default"/>
        <w:numPr>
          <w:ilvl w:val="0"/>
          <w:numId w:val="6"/>
        </w:numPr>
        <w:spacing w:before="120" w:after="120"/>
        <w:rPr>
          <w:color w:val="auto"/>
        </w:rPr>
      </w:pPr>
      <w:proofErr w:type="gramStart"/>
      <w:r w:rsidRPr="00C52A96">
        <w:rPr>
          <w:color w:val="auto"/>
        </w:rPr>
        <w:t>as</w:t>
      </w:r>
      <w:proofErr w:type="gramEnd"/>
      <w:r w:rsidRPr="00C52A96">
        <w:rPr>
          <w:color w:val="auto"/>
        </w:rPr>
        <w:t xml:space="preserve"> a member of the Executive Committee playing a full role in decision making and in the management of ORR, taking personal responsibility as required for key operational initiatives and their successful delivery. </w:t>
      </w:r>
    </w:p>
    <w:p w:rsidR="0016107B" w:rsidRDefault="0016107B" w:rsidP="00C52A96">
      <w:pPr>
        <w:pStyle w:val="Default"/>
        <w:spacing w:before="120" w:after="120"/>
        <w:rPr>
          <w:b/>
          <w:bCs/>
          <w:color w:val="auto"/>
        </w:rPr>
      </w:pPr>
    </w:p>
    <w:p w:rsidR="008049CE" w:rsidRPr="00C52A96" w:rsidRDefault="008049CE" w:rsidP="00C52A96">
      <w:pPr>
        <w:pStyle w:val="Default"/>
        <w:spacing w:before="120" w:after="120"/>
        <w:rPr>
          <w:color w:val="auto"/>
        </w:rPr>
      </w:pPr>
      <w:r w:rsidRPr="00C52A96">
        <w:rPr>
          <w:b/>
          <w:bCs/>
          <w:color w:val="auto"/>
        </w:rPr>
        <w:t xml:space="preserve">Person specification </w:t>
      </w:r>
    </w:p>
    <w:p w:rsidR="008049CE" w:rsidRPr="00C52A96" w:rsidRDefault="008049CE" w:rsidP="00C52A96">
      <w:pPr>
        <w:pStyle w:val="Default"/>
        <w:spacing w:before="120" w:after="120"/>
        <w:rPr>
          <w:color w:val="auto"/>
        </w:rPr>
      </w:pPr>
      <w:r w:rsidRPr="00C52A96">
        <w:rPr>
          <w:b/>
          <w:bCs/>
          <w:color w:val="auto"/>
        </w:rPr>
        <w:t xml:space="preserve">Knowledge and experience </w:t>
      </w:r>
    </w:p>
    <w:p w:rsidR="008049CE" w:rsidRPr="00C52A96" w:rsidRDefault="008049CE" w:rsidP="00C52A96">
      <w:pPr>
        <w:pStyle w:val="Default"/>
        <w:spacing w:before="120" w:after="120"/>
        <w:rPr>
          <w:color w:val="auto"/>
        </w:rPr>
      </w:pPr>
      <w:r w:rsidRPr="00C52A96">
        <w:rPr>
          <w:color w:val="auto"/>
        </w:rPr>
        <w:t xml:space="preserve">This is a senior and demanding job. To be successful in it, candidates must be able to demonstrate senior-level experience of: </w:t>
      </w:r>
    </w:p>
    <w:p w:rsidR="008049CE" w:rsidRPr="00C52A96" w:rsidRDefault="008049CE" w:rsidP="00C52A96">
      <w:pPr>
        <w:pStyle w:val="Default"/>
        <w:spacing w:before="120" w:after="120"/>
        <w:rPr>
          <w:color w:val="auto"/>
        </w:rPr>
      </w:pPr>
      <w:r w:rsidRPr="00C52A96">
        <w:rPr>
          <w:b/>
          <w:bCs/>
          <w:color w:val="auto"/>
        </w:rPr>
        <w:t xml:space="preserve">Essential </w:t>
      </w:r>
    </w:p>
    <w:p w:rsidR="008049CE" w:rsidRPr="00C52A96" w:rsidRDefault="008049CE" w:rsidP="0016107B">
      <w:pPr>
        <w:pStyle w:val="Default"/>
        <w:numPr>
          <w:ilvl w:val="0"/>
          <w:numId w:val="7"/>
        </w:numPr>
        <w:spacing w:before="120" w:after="120"/>
        <w:rPr>
          <w:color w:val="auto"/>
        </w:rPr>
      </w:pPr>
      <w:r w:rsidRPr="00C52A96">
        <w:rPr>
          <w:color w:val="auto"/>
        </w:rPr>
        <w:t xml:space="preserve">operational leadership gained within either the public, private or third sectors; </w:t>
      </w:r>
    </w:p>
    <w:p w:rsidR="0016107B" w:rsidRDefault="008049CE" w:rsidP="0016107B">
      <w:pPr>
        <w:pStyle w:val="Default"/>
        <w:numPr>
          <w:ilvl w:val="0"/>
          <w:numId w:val="7"/>
        </w:numPr>
        <w:spacing w:before="120" w:after="120"/>
        <w:rPr>
          <w:color w:val="auto"/>
        </w:rPr>
      </w:pPr>
      <w:r w:rsidRPr="00C52A96">
        <w:rPr>
          <w:color w:val="auto"/>
        </w:rPr>
        <w:t xml:space="preserve">designing and delivering organisational change to achieve substantial gains in organisational performance; </w:t>
      </w:r>
    </w:p>
    <w:p w:rsidR="008049CE" w:rsidRPr="00C52A96" w:rsidRDefault="008049CE" w:rsidP="0016107B">
      <w:pPr>
        <w:pStyle w:val="Default"/>
        <w:numPr>
          <w:ilvl w:val="0"/>
          <w:numId w:val="7"/>
        </w:numPr>
        <w:spacing w:before="120" w:after="120"/>
        <w:rPr>
          <w:color w:val="auto"/>
        </w:rPr>
      </w:pPr>
      <w:r w:rsidRPr="00C52A96">
        <w:rPr>
          <w:color w:val="auto"/>
        </w:rPr>
        <w:t xml:space="preserve">working with Board / senior management teams / Chief Executives or equivalent; </w:t>
      </w:r>
    </w:p>
    <w:p w:rsidR="008049CE" w:rsidRPr="00C52A96" w:rsidRDefault="008049CE" w:rsidP="00C52A96">
      <w:pPr>
        <w:pStyle w:val="Default"/>
        <w:pageBreakBefore/>
        <w:spacing w:before="120" w:after="120"/>
        <w:rPr>
          <w:color w:val="auto"/>
        </w:rPr>
      </w:pPr>
    </w:p>
    <w:p w:rsidR="008049CE" w:rsidRPr="00C52A96" w:rsidRDefault="008049CE" w:rsidP="0016107B">
      <w:pPr>
        <w:pStyle w:val="Default"/>
        <w:numPr>
          <w:ilvl w:val="0"/>
          <w:numId w:val="7"/>
        </w:numPr>
        <w:spacing w:before="120" w:after="120"/>
        <w:rPr>
          <w:color w:val="auto"/>
        </w:rPr>
      </w:pPr>
      <w:r w:rsidRPr="00C52A96">
        <w:rPr>
          <w:color w:val="auto"/>
        </w:rPr>
        <w:t xml:space="preserve">a proven and successful track record of leading work in at least one of the major functional areas: IT, Finance, HR; and </w:t>
      </w:r>
    </w:p>
    <w:p w:rsidR="008049CE" w:rsidRPr="00C52A96" w:rsidRDefault="008049CE" w:rsidP="0016107B">
      <w:pPr>
        <w:pStyle w:val="Default"/>
        <w:numPr>
          <w:ilvl w:val="0"/>
          <w:numId w:val="7"/>
        </w:numPr>
        <w:spacing w:before="120" w:after="120"/>
        <w:rPr>
          <w:color w:val="auto"/>
        </w:rPr>
      </w:pPr>
      <w:proofErr w:type="gramStart"/>
      <w:r w:rsidRPr="00C52A96">
        <w:rPr>
          <w:color w:val="auto"/>
        </w:rPr>
        <w:t>managerial</w:t>
      </w:r>
      <w:proofErr w:type="gramEnd"/>
      <w:r w:rsidRPr="00C52A96">
        <w:rPr>
          <w:color w:val="auto"/>
        </w:rPr>
        <w:t xml:space="preserve"> experience of working with highly capable and high level teams, central to enabling the strategic direction of a commercial or public sector organisation. </w:t>
      </w:r>
    </w:p>
    <w:p w:rsidR="008049CE" w:rsidRPr="00C52A96" w:rsidRDefault="008049CE" w:rsidP="00C52A96">
      <w:pPr>
        <w:pStyle w:val="Default"/>
        <w:spacing w:before="120" w:after="120"/>
        <w:rPr>
          <w:color w:val="auto"/>
        </w:rPr>
      </w:pPr>
    </w:p>
    <w:p w:rsidR="008049CE" w:rsidRPr="00C52A96" w:rsidRDefault="008049CE" w:rsidP="00C52A96">
      <w:pPr>
        <w:pStyle w:val="Default"/>
        <w:spacing w:before="120" w:after="120"/>
        <w:rPr>
          <w:color w:val="auto"/>
        </w:rPr>
      </w:pPr>
      <w:r w:rsidRPr="00C52A96">
        <w:rPr>
          <w:b/>
          <w:bCs/>
          <w:color w:val="auto"/>
        </w:rPr>
        <w:t xml:space="preserve">Desirable </w:t>
      </w:r>
    </w:p>
    <w:p w:rsidR="008049CE" w:rsidRPr="00C52A96" w:rsidRDefault="008049CE" w:rsidP="0016107B">
      <w:pPr>
        <w:pStyle w:val="Default"/>
        <w:numPr>
          <w:ilvl w:val="0"/>
          <w:numId w:val="8"/>
        </w:numPr>
        <w:spacing w:before="120" w:after="120"/>
        <w:rPr>
          <w:color w:val="auto"/>
        </w:rPr>
      </w:pPr>
      <w:r w:rsidRPr="00C52A96">
        <w:rPr>
          <w:color w:val="auto"/>
        </w:rPr>
        <w:t xml:space="preserve">familiarity with the role of regulation and its interface with business in achieving better outcomes for the public; and of ways in which the organisational development of a regulatory body can achieve continuous improvements in its performance; and/or </w:t>
      </w:r>
    </w:p>
    <w:p w:rsidR="008049CE" w:rsidRPr="00C52A96" w:rsidRDefault="008049CE" w:rsidP="0016107B">
      <w:pPr>
        <w:pStyle w:val="Default"/>
        <w:numPr>
          <w:ilvl w:val="0"/>
          <w:numId w:val="8"/>
        </w:numPr>
        <w:spacing w:before="120" w:after="120"/>
        <w:rPr>
          <w:color w:val="auto"/>
        </w:rPr>
      </w:pPr>
      <w:proofErr w:type="gramStart"/>
      <w:r w:rsidRPr="00C52A96">
        <w:rPr>
          <w:color w:val="auto"/>
        </w:rPr>
        <w:t>a</w:t>
      </w:r>
      <w:proofErr w:type="gramEnd"/>
      <w:r w:rsidRPr="00C52A96">
        <w:rPr>
          <w:color w:val="auto"/>
        </w:rPr>
        <w:t xml:space="preserve"> finance qualification. </w:t>
      </w:r>
    </w:p>
    <w:p w:rsidR="008049CE" w:rsidRPr="00C52A96" w:rsidRDefault="008049CE" w:rsidP="00C52A96">
      <w:pPr>
        <w:pStyle w:val="Default"/>
        <w:spacing w:before="120" w:after="120"/>
        <w:rPr>
          <w:color w:val="auto"/>
        </w:rPr>
      </w:pPr>
    </w:p>
    <w:p w:rsidR="008049CE" w:rsidRPr="00C52A96" w:rsidRDefault="008049CE" w:rsidP="00C52A96">
      <w:pPr>
        <w:pStyle w:val="Default"/>
        <w:spacing w:before="120" w:after="120"/>
        <w:rPr>
          <w:color w:val="auto"/>
        </w:rPr>
      </w:pPr>
      <w:r w:rsidRPr="00C52A96">
        <w:rPr>
          <w:b/>
          <w:bCs/>
          <w:color w:val="auto"/>
        </w:rPr>
        <w:t xml:space="preserve">Skills and personal qualities </w:t>
      </w:r>
    </w:p>
    <w:p w:rsidR="008049CE" w:rsidRPr="00C52A96" w:rsidRDefault="008049CE" w:rsidP="0016107B">
      <w:pPr>
        <w:pStyle w:val="Default"/>
        <w:numPr>
          <w:ilvl w:val="0"/>
          <w:numId w:val="9"/>
        </w:numPr>
        <w:spacing w:before="120" w:after="120"/>
        <w:rPr>
          <w:color w:val="auto"/>
        </w:rPr>
      </w:pPr>
      <w:proofErr w:type="gramStart"/>
      <w:r w:rsidRPr="00C52A96">
        <w:rPr>
          <w:color w:val="auto"/>
        </w:rPr>
        <w:t>an</w:t>
      </w:r>
      <w:proofErr w:type="gramEnd"/>
      <w:r w:rsidRPr="00C52A96">
        <w:rPr>
          <w:color w:val="auto"/>
        </w:rPr>
        <w:t xml:space="preserve"> excellent communicator with proven ability to operate at the highest level in an organisation facing critical business challenges. </w:t>
      </w:r>
    </w:p>
    <w:p w:rsidR="008049CE" w:rsidRPr="00C52A96" w:rsidRDefault="008049CE" w:rsidP="0016107B">
      <w:pPr>
        <w:pStyle w:val="Default"/>
        <w:numPr>
          <w:ilvl w:val="0"/>
          <w:numId w:val="9"/>
        </w:numPr>
        <w:spacing w:before="120" w:after="120"/>
        <w:rPr>
          <w:color w:val="auto"/>
        </w:rPr>
      </w:pPr>
      <w:proofErr w:type="gramStart"/>
      <w:r w:rsidRPr="00C52A96">
        <w:rPr>
          <w:color w:val="auto"/>
        </w:rPr>
        <w:t>an</w:t>
      </w:r>
      <w:proofErr w:type="gramEnd"/>
      <w:r w:rsidRPr="00C52A96">
        <w:rPr>
          <w:color w:val="auto"/>
        </w:rPr>
        <w:t xml:space="preserve"> influencer – someone who has high emotional intelligence and excellent stakeholder management skills with a track record of adding value at both a strategic and operational level. </w:t>
      </w:r>
    </w:p>
    <w:p w:rsidR="008049CE" w:rsidRPr="00C52A96" w:rsidRDefault="008049CE" w:rsidP="0016107B">
      <w:pPr>
        <w:pStyle w:val="Default"/>
        <w:numPr>
          <w:ilvl w:val="0"/>
          <w:numId w:val="9"/>
        </w:numPr>
        <w:spacing w:before="120" w:after="120"/>
        <w:rPr>
          <w:color w:val="auto"/>
        </w:rPr>
      </w:pPr>
      <w:proofErr w:type="gramStart"/>
      <w:r w:rsidRPr="00C52A96">
        <w:rPr>
          <w:color w:val="auto"/>
        </w:rPr>
        <w:t>a</w:t>
      </w:r>
      <w:proofErr w:type="gramEnd"/>
      <w:r w:rsidRPr="00C52A96">
        <w:rPr>
          <w:color w:val="auto"/>
        </w:rPr>
        <w:t xml:space="preserve"> strategic thinker – with the ability to conceptualise a long-term vision and translate it into operational delivery to bring about tangible improvements. </w:t>
      </w:r>
    </w:p>
    <w:p w:rsidR="008049CE" w:rsidRPr="00C52A96" w:rsidRDefault="008049CE" w:rsidP="0016107B">
      <w:pPr>
        <w:pStyle w:val="Default"/>
        <w:numPr>
          <w:ilvl w:val="0"/>
          <w:numId w:val="9"/>
        </w:numPr>
        <w:spacing w:before="120" w:after="120"/>
        <w:rPr>
          <w:color w:val="auto"/>
        </w:rPr>
      </w:pPr>
      <w:proofErr w:type="gramStart"/>
      <w:r w:rsidRPr="00C52A96">
        <w:rPr>
          <w:color w:val="auto"/>
        </w:rPr>
        <w:t>an</w:t>
      </w:r>
      <w:proofErr w:type="gramEnd"/>
      <w:r w:rsidRPr="00C52A96">
        <w:rPr>
          <w:color w:val="auto"/>
        </w:rPr>
        <w:t xml:space="preserve"> inspiring leader – of a broad range of people and teams, an advocate of the organisation’s position more broadly, achieving commitment to and engagement in the organisation’s vision. </w:t>
      </w:r>
    </w:p>
    <w:p w:rsidR="008049CE" w:rsidRPr="00C52A96" w:rsidRDefault="008049CE" w:rsidP="0016107B">
      <w:pPr>
        <w:pStyle w:val="Default"/>
        <w:numPr>
          <w:ilvl w:val="0"/>
          <w:numId w:val="9"/>
        </w:numPr>
        <w:spacing w:before="120" w:after="120"/>
        <w:rPr>
          <w:color w:val="auto"/>
        </w:rPr>
      </w:pPr>
      <w:r w:rsidRPr="00C52A96">
        <w:rPr>
          <w:color w:val="auto"/>
        </w:rPr>
        <w:t xml:space="preserve">incisive and robust – is prepared to challenge convention and can take responsibility for difficult decisions on a wide range of issues and must be able to present and stand up for these. </w:t>
      </w:r>
    </w:p>
    <w:p w:rsidR="008049CE" w:rsidRPr="00C52A96" w:rsidRDefault="008049CE" w:rsidP="0016107B">
      <w:pPr>
        <w:pStyle w:val="Default"/>
        <w:numPr>
          <w:ilvl w:val="0"/>
          <w:numId w:val="9"/>
        </w:numPr>
        <w:spacing w:before="120" w:after="120"/>
        <w:rPr>
          <w:color w:val="auto"/>
        </w:rPr>
      </w:pPr>
      <w:proofErr w:type="gramStart"/>
      <w:r w:rsidRPr="00C52A96">
        <w:rPr>
          <w:color w:val="auto"/>
        </w:rPr>
        <w:t>a</w:t>
      </w:r>
      <w:proofErr w:type="gramEnd"/>
      <w:r w:rsidRPr="00C52A96">
        <w:rPr>
          <w:color w:val="auto"/>
        </w:rPr>
        <w:t xml:space="preserve"> diversity champion – a clear advocate of diversity and the benefits it brings.</w:t>
      </w:r>
    </w:p>
    <w:p w:rsidR="00FF2FA0" w:rsidRPr="00C52A96" w:rsidRDefault="00FF2FA0" w:rsidP="00C52A96">
      <w:pPr>
        <w:spacing w:before="120" w:after="120"/>
        <w:rPr>
          <w:rFonts w:ascii="Arial" w:hAnsi="Arial" w:cs="Arial"/>
          <w:sz w:val="24"/>
          <w:szCs w:val="24"/>
        </w:rPr>
      </w:pPr>
    </w:p>
    <w:sectPr w:rsidR="00FF2FA0" w:rsidRPr="00C52A96" w:rsidSect="00140808">
      <w:pgSz w:w="11906" w:h="16838"/>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227"/>
    <w:multiLevelType w:val="hybridMultilevel"/>
    <w:tmpl w:val="B9C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D65993"/>
    <w:multiLevelType w:val="hybridMultilevel"/>
    <w:tmpl w:val="82323DF2"/>
    <w:lvl w:ilvl="0" w:tplc="779E77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0A7739"/>
    <w:multiLevelType w:val="hybridMultilevel"/>
    <w:tmpl w:val="0C5E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2212D4"/>
    <w:multiLevelType w:val="hybridMultilevel"/>
    <w:tmpl w:val="F55C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3C6DC7"/>
    <w:multiLevelType w:val="hybridMultilevel"/>
    <w:tmpl w:val="8070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830B4F"/>
    <w:multiLevelType w:val="hybridMultilevel"/>
    <w:tmpl w:val="06B8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C40A6B"/>
    <w:multiLevelType w:val="hybridMultilevel"/>
    <w:tmpl w:val="A118C562"/>
    <w:lvl w:ilvl="0" w:tplc="779E77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C00BB5"/>
    <w:multiLevelType w:val="hybridMultilevel"/>
    <w:tmpl w:val="B906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9D512D"/>
    <w:multiLevelType w:val="hybridMultilevel"/>
    <w:tmpl w:val="013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2"/>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9CE"/>
    <w:rsid w:val="0016107B"/>
    <w:rsid w:val="006C530E"/>
    <w:rsid w:val="008049CE"/>
    <w:rsid w:val="00C52A96"/>
    <w:rsid w:val="00D70AA7"/>
    <w:rsid w:val="00DB6C1A"/>
    <w:rsid w:val="00F27917"/>
    <w:rsid w:val="00FF2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49C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49C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6274</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Office Of Rail Regulation</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David</dc:creator>
  <cp:lastModifiedBy>Gamble, Peter</cp:lastModifiedBy>
  <cp:revision>2</cp:revision>
  <dcterms:created xsi:type="dcterms:W3CDTF">2017-01-18T16:15:00Z</dcterms:created>
  <dcterms:modified xsi:type="dcterms:W3CDTF">2017-01-18T16:15:00Z</dcterms:modified>
</cp:coreProperties>
</file>