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064" w:rsidRPr="00663064" w:rsidRDefault="00663064" w:rsidP="00663064">
      <w:pPr>
        <w:spacing w:after="120" w:line="240" w:lineRule="auto"/>
        <w:contextualSpacing/>
        <w:rPr>
          <w:b/>
          <w:color w:val="1F497D"/>
          <w:sz w:val="22"/>
          <w:szCs w:val="22"/>
        </w:rPr>
      </w:pPr>
      <w:bookmarkStart w:id="0" w:name="_GoBack"/>
      <w:bookmarkEnd w:id="0"/>
      <w:r w:rsidRPr="00663064">
        <w:rPr>
          <w:b/>
          <w:color w:val="1F497D"/>
          <w:sz w:val="22"/>
          <w:szCs w:val="22"/>
        </w:rPr>
        <w:t>INVITATION TO TENDER (ITT) for delivering and managing the Fosterline service in England</w:t>
      </w:r>
    </w:p>
    <w:p w:rsidR="00663064" w:rsidRPr="00663064" w:rsidRDefault="00663064" w:rsidP="00663064">
      <w:pPr>
        <w:spacing w:after="120" w:line="240" w:lineRule="auto"/>
        <w:contextualSpacing/>
        <w:rPr>
          <w:b/>
          <w:color w:val="1F497D"/>
          <w:sz w:val="22"/>
          <w:szCs w:val="22"/>
        </w:rPr>
      </w:pPr>
    </w:p>
    <w:p w:rsidR="00637912" w:rsidRPr="00637912" w:rsidRDefault="00637912" w:rsidP="00637912">
      <w:pPr>
        <w:spacing w:after="0" w:line="240" w:lineRule="auto"/>
        <w:rPr>
          <w:rFonts w:ascii="Calibri" w:eastAsia="Calibri" w:hAnsi="Calibri" w:cs="Times New Roman"/>
          <w:b/>
          <w:bCs/>
          <w:color w:val="FF0000"/>
          <w:sz w:val="32"/>
          <w:szCs w:val="32"/>
        </w:rPr>
      </w:pPr>
      <w:r w:rsidRPr="00637912">
        <w:rPr>
          <w:rFonts w:ascii="Calibri" w:eastAsia="Calibri" w:hAnsi="Calibri" w:cs="Times New Roman"/>
          <w:b/>
          <w:bCs/>
          <w:color w:val="FF0000"/>
          <w:sz w:val="32"/>
          <w:szCs w:val="32"/>
        </w:rPr>
        <w:t>PAGE LIMIT – Important change to instructions regarding page limit</w:t>
      </w:r>
    </w:p>
    <w:p w:rsidR="00637912" w:rsidRPr="00637912" w:rsidRDefault="00637912" w:rsidP="00637912">
      <w:pPr>
        <w:spacing w:after="0" w:line="240" w:lineRule="auto"/>
        <w:rPr>
          <w:rFonts w:ascii="Calibri" w:eastAsia="Calibri" w:hAnsi="Calibri" w:cs="Times New Roman"/>
          <w:b/>
          <w:bCs/>
          <w:color w:val="FF0000"/>
          <w:sz w:val="32"/>
          <w:szCs w:val="32"/>
        </w:rPr>
      </w:pPr>
    </w:p>
    <w:p w:rsidR="00637912" w:rsidRPr="00637912" w:rsidRDefault="00637912" w:rsidP="00637912">
      <w:pPr>
        <w:spacing w:after="0" w:line="240" w:lineRule="auto"/>
        <w:rPr>
          <w:rFonts w:ascii="Calibri" w:eastAsia="Calibri" w:hAnsi="Calibri" w:cs="Times New Roman"/>
          <w:color w:val="FF0000"/>
          <w:sz w:val="28"/>
          <w:szCs w:val="28"/>
        </w:rPr>
      </w:pPr>
      <w:r w:rsidRPr="00637912">
        <w:rPr>
          <w:rFonts w:ascii="Calibri" w:eastAsia="Calibri" w:hAnsi="Calibri" w:cs="Times New Roman"/>
          <w:color w:val="FF0000"/>
          <w:sz w:val="28"/>
          <w:szCs w:val="28"/>
        </w:rPr>
        <w:t xml:space="preserve">We wish to rectify the original advice on the total materials to be submitted as listed on page 2 of the </w:t>
      </w:r>
      <w:proofErr w:type="spellStart"/>
      <w:r w:rsidRPr="00637912">
        <w:rPr>
          <w:rFonts w:ascii="Calibri" w:eastAsia="Calibri" w:hAnsi="Calibri" w:cs="Times New Roman"/>
          <w:color w:val="FF0000"/>
          <w:sz w:val="28"/>
          <w:szCs w:val="28"/>
        </w:rPr>
        <w:t>Fosterline</w:t>
      </w:r>
      <w:proofErr w:type="spellEnd"/>
      <w:r w:rsidRPr="00637912">
        <w:rPr>
          <w:rFonts w:ascii="Calibri" w:eastAsia="Calibri" w:hAnsi="Calibri" w:cs="Times New Roman"/>
          <w:color w:val="FF0000"/>
          <w:sz w:val="28"/>
          <w:szCs w:val="28"/>
        </w:rPr>
        <w:t xml:space="preserve"> ITT where we said a 20 page maximum. We have now revised this instruction to say that applicants can now submit applications containing information to support their bid to a 60 page maximum in total.</w:t>
      </w:r>
    </w:p>
    <w:p w:rsidR="00637912" w:rsidRDefault="00637912" w:rsidP="00637912">
      <w:pPr>
        <w:spacing w:after="120" w:line="240" w:lineRule="auto"/>
        <w:contextualSpacing/>
        <w:rPr>
          <w:b/>
          <w:color w:val="1F497D"/>
          <w:sz w:val="22"/>
          <w:szCs w:val="22"/>
        </w:rPr>
      </w:pPr>
    </w:p>
    <w:p w:rsidR="00637912" w:rsidRPr="00663064" w:rsidRDefault="00637912" w:rsidP="00637912">
      <w:pPr>
        <w:spacing w:after="120" w:line="240" w:lineRule="auto"/>
        <w:contextualSpacing/>
        <w:rPr>
          <w:b/>
          <w:color w:val="1F497D"/>
          <w:sz w:val="22"/>
          <w:szCs w:val="22"/>
        </w:rPr>
      </w:pPr>
      <w:r w:rsidRPr="00663064">
        <w:rPr>
          <w:b/>
          <w:color w:val="1F497D"/>
          <w:sz w:val="22"/>
          <w:szCs w:val="22"/>
        </w:rPr>
        <w:t>Q &amp; A</w:t>
      </w:r>
    </w:p>
    <w:p w:rsidR="00663064" w:rsidRDefault="00663064" w:rsidP="00663064">
      <w:pPr>
        <w:pStyle w:val="ListParagraph"/>
        <w:spacing w:after="120"/>
        <w:ind w:hanging="360"/>
        <w:contextualSpacing/>
        <w:rPr>
          <w:rFonts w:ascii="Arial" w:hAnsi="Arial" w:cs="Arial"/>
          <w:color w:val="7030A0"/>
        </w:rPr>
      </w:pPr>
    </w:p>
    <w:p w:rsidR="00663064" w:rsidRDefault="00663064" w:rsidP="00663064">
      <w:pPr>
        <w:pStyle w:val="ListParagraph"/>
        <w:numPr>
          <w:ilvl w:val="0"/>
          <w:numId w:val="3"/>
        </w:numPr>
        <w:spacing w:after="120"/>
        <w:ind w:left="360"/>
        <w:contextualSpacing/>
        <w:rPr>
          <w:rFonts w:ascii="Arial" w:hAnsi="Arial" w:cs="Arial"/>
          <w:b/>
          <w:color w:val="002060"/>
        </w:rPr>
      </w:pPr>
      <w:r w:rsidRPr="00663064">
        <w:rPr>
          <w:rFonts w:ascii="Arial" w:hAnsi="Arial" w:cs="Arial"/>
          <w:b/>
          <w:color w:val="002060"/>
        </w:rPr>
        <w:t>Question 3.6 in Annex D Form E asks for a descript</w:t>
      </w:r>
      <w:r>
        <w:rPr>
          <w:rFonts w:ascii="Arial" w:hAnsi="Arial" w:cs="Arial"/>
          <w:b/>
          <w:color w:val="002060"/>
        </w:rPr>
        <w:t xml:space="preserve">ion of our understanding of the </w:t>
      </w:r>
      <w:r w:rsidRPr="00663064">
        <w:rPr>
          <w:rFonts w:ascii="Arial" w:hAnsi="Arial" w:cs="Arial"/>
          <w:b/>
          <w:color w:val="002060"/>
        </w:rPr>
        <w:t>Fosterline Service, ‘align to departmental policy’.  Please can you confirm what specific departmental policy this relates to?</w:t>
      </w:r>
    </w:p>
    <w:p w:rsidR="00663064" w:rsidRPr="003024A4" w:rsidRDefault="003024A4" w:rsidP="003024A4">
      <w:pPr>
        <w:ind w:left="360"/>
        <w:rPr>
          <w:b/>
          <w:color w:val="002060"/>
          <w:sz w:val="22"/>
          <w:szCs w:val="22"/>
        </w:rPr>
      </w:pPr>
      <w:r w:rsidRPr="003024A4">
        <w:rPr>
          <w:color w:val="auto"/>
          <w:sz w:val="22"/>
          <w:szCs w:val="22"/>
        </w:rPr>
        <w:t xml:space="preserve">We expect successful bidders to be aware of those fostering policies made available on </w:t>
      </w:r>
      <w:hyperlink r:id="rId6" w:history="1">
        <w:r w:rsidR="008909ED" w:rsidRPr="008909ED">
          <w:rPr>
            <w:rStyle w:val="Hyperlink"/>
            <w:sz w:val="22"/>
            <w:szCs w:val="22"/>
          </w:rPr>
          <w:t xml:space="preserve"> GOV.UK</w:t>
        </w:r>
      </w:hyperlink>
      <w:r w:rsidRPr="003024A4">
        <w:rPr>
          <w:color w:val="auto"/>
          <w:sz w:val="22"/>
          <w:szCs w:val="22"/>
        </w:rPr>
        <w:t>.</w:t>
      </w:r>
      <w:r w:rsidR="008909ED">
        <w:rPr>
          <w:color w:val="auto"/>
          <w:sz w:val="22"/>
          <w:szCs w:val="22"/>
        </w:rPr>
        <w:t xml:space="preserve"> </w:t>
      </w:r>
      <w:r w:rsidRPr="003024A4">
        <w:rPr>
          <w:color w:val="auto"/>
          <w:sz w:val="22"/>
          <w:szCs w:val="22"/>
        </w:rPr>
        <w:t>This information is available to all bidders and is subject to change as government policy develops.</w:t>
      </w:r>
    </w:p>
    <w:p w:rsidR="00663064" w:rsidRPr="00663064" w:rsidRDefault="00663064" w:rsidP="00663064">
      <w:pPr>
        <w:pStyle w:val="ListParagraph"/>
        <w:spacing w:after="120"/>
        <w:ind w:left="360" w:hanging="360"/>
        <w:contextualSpacing/>
        <w:rPr>
          <w:rFonts w:ascii="Arial" w:hAnsi="Arial" w:cs="Arial"/>
          <w:b/>
          <w:color w:val="002060"/>
        </w:rPr>
      </w:pPr>
    </w:p>
    <w:p w:rsidR="00663064" w:rsidRDefault="00663064" w:rsidP="00663064">
      <w:pPr>
        <w:pStyle w:val="ListParagraph"/>
        <w:numPr>
          <w:ilvl w:val="0"/>
          <w:numId w:val="3"/>
        </w:numPr>
        <w:ind w:left="360"/>
        <w:rPr>
          <w:rFonts w:ascii="Arial" w:hAnsi="Arial" w:cs="Arial"/>
          <w:b/>
          <w:color w:val="002060"/>
        </w:rPr>
      </w:pPr>
      <w:r w:rsidRPr="00663064">
        <w:rPr>
          <w:rFonts w:ascii="Arial" w:hAnsi="Arial" w:cs="Arial"/>
          <w:b/>
          <w:color w:val="002060"/>
        </w:rPr>
        <w:t xml:space="preserve">In respect of question </w:t>
      </w:r>
      <w:proofErr w:type="gramStart"/>
      <w:r w:rsidRPr="00663064">
        <w:rPr>
          <w:rFonts w:ascii="Arial" w:hAnsi="Arial" w:cs="Arial"/>
          <w:b/>
          <w:color w:val="002060"/>
        </w:rPr>
        <w:t>A</w:t>
      </w:r>
      <w:proofErr w:type="gramEnd"/>
      <w:r w:rsidRPr="00663064">
        <w:rPr>
          <w:rFonts w:ascii="Arial" w:hAnsi="Arial" w:cs="Arial"/>
          <w:b/>
          <w:color w:val="002060"/>
        </w:rPr>
        <w:t xml:space="preserve"> 2.4 collaboration. Please can you clarify specifically what other services are funded by the Department and provide a list?</w:t>
      </w:r>
    </w:p>
    <w:p w:rsidR="003024A4" w:rsidRPr="00663064" w:rsidRDefault="003024A4" w:rsidP="003024A4">
      <w:pPr>
        <w:pStyle w:val="ListParagraph"/>
        <w:ind w:left="360"/>
        <w:rPr>
          <w:rFonts w:ascii="Arial" w:hAnsi="Arial" w:cs="Arial"/>
          <w:b/>
          <w:color w:val="002060"/>
        </w:rPr>
      </w:pPr>
    </w:p>
    <w:p w:rsidR="00663064" w:rsidRPr="003024A4" w:rsidRDefault="003024A4" w:rsidP="003024A4">
      <w:pPr>
        <w:pStyle w:val="ListParagraph"/>
        <w:ind w:left="426" w:hanging="66"/>
        <w:rPr>
          <w:rFonts w:ascii="Arial" w:hAnsi="Arial" w:cs="Arial"/>
          <w:b/>
        </w:rPr>
      </w:pPr>
      <w:r w:rsidRPr="003024A4">
        <w:rPr>
          <w:rFonts w:ascii="Arial" w:hAnsi="Arial" w:cs="Arial"/>
        </w:rPr>
        <w:t xml:space="preserve">The department funds a </w:t>
      </w:r>
      <w:r w:rsidR="00637912">
        <w:rPr>
          <w:rFonts w:ascii="Arial" w:hAnsi="Arial" w:cs="Arial"/>
        </w:rPr>
        <w:t>wide</w:t>
      </w:r>
      <w:r w:rsidRPr="003024A4">
        <w:rPr>
          <w:rFonts w:ascii="Arial" w:hAnsi="Arial" w:cs="Arial"/>
        </w:rPr>
        <w:t xml:space="preserve"> range of </w:t>
      </w:r>
      <w:r w:rsidR="00637912">
        <w:rPr>
          <w:rFonts w:ascii="Arial" w:hAnsi="Arial" w:cs="Arial"/>
        </w:rPr>
        <w:t>services</w:t>
      </w:r>
      <w:r w:rsidRPr="003024A4">
        <w:rPr>
          <w:rFonts w:ascii="Arial" w:hAnsi="Arial" w:cs="Arial"/>
        </w:rPr>
        <w:t xml:space="preserve"> and it is difficult to define which of those potential users of Fosterline may require further information </w:t>
      </w:r>
      <w:r w:rsidR="00637912">
        <w:rPr>
          <w:rFonts w:ascii="Arial" w:hAnsi="Arial" w:cs="Arial"/>
        </w:rPr>
        <w:t xml:space="preserve">on </w:t>
      </w:r>
      <w:r w:rsidRPr="003024A4">
        <w:rPr>
          <w:rFonts w:ascii="Arial" w:hAnsi="Arial" w:cs="Arial"/>
        </w:rPr>
        <w:t xml:space="preserve">or signposting to.   </w:t>
      </w:r>
    </w:p>
    <w:p w:rsidR="00663064" w:rsidRPr="00663064" w:rsidRDefault="00663064" w:rsidP="00663064">
      <w:pPr>
        <w:pStyle w:val="ListParagraph"/>
        <w:ind w:left="360" w:hanging="360"/>
        <w:rPr>
          <w:rFonts w:ascii="Arial" w:hAnsi="Arial" w:cs="Arial"/>
          <w:b/>
          <w:color w:val="002060"/>
        </w:rPr>
      </w:pPr>
    </w:p>
    <w:p w:rsidR="00663064" w:rsidRDefault="00637912" w:rsidP="00663064">
      <w:pPr>
        <w:pStyle w:val="ListParagraph"/>
        <w:numPr>
          <w:ilvl w:val="0"/>
          <w:numId w:val="3"/>
        </w:numPr>
        <w:ind w:left="360"/>
        <w:rPr>
          <w:rFonts w:ascii="Verdana" w:hAnsi="Verdana"/>
          <w:b/>
          <w:color w:val="002060"/>
          <w:sz w:val="20"/>
          <w:szCs w:val="20"/>
        </w:rPr>
      </w:pPr>
      <w:r>
        <w:rPr>
          <w:rFonts w:ascii="Verdana" w:hAnsi="Verdana"/>
          <w:b/>
          <w:color w:val="002060"/>
          <w:sz w:val="20"/>
          <w:szCs w:val="20"/>
        </w:rPr>
        <w:t>Will the successful contractor ‘inherit’</w:t>
      </w:r>
      <w:r w:rsidR="00663064" w:rsidRPr="00663064">
        <w:rPr>
          <w:rFonts w:ascii="Verdana" w:hAnsi="Verdana"/>
          <w:b/>
          <w:color w:val="002060"/>
          <w:sz w:val="20"/>
          <w:szCs w:val="20"/>
        </w:rPr>
        <w:t xml:space="preserve"> the core </w:t>
      </w:r>
      <w:proofErr w:type="spellStart"/>
      <w:r w:rsidR="00663064" w:rsidRPr="00663064">
        <w:rPr>
          <w:rFonts w:ascii="Verdana" w:hAnsi="Verdana"/>
          <w:b/>
          <w:color w:val="002060"/>
          <w:sz w:val="20"/>
          <w:szCs w:val="20"/>
        </w:rPr>
        <w:t>Fosterline</w:t>
      </w:r>
      <w:proofErr w:type="spellEnd"/>
      <w:r w:rsidR="00663064" w:rsidRPr="00663064">
        <w:rPr>
          <w:rFonts w:ascii="Verdana" w:hAnsi="Verdana"/>
          <w:b/>
          <w:color w:val="002060"/>
          <w:sz w:val="20"/>
          <w:szCs w:val="20"/>
        </w:rPr>
        <w:t xml:space="preserve"> website service that is already in operation, or will a new digital solution + functionality need to be created from scratch?</w:t>
      </w:r>
    </w:p>
    <w:p w:rsidR="003024A4" w:rsidRPr="00663064" w:rsidRDefault="003024A4" w:rsidP="003024A4">
      <w:pPr>
        <w:pStyle w:val="ListParagraph"/>
        <w:ind w:left="360"/>
        <w:rPr>
          <w:rFonts w:ascii="Verdana" w:hAnsi="Verdana"/>
          <w:b/>
          <w:color w:val="002060"/>
          <w:sz w:val="20"/>
          <w:szCs w:val="20"/>
        </w:rPr>
      </w:pPr>
    </w:p>
    <w:p w:rsidR="003024A4" w:rsidRPr="003024A4" w:rsidRDefault="003024A4" w:rsidP="003024A4">
      <w:pPr>
        <w:ind w:left="360"/>
        <w:rPr>
          <w:color w:val="auto"/>
          <w:sz w:val="22"/>
          <w:szCs w:val="22"/>
        </w:rPr>
      </w:pPr>
      <w:r>
        <w:rPr>
          <w:color w:val="auto"/>
          <w:sz w:val="22"/>
          <w:szCs w:val="22"/>
        </w:rPr>
        <w:t>The successful contractor will be expected to provide a new website and associated functionality.</w:t>
      </w:r>
    </w:p>
    <w:p w:rsidR="00663064" w:rsidRDefault="00663064" w:rsidP="00663064">
      <w:pPr>
        <w:pStyle w:val="ListParagraph"/>
        <w:numPr>
          <w:ilvl w:val="0"/>
          <w:numId w:val="3"/>
        </w:numPr>
        <w:ind w:left="360"/>
        <w:rPr>
          <w:rFonts w:ascii="Verdana" w:hAnsi="Verdana"/>
          <w:b/>
          <w:color w:val="002060"/>
          <w:sz w:val="20"/>
          <w:szCs w:val="20"/>
        </w:rPr>
      </w:pPr>
      <w:r w:rsidRPr="00663064">
        <w:rPr>
          <w:rFonts w:ascii="Verdana" w:hAnsi="Verdana"/>
          <w:b/>
          <w:color w:val="002060"/>
          <w:sz w:val="20"/>
          <w:szCs w:val="20"/>
        </w:rPr>
        <w:t>Are there any TUPE implications for this tender?</w:t>
      </w:r>
    </w:p>
    <w:p w:rsidR="003024A4" w:rsidRDefault="003024A4" w:rsidP="003024A4">
      <w:pPr>
        <w:pStyle w:val="ListParagraph"/>
        <w:ind w:left="360"/>
        <w:rPr>
          <w:rFonts w:ascii="Arial" w:hAnsi="Arial" w:cs="Arial"/>
        </w:rPr>
      </w:pPr>
    </w:p>
    <w:p w:rsidR="003024A4" w:rsidRPr="003024A4" w:rsidRDefault="003024A4" w:rsidP="003024A4">
      <w:pPr>
        <w:pStyle w:val="ListParagraph"/>
        <w:ind w:left="360"/>
        <w:rPr>
          <w:i/>
          <w:iCs/>
        </w:rPr>
      </w:pPr>
      <w:r w:rsidRPr="003024A4">
        <w:rPr>
          <w:i/>
          <w:iCs/>
        </w:rPr>
        <w:t>Notice to all bidders.</w:t>
      </w:r>
    </w:p>
    <w:p w:rsidR="003024A4" w:rsidRPr="003024A4" w:rsidRDefault="003024A4" w:rsidP="003024A4">
      <w:pPr>
        <w:pStyle w:val="ListParagraph"/>
        <w:ind w:left="360"/>
        <w:rPr>
          <w:i/>
          <w:iCs/>
        </w:rPr>
      </w:pPr>
    </w:p>
    <w:p w:rsidR="003024A4" w:rsidRPr="003024A4" w:rsidRDefault="003024A4" w:rsidP="003024A4">
      <w:pPr>
        <w:pStyle w:val="ListParagraph"/>
        <w:ind w:left="360"/>
        <w:rPr>
          <w:i/>
          <w:iCs/>
        </w:rPr>
      </w:pPr>
      <w:r w:rsidRPr="003024A4">
        <w:rPr>
          <w:i/>
          <w:iCs/>
        </w:rPr>
        <w:t>The attention of tenderers is drawn to the Transfer of Undertakings (Protection of Employment) Regulations 2006(TUPE).  As the Department would be neither transferor nor transferee of the employees in the circumstances of any contract awarded as a result of this Invitation to Tender, consideration of the application of TUPE in this particular case is not a matter of direct concern to the Department.  It is the responsibility of the tenderer to consider whether or not TUPE applies in the circumstances of this contract and tender accordingly.</w:t>
      </w:r>
    </w:p>
    <w:p w:rsidR="003024A4" w:rsidRPr="003024A4" w:rsidRDefault="003024A4" w:rsidP="003024A4">
      <w:pPr>
        <w:pStyle w:val="ListParagraph"/>
        <w:ind w:left="360"/>
      </w:pPr>
    </w:p>
    <w:p w:rsidR="003024A4" w:rsidRPr="003024A4" w:rsidRDefault="003024A4" w:rsidP="003024A4">
      <w:pPr>
        <w:pStyle w:val="ListParagraph"/>
        <w:ind w:left="360"/>
        <w:rPr>
          <w:b/>
          <w:bCs/>
        </w:rPr>
      </w:pPr>
      <w:r w:rsidRPr="003024A4">
        <w:rPr>
          <w:b/>
          <w:bCs/>
        </w:rPr>
        <w:t>Special Clause to be added to the draft contract</w:t>
      </w:r>
    </w:p>
    <w:p w:rsidR="003024A4" w:rsidRPr="003024A4" w:rsidRDefault="003024A4" w:rsidP="003024A4">
      <w:pPr>
        <w:pStyle w:val="ListParagraph"/>
        <w:ind w:left="360"/>
        <w:rPr>
          <w:b/>
          <w:bCs/>
        </w:rPr>
      </w:pPr>
    </w:p>
    <w:p w:rsidR="003024A4" w:rsidRPr="003024A4" w:rsidRDefault="003024A4" w:rsidP="003024A4">
      <w:pPr>
        <w:pStyle w:val="ListParagraph"/>
        <w:ind w:left="360"/>
        <w:rPr>
          <w:b/>
          <w:bCs/>
        </w:rPr>
      </w:pPr>
      <w:r w:rsidRPr="003024A4">
        <w:rPr>
          <w:b/>
          <w:bCs/>
        </w:rPr>
        <w:t>28        TUPE</w:t>
      </w:r>
    </w:p>
    <w:p w:rsidR="003024A4" w:rsidRPr="003024A4" w:rsidRDefault="003024A4" w:rsidP="003024A4">
      <w:pPr>
        <w:pStyle w:val="ListParagraph"/>
        <w:ind w:left="360"/>
        <w:rPr>
          <w:b/>
          <w:bCs/>
        </w:rPr>
      </w:pPr>
    </w:p>
    <w:p w:rsidR="003024A4" w:rsidRPr="003024A4" w:rsidRDefault="003024A4" w:rsidP="003024A4">
      <w:pPr>
        <w:pStyle w:val="ListParagraph"/>
        <w:ind w:left="360"/>
      </w:pPr>
      <w:r w:rsidRPr="003024A4">
        <w:lastRenderedPageBreak/>
        <w:t>28.1    The Parties recognise that the Transfer of Undertakings (Protection of Employment) Regulations 2006 (TUPE) may apply in respect of the award of the Contract, and that for the purposes of those Regulations, the undertaking concerned (or any relevant part of the undertaking) shall transfer to the Contractor on the commencement of the Contract.</w:t>
      </w:r>
    </w:p>
    <w:p w:rsidR="003024A4" w:rsidRPr="003024A4" w:rsidRDefault="003024A4" w:rsidP="003024A4">
      <w:pPr>
        <w:pStyle w:val="ListParagraph"/>
        <w:ind w:left="360"/>
      </w:pPr>
    </w:p>
    <w:p w:rsidR="003024A4" w:rsidRPr="003024A4" w:rsidRDefault="003024A4" w:rsidP="003024A4">
      <w:pPr>
        <w:pStyle w:val="ListParagraph"/>
        <w:ind w:left="360"/>
      </w:pPr>
      <w:r w:rsidRPr="003024A4">
        <w:t xml:space="preserve">28.2    During the period of six months preceding the expiry of the Contract or after the Department has given notice to terminate the Contract or the Contractor stops trading, and within 20 working days of being so requested by the Department, the Contractor shall fully and accurately disclose to the Department for the purposes of TUPE all information relating to its employees engaged in providing Services under the Contract, in particular, but not necessarily restricted to, the following: </w:t>
      </w:r>
    </w:p>
    <w:p w:rsidR="003024A4" w:rsidRPr="003024A4" w:rsidRDefault="003024A4" w:rsidP="003024A4">
      <w:pPr>
        <w:pStyle w:val="ListParagraph"/>
        <w:ind w:left="360"/>
      </w:pPr>
    </w:p>
    <w:p w:rsidR="003024A4" w:rsidRPr="003024A4" w:rsidRDefault="003024A4" w:rsidP="003024A4">
      <w:pPr>
        <w:pStyle w:val="ListParagraph"/>
        <w:ind w:left="360"/>
      </w:pPr>
      <w:r w:rsidRPr="003024A4">
        <w:t xml:space="preserve">28.2.1             </w:t>
      </w:r>
      <w:proofErr w:type="gramStart"/>
      <w:r w:rsidRPr="003024A4">
        <w:t>the</w:t>
      </w:r>
      <w:proofErr w:type="gramEnd"/>
      <w:r w:rsidRPr="003024A4">
        <w:t xml:space="preserve"> total number of staff whose employment with the Contractor is liable to be terminated at the expiry of this Contract but for any operation of law; and</w:t>
      </w:r>
    </w:p>
    <w:p w:rsidR="003024A4" w:rsidRPr="003024A4" w:rsidRDefault="003024A4" w:rsidP="003024A4">
      <w:pPr>
        <w:pStyle w:val="ListParagraph"/>
        <w:ind w:left="360"/>
      </w:pPr>
    </w:p>
    <w:p w:rsidR="003024A4" w:rsidRPr="003024A4" w:rsidRDefault="003024A4" w:rsidP="003024A4">
      <w:pPr>
        <w:pStyle w:val="ListParagraph"/>
        <w:ind w:left="360"/>
      </w:pPr>
      <w:r w:rsidRPr="003024A4">
        <w:t>28.2.2             for each person, age and gender, details of their salary, and pay settlements covering that person which relate to future dates but which have already been agreed and their redundancy entitlements (the names of individual members of employed staff do not have to be given); and</w:t>
      </w:r>
    </w:p>
    <w:p w:rsidR="003024A4" w:rsidRPr="003024A4" w:rsidRDefault="003024A4" w:rsidP="003024A4">
      <w:pPr>
        <w:pStyle w:val="ListParagraph"/>
        <w:ind w:left="360"/>
      </w:pPr>
    </w:p>
    <w:p w:rsidR="003024A4" w:rsidRPr="003024A4" w:rsidRDefault="003024A4" w:rsidP="003024A4">
      <w:pPr>
        <w:pStyle w:val="ListParagraph"/>
        <w:ind w:left="360"/>
      </w:pPr>
      <w:r w:rsidRPr="003024A4">
        <w:t xml:space="preserve">28.2.3             </w:t>
      </w:r>
      <w:proofErr w:type="gramStart"/>
      <w:r w:rsidRPr="003024A4">
        <w:t>full</w:t>
      </w:r>
      <w:proofErr w:type="gramEnd"/>
      <w:r w:rsidRPr="003024A4">
        <w:t xml:space="preserve"> information about the other terms and conditions on which the affected staff are employed (including but not limited to their working arrangements), or about where that information can be found; and</w:t>
      </w:r>
    </w:p>
    <w:p w:rsidR="003024A4" w:rsidRPr="003024A4" w:rsidRDefault="003024A4" w:rsidP="003024A4">
      <w:pPr>
        <w:pStyle w:val="ListParagraph"/>
        <w:ind w:left="360"/>
      </w:pPr>
    </w:p>
    <w:p w:rsidR="003024A4" w:rsidRPr="003024A4" w:rsidRDefault="003024A4" w:rsidP="003024A4">
      <w:pPr>
        <w:pStyle w:val="ListParagraph"/>
        <w:ind w:left="360"/>
      </w:pPr>
      <w:r w:rsidRPr="003024A4">
        <w:t xml:space="preserve">28.2.4             </w:t>
      </w:r>
      <w:proofErr w:type="gramStart"/>
      <w:r w:rsidRPr="003024A4">
        <w:t>details</w:t>
      </w:r>
      <w:proofErr w:type="gramEnd"/>
      <w:r w:rsidRPr="003024A4">
        <w:t xml:space="preserve"> of pensions entitlements, if any; and</w:t>
      </w:r>
    </w:p>
    <w:p w:rsidR="003024A4" w:rsidRPr="003024A4" w:rsidRDefault="003024A4" w:rsidP="003024A4">
      <w:pPr>
        <w:pStyle w:val="ListParagraph"/>
        <w:ind w:left="360"/>
      </w:pPr>
    </w:p>
    <w:p w:rsidR="003024A4" w:rsidRPr="003024A4" w:rsidRDefault="003024A4" w:rsidP="003024A4">
      <w:pPr>
        <w:pStyle w:val="ListParagraph"/>
        <w:ind w:left="360"/>
      </w:pPr>
      <w:r w:rsidRPr="003024A4">
        <w:t xml:space="preserve">28.2.5             </w:t>
      </w:r>
      <w:proofErr w:type="gramStart"/>
      <w:r w:rsidRPr="003024A4">
        <w:t>job</w:t>
      </w:r>
      <w:proofErr w:type="gramEnd"/>
      <w:r w:rsidRPr="003024A4">
        <w:t xml:space="preserve"> titles of the members of staff affected and the qualifications required for each position. </w:t>
      </w:r>
    </w:p>
    <w:p w:rsidR="003024A4" w:rsidRPr="003024A4" w:rsidRDefault="003024A4" w:rsidP="003024A4">
      <w:pPr>
        <w:pStyle w:val="ListParagraph"/>
        <w:ind w:left="360"/>
      </w:pPr>
    </w:p>
    <w:p w:rsidR="003024A4" w:rsidRPr="003024A4" w:rsidRDefault="003024A4" w:rsidP="003024A4">
      <w:pPr>
        <w:pStyle w:val="ListParagraph"/>
        <w:ind w:left="360"/>
      </w:pPr>
      <w:r w:rsidRPr="003024A4">
        <w:t>28.3    The Contractor shall permit the Department to use the information for the purposes of TUPE and of re-tendering. The Contractor will co-operate with the re-tendering of the Contract by allowing the Transferee to communicate with and meet the affected employees and/or their representatives.</w:t>
      </w:r>
    </w:p>
    <w:p w:rsidR="003024A4" w:rsidRPr="003024A4" w:rsidRDefault="003024A4" w:rsidP="003024A4">
      <w:pPr>
        <w:pStyle w:val="ListParagraph"/>
        <w:ind w:left="360"/>
      </w:pPr>
    </w:p>
    <w:p w:rsidR="003024A4" w:rsidRPr="003024A4" w:rsidRDefault="003024A4" w:rsidP="003024A4">
      <w:pPr>
        <w:pStyle w:val="ListParagraph"/>
        <w:ind w:left="360"/>
      </w:pPr>
      <w:r w:rsidRPr="003024A4">
        <w:t>28.4    The Contractor agrees to indemnify the Department fully and to hold it harmless at all times from and against all actions, proceedings, claims, expenses, awards, costs and all other liabilities whatsoever in any way connected with or arising from or relating to the provision of information under Clause 28.2.</w:t>
      </w:r>
    </w:p>
    <w:p w:rsidR="003024A4" w:rsidRPr="003024A4" w:rsidRDefault="003024A4" w:rsidP="003024A4">
      <w:pPr>
        <w:pStyle w:val="ListParagraph"/>
        <w:ind w:left="360"/>
      </w:pPr>
    </w:p>
    <w:p w:rsidR="003024A4" w:rsidRPr="003024A4" w:rsidRDefault="003024A4" w:rsidP="003024A4">
      <w:pPr>
        <w:pStyle w:val="ListParagraph"/>
        <w:ind w:left="360"/>
      </w:pPr>
      <w:r w:rsidRPr="003024A4">
        <w:t>28.5    The Contractor agrees to indemnify the Department from and against all actions, proceedings, claims, expenses, awards, costs and all other liabilities (including legal fees) in connection with or as a result of any claim or demand by any employee or other employee or person claiming to be an employee on any date upon which the Contract is terminated and/or transferred to any third party ("Relevant Transfer Date") arising out of their employment or its termination whether such claim or claims arise before or after the Relevant Transfer Date.</w:t>
      </w:r>
    </w:p>
    <w:p w:rsidR="003024A4" w:rsidRDefault="003024A4" w:rsidP="003024A4">
      <w:pPr>
        <w:pStyle w:val="ListParagraph"/>
        <w:ind w:left="360"/>
      </w:pPr>
    </w:p>
    <w:p w:rsidR="003024A4" w:rsidRPr="003024A4" w:rsidRDefault="003024A4" w:rsidP="003024A4">
      <w:pPr>
        <w:pStyle w:val="ListParagraph"/>
        <w:ind w:left="360"/>
      </w:pPr>
      <w:r w:rsidRPr="003024A4">
        <w:t>28.5    In the event that the information provided by the Contractor in</w:t>
      </w:r>
      <w:r w:rsidRPr="003024A4">
        <w:rPr>
          <w:b/>
          <w:bCs/>
        </w:rPr>
        <w:t xml:space="preserve"> </w:t>
      </w:r>
      <w:r w:rsidRPr="003024A4">
        <w:t xml:space="preserve">accordance with Clause 28.2 above becomes inaccurate, whether due to changes to the employment and personnel details of the affected employees made subsequent to the original provision of such information or by reason of the Contractor becoming aware that the information originally given was </w:t>
      </w:r>
      <w:r w:rsidRPr="003024A4">
        <w:lastRenderedPageBreak/>
        <w:t>inaccurate, the Contractor shall notify the Department of the inaccuracies and provide the amended information.</w:t>
      </w:r>
    </w:p>
    <w:p w:rsidR="003024A4" w:rsidRPr="003024A4" w:rsidRDefault="003024A4" w:rsidP="003024A4">
      <w:pPr>
        <w:pStyle w:val="ListParagraph"/>
        <w:ind w:left="360"/>
      </w:pPr>
    </w:p>
    <w:p w:rsidR="003024A4" w:rsidRPr="003024A4" w:rsidRDefault="003024A4" w:rsidP="003024A4">
      <w:pPr>
        <w:pStyle w:val="ListParagraph"/>
        <w:ind w:left="360"/>
      </w:pPr>
      <w:r w:rsidRPr="003024A4">
        <w:t>28.6    The provisions of this Condition shall apply during the continuance of this Contract and indefinitely after its termination.</w:t>
      </w:r>
    </w:p>
    <w:p w:rsidR="003024A4" w:rsidRPr="003024A4" w:rsidRDefault="003024A4" w:rsidP="003024A4">
      <w:pPr>
        <w:pStyle w:val="ListParagraph"/>
        <w:ind w:left="360"/>
      </w:pPr>
    </w:p>
    <w:p w:rsidR="003024A4" w:rsidRPr="003024A4" w:rsidRDefault="003024A4" w:rsidP="003024A4">
      <w:pPr>
        <w:pStyle w:val="ListParagraph"/>
        <w:ind w:left="360"/>
        <w:rPr>
          <w:rFonts w:ascii="Arial" w:hAnsi="Arial" w:cs="Arial"/>
        </w:rPr>
      </w:pPr>
    </w:p>
    <w:p w:rsidR="00663064" w:rsidRPr="00663064" w:rsidRDefault="00663064" w:rsidP="00663064">
      <w:pPr>
        <w:pStyle w:val="ListParagraph"/>
        <w:rPr>
          <w:rFonts w:ascii="Verdana" w:hAnsi="Verdana"/>
          <w:b/>
          <w:color w:val="002060"/>
          <w:sz w:val="20"/>
          <w:szCs w:val="20"/>
        </w:rPr>
      </w:pPr>
    </w:p>
    <w:sectPr w:rsidR="00663064" w:rsidRPr="006630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0138"/>
    <w:multiLevelType w:val="multilevel"/>
    <w:tmpl w:val="09FC434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nsid w:val="31DC74F0"/>
    <w:multiLevelType w:val="hybridMultilevel"/>
    <w:tmpl w:val="690A093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
    <w:nsid w:val="5C600D08"/>
    <w:multiLevelType w:val="hybridMultilevel"/>
    <w:tmpl w:val="23803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31429B7"/>
    <w:multiLevelType w:val="hybridMultilevel"/>
    <w:tmpl w:val="103C0F5E"/>
    <w:lvl w:ilvl="0" w:tplc="6BBA4BE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064"/>
    <w:rsid w:val="000D310F"/>
    <w:rsid w:val="00157E0E"/>
    <w:rsid w:val="003024A4"/>
    <w:rsid w:val="004641F6"/>
    <w:rsid w:val="004C0E03"/>
    <w:rsid w:val="0058061B"/>
    <w:rsid w:val="00625E48"/>
    <w:rsid w:val="00637912"/>
    <w:rsid w:val="00663064"/>
    <w:rsid w:val="007572BC"/>
    <w:rsid w:val="007A3C86"/>
    <w:rsid w:val="008909ED"/>
    <w:rsid w:val="00D05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color w:val="000000"/>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064"/>
    <w:pPr>
      <w:spacing w:after="0" w:line="240" w:lineRule="auto"/>
      <w:ind w:left="720"/>
    </w:pPr>
    <w:rPr>
      <w:rFonts w:ascii="Calibri" w:hAnsi="Calibri" w:cs="Times New Roman"/>
      <w:color w:val="auto"/>
      <w:sz w:val="22"/>
      <w:szCs w:val="22"/>
    </w:rPr>
  </w:style>
  <w:style w:type="character" w:styleId="Hyperlink">
    <w:name w:val="Hyperlink"/>
    <w:basedOn w:val="DefaultParagraphFont"/>
    <w:uiPriority w:val="99"/>
    <w:unhideWhenUsed/>
    <w:rsid w:val="003024A4"/>
    <w:rPr>
      <w:color w:val="0000FF" w:themeColor="hyperlink"/>
      <w:u w:val="single"/>
    </w:rPr>
  </w:style>
  <w:style w:type="paragraph" w:customStyle="1" w:styleId="DfESOutNumbered">
    <w:name w:val="DfESOutNumbered"/>
    <w:basedOn w:val="Normal"/>
    <w:link w:val="DfESOutNumberedChar"/>
    <w:rsid w:val="000D310F"/>
    <w:pPr>
      <w:widowControl w:val="0"/>
      <w:numPr>
        <w:numId w:val="5"/>
      </w:numPr>
      <w:overflowPunct w:val="0"/>
      <w:autoSpaceDE w:val="0"/>
      <w:autoSpaceDN w:val="0"/>
      <w:adjustRightInd w:val="0"/>
      <w:spacing w:after="240" w:line="240" w:lineRule="auto"/>
      <w:textAlignment w:val="baseline"/>
    </w:pPr>
    <w:rPr>
      <w:rFonts w:eastAsia="Times New Roman"/>
      <w:color w:val="auto"/>
      <w:sz w:val="22"/>
      <w:szCs w:val="20"/>
    </w:rPr>
  </w:style>
  <w:style w:type="character" w:customStyle="1" w:styleId="DfESOutNumberedChar">
    <w:name w:val="DfESOutNumbered Char"/>
    <w:basedOn w:val="DefaultParagraphFont"/>
    <w:link w:val="DfESOutNumbered"/>
    <w:rsid w:val="000D310F"/>
    <w:rPr>
      <w:rFonts w:eastAsia="Times New Roman"/>
      <w:color w:val="auto"/>
      <w:sz w:val="22"/>
      <w:szCs w:val="20"/>
    </w:rPr>
  </w:style>
  <w:style w:type="paragraph" w:customStyle="1" w:styleId="DeptBullets">
    <w:name w:val="DeptBullets"/>
    <w:basedOn w:val="Normal"/>
    <w:link w:val="DeptBulletsChar"/>
    <w:rsid w:val="000D310F"/>
    <w:pPr>
      <w:widowControl w:val="0"/>
      <w:numPr>
        <w:numId w:val="7"/>
      </w:numPr>
      <w:overflowPunct w:val="0"/>
      <w:autoSpaceDE w:val="0"/>
      <w:autoSpaceDN w:val="0"/>
      <w:adjustRightInd w:val="0"/>
      <w:spacing w:after="240" w:line="240" w:lineRule="auto"/>
      <w:textAlignment w:val="baseline"/>
    </w:pPr>
    <w:rPr>
      <w:rFonts w:eastAsia="Times New Roman" w:cs="Times New Roman"/>
      <w:color w:val="auto"/>
      <w:szCs w:val="20"/>
    </w:rPr>
  </w:style>
  <w:style w:type="character" w:customStyle="1" w:styleId="DeptBulletsChar">
    <w:name w:val="DeptBullets Char"/>
    <w:basedOn w:val="DefaultParagraphFont"/>
    <w:link w:val="DeptBullets"/>
    <w:rsid w:val="000D310F"/>
    <w:rPr>
      <w:rFonts w:eastAsia="Times New Roman" w:cs="Times New Roman"/>
      <w:color w:val="auto"/>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color w:val="000000"/>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064"/>
    <w:pPr>
      <w:spacing w:after="0" w:line="240" w:lineRule="auto"/>
      <w:ind w:left="720"/>
    </w:pPr>
    <w:rPr>
      <w:rFonts w:ascii="Calibri" w:hAnsi="Calibri" w:cs="Times New Roman"/>
      <w:color w:val="auto"/>
      <w:sz w:val="22"/>
      <w:szCs w:val="22"/>
    </w:rPr>
  </w:style>
  <w:style w:type="character" w:styleId="Hyperlink">
    <w:name w:val="Hyperlink"/>
    <w:basedOn w:val="DefaultParagraphFont"/>
    <w:uiPriority w:val="99"/>
    <w:unhideWhenUsed/>
    <w:rsid w:val="003024A4"/>
    <w:rPr>
      <w:color w:val="0000FF" w:themeColor="hyperlink"/>
      <w:u w:val="single"/>
    </w:rPr>
  </w:style>
  <w:style w:type="paragraph" w:customStyle="1" w:styleId="DfESOutNumbered">
    <w:name w:val="DfESOutNumbered"/>
    <w:basedOn w:val="Normal"/>
    <w:link w:val="DfESOutNumberedChar"/>
    <w:rsid w:val="000D310F"/>
    <w:pPr>
      <w:widowControl w:val="0"/>
      <w:numPr>
        <w:numId w:val="5"/>
      </w:numPr>
      <w:overflowPunct w:val="0"/>
      <w:autoSpaceDE w:val="0"/>
      <w:autoSpaceDN w:val="0"/>
      <w:adjustRightInd w:val="0"/>
      <w:spacing w:after="240" w:line="240" w:lineRule="auto"/>
      <w:textAlignment w:val="baseline"/>
    </w:pPr>
    <w:rPr>
      <w:rFonts w:eastAsia="Times New Roman"/>
      <w:color w:val="auto"/>
      <w:sz w:val="22"/>
      <w:szCs w:val="20"/>
    </w:rPr>
  </w:style>
  <w:style w:type="character" w:customStyle="1" w:styleId="DfESOutNumberedChar">
    <w:name w:val="DfESOutNumbered Char"/>
    <w:basedOn w:val="DefaultParagraphFont"/>
    <w:link w:val="DfESOutNumbered"/>
    <w:rsid w:val="000D310F"/>
    <w:rPr>
      <w:rFonts w:eastAsia="Times New Roman"/>
      <w:color w:val="auto"/>
      <w:sz w:val="22"/>
      <w:szCs w:val="20"/>
    </w:rPr>
  </w:style>
  <w:style w:type="paragraph" w:customStyle="1" w:styleId="DeptBullets">
    <w:name w:val="DeptBullets"/>
    <w:basedOn w:val="Normal"/>
    <w:link w:val="DeptBulletsChar"/>
    <w:rsid w:val="000D310F"/>
    <w:pPr>
      <w:widowControl w:val="0"/>
      <w:numPr>
        <w:numId w:val="7"/>
      </w:numPr>
      <w:overflowPunct w:val="0"/>
      <w:autoSpaceDE w:val="0"/>
      <w:autoSpaceDN w:val="0"/>
      <w:adjustRightInd w:val="0"/>
      <w:spacing w:after="240" w:line="240" w:lineRule="auto"/>
      <w:textAlignment w:val="baseline"/>
    </w:pPr>
    <w:rPr>
      <w:rFonts w:eastAsia="Times New Roman" w:cs="Times New Roman"/>
      <w:color w:val="auto"/>
      <w:szCs w:val="20"/>
    </w:rPr>
  </w:style>
  <w:style w:type="character" w:customStyle="1" w:styleId="DeptBulletsChar">
    <w:name w:val="DeptBullets Char"/>
    <w:basedOn w:val="DefaultParagraphFont"/>
    <w:link w:val="DeptBullets"/>
    <w:rsid w:val="000D310F"/>
    <w:rPr>
      <w:rFonts w:eastAsia="Times New Roman"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453486">
      <w:bodyDiv w:val="1"/>
      <w:marLeft w:val="0"/>
      <w:marRight w:val="0"/>
      <w:marTop w:val="0"/>
      <w:marBottom w:val="0"/>
      <w:divBdr>
        <w:top w:val="none" w:sz="0" w:space="0" w:color="auto"/>
        <w:left w:val="none" w:sz="0" w:space="0" w:color="auto"/>
        <w:bottom w:val="none" w:sz="0" w:space="0" w:color="auto"/>
        <w:right w:val="none" w:sz="0" w:space="0" w:color="auto"/>
      </w:divBdr>
    </w:div>
    <w:div w:id="1119571952">
      <w:bodyDiv w:val="1"/>
      <w:marLeft w:val="0"/>
      <w:marRight w:val="0"/>
      <w:marTop w:val="0"/>
      <w:marBottom w:val="0"/>
      <w:divBdr>
        <w:top w:val="none" w:sz="0" w:space="0" w:color="auto"/>
        <w:left w:val="none" w:sz="0" w:space="0" w:color="auto"/>
        <w:bottom w:val="none" w:sz="0" w:space="0" w:color="auto"/>
        <w:right w:val="none" w:sz="0" w:space="0" w:color="auto"/>
      </w:divBdr>
    </w:div>
    <w:div w:id="1632249976">
      <w:bodyDiv w:val="1"/>
      <w:marLeft w:val="0"/>
      <w:marRight w:val="0"/>
      <w:marTop w:val="0"/>
      <w:marBottom w:val="0"/>
      <w:divBdr>
        <w:top w:val="none" w:sz="0" w:space="0" w:color="auto"/>
        <w:left w:val="none" w:sz="0" w:space="0" w:color="auto"/>
        <w:bottom w:val="none" w:sz="0" w:space="0" w:color="auto"/>
        <w:right w:val="none" w:sz="0" w:space="0" w:color="auto"/>
      </w:divBdr>
    </w:div>
    <w:div w:id="20925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foster-carers/becoming-a-foster-car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Vivienne</dc:creator>
  <cp:lastModifiedBy>ARROWSMITH, Morgan</cp:lastModifiedBy>
  <cp:revision>2</cp:revision>
  <dcterms:created xsi:type="dcterms:W3CDTF">2016-03-18T12:03:00Z</dcterms:created>
  <dcterms:modified xsi:type="dcterms:W3CDTF">2016-03-18T12:03:00Z</dcterms:modified>
</cp:coreProperties>
</file>