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4BB" w:rsidRDefault="00013B52">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t>Joint Schedule 12 (Supply Chain Visibility)</w:t>
      </w:r>
    </w:p>
    <w:p w:rsidR="00F424BB" w:rsidRDefault="00013B52">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F424BB" w:rsidRDefault="00F424BB">
      <w:pPr>
        <w:pBdr>
          <w:top w:val="nil"/>
          <w:left w:val="nil"/>
          <w:bottom w:val="nil"/>
          <w:right w:val="nil"/>
          <w:between w:val="nil"/>
        </w:pBdr>
        <w:spacing w:after="0"/>
        <w:ind w:left="720"/>
        <w:rPr>
          <w:rFonts w:ascii="Arial" w:eastAsia="Arial" w:hAnsi="Arial" w:cs="Arial"/>
          <w:b/>
          <w:color w:val="000000"/>
          <w:sz w:val="24"/>
          <w:szCs w:val="24"/>
        </w:rPr>
      </w:pPr>
    </w:p>
    <w:p w:rsidR="00F424BB" w:rsidRDefault="00013B52">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F424BB">
        <w:trPr>
          <w:trHeight w:val="20"/>
        </w:trPr>
        <w:tc>
          <w:tcPr>
            <w:tcW w:w="3342" w:type="dxa"/>
          </w:tcPr>
          <w:p w:rsidR="00F424BB" w:rsidRDefault="00013B52">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rsidR="00F424BB" w:rsidRDefault="00013B52">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F424BB">
        <w:trPr>
          <w:trHeight w:val="20"/>
        </w:trPr>
        <w:tc>
          <w:tcPr>
            <w:tcW w:w="3342" w:type="dxa"/>
          </w:tcPr>
          <w:p w:rsidR="00F424BB" w:rsidRDefault="00013B52">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rsidR="00F424BB" w:rsidRDefault="00013B52">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w:t>
            </w:r>
            <w:r>
              <w:rPr>
                <w:rFonts w:ascii="Arial" w:eastAsia="Arial" w:hAnsi="Arial" w:cs="Arial"/>
                <w:color w:val="000000"/>
                <w:sz w:val="24"/>
                <w:szCs w:val="24"/>
              </w:rPr>
              <w:t xml:space="preserve">of micro, small and medium sized enterprises; </w:t>
            </w:r>
          </w:p>
        </w:tc>
      </w:tr>
      <w:tr w:rsidR="00F424BB">
        <w:trPr>
          <w:trHeight w:val="20"/>
        </w:trPr>
        <w:tc>
          <w:tcPr>
            <w:tcW w:w="3342" w:type="dxa"/>
          </w:tcPr>
          <w:p w:rsidR="00F424BB" w:rsidRDefault="00013B52">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rsidR="00F424BB" w:rsidRDefault="00013B52">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F424BB">
        <w:trPr>
          <w:trHeight w:val="20"/>
        </w:trPr>
        <w:tc>
          <w:tcPr>
            <w:tcW w:w="3342" w:type="dxa"/>
          </w:tcPr>
          <w:p w:rsidR="00F424BB" w:rsidRDefault="00013B52">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rsidR="00F424BB" w:rsidRDefault="00013B52">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w:t>
            </w:r>
            <w:r>
              <w:rPr>
                <w:rFonts w:ascii="Arial" w:eastAsia="Arial" w:hAnsi="Arial" w:cs="Arial"/>
                <w:color w:val="000000"/>
                <w:sz w:val="24"/>
                <w:szCs w:val="24"/>
              </w:rPr>
              <w:t>r social, environmental or cultural objectives.</w:t>
            </w:r>
          </w:p>
        </w:tc>
      </w:tr>
      <w:tr w:rsidR="00F424BB">
        <w:trPr>
          <w:trHeight w:val="20"/>
        </w:trPr>
        <w:tc>
          <w:tcPr>
            <w:tcW w:w="3342" w:type="dxa"/>
          </w:tcPr>
          <w:p w:rsidR="00F424BB" w:rsidRDefault="00F424B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rsidR="00F424BB" w:rsidRDefault="00F424B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rsidR="00F424BB" w:rsidRDefault="00013B52">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rsidR="00F424BB" w:rsidRDefault="00F424BB">
      <w:pPr>
        <w:pBdr>
          <w:top w:val="nil"/>
          <w:left w:val="nil"/>
          <w:bottom w:val="nil"/>
          <w:right w:val="nil"/>
          <w:between w:val="nil"/>
        </w:pBdr>
        <w:spacing w:after="0"/>
        <w:ind w:left="720"/>
        <w:rPr>
          <w:rFonts w:ascii="Arial" w:eastAsia="Arial" w:hAnsi="Arial" w:cs="Arial"/>
          <w:b/>
          <w:color w:val="000000"/>
          <w:sz w:val="24"/>
          <w:szCs w:val="24"/>
        </w:rPr>
      </w:pPr>
    </w:p>
    <w:p w:rsidR="00F424BB" w:rsidRDefault="00013B52">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rsidR="00F424BB" w:rsidRDefault="00F424BB">
      <w:pPr>
        <w:pBdr>
          <w:top w:val="nil"/>
          <w:left w:val="nil"/>
          <w:bottom w:val="nil"/>
          <w:right w:val="nil"/>
          <w:between w:val="nil"/>
        </w:pBdr>
        <w:spacing w:after="0"/>
        <w:ind w:left="720"/>
        <w:rPr>
          <w:rFonts w:ascii="Arial" w:eastAsia="Arial" w:hAnsi="Arial" w:cs="Arial"/>
          <w:color w:val="000000"/>
          <w:sz w:val="24"/>
          <w:szCs w:val="24"/>
        </w:rPr>
      </w:pPr>
    </w:p>
    <w:p w:rsidR="00F424BB" w:rsidRDefault="00013B52">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£100,000 that arise during the Contract Period;</w:t>
      </w:r>
    </w:p>
    <w:p w:rsidR="00F424BB" w:rsidRDefault="00013B52">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within 90 days of award</w:t>
      </w:r>
      <w:r>
        <w:rPr>
          <w:rFonts w:ascii="Arial" w:eastAsia="Arial" w:hAnsi="Arial" w:cs="Arial"/>
          <w:color w:val="000000"/>
          <w:sz w:val="24"/>
          <w:szCs w:val="24"/>
        </w:rPr>
        <w:t xml:space="preserve">ing a Sub-Contract to a Subcontractor, update the notice on Contract Finder with details of the successful Subcontractor; </w:t>
      </w:r>
    </w:p>
    <w:p w:rsidR="00F424BB" w:rsidRDefault="00013B52">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w:t>
      </w:r>
      <w:r>
        <w:rPr>
          <w:rFonts w:ascii="Arial" w:eastAsia="Arial" w:hAnsi="Arial" w:cs="Arial"/>
          <w:color w:val="000000"/>
          <w:sz w:val="24"/>
          <w:szCs w:val="24"/>
        </w:rPr>
        <w:t xml:space="preserve">chain during the Contract Period; </w:t>
      </w:r>
    </w:p>
    <w:p w:rsidR="00F424BB" w:rsidRDefault="00013B52">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rsidR="00F424BB" w:rsidRDefault="00013B52">
      <w:pPr>
        <w:numPr>
          <w:ilvl w:val="2"/>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promote Contracts Finder to its suppliers and encourage t</w:t>
      </w:r>
      <w:r>
        <w:rPr>
          <w:rFonts w:ascii="Arial" w:eastAsia="Arial" w:hAnsi="Arial" w:cs="Arial"/>
          <w:color w:val="000000"/>
          <w:sz w:val="24"/>
          <w:szCs w:val="24"/>
        </w:rPr>
        <w:t xml:space="preserve">hose organisations to register on Contracts Finder. </w:t>
      </w:r>
    </w:p>
    <w:p w:rsidR="00F424BB" w:rsidRDefault="00F424BB">
      <w:pPr>
        <w:pBdr>
          <w:top w:val="nil"/>
          <w:left w:val="nil"/>
          <w:bottom w:val="nil"/>
          <w:right w:val="nil"/>
          <w:between w:val="nil"/>
        </w:pBdr>
        <w:spacing w:after="0"/>
        <w:ind w:left="1080"/>
        <w:rPr>
          <w:rFonts w:ascii="Arial" w:eastAsia="Arial" w:hAnsi="Arial" w:cs="Arial"/>
          <w:color w:val="000000"/>
          <w:sz w:val="24"/>
          <w:szCs w:val="24"/>
        </w:rPr>
      </w:pPr>
    </w:p>
    <w:p w:rsidR="00F424BB" w:rsidRDefault="00F424BB">
      <w:pPr>
        <w:pBdr>
          <w:top w:val="nil"/>
          <w:left w:val="nil"/>
          <w:bottom w:val="nil"/>
          <w:right w:val="nil"/>
          <w:between w:val="nil"/>
        </w:pBdr>
        <w:spacing w:after="0"/>
        <w:ind w:left="1080"/>
        <w:rPr>
          <w:rFonts w:ascii="Arial" w:eastAsia="Arial" w:hAnsi="Arial" w:cs="Arial"/>
          <w:color w:val="000000"/>
          <w:sz w:val="24"/>
          <w:szCs w:val="24"/>
        </w:rPr>
      </w:pPr>
    </w:p>
    <w:p w:rsidR="00F424BB" w:rsidRDefault="00013B52">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rsidR="00F424BB" w:rsidRDefault="00F424BB">
      <w:pPr>
        <w:pBdr>
          <w:top w:val="nil"/>
          <w:left w:val="nil"/>
          <w:bottom w:val="nil"/>
          <w:right w:val="nil"/>
          <w:between w:val="nil"/>
        </w:pBdr>
        <w:spacing w:after="0"/>
        <w:ind w:left="993" w:hanging="633"/>
        <w:rPr>
          <w:rFonts w:ascii="Arial" w:eastAsia="Arial" w:hAnsi="Arial" w:cs="Arial"/>
          <w:color w:val="000000"/>
          <w:sz w:val="24"/>
          <w:szCs w:val="24"/>
        </w:rPr>
      </w:pPr>
    </w:p>
    <w:p w:rsidR="00F424BB" w:rsidRDefault="00013B52">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w:t>
      </w:r>
      <w:r>
        <w:rPr>
          <w:rFonts w:ascii="Arial" w:eastAsia="Arial" w:hAnsi="Arial" w:cs="Arial"/>
          <w:color w:val="000000"/>
          <w:sz w:val="24"/>
          <w:szCs w:val="24"/>
        </w:rPr>
        <w:t>lier set out at Paragraph 2.1 shall only apply in respect of Sub-Contract opportunities arising after the Effective Date.</w:t>
      </w:r>
    </w:p>
    <w:p w:rsidR="00F424BB" w:rsidRDefault="00F424BB">
      <w:pPr>
        <w:pBdr>
          <w:top w:val="nil"/>
          <w:left w:val="nil"/>
          <w:bottom w:val="nil"/>
          <w:right w:val="nil"/>
          <w:between w:val="nil"/>
        </w:pBdr>
        <w:spacing w:after="0"/>
        <w:ind w:left="993" w:hanging="633"/>
        <w:rPr>
          <w:rFonts w:ascii="Arial" w:eastAsia="Arial" w:hAnsi="Arial" w:cs="Arial"/>
          <w:color w:val="000000"/>
          <w:sz w:val="24"/>
          <w:szCs w:val="24"/>
        </w:rPr>
      </w:pPr>
    </w:p>
    <w:p w:rsidR="00F424BB" w:rsidRDefault="00013B52">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w:t>
      </w:r>
      <w:r>
        <w:rPr>
          <w:rFonts w:ascii="Arial" w:eastAsia="Arial" w:hAnsi="Arial" w:cs="Arial"/>
          <w:color w:val="000000"/>
          <w:sz w:val="24"/>
          <w:szCs w:val="24"/>
        </w:rPr>
        <w:t xml:space="preserve">to be advertised by the Supplier on Contracts Finder.  </w:t>
      </w:r>
    </w:p>
    <w:p w:rsidR="00F424BB" w:rsidRDefault="00F424BB">
      <w:pPr>
        <w:pBdr>
          <w:top w:val="nil"/>
          <w:left w:val="nil"/>
          <w:bottom w:val="nil"/>
          <w:right w:val="nil"/>
          <w:between w:val="nil"/>
        </w:pBdr>
        <w:spacing w:after="0"/>
        <w:ind w:left="720"/>
        <w:rPr>
          <w:rFonts w:ascii="Arial" w:eastAsia="Arial" w:hAnsi="Arial" w:cs="Arial"/>
          <w:color w:val="000000"/>
          <w:sz w:val="24"/>
          <w:szCs w:val="24"/>
        </w:rPr>
      </w:pPr>
    </w:p>
    <w:p w:rsidR="00F424BB" w:rsidRDefault="00013B52">
      <w:pPr>
        <w:numPr>
          <w:ilvl w:val="0"/>
          <w:numId w:val="2"/>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F424BB" w:rsidRDefault="00F424BB">
      <w:pPr>
        <w:pBdr>
          <w:top w:val="nil"/>
          <w:left w:val="nil"/>
          <w:bottom w:val="nil"/>
          <w:right w:val="nil"/>
          <w:between w:val="nil"/>
        </w:pBdr>
        <w:spacing w:after="0"/>
        <w:ind w:left="720"/>
        <w:rPr>
          <w:rFonts w:ascii="Arial" w:eastAsia="Arial" w:hAnsi="Arial" w:cs="Arial"/>
          <w:b/>
          <w:color w:val="000000"/>
          <w:sz w:val="24"/>
          <w:szCs w:val="24"/>
        </w:rPr>
      </w:pPr>
    </w:p>
    <w:p w:rsidR="00F424BB" w:rsidRDefault="00013B52">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In addition to any other management information requirements set out in the Contract, the Supplier agrees and acknowledges that it shall, at no charge, provide timely, full, accurate and complete SME management information reports (the “SME Management Info</w:t>
      </w:r>
      <w:r>
        <w:rPr>
          <w:rFonts w:ascii="Arial" w:eastAsia="Arial" w:hAnsi="Arial" w:cs="Arial"/>
          <w:color w:val="000000"/>
          <w:sz w:val="24"/>
          <w:szCs w:val="24"/>
        </w:rPr>
        <w:t xml:space="preserve">rmation Reports”) to the Relevant Authority which incorporates the data described in the Supply Chain Information Report Template which is: </w:t>
      </w:r>
    </w:p>
    <w:p w:rsidR="00F424BB" w:rsidRDefault="00013B52">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F424BB" w:rsidRDefault="00013B52">
      <w:pPr>
        <w:numPr>
          <w:ilvl w:val="0"/>
          <w:numId w:val="1"/>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F424BB" w:rsidRDefault="00013B52">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rsidR="00F424BB" w:rsidRDefault="00F424BB">
      <w:pPr>
        <w:pBdr>
          <w:top w:val="nil"/>
          <w:left w:val="nil"/>
          <w:bottom w:val="nil"/>
          <w:right w:val="nil"/>
          <w:between w:val="nil"/>
        </w:pBdr>
        <w:spacing w:after="0" w:line="360" w:lineRule="auto"/>
        <w:jc w:val="both"/>
        <w:rPr>
          <w:rFonts w:ascii="Arial" w:eastAsia="Arial" w:hAnsi="Arial" w:cs="Arial"/>
          <w:color w:val="000000"/>
          <w:sz w:val="24"/>
          <w:szCs w:val="24"/>
        </w:rPr>
      </w:pPr>
    </w:p>
    <w:p w:rsidR="00F424BB" w:rsidRDefault="00013B52">
      <w:pPr>
        <w:numPr>
          <w:ilvl w:val="1"/>
          <w:numId w:val="2"/>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w:t>
      </w:r>
      <w:r>
        <w:rPr>
          <w:rFonts w:ascii="Arial" w:eastAsia="Arial" w:hAnsi="Arial" w:cs="Arial"/>
          <w:color w:val="000000"/>
          <w:sz w:val="24"/>
          <w:szCs w:val="24"/>
        </w:rPr>
        <w:t>l use the Supply Chain Information Report Template to provide the information detailed at Paragraph 3.1(a) –(c) and acknowledges that the template may be changed from time to time (including the data required and/or format) by the Relevant Authority issuin</w:t>
      </w:r>
      <w:r>
        <w:rPr>
          <w:rFonts w:ascii="Arial" w:eastAsia="Arial" w:hAnsi="Arial" w:cs="Arial"/>
          <w:color w:val="000000"/>
          <w:sz w:val="24"/>
          <w:szCs w:val="24"/>
        </w:rPr>
        <w:t>g a replacement version. The Relevant Authority agrees to give at least thirty (30) days’ notice in writing of any such change and shall specify the date from which it must be used.</w:t>
      </w:r>
    </w:p>
    <w:p w:rsidR="00F424BB" w:rsidRDefault="00F424BB">
      <w:pPr>
        <w:pBdr>
          <w:top w:val="nil"/>
          <w:left w:val="nil"/>
          <w:bottom w:val="nil"/>
          <w:right w:val="nil"/>
          <w:between w:val="nil"/>
        </w:pBdr>
        <w:spacing w:after="0"/>
        <w:ind w:left="720"/>
        <w:rPr>
          <w:rFonts w:ascii="Arial" w:eastAsia="Arial" w:hAnsi="Arial" w:cs="Arial"/>
          <w:color w:val="000000"/>
          <w:sz w:val="24"/>
          <w:szCs w:val="24"/>
        </w:rPr>
      </w:pPr>
    </w:p>
    <w:p w:rsidR="00F424BB" w:rsidRDefault="00013B52">
      <w:pPr>
        <w:numPr>
          <w:ilvl w:val="1"/>
          <w:numId w:val="2"/>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The Supplier further agrees and acknowledges that it may not make any ame</w:t>
      </w:r>
      <w:r>
        <w:rPr>
          <w:rFonts w:ascii="Arial" w:eastAsia="Arial" w:hAnsi="Arial" w:cs="Arial"/>
          <w:color w:val="000000"/>
          <w:sz w:val="24"/>
          <w:szCs w:val="24"/>
        </w:rPr>
        <w:t xml:space="preserve">ndment to the Supply Chain Information Report Template without the prior Approval of the Authority.  </w:t>
      </w:r>
    </w:p>
    <w:p w:rsidR="00F424BB" w:rsidRDefault="00F424BB">
      <w:pPr>
        <w:rPr>
          <w:rFonts w:ascii="Arial" w:eastAsia="Arial" w:hAnsi="Arial" w:cs="Arial"/>
          <w:sz w:val="24"/>
          <w:szCs w:val="24"/>
        </w:rPr>
      </w:pPr>
    </w:p>
    <w:p w:rsidR="00F424BB" w:rsidRDefault="00013B52">
      <w:pPr>
        <w:ind w:left="360"/>
        <w:jc w:val="center"/>
        <w:rPr>
          <w:rFonts w:ascii="Arial" w:eastAsia="Arial" w:hAnsi="Arial" w:cs="Arial"/>
          <w:b/>
          <w:sz w:val="24"/>
          <w:szCs w:val="24"/>
        </w:rPr>
      </w:pPr>
      <w:r>
        <w:rPr>
          <w:rFonts w:ascii="Arial" w:eastAsia="Arial" w:hAnsi="Arial" w:cs="Arial"/>
          <w:b/>
          <w:sz w:val="24"/>
          <w:szCs w:val="24"/>
        </w:rPr>
        <w:lastRenderedPageBreak/>
        <w:t>Annex 1</w:t>
      </w:r>
    </w:p>
    <w:p w:rsidR="00F424BB" w:rsidRDefault="00013B52">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rsidR="00F424BB" w:rsidRDefault="00F424BB">
      <w:pPr>
        <w:rPr>
          <w:rFonts w:ascii="Arial" w:eastAsia="Arial" w:hAnsi="Arial" w:cs="Arial"/>
          <w:sz w:val="24"/>
          <w:szCs w:val="24"/>
        </w:rPr>
      </w:pPr>
    </w:p>
    <w:p w:rsidR="00F424BB" w:rsidRDefault="00F424BB"/>
    <w:p w:rsidR="00F424BB" w:rsidRDefault="00240C6F" w:rsidP="00240C6F">
      <w:pPr>
        <w:jc w:val="center"/>
        <w:rPr>
          <w:rFonts w:ascii="Arial" w:eastAsia="Arial" w:hAnsi="Arial" w:cs="Arial"/>
          <w:sz w:val="24"/>
          <w:szCs w:val="24"/>
        </w:rPr>
      </w:pPr>
      <w:r>
        <w:rPr>
          <w:rFonts w:ascii="Arial" w:eastAsia="Arial" w:hAnsi="Arial" w:cs="Arial"/>
          <w:sz w:val="24"/>
          <w:szCs w:val="24"/>
        </w:rPr>
        <w:object w:dxaOrig="1516" w:dyaOrig="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8" o:title=""/>
          </v:shape>
          <o:OLEObject Type="Embed" ProgID="Excel.Sheet.12" ShapeID="_x0000_i1025" DrawAspect="Icon" ObjectID="_1730535091" r:id="rId9"/>
        </w:object>
      </w:r>
      <w:bookmarkStart w:id="1" w:name="_GoBack"/>
      <w:bookmarkEnd w:id="1"/>
    </w:p>
    <w:p w:rsidR="00F424BB" w:rsidRDefault="00F424BB">
      <w:pPr>
        <w:rPr>
          <w:rFonts w:ascii="Arial" w:eastAsia="Arial" w:hAnsi="Arial" w:cs="Arial"/>
          <w:sz w:val="24"/>
          <w:szCs w:val="24"/>
        </w:rPr>
      </w:pPr>
    </w:p>
    <w:p w:rsidR="00F424BB" w:rsidRDefault="00F424BB">
      <w:pPr>
        <w:rPr>
          <w:rFonts w:ascii="Arial" w:eastAsia="Arial" w:hAnsi="Arial" w:cs="Arial"/>
          <w:sz w:val="24"/>
          <w:szCs w:val="24"/>
        </w:rPr>
      </w:pPr>
    </w:p>
    <w:sectPr w:rsidR="00F424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B52" w:rsidRDefault="00013B52">
      <w:pPr>
        <w:spacing w:after="0" w:line="240" w:lineRule="auto"/>
      </w:pPr>
      <w:r>
        <w:separator/>
      </w:r>
    </w:p>
  </w:endnote>
  <w:endnote w:type="continuationSeparator" w:id="0">
    <w:p w:rsidR="00013B52" w:rsidRDefault="000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BB" w:rsidRDefault="00F424B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BB" w:rsidRDefault="00013B5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240C6F">
      <w:rPr>
        <w:color w:val="000000"/>
      </w:rPr>
      <w:fldChar w:fldCharType="separate"/>
    </w:r>
    <w:r w:rsidR="00240C6F">
      <w:rPr>
        <w:noProof/>
        <w:color w:val="000000"/>
      </w:rPr>
      <w:t>1</w:t>
    </w:r>
    <w:r>
      <w:rPr>
        <w:color w:val="000000"/>
      </w:rPr>
      <w:fldChar w:fldCharType="end"/>
    </w:r>
  </w:p>
  <w:p w:rsidR="00F424BB" w:rsidRDefault="00013B52">
    <w:pPr>
      <w:tabs>
        <w:tab w:val="center" w:pos="4513"/>
        <w:tab w:val="right" w:pos="9026"/>
      </w:tabs>
      <w:spacing w:after="0"/>
      <w:rPr>
        <w:rFonts w:ascii="Arial" w:eastAsia="Arial" w:hAnsi="Arial" w:cs="Arial"/>
        <w:sz w:val="20"/>
        <w:szCs w:val="20"/>
      </w:rPr>
    </w:pPr>
    <w:bookmarkStart w:id="2" w:name="bookmark=id.30j0zll" w:colFirst="0" w:colLast="0"/>
    <w:bookmarkStart w:id="3" w:name="bookmark=id.1fob9te" w:colFirst="0" w:colLast="0"/>
    <w:bookmarkStart w:id="4" w:name="bookmark=id.3znysh7" w:colFirst="0" w:colLast="0"/>
    <w:bookmarkEnd w:id="2"/>
    <w:bookmarkEnd w:id="3"/>
    <w:bookmarkEnd w:id="4"/>
    <w:r>
      <w:rPr>
        <w:rFonts w:ascii="Arial" w:eastAsia="Arial" w:hAnsi="Arial" w:cs="Arial"/>
        <w:sz w:val="20"/>
        <w:szCs w:val="20"/>
      </w:rPr>
      <w:t xml:space="preserve">Framework Ref: RM6145 Learning and Development Framework </w:t>
    </w:r>
  </w:p>
  <w:p w:rsidR="00F424BB" w:rsidRDefault="00013B5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rsidR="00F424BB" w:rsidRDefault="00013B52">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bookmarkStart w:id="5" w:name="_heading=h.2et92p0" w:colFirst="0" w:colLast="0"/>
    <w:bookmarkEnd w:id="5"/>
    <w:r>
      <w:rPr>
        <w:rFonts w:ascii="Arial" w:eastAsia="Arial" w:hAnsi="Arial" w:cs="Arial"/>
        <w:color w:val="000000"/>
        <w:sz w:val="20"/>
        <w:szCs w:val="20"/>
      </w:rPr>
      <w:t>Model Version: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BB" w:rsidRDefault="00F424B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B52" w:rsidRDefault="00013B52">
      <w:pPr>
        <w:spacing w:after="0" w:line="240" w:lineRule="auto"/>
      </w:pPr>
      <w:r>
        <w:separator/>
      </w:r>
    </w:p>
  </w:footnote>
  <w:footnote w:type="continuationSeparator" w:id="0">
    <w:p w:rsidR="00013B52" w:rsidRDefault="000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BB" w:rsidRDefault="00F424B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BB" w:rsidRDefault="00013B52">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noProof/>
        <w:color w:val="000000"/>
      </w:rPr>
      <mc:AlternateContent>
        <mc:Choice Requires="wpg">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8412614" cy="8412614"/>
              <wp:effectExtent l="0" t="0" r="0" b="0"/>
              <wp:wrapNone/>
              <wp:docPr id="3" name="Rectangle 3"/>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a:noFill/>
                      <a:ln>
                        <a:noFill/>
                      </a:ln>
                    </wps:spPr>
                    <wps:txbx>
                      <w:txbxContent>
                        <w:p w:rsidR="00F424BB" w:rsidRDefault="00F424BB">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412614" cy="8412614"/>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412614" cy="8412614"/>
                      </a:xfrm>
                      <a:prstGeom prst="rect"/>
                      <a:ln/>
                    </pic:spPr>
                  </pic:pic>
                </a:graphicData>
              </a:graphic>
            </wp:anchor>
          </w:drawing>
        </mc:Fallback>
      </mc:AlternateContent>
    </w:r>
    <w:r>
      <w:rPr>
        <w:rFonts w:ascii="Arial" w:eastAsia="Arial" w:hAnsi="Arial" w:cs="Arial"/>
        <w:b/>
        <w:color w:val="000000"/>
      </w:rPr>
      <w:t>Joint Schedule 12 (Supply Chain Visibility) – RM6145</w:t>
    </w:r>
  </w:p>
  <w:p w:rsidR="00F424BB" w:rsidRDefault="00013B52">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2019</w:t>
    </w:r>
  </w:p>
  <w:p w:rsidR="00F424BB" w:rsidRDefault="00F424B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BB" w:rsidRDefault="00F424B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14407"/>
    <w:multiLevelType w:val="multilevel"/>
    <w:tmpl w:val="E78A2D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F504E00"/>
    <w:multiLevelType w:val="multilevel"/>
    <w:tmpl w:val="2E5CE80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4BB"/>
    <w:rsid w:val="00013B52"/>
    <w:rsid w:val="00240C6F"/>
    <w:rsid w:val="00F42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284DC-E676-4035-899B-09D22060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NMee2MbEJ/B9+J30KbbxdMQkw==">AMUW2mUxuYmGt5majXLcqe+73ezDgvkVvF5Fy2vlmOZj8q8+zaEYU/5pbbWsOz7MeP+ZwgdUS3+yANFJ+rbGDPaoT59iV3Y0moqL/77SdI6quvtzmJSnlzZjXu9wMqkew55DMULaxbqyOIicVGZIJwXFSTdi+mBEttarKYs6m/5DKYKIYPj6E7X6hVDVen6JqELkP2ODZjn8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2</cp:revision>
  <dcterms:created xsi:type="dcterms:W3CDTF">2022-11-18T10:24:00Z</dcterms:created>
  <dcterms:modified xsi:type="dcterms:W3CDTF">2022-11-21T11:25:00Z</dcterms:modified>
</cp:coreProperties>
</file>