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D519" w14:textId="77777777" w:rsidR="00B848AA" w:rsidRDefault="000A0EC2">
      <w:r>
        <w:rPr>
          <w:noProof/>
        </w:rPr>
        <w:drawing>
          <wp:anchor distT="0" distB="0" distL="114300" distR="114300" simplePos="0" relativeHeight="251658240" behindDoc="0" locked="0" layoutInCell="1" allowOverlap="1" wp14:anchorId="20373119" wp14:editId="00635A3D">
            <wp:simplePos x="0" y="0"/>
            <wp:positionH relativeFrom="column">
              <wp:align>left</wp:align>
            </wp:positionH>
            <wp:positionV relativeFrom="paragraph">
              <wp:align>top</wp:align>
            </wp:positionV>
            <wp:extent cx="2476798" cy="2070000"/>
            <wp:effectExtent l="0" t="0" r="0" b="645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6798" cy="2070000"/>
                    </a:xfrm>
                    <a:prstGeom prst="rect">
                      <a:avLst/>
                    </a:prstGeom>
                    <a:noFill/>
                    <a:ln>
                      <a:noFill/>
                      <a:prstDash/>
                    </a:ln>
                  </pic:spPr>
                </pic:pic>
              </a:graphicData>
            </a:graphic>
          </wp:anchor>
        </w:drawing>
      </w:r>
      <w:r>
        <w:br/>
      </w:r>
    </w:p>
    <w:p w14:paraId="596B0C94" w14:textId="77777777" w:rsidR="00B848AA" w:rsidRDefault="00B848AA">
      <w:pPr>
        <w:pStyle w:val="Heading1"/>
      </w:pPr>
      <w:bookmarkStart w:id="0" w:name="_Toc32303547"/>
    </w:p>
    <w:p w14:paraId="273AD107" w14:textId="77777777" w:rsidR="00353F6C" w:rsidRDefault="00353F6C">
      <w:pPr>
        <w:pStyle w:val="Heading1"/>
      </w:pPr>
      <w:bookmarkStart w:id="1" w:name="_Toc33176231"/>
      <w:bookmarkStart w:id="2" w:name="_Toc69399439"/>
      <w:bookmarkStart w:id="3" w:name="_Toc71109840"/>
    </w:p>
    <w:p w14:paraId="26BBD44D" w14:textId="77777777" w:rsidR="00353F6C" w:rsidRDefault="00353F6C">
      <w:pPr>
        <w:pStyle w:val="Heading1"/>
      </w:pPr>
    </w:p>
    <w:p w14:paraId="7ACE6433" w14:textId="1671CC6B" w:rsidR="00B848AA" w:rsidRDefault="000A0EC2">
      <w:pPr>
        <w:pStyle w:val="Heading1"/>
      </w:pPr>
      <w:r>
        <w:t>G-Cloud 12 Call-Off Contract</w:t>
      </w:r>
      <w:bookmarkEnd w:id="0"/>
      <w:bookmarkEnd w:id="1"/>
      <w:bookmarkEnd w:id="2"/>
      <w:bookmarkEnd w:id="3"/>
      <w:r>
        <w:t xml:space="preserve"> </w:t>
      </w:r>
    </w:p>
    <w:p w14:paraId="653C6D11" w14:textId="77777777" w:rsidR="00353F6C" w:rsidRDefault="00353F6C">
      <w:pPr>
        <w:rPr>
          <w:rFonts w:eastAsia="Times New Roman"/>
          <w:lang w:eastAsia="en-US"/>
        </w:rPr>
      </w:pPr>
    </w:p>
    <w:p w14:paraId="712F86FD" w14:textId="2653504D" w:rsidR="00B848AA" w:rsidRDefault="000A0EC2">
      <w:pPr>
        <w:rPr>
          <w:rFonts w:eastAsia="Times New Roman"/>
          <w:lang w:eastAsia="en-US"/>
        </w:rPr>
      </w:pPr>
      <w:r>
        <w:rPr>
          <w:rFonts w:eastAsia="Times New Roman"/>
          <w:lang w:eastAsia="en-US"/>
        </w:rPr>
        <w:t>This Call-Off Contract for the G-Cloud 12 Framework Agreement (RM1557.12) includes:</w:t>
      </w:r>
    </w:p>
    <w:p w14:paraId="785C6CA8" w14:textId="36EB890D" w:rsidR="00C94EB2" w:rsidRDefault="000A0EC2" w:rsidP="00582592">
      <w:pPr>
        <w:pStyle w:val="TOC1"/>
        <w:rPr>
          <w:rFonts w:asciiTheme="minorHAnsi" w:eastAsiaTheme="minorEastAsia" w:hAnsiTheme="minorHAnsi" w:cstheme="minorBidi"/>
          <w:noProof/>
        </w:rPr>
      </w:pPr>
      <w:r>
        <w:rPr>
          <w:rFonts w:ascii="Arial" w:hAnsi="Arial"/>
          <w:sz w:val="22"/>
          <w:szCs w:val="22"/>
        </w:rPr>
        <w:fldChar w:fldCharType="begin"/>
      </w:r>
      <w:r>
        <w:instrText xml:space="preserve"> TOC \o "1-2" \u </w:instrText>
      </w:r>
      <w:r>
        <w:rPr>
          <w:rFonts w:ascii="Arial" w:hAnsi="Arial"/>
          <w:sz w:val="22"/>
          <w:szCs w:val="22"/>
        </w:rPr>
        <w:fldChar w:fldCharType="separate"/>
      </w:r>
      <w:r w:rsidR="00C94EB2">
        <w:rPr>
          <w:noProof/>
        </w:rPr>
        <w:t>G-Cloud 12 Call-Off Contract</w:t>
      </w:r>
      <w:r w:rsidR="00C94EB2">
        <w:rPr>
          <w:noProof/>
        </w:rPr>
        <w:tab/>
      </w:r>
      <w:r w:rsidR="00C94EB2">
        <w:rPr>
          <w:noProof/>
        </w:rPr>
        <w:fldChar w:fldCharType="begin"/>
      </w:r>
      <w:r w:rsidR="00C94EB2">
        <w:rPr>
          <w:noProof/>
        </w:rPr>
        <w:instrText xml:space="preserve"> PAGEREF _Toc71109840 \h </w:instrText>
      </w:r>
      <w:r w:rsidR="00C94EB2">
        <w:rPr>
          <w:noProof/>
        </w:rPr>
      </w:r>
      <w:r w:rsidR="00C94EB2">
        <w:rPr>
          <w:noProof/>
        </w:rPr>
        <w:fldChar w:fldCharType="separate"/>
      </w:r>
      <w:r w:rsidR="008A03D0">
        <w:rPr>
          <w:noProof/>
        </w:rPr>
        <w:t>1</w:t>
      </w:r>
      <w:r w:rsidR="00C94EB2">
        <w:rPr>
          <w:noProof/>
        </w:rPr>
        <w:fldChar w:fldCharType="end"/>
      </w:r>
    </w:p>
    <w:p w14:paraId="0CC156F4" w14:textId="582C5D88" w:rsidR="00C94EB2" w:rsidRDefault="00C94EB2">
      <w:pPr>
        <w:pStyle w:val="TOC2"/>
        <w:rPr>
          <w:rFonts w:asciiTheme="minorHAnsi" w:eastAsiaTheme="minorEastAsia" w:hAnsiTheme="minorHAnsi" w:cstheme="minorBidi"/>
          <w:b w:val="0"/>
          <w:bCs w:val="0"/>
          <w:noProof/>
          <w:sz w:val="24"/>
          <w:szCs w:val="24"/>
        </w:rPr>
      </w:pPr>
      <w:r>
        <w:rPr>
          <w:noProof/>
        </w:rPr>
        <w:t>Part A: Order Form</w:t>
      </w:r>
      <w:r>
        <w:rPr>
          <w:noProof/>
        </w:rPr>
        <w:tab/>
      </w:r>
      <w:r>
        <w:rPr>
          <w:noProof/>
        </w:rPr>
        <w:fldChar w:fldCharType="begin"/>
      </w:r>
      <w:r>
        <w:rPr>
          <w:noProof/>
        </w:rPr>
        <w:instrText xml:space="preserve"> PAGEREF _Toc71109841 \h </w:instrText>
      </w:r>
      <w:r>
        <w:rPr>
          <w:noProof/>
        </w:rPr>
      </w:r>
      <w:r>
        <w:rPr>
          <w:noProof/>
        </w:rPr>
        <w:fldChar w:fldCharType="separate"/>
      </w:r>
      <w:r w:rsidR="008A03D0">
        <w:rPr>
          <w:noProof/>
        </w:rPr>
        <w:t>2</w:t>
      </w:r>
      <w:r>
        <w:rPr>
          <w:noProof/>
        </w:rPr>
        <w:fldChar w:fldCharType="end"/>
      </w:r>
    </w:p>
    <w:p w14:paraId="70319419" w14:textId="454E80B4" w:rsidR="00C94EB2" w:rsidRDefault="00C94EB2">
      <w:pPr>
        <w:pStyle w:val="TOC2"/>
        <w:rPr>
          <w:rFonts w:asciiTheme="minorHAnsi" w:eastAsiaTheme="minorEastAsia" w:hAnsiTheme="minorHAnsi" w:cstheme="minorBidi"/>
          <w:b w:val="0"/>
          <w:bCs w:val="0"/>
          <w:noProof/>
          <w:sz w:val="24"/>
          <w:szCs w:val="24"/>
        </w:rPr>
      </w:pPr>
      <w:r>
        <w:rPr>
          <w:noProof/>
        </w:rPr>
        <w:t>Schedule 1: Services</w:t>
      </w:r>
      <w:r>
        <w:rPr>
          <w:noProof/>
        </w:rPr>
        <w:tab/>
      </w:r>
      <w:r>
        <w:rPr>
          <w:noProof/>
        </w:rPr>
        <w:fldChar w:fldCharType="begin"/>
      </w:r>
      <w:r>
        <w:rPr>
          <w:noProof/>
        </w:rPr>
        <w:instrText xml:space="preserve"> PAGEREF _Toc71109842 \h </w:instrText>
      </w:r>
      <w:r>
        <w:rPr>
          <w:noProof/>
        </w:rPr>
      </w:r>
      <w:r>
        <w:rPr>
          <w:noProof/>
        </w:rPr>
        <w:fldChar w:fldCharType="separate"/>
      </w:r>
      <w:r w:rsidR="008A03D0">
        <w:rPr>
          <w:noProof/>
        </w:rPr>
        <w:t>14</w:t>
      </w:r>
      <w:r>
        <w:rPr>
          <w:noProof/>
        </w:rPr>
        <w:fldChar w:fldCharType="end"/>
      </w:r>
    </w:p>
    <w:p w14:paraId="16A1DD1C" w14:textId="6FAC4CDC" w:rsidR="00C94EB2" w:rsidRDefault="00C94EB2" w:rsidP="00C94EB2">
      <w:pPr>
        <w:pStyle w:val="TOC2"/>
        <w:rPr>
          <w:rFonts w:asciiTheme="minorHAnsi" w:eastAsiaTheme="minorEastAsia" w:hAnsiTheme="minorHAnsi" w:cstheme="minorBidi"/>
          <w:b w:val="0"/>
          <w:bCs w:val="0"/>
          <w:noProof/>
          <w:sz w:val="24"/>
          <w:szCs w:val="24"/>
        </w:rPr>
      </w:pPr>
      <w:r>
        <w:rPr>
          <w:noProof/>
        </w:rPr>
        <w:t>Schedule 2: Call-Off Contract charges</w:t>
      </w:r>
      <w:r>
        <w:rPr>
          <w:noProof/>
        </w:rPr>
        <w:tab/>
      </w:r>
      <w:r>
        <w:rPr>
          <w:noProof/>
        </w:rPr>
        <w:fldChar w:fldCharType="begin"/>
      </w:r>
      <w:r>
        <w:rPr>
          <w:noProof/>
        </w:rPr>
        <w:instrText xml:space="preserve"> PAGEREF _Toc71109851 \h </w:instrText>
      </w:r>
      <w:r>
        <w:rPr>
          <w:noProof/>
        </w:rPr>
      </w:r>
      <w:r>
        <w:rPr>
          <w:noProof/>
        </w:rPr>
        <w:fldChar w:fldCharType="separate"/>
      </w:r>
      <w:r w:rsidR="008A03D0">
        <w:rPr>
          <w:noProof/>
        </w:rPr>
        <w:t>37</w:t>
      </w:r>
      <w:r>
        <w:rPr>
          <w:noProof/>
        </w:rPr>
        <w:fldChar w:fldCharType="end"/>
      </w:r>
    </w:p>
    <w:p w14:paraId="5AAC4354" w14:textId="400D7B19" w:rsidR="00C94EB2" w:rsidRDefault="00C94EB2">
      <w:pPr>
        <w:pStyle w:val="TOC2"/>
        <w:rPr>
          <w:rFonts w:asciiTheme="minorHAnsi" w:eastAsiaTheme="minorEastAsia" w:hAnsiTheme="minorHAnsi" w:cstheme="minorBidi"/>
          <w:b w:val="0"/>
          <w:bCs w:val="0"/>
          <w:noProof/>
          <w:sz w:val="24"/>
          <w:szCs w:val="24"/>
        </w:rPr>
      </w:pPr>
      <w:r>
        <w:rPr>
          <w:noProof/>
        </w:rPr>
        <w:t>Part B: Terms and conditions</w:t>
      </w:r>
      <w:r>
        <w:rPr>
          <w:noProof/>
        </w:rPr>
        <w:tab/>
      </w:r>
      <w:r>
        <w:rPr>
          <w:noProof/>
        </w:rPr>
        <w:fldChar w:fldCharType="begin"/>
      </w:r>
      <w:r>
        <w:rPr>
          <w:noProof/>
        </w:rPr>
        <w:instrText xml:space="preserve"> PAGEREF _Toc71109857 \h </w:instrText>
      </w:r>
      <w:r>
        <w:rPr>
          <w:noProof/>
        </w:rPr>
      </w:r>
      <w:r>
        <w:rPr>
          <w:noProof/>
        </w:rPr>
        <w:fldChar w:fldCharType="separate"/>
      </w:r>
      <w:r w:rsidR="008A03D0">
        <w:rPr>
          <w:noProof/>
        </w:rPr>
        <w:t>39</w:t>
      </w:r>
      <w:r>
        <w:rPr>
          <w:noProof/>
        </w:rPr>
        <w:fldChar w:fldCharType="end"/>
      </w:r>
    </w:p>
    <w:p w14:paraId="1D9FC449" w14:textId="60384C91" w:rsidR="00C94EB2" w:rsidRDefault="00C94EB2">
      <w:pPr>
        <w:pStyle w:val="TOC2"/>
        <w:rPr>
          <w:rFonts w:asciiTheme="minorHAnsi" w:eastAsiaTheme="minorEastAsia" w:hAnsiTheme="minorHAnsi" w:cstheme="minorBidi"/>
          <w:b w:val="0"/>
          <w:bCs w:val="0"/>
          <w:noProof/>
          <w:sz w:val="24"/>
          <w:szCs w:val="24"/>
        </w:rPr>
      </w:pPr>
      <w:r>
        <w:rPr>
          <w:noProof/>
        </w:rPr>
        <w:t>Schedule 3: Collaboration agreement -</w:t>
      </w:r>
      <w:r w:rsidR="00297D27">
        <w:rPr>
          <w:noProof/>
        </w:rPr>
        <w:t xml:space="preserve"> </w:t>
      </w:r>
      <w:r>
        <w:rPr>
          <w:noProof/>
        </w:rPr>
        <w:t>Not Applicable</w:t>
      </w:r>
      <w:r>
        <w:rPr>
          <w:noProof/>
        </w:rPr>
        <w:tab/>
      </w:r>
      <w:r>
        <w:rPr>
          <w:noProof/>
        </w:rPr>
        <w:fldChar w:fldCharType="begin"/>
      </w:r>
      <w:r>
        <w:rPr>
          <w:noProof/>
        </w:rPr>
        <w:instrText xml:space="preserve"> PAGEREF _Toc71109858 \h </w:instrText>
      </w:r>
      <w:r>
        <w:rPr>
          <w:noProof/>
        </w:rPr>
      </w:r>
      <w:r>
        <w:rPr>
          <w:noProof/>
        </w:rPr>
        <w:fldChar w:fldCharType="separate"/>
      </w:r>
      <w:r w:rsidR="008A03D0">
        <w:rPr>
          <w:noProof/>
        </w:rPr>
        <w:t>58</w:t>
      </w:r>
      <w:r>
        <w:rPr>
          <w:noProof/>
        </w:rPr>
        <w:fldChar w:fldCharType="end"/>
      </w:r>
    </w:p>
    <w:p w14:paraId="1539E509" w14:textId="6ADE3263" w:rsidR="00C94EB2" w:rsidRDefault="00C94EB2">
      <w:pPr>
        <w:pStyle w:val="TOC2"/>
        <w:rPr>
          <w:rFonts w:asciiTheme="minorHAnsi" w:eastAsiaTheme="minorEastAsia" w:hAnsiTheme="minorHAnsi" w:cstheme="minorBidi"/>
          <w:b w:val="0"/>
          <w:bCs w:val="0"/>
          <w:noProof/>
          <w:sz w:val="24"/>
          <w:szCs w:val="24"/>
        </w:rPr>
      </w:pPr>
      <w:r>
        <w:rPr>
          <w:noProof/>
        </w:rPr>
        <w:t>Schedule 4: Alternative clauses – Not Applicable</w:t>
      </w:r>
      <w:r>
        <w:rPr>
          <w:noProof/>
        </w:rPr>
        <w:tab/>
      </w:r>
      <w:r>
        <w:rPr>
          <w:noProof/>
        </w:rPr>
        <w:fldChar w:fldCharType="begin"/>
      </w:r>
      <w:r>
        <w:rPr>
          <w:noProof/>
        </w:rPr>
        <w:instrText xml:space="preserve"> PAGEREF _Toc71109859 \h </w:instrText>
      </w:r>
      <w:r>
        <w:rPr>
          <w:noProof/>
        </w:rPr>
      </w:r>
      <w:r>
        <w:rPr>
          <w:noProof/>
        </w:rPr>
        <w:fldChar w:fldCharType="separate"/>
      </w:r>
      <w:r w:rsidR="008A03D0">
        <w:rPr>
          <w:noProof/>
        </w:rPr>
        <w:t>70</w:t>
      </w:r>
      <w:r>
        <w:rPr>
          <w:noProof/>
        </w:rPr>
        <w:fldChar w:fldCharType="end"/>
      </w:r>
    </w:p>
    <w:p w14:paraId="69144CCE" w14:textId="693FE664" w:rsidR="00C94EB2" w:rsidRDefault="00C94EB2">
      <w:pPr>
        <w:pStyle w:val="TOC2"/>
        <w:rPr>
          <w:rFonts w:asciiTheme="minorHAnsi" w:eastAsiaTheme="minorEastAsia" w:hAnsiTheme="minorHAnsi" w:cstheme="minorBidi"/>
          <w:b w:val="0"/>
          <w:bCs w:val="0"/>
          <w:noProof/>
          <w:sz w:val="24"/>
          <w:szCs w:val="24"/>
        </w:rPr>
      </w:pPr>
      <w:r>
        <w:rPr>
          <w:noProof/>
        </w:rPr>
        <w:t>Schedule 5: Guarantee – Not Applicable</w:t>
      </w:r>
      <w:r>
        <w:rPr>
          <w:noProof/>
        </w:rPr>
        <w:tab/>
      </w:r>
      <w:r>
        <w:rPr>
          <w:noProof/>
        </w:rPr>
        <w:fldChar w:fldCharType="begin"/>
      </w:r>
      <w:r>
        <w:rPr>
          <w:noProof/>
        </w:rPr>
        <w:instrText xml:space="preserve"> PAGEREF _Toc71109860 \h </w:instrText>
      </w:r>
      <w:r>
        <w:rPr>
          <w:noProof/>
        </w:rPr>
      </w:r>
      <w:r>
        <w:rPr>
          <w:noProof/>
        </w:rPr>
        <w:fldChar w:fldCharType="separate"/>
      </w:r>
      <w:r w:rsidR="008A03D0">
        <w:rPr>
          <w:noProof/>
        </w:rPr>
        <w:t>75</w:t>
      </w:r>
      <w:r>
        <w:rPr>
          <w:noProof/>
        </w:rPr>
        <w:fldChar w:fldCharType="end"/>
      </w:r>
    </w:p>
    <w:p w14:paraId="4AD36010" w14:textId="53766FDB" w:rsidR="00C94EB2" w:rsidRDefault="00C94EB2">
      <w:pPr>
        <w:pStyle w:val="TOC2"/>
        <w:rPr>
          <w:rFonts w:asciiTheme="minorHAnsi" w:eastAsiaTheme="minorEastAsia" w:hAnsiTheme="minorHAnsi" w:cstheme="minorBidi"/>
          <w:b w:val="0"/>
          <w:bCs w:val="0"/>
          <w:noProof/>
          <w:sz w:val="24"/>
          <w:szCs w:val="24"/>
        </w:rPr>
      </w:pPr>
      <w:r>
        <w:rPr>
          <w:noProof/>
        </w:rPr>
        <w:t>Schedule 6: Glossary and interpretations</w:t>
      </w:r>
      <w:r>
        <w:rPr>
          <w:noProof/>
        </w:rPr>
        <w:tab/>
      </w:r>
      <w:r>
        <w:rPr>
          <w:noProof/>
        </w:rPr>
        <w:fldChar w:fldCharType="begin"/>
      </w:r>
      <w:r>
        <w:rPr>
          <w:noProof/>
        </w:rPr>
        <w:instrText xml:space="preserve"> PAGEREF _Toc71109861 \h </w:instrText>
      </w:r>
      <w:r>
        <w:rPr>
          <w:noProof/>
        </w:rPr>
      </w:r>
      <w:r>
        <w:rPr>
          <w:noProof/>
        </w:rPr>
        <w:fldChar w:fldCharType="separate"/>
      </w:r>
      <w:r w:rsidR="008A03D0">
        <w:rPr>
          <w:noProof/>
        </w:rPr>
        <w:t>83</w:t>
      </w:r>
      <w:r>
        <w:rPr>
          <w:noProof/>
        </w:rPr>
        <w:fldChar w:fldCharType="end"/>
      </w:r>
    </w:p>
    <w:p w14:paraId="2A192EDD" w14:textId="01AE031F" w:rsidR="00C94EB2" w:rsidRDefault="00C94EB2">
      <w:pPr>
        <w:pStyle w:val="TOC2"/>
        <w:rPr>
          <w:rFonts w:asciiTheme="minorHAnsi" w:eastAsiaTheme="minorEastAsia" w:hAnsiTheme="minorHAnsi" w:cstheme="minorBidi"/>
          <w:b w:val="0"/>
          <w:bCs w:val="0"/>
          <w:noProof/>
          <w:sz w:val="24"/>
          <w:szCs w:val="24"/>
        </w:rPr>
      </w:pPr>
      <w:r>
        <w:rPr>
          <w:noProof/>
        </w:rPr>
        <w:t>Schedule 7: GDPR Information - Not Applicable</w:t>
      </w:r>
      <w:r>
        <w:rPr>
          <w:noProof/>
        </w:rPr>
        <w:tab/>
      </w:r>
      <w:r>
        <w:rPr>
          <w:noProof/>
        </w:rPr>
        <w:fldChar w:fldCharType="begin"/>
      </w:r>
      <w:r>
        <w:rPr>
          <w:noProof/>
        </w:rPr>
        <w:instrText xml:space="preserve"> PAGEREF _Toc71109862 \h </w:instrText>
      </w:r>
      <w:r>
        <w:rPr>
          <w:noProof/>
        </w:rPr>
      </w:r>
      <w:r>
        <w:rPr>
          <w:noProof/>
        </w:rPr>
        <w:fldChar w:fldCharType="separate"/>
      </w:r>
      <w:r w:rsidR="008A03D0">
        <w:rPr>
          <w:noProof/>
        </w:rPr>
        <w:t>94</w:t>
      </w:r>
      <w:r>
        <w:rPr>
          <w:noProof/>
        </w:rPr>
        <w:fldChar w:fldCharType="end"/>
      </w:r>
    </w:p>
    <w:p w14:paraId="6BEE724F" w14:textId="77777777" w:rsidR="00B848AA" w:rsidRDefault="000A0EC2">
      <w:pPr>
        <w:pStyle w:val="Heading2"/>
      </w:pPr>
      <w:r>
        <w:rPr>
          <w:rFonts w:ascii="Cambria" w:hAnsi="Cambria"/>
          <w:b/>
          <w:bCs/>
        </w:rPr>
        <w:fldChar w:fldCharType="end"/>
      </w:r>
    </w:p>
    <w:p w14:paraId="35A4252E" w14:textId="77777777" w:rsidR="00B848AA" w:rsidRDefault="00B848AA">
      <w:pPr>
        <w:pageBreakBefore/>
      </w:pPr>
    </w:p>
    <w:p w14:paraId="75331F83" w14:textId="77777777" w:rsidR="00B848AA" w:rsidRDefault="000A0EC2">
      <w:pPr>
        <w:pStyle w:val="Heading2"/>
      </w:pPr>
      <w:bookmarkStart w:id="4" w:name="_Toc33176232"/>
      <w:bookmarkStart w:id="5" w:name="_Toc69399440"/>
      <w:bookmarkStart w:id="6" w:name="_Toc71109841"/>
      <w:r>
        <w:t>Part A: Order Form</w:t>
      </w:r>
      <w:bookmarkEnd w:id="4"/>
      <w:bookmarkEnd w:id="5"/>
      <w:bookmarkEnd w:id="6"/>
    </w:p>
    <w:p w14:paraId="454CE192" w14:textId="77777777" w:rsidR="00B848AA" w:rsidRDefault="000A0EC2">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B848AA" w14:paraId="4CEBD2D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676FB" w14:textId="77777777" w:rsidR="00B848AA" w:rsidRDefault="000A0EC2">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BF45F7" w14:textId="5BF10A38" w:rsidR="00B848AA" w:rsidRDefault="00AA632F">
            <w:pPr>
              <w:suppressAutoHyphens w:val="0"/>
            </w:pPr>
            <w:r>
              <w:rPr>
                <w:color w:val="0B0C0C"/>
                <w:shd w:val="clear" w:color="auto" w:fill="FFFFFF"/>
              </w:rPr>
              <w:t>6437 3501 9422 808</w:t>
            </w:r>
          </w:p>
        </w:tc>
      </w:tr>
      <w:tr w:rsidR="00B848AA" w14:paraId="5F35096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49891" w14:textId="77777777" w:rsidR="00B848AA" w:rsidRDefault="000A0EC2">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5D9BF6" w14:textId="5D2EB752" w:rsidR="00B848AA" w:rsidRPr="00892903" w:rsidRDefault="00E8225D" w:rsidP="00353F6C">
            <w:pPr>
              <w:suppressAutoHyphens w:val="0"/>
            </w:pPr>
            <w:r>
              <w:t>Prj_66</w:t>
            </w:r>
          </w:p>
        </w:tc>
      </w:tr>
      <w:tr w:rsidR="00B848AA" w14:paraId="46903B5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78B5E" w14:textId="77777777" w:rsidR="00B848AA" w:rsidRDefault="000A0EC2">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C6A56C9" w14:textId="45E514DE" w:rsidR="00B848AA" w:rsidRDefault="00B84C76">
            <w:pPr>
              <w:spacing w:before="240"/>
            </w:pPr>
            <w:r>
              <w:t>Provision of Support, Maintenance and Enhancements related to the Regulated Professions Register (RPR)</w:t>
            </w:r>
          </w:p>
        </w:tc>
      </w:tr>
      <w:tr w:rsidR="00B848AA" w14:paraId="6C36CAD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1DFE9" w14:textId="77777777" w:rsidR="00B848AA" w:rsidRDefault="000A0EC2">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7BCEB" w14:textId="4B7C27D4" w:rsidR="00B848AA" w:rsidRDefault="000A0EC2" w:rsidP="00B84C76">
            <w:pPr>
              <w:suppressAutoHyphens w:val="0"/>
            </w:pPr>
            <w:r>
              <w:t>This Call-Off Contract is for the provision of support</w:t>
            </w:r>
            <w:r w:rsidR="00B84C76">
              <w:t xml:space="preserve">, </w:t>
            </w:r>
            <w:r>
              <w:t>maintenance</w:t>
            </w:r>
            <w:r w:rsidR="00B84C76">
              <w:t xml:space="preserve"> and enhancement</w:t>
            </w:r>
            <w:r>
              <w:t xml:space="preserve"> services for the </w:t>
            </w:r>
            <w:r w:rsidR="00B84C76">
              <w:t>RPR</w:t>
            </w:r>
            <w:r>
              <w:t xml:space="preserve">, a web-based platform </w:t>
            </w:r>
            <w:r w:rsidR="00B84C76">
              <w:t>that is the</w:t>
            </w:r>
            <w:r>
              <w:t xml:space="preserve"> </w:t>
            </w:r>
            <w:r w:rsidR="00B84C76" w:rsidRPr="00B84C76">
              <w:t>single online source of information on regulated professions in the UK.</w:t>
            </w:r>
          </w:p>
          <w:p w14:paraId="1D5763F5" w14:textId="77777777" w:rsidR="00B848AA" w:rsidRDefault="00B848AA">
            <w:pPr>
              <w:suppressAutoHyphens w:val="0"/>
              <w:autoSpaceDE w:val="0"/>
              <w:spacing w:line="240" w:lineRule="auto"/>
              <w:textAlignment w:val="auto"/>
            </w:pPr>
          </w:p>
          <w:p w14:paraId="3CA266A6" w14:textId="73303251" w:rsidR="00B848AA" w:rsidRDefault="000A0EC2">
            <w:pPr>
              <w:suppressAutoHyphens w:val="0"/>
              <w:autoSpaceDE w:val="0"/>
              <w:spacing w:line="240" w:lineRule="auto"/>
              <w:textAlignment w:val="auto"/>
            </w:pPr>
            <w:r>
              <w:t>The Supplier under this Call-Off Contract will provide Level 2 and Level 3 software support, as well as:</w:t>
            </w:r>
          </w:p>
          <w:p w14:paraId="3D48D46F" w14:textId="77777777" w:rsidR="00B848AA" w:rsidRDefault="000A0EC2" w:rsidP="005C3AE7">
            <w:pPr>
              <w:pStyle w:val="ListParagraph"/>
              <w:numPr>
                <w:ilvl w:val="0"/>
                <w:numId w:val="1"/>
              </w:numPr>
              <w:suppressAutoHyphens w:val="0"/>
              <w:autoSpaceDE w:val="0"/>
              <w:spacing w:line="240" w:lineRule="auto"/>
              <w:textAlignment w:val="auto"/>
            </w:pPr>
            <w:r>
              <w:t>Incident management</w:t>
            </w:r>
          </w:p>
          <w:p w14:paraId="2E0A6FE8" w14:textId="77777777" w:rsidR="00B848AA" w:rsidRDefault="000A0EC2" w:rsidP="005C3AE7">
            <w:pPr>
              <w:pStyle w:val="ListParagraph"/>
              <w:numPr>
                <w:ilvl w:val="0"/>
                <w:numId w:val="1"/>
              </w:numPr>
              <w:suppressAutoHyphens w:val="0"/>
              <w:autoSpaceDE w:val="0"/>
              <w:spacing w:line="240" w:lineRule="auto"/>
              <w:textAlignment w:val="auto"/>
            </w:pPr>
            <w:r>
              <w:t>Application management</w:t>
            </w:r>
          </w:p>
          <w:p w14:paraId="6173D8FE" w14:textId="77777777" w:rsidR="00B848AA" w:rsidRDefault="000A0EC2" w:rsidP="005C3AE7">
            <w:pPr>
              <w:pStyle w:val="ListParagraph"/>
              <w:numPr>
                <w:ilvl w:val="0"/>
                <w:numId w:val="1"/>
              </w:numPr>
              <w:suppressAutoHyphens w:val="0"/>
              <w:autoSpaceDE w:val="0"/>
              <w:spacing w:line="240" w:lineRule="auto"/>
              <w:textAlignment w:val="auto"/>
            </w:pPr>
            <w:r>
              <w:t>Service reporting</w:t>
            </w:r>
          </w:p>
          <w:p w14:paraId="34586D94" w14:textId="77777777" w:rsidR="00B848AA" w:rsidRDefault="000A0EC2" w:rsidP="005C3AE7">
            <w:pPr>
              <w:pStyle w:val="ListParagraph"/>
              <w:numPr>
                <w:ilvl w:val="0"/>
                <w:numId w:val="1"/>
              </w:numPr>
              <w:suppressAutoHyphens w:val="0"/>
              <w:autoSpaceDE w:val="0"/>
              <w:spacing w:line="240" w:lineRule="auto"/>
              <w:textAlignment w:val="auto"/>
            </w:pPr>
            <w:r>
              <w:t>Knowledge management</w:t>
            </w:r>
          </w:p>
          <w:p w14:paraId="3F70906C" w14:textId="77777777" w:rsidR="00B848AA" w:rsidRDefault="000A0EC2" w:rsidP="005C3AE7">
            <w:pPr>
              <w:pStyle w:val="ListParagraph"/>
              <w:numPr>
                <w:ilvl w:val="0"/>
                <w:numId w:val="1"/>
              </w:numPr>
              <w:suppressAutoHyphens w:val="0"/>
              <w:autoSpaceDE w:val="0"/>
              <w:spacing w:line="240" w:lineRule="auto"/>
              <w:textAlignment w:val="auto"/>
            </w:pPr>
            <w:r>
              <w:t>Security management.</w:t>
            </w:r>
          </w:p>
          <w:p w14:paraId="5C6147EA" w14:textId="77777777" w:rsidR="00B848AA" w:rsidRDefault="00B848AA">
            <w:pPr>
              <w:suppressAutoHyphens w:val="0"/>
              <w:autoSpaceDE w:val="0"/>
              <w:spacing w:line="240" w:lineRule="auto"/>
              <w:textAlignment w:val="auto"/>
            </w:pPr>
          </w:p>
          <w:p w14:paraId="1B10BD31" w14:textId="77777777" w:rsidR="00B848AA" w:rsidRDefault="000A0EC2">
            <w:pPr>
              <w:suppressAutoHyphens w:val="0"/>
              <w:autoSpaceDE w:val="0"/>
              <w:spacing w:line="240" w:lineRule="auto"/>
              <w:textAlignment w:val="auto"/>
            </w:pPr>
            <w:r>
              <w:t>Full details of the Services are found in Schedule 1.</w:t>
            </w:r>
          </w:p>
        </w:tc>
      </w:tr>
      <w:tr w:rsidR="00B848AA" w14:paraId="7B5865E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0128B" w14:textId="77777777" w:rsidR="00B848AA" w:rsidRDefault="000A0EC2">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A404C9" w14:textId="29FA89D7" w:rsidR="00B848AA" w:rsidRDefault="005C654D">
            <w:pPr>
              <w:spacing w:before="240"/>
            </w:pPr>
            <w:r>
              <w:t>23</w:t>
            </w:r>
            <w:r w:rsidR="00A35D05">
              <w:t>/05/</w:t>
            </w:r>
            <w:r w:rsidR="000A0EC2">
              <w:t>202</w:t>
            </w:r>
            <w:r w:rsidR="00B84C76">
              <w:t>2</w:t>
            </w:r>
          </w:p>
        </w:tc>
      </w:tr>
      <w:tr w:rsidR="00B848AA" w14:paraId="2A90F8E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9B1A0" w14:textId="77777777" w:rsidR="00B848AA" w:rsidRDefault="000A0EC2">
            <w:pPr>
              <w:spacing w:before="240"/>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2FF9D9" w14:textId="27B93977" w:rsidR="00B848AA" w:rsidRDefault="005C654D">
            <w:pPr>
              <w:spacing w:before="240"/>
            </w:pPr>
            <w:r>
              <w:t>22</w:t>
            </w:r>
            <w:r w:rsidR="00A35D05">
              <w:t>/05/</w:t>
            </w:r>
            <w:r w:rsidR="000A0EC2">
              <w:t>202</w:t>
            </w:r>
            <w:r w:rsidR="00B84C76">
              <w:t>4</w:t>
            </w:r>
            <w:r w:rsidR="000A0EC2">
              <w:t xml:space="preserve"> (excluding extension options)</w:t>
            </w:r>
          </w:p>
        </w:tc>
      </w:tr>
      <w:tr w:rsidR="00B848AA" w14:paraId="3E4B72B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9DEE2" w14:textId="77777777" w:rsidR="00B848AA" w:rsidRDefault="000A0EC2">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D84E95" w14:textId="51D74450" w:rsidR="00B848AA" w:rsidRDefault="000A0EC2">
            <w:pPr>
              <w:spacing w:before="240"/>
            </w:pPr>
            <w:r>
              <w:t>£</w:t>
            </w:r>
            <w:r w:rsidR="008631D0">
              <w:t>576,400</w:t>
            </w:r>
            <w:r w:rsidR="00CF3A7E">
              <w:t xml:space="preserve"> </w:t>
            </w:r>
            <w:r w:rsidR="00CF3A7E" w:rsidRPr="008631D0">
              <w:t>(</w:t>
            </w:r>
            <w:r w:rsidR="00495EC0" w:rsidRPr="008631D0">
              <w:t xml:space="preserve">excluding VAT, </w:t>
            </w:r>
            <w:r w:rsidR="004F7AE8" w:rsidRPr="008631D0">
              <w:t xml:space="preserve">including all </w:t>
            </w:r>
            <w:r w:rsidR="00B84C76" w:rsidRPr="008631D0">
              <w:t>three</w:t>
            </w:r>
            <w:r w:rsidR="004F7AE8" w:rsidRPr="008631D0">
              <w:t xml:space="preserve"> years</w:t>
            </w:r>
            <w:r w:rsidR="00FC42E6" w:rsidRPr="008631D0">
              <w:t xml:space="preserve"> </w:t>
            </w:r>
            <w:r w:rsidR="004F7AE8" w:rsidRPr="008631D0">
              <w:t xml:space="preserve">(2 year initial term plus extension options) as well as any additional work agreed </w:t>
            </w:r>
            <w:r w:rsidR="00B77DC0" w:rsidRPr="008631D0">
              <w:t>in accordance with the terms of this Contract</w:t>
            </w:r>
            <w:r w:rsidR="00CF3A7E" w:rsidRPr="008631D0">
              <w:t>)</w:t>
            </w:r>
          </w:p>
        </w:tc>
      </w:tr>
      <w:tr w:rsidR="00B848AA" w14:paraId="7B9880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D7082" w14:textId="77777777" w:rsidR="00B848AA" w:rsidRDefault="000A0EC2">
            <w:pPr>
              <w:spacing w:before="240"/>
              <w:rPr>
                <w:b/>
              </w:rPr>
            </w:pPr>
            <w:r>
              <w:rPr>
                <w:b/>
              </w:rPr>
              <w:lastRenderedPageBreak/>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A521FBE" w14:textId="77777777" w:rsidR="00B848AA" w:rsidRDefault="000A0EC2">
            <w:pPr>
              <w:spacing w:before="240"/>
            </w:pPr>
            <w:r>
              <w:t>Payment via BACS, monthly in arrears. See Schedule 2 for full detail.</w:t>
            </w:r>
          </w:p>
        </w:tc>
      </w:tr>
      <w:tr w:rsidR="00B848AA" w14:paraId="3AF1D7E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5352C" w14:textId="77777777" w:rsidR="00B848AA" w:rsidRDefault="000A0EC2">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B258F29" w14:textId="77777777" w:rsidR="00B848AA" w:rsidRDefault="000A0EC2">
            <w:pPr>
              <w:spacing w:before="240"/>
            </w:pPr>
            <w:r>
              <w:t>To be provided to the Supplier as soon as possible following execution of the Contract.</w:t>
            </w:r>
          </w:p>
        </w:tc>
      </w:tr>
    </w:tbl>
    <w:p w14:paraId="6AF3D795" w14:textId="77777777" w:rsidR="00B848AA" w:rsidRDefault="000A0EC2">
      <w:pPr>
        <w:spacing w:before="240"/>
      </w:pPr>
      <w:r>
        <w:t xml:space="preserve"> </w:t>
      </w:r>
    </w:p>
    <w:p w14:paraId="27A27135" w14:textId="77777777" w:rsidR="00B848AA" w:rsidRDefault="000A0EC2">
      <w:pPr>
        <w:spacing w:before="240" w:after="240"/>
      </w:pPr>
      <w:r>
        <w:t>This Order Form is issued under the G-Cloud 12 Framework Agreement (RM1557.12).</w:t>
      </w:r>
    </w:p>
    <w:p w14:paraId="1DDDBE52" w14:textId="77777777" w:rsidR="00B848AA" w:rsidRDefault="000A0EC2">
      <w:pPr>
        <w:spacing w:before="240"/>
      </w:pPr>
      <w:r>
        <w:t>Buyers can use this Order Form to specify their G-Cloud service requirements when placing an Order.</w:t>
      </w:r>
    </w:p>
    <w:p w14:paraId="5EDB0EE1" w14:textId="77777777" w:rsidR="00B848AA" w:rsidRDefault="000A0EC2">
      <w:pPr>
        <w:spacing w:before="240"/>
      </w:pPr>
      <w:r>
        <w:t>The Order Form cannot be used to alter existing terms or add any extra terms that materially change the Deliverables offered by the Supplier and defined in the Application.</w:t>
      </w:r>
    </w:p>
    <w:p w14:paraId="14D6A555" w14:textId="77777777" w:rsidR="00B848AA" w:rsidRDefault="000A0EC2">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B848AA" w14:paraId="30672111"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16E52" w14:textId="77777777" w:rsidR="00B848AA" w:rsidRDefault="000A0EC2">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1FB5C" w14:textId="77777777" w:rsidR="00B848AA" w:rsidRDefault="000A0EC2">
            <w:pPr>
              <w:spacing w:before="240"/>
            </w:pPr>
            <w:r>
              <w:t>The Department for Business, Energy, and Industrial Strategy on behalf of the Secretary of State for Business, Energy and Industrial Strategy. (‘BEIS’).</w:t>
            </w:r>
          </w:p>
          <w:p w14:paraId="1D54BB69" w14:textId="77777777" w:rsidR="00B848AA" w:rsidRDefault="000A0EC2">
            <w:pPr>
              <w:spacing w:before="240"/>
            </w:pPr>
            <w:r>
              <w:t>1 Victoria Street</w:t>
            </w:r>
          </w:p>
          <w:p w14:paraId="56A66D74" w14:textId="77777777" w:rsidR="00B848AA" w:rsidRDefault="000A0EC2">
            <w:pPr>
              <w:spacing w:before="240"/>
            </w:pPr>
            <w:r>
              <w:t>London</w:t>
            </w:r>
          </w:p>
          <w:p w14:paraId="49C1F1D4" w14:textId="77777777" w:rsidR="00B848AA" w:rsidRDefault="000A0EC2">
            <w:pPr>
              <w:spacing w:before="240"/>
            </w:pPr>
            <w:r>
              <w:t>SW1H 0ET</w:t>
            </w:r>
          </w:p>
        </w:tc>
      </w:tr>
      <w:tr w:rsidR="00B848AA" w14:paraId="4E2348BF"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C54DA" w14:textId="77777777" w:rsidR="00B848AA" w:rsidRDefault="000A0EC2">
            <w:pPr>
              <w:spacing w:before="240"/>
              <w:rPr>
                <w:b/>
              </w:rPr>
            </w:pPr>
            <w:r>
              <w:rPr>
                <w:b/>
              </w:rPr>
              <w:lastRenderedPageBreak/>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7B807C7" w14:textId="62AE22F2" w:rsidR="00B84C76" w:rsidRDefault="002E64DD">
            <w:pPr>
              <w:spacing w:before="240"/>
            </w:pPr>
            <w:r>
              <w:t xml:space="preserve">CGI </w:t>
            </w:r>
            <w:r w:rsidR="003F7FB7">
              <w:t xml:space="preserve">IT </w:t>
            </w:r>
            <w:r>
              <w:t>UK LIMITED</w:t>
            </w:r>
            <w:r w:rsidR="009F4654">
              <w:t xml:space="preserve"> (‘CGI’)</w:t>
            </w:r>
          </w:p>
          <w:p w14:paraId="091AF949" w14:textId="563BEC2B" w:rsidR="002E64DD" w:rsidRDefault="00C410D2">
            <w:pPr>
              <w:spacing w:before="240"/>
            </w:pPr>
            <w:r>
              <w:t>20 Fenchurch Street</w:t>
            </w:r>
          </w:p>
          <w:p w14:paraId="5365D8BB" w14:textId="2D16F029" w:rsidR="00C410D2" w:rsidRDefault="00C410D2">
            <w:pPr>
              <w:spacing w:before="240"/>
            </w:pPr>
            <w:r>
              <w:t>14</w:t>
            </w:r>
            <w:r w:rsidRPr="00C410D2">
              <w:rPr>
                <w:vertAlign w:val="superscript"/>
              </w:rPr>
              <w:t>th</w:t>
            </w:r>
            <w:r>
              <w:t xml:space="preserve"> Floor, </w:t>
            </w:r>
          </w:p>
          <w:p w14:paraId="27AB22D8" w14:textId="5A49A8F2" w:rsidR="00C410D2" w:rsidRDefault="00C410D2">
            <w:pPr>
              <w:spacing w:before="240"/>
            </w:pPr>
            <w:r>
              <w:t>London</w:t>
            </w:r>
          </w:p>
          <w:p w14:paraId="67E09898" w14:textId="5F1D2A58" w:rsidR="00C410D2" w:rsidRDefault="00370111">
            <w:pPr>
              <w:spacing w:before="240"/>
            </w:pPr>
            <w:r>
              <w:t>EC3M 3BY</w:t>
            </w:r>
          </w:p>
          <w:p w14:paraId="68D1A7E7" w14:textId="79D533E1" w:rsidR="00B848AA" w:rsidRPr="009F4654" w:rsidRDefault="000A0EC2">
            <w:pPr>
              <w:spacing w:before="240"/>
              <w:rPr>
                <w:b/>
                <w:bCs/>
              </w:rPr>
            </w:pPr>
            <w:r>
              <w:t>Company number:</w:t>
            </w:r>
            <w:r w:rsidRPr="00922DC7">
              <w:t xml:space="preserve"> </w:t>
            </w:r>
            <w:r w:rsidR="00922DC7" w:rsidRPr="00922DC7">
              <w:rPr>
                <w:rStyle w:val="Strong"/>
                <w:b w:val="0"/>
                <w:bCs w:val="0"/>
                <w:color w:val="000000"/>
                <w:bdr w:val="none" w:sz="0" w:space="0" w:color="auto" w:frame="1"/>
                <w:shd w:val="clear" w:color="auto" w:fill="FFFFFF"/>
              </w:rPr>
              <w:t>00947968</w:t>
            </w:r>
          </w:p>
        </w:tc>
      </w:tr>
      <w:tr w:rsidR="00B848AA" w14:paraId="3E45C7C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A9C95" w14:textId="77777777" w:rsidR="00B848AA" w:rsidRDefault="000A0EC2">
            <w:pPr>
              <w:spacing w:before="240" w:after="240"/>
              <w:rPr>
                <w:b/>
              </w:rPr>
            </w:pPr>
            <w:r>
              <w:rPr>
                <w:b/>
              </w:rPr>
              <w:t>Together the ‘Parties’</w:t>
            </w:r>
          </w:p>
        </w:tc>
      </w:tr>
    </w:tbl>
    <w:p w14:paraId="160D5032" w14:textId="77777777" w:rsidR="00B848AA" w:rsidRDefault="00B848AA">
      <w:pPr>
        <w:spacing w:before="240" w:after="240"/>
        <w:rPr>
          <w:b/>
        </w:rPr>
      </w:pPr>
    </w:p>
    <w:p w14:paraId="17CA452A" w14:textId="77777777" w:rsidR="00B848AA" w:rsidRDefault="000A0EC2">
      <w:pPr>
        <w:pStyle w:val="Heading3"/>
      </w:pPr>
      <w:r>
        <w:t>Principal contact details</w:t>
      </w:r>
    </w:p>
    <w:p w14:paraId="45CC1C2C" w14:textId="77777777" w:rsidR="00B848AA" w:rsidRDefault="000A0EC2">
      <w:pPr>
        <w:spacing w:before="240" w:after="120" w:line="480" w:lineRule="auto"/>
        <w:rPr>
          <w:b/>
        </w:rPr>
      </w:pPr>
      <w:r>
        <w:rPr>
          <w:b/>
        </w:rPr>
        <w:t>For the Buyer:</w:t>
      </w:r>
    </w:p>
    <w:p w14:paraId="42619B80" w14:textId="1B6270DE" w:rsidR="00B848AA" w:rsidRDefault="000A0EC2">
      <w:pPr>
        <w:spacing w:after="120"/>
      </w:pPr>
      <w:r>
        <w:t xml:space="preserve">Title: </w:t>
      </w:r>
      <w:r w:rsidR="00367FB9">
        <w:t>[Redacted]</w:t>
      </w:r>
    </w:p>
    <w:p w14:paraId="35975D56" w14:textId="4F563FAD" w:rsidR="00B848AA" w:rsidRDefault="000A0EC2">
      <w:pPr>
        <w:spacing w:after="120" w:line="240" w:lineRule="auto"/>
      </w:pPr>
      <w:r>
        <w:t xml:space="preserve">Name: </w:t>
      </w:r>
      <w:r w:rsidR="006961B5">
        <w:t>[Redacted]</w:t>
      </w:r>
    </w:p>
    <w:p w14:paraId="4B6A8376" w14:textId="534A0C51" w:rsidR="006961B5" w:rsidRDefault="000A0EC2">
      <w:pPr>
        <w:spacing w:after="120" w:line="240" w:lineRule="auto"/>
      </w:pPr>
      <w:r>
        <w:t xml:space="preserve">Email: </w:t>
      </w:r>
      <w:r w:rsidR="006961B5">
        <w:t>[Redacted]</w:t>
      </w:r>
    </w:p>
    <w:p w14:paraId="359A0F44" w14:textId="4C0D67B2" w:rsidR="00193978" w:rsidRPr="00193978" w:rsidRDefault="000A0EC2" w:rsidP="006961B5">
      <w:pPr>
        <w:spacing w:after="120" w:line="240" w:lineRule="auto"/>
        <w:rPr>
          <w:rFonts w:ascii="Times New Roman" w:eastAsia="Times New Roman" w:hAnsi="Times New Roman" w:cs="Times New Roman"/>
          <w:sz w:val="24"/>
          <w:szCs w:val="24"/>
        </w:rPr>
      </w:pPr>
      <w:r>
        <w:t>Phone:</w:t>
      </w:r>
      <w:r w:rsidR="00193978">
        <w:t xml:space="preserve"> </w:t>
      </w:r>
      <w:r w:rsidR="006961B5">
        <w:t>[Redacted]</w:t>
      </w:r>
    </w:p>
    <w:p w14:paraId="36EBF886" w14:textId="77777777" w:rsidR="00B848AA" w:rsidRDefault="00B848AA">
      <w:pPr>
        <w:rPr>
          <w:b/>
        </w:rPr>
      </w:pPr>
    </w:p>
    <w:p w14:paraId="4A0320B9" w14:textId="1B76D2F8" w:rsidR="00035D11" w:rsidRDefault="000A0EC2">
      <w:pPr>
        <w:spacing w:line="480" w:lineRule="auto"/>
        <w:rPr>
          <w:b/>
        </w:rPr>
      </w:pPr>
      <w:r>
        <w:rPr>
          <w:b/>
        </w:rPr>
        <w:t>For the Supplier:</w:t>
      </w:r>
    </w:p>
    <w:p w14:paraId="32B29D10" w14:textId="7A2D105F" w:rsidR="00B848AA" w:rsidRDefault="000A0EC2">
      <w:pPr>
        <w:spacing w:after="120" w:line="240" w:lineRule="auto"/>
      </w:pPr>
      <w:r>
        <w:t xml:space="preserve">Title: </w:t>
      </w:r>
      <w:r w:rsidR="006961B5">
        <w:t>[Redacted]</w:t>
      </w:r>
    </w:p>
    <w:p w14:paraId="09404C1A" w14:textId="64C7850B" w:rsidR="00B848AA" w:rsidRDefault="000A0EC2">
      <w:pPr>
        <w:spacing w:after="120" w:line="240" w:lineRule="auto"/>
      </w:pPr>
      <w:r>
        <w:t xml:space="preserve">Name: </w:t>
      </w:r>
      <w:r w:rsidR="003B1A59">
        <w:t>[Redacted]</w:t>
      </w:r>
    </w:p>
    <w:p w14:paraId="02B43A65" w14:textId="69654097" w:rsidR="00B848AA" w:rsidRDefault="000A0EC2">
      <w:pPr>
        <w:spacing w:after="120" w:line="240" w:lineRule="auto"/>
      </w:pPr>
      <w:r>
        <w:t xml:space="preserve">Email: </w:t>
      </w:r>
      <w:r w:rsidR="003B1A59">
        <w:t>[Redacted]</w:t>
      </w:r>
    </w:p>
    <w:p w14:paraId="5730E9F7" w14:textId="162FC49A" w:rsidR="00B848AA" w:rsidRDefault="000A0EC2">
      <w:pPr>
        <w:suppressAutoHyphens w:val="0"/>
      </w:pPr>
      <w:r>
        <w:t>Phone:</w:t>
      </w:r>
      <w:r w:rsidR="00E10FA8">
        <w:t xml:space="preserve"> </w:t>
      </w:r>
      <w:r w:rsidR="003B1A59">
        <w:t>[Redacted]</w:t>
      </w:r>
    </w:p>
    <w:p w14:paraId="0A8C8832" w14:textId="77777777" w:rsidR="00B848AA" w:rsidRDefault="00B848AA">
      <w:pPr>
        <w:spacing w:after="120" w:line="240" w:lineRule="auto"/>
      </w:pPr>
    </w:p>
    <w:p w14:paraId="4C519A04" w14:textId="77777777" w:rsidR="00B848AA" w:rsidRDefault="00B848AA">
      <w:pPr>
        <w:spacing w:before="240" w:after="240"/>
      </w:pPr>
    </w:p>
    <w:p w14:paraId="718E599A" w14:textId="77777777" w:rsidR="00B848AA" w:rsidRDefault="000A0EC2">
      <w:pPr>
        <w:pStyle w:val="Heading3"/>
      </w:pPr>
      <w: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B848AA" w14:paraId="4B6DAE4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05417" w14:textId="77777777" w:rsidR="00B848AA" w:rsidRDefault="000A0EC2">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6ECF7" w14:textId="77777777" w:rsidR="00B848AA" w:rsidRDefault="000A0EC2">
            <w:pPr>
              <w:spacing w:before="240"/>
            </w:pPr>
            <w:r>
              <w:t xml:space="preserve">This Call-Off Contract Starts on </w:t>
            </w:r>
            <w:r>
              <w:rPr>
                <w:b/>
              </w:rPr>
              <w:t>the date of execution</w:t>
            </w:r>
            <w:r>
              <w:t xml:space="preserve"> and is valid for </w:t>
            </w:r>
            <w:r>
              <w:rPr>
                <w:b/>
              </w:rPr>
              <w:t>a period of 24 (twenty-four) months.</w:t>
            </w:r>
          </w:p>
        </w:tc>
      </w:tr>
      <w:tr w:rsidR="00B848AA" w14:paraId="218CEEF1"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2A417" w14:textId="77777777" w:rsidR="00B848AA" w:rsidRDefault="000A0EC2">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B1DF433" w14:textId="77777777" w:rsidR="00B848AA" w:rsidRDefault="000A0EC2">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72E2D4E" w14:textId="77777777" w:rsidR="00B848AA" w:rsidRDefault="000A0EC2">
            <w:pPr>
              <w:spacing w:before="240"/>
            </w:pPr>
            <w:r>
              <w:t xml:space="preserve">The notice period for the Buyer is a maximum of </w:t>
            </w:r>
            <w:r>
              <w:rPr>
                <w:b/>
              </w:rPr>
              <w:t>30</w:t>
            </w:r>
            <w:r>
              <w:t xml:space="preserve"> days from the date of written notice for Ending without cause (as per clause 18.1).</w:t>
            </w:r>
          </w:p>
        </w:tc>
      </w:tr>
      <w:tr w:rsidR="00B848AA" w14:paraId="1FEC59FA"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752B7" w14:textId="77777777" w:rsidR="00B848AA" w:rsidRDefault="000A0EC2">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1ED150B" w14:textId="0BDF90D3" w:rsidR="00B848AA" w:rsidRDefault="000A0EC2">
            <w:pPr>
              <w:spacing w:before="240"/>
            </w:pPr>
            <w:r>
              <w:t xml:space="preserve">This Call-off Contract can be extended by the Buyer for </w:t>
            </w:r>
            <w:r w:rsidR="00193978">
              <w:rPr>
                <w:b/>
                <w:bCs/>
              </w:rPr>
              <w:t>1</w:t>
            </w:r>
            <w:r>
              <w:t xml:space="preserve"> (</w:t>
            </w:r>
            <w:r w:rsidR="00193978">
              <w:rPr>
                <w:b/>
              </w:rPr>
              <w:t>one</w:t>
            </w:r>
            <w:r>
              <w:rPr>
                <w:b/>
              </w:rPr>
              <w:t>)</w:t>
            </w:r>
            <w:r>
              <w:t xml:space="preserve"> period of up to 12 (twelve) months, by giving the Supplier </w:t>
            </w:r>
            <w:r>
              <w:rPr>
                <w:b/>
              </w:rPr>
              <w:t>one (1) month’s</w:t>
            </w:r>
            <w:r>
              <w:t xml:space="preserve"> written notice before its expiry. The extension periods are subject to clauses 1.3 and 1.4 in Part B below.</w:t>
            </w:r>
          </w:p>
          <w:p w14:paraId="6F4D0350" w14:textId="77777777" w:rsidR="00B848AA" w:rsidRDefault="000A0EC2">
            <w:pPr>
              <w:spacing w:before="240"/>
            </w:pPr>
            <w:r>
              <w:t>Extensions which extend the Term beyond 24 months are only permitted if the Supplier complies with the additional exit plan requirements at clauses 21.3 to 21.8.</w:t>
            </w:r>
          </w:p>
          <w:p w14:paraId="7884F65E" w14:textId="77777777" w:rsidR="00B848AA" w:rsidRDefault="00B848AA">
            <w:pPr>
              <w:spacing w:before="240"/>
            </w:pPr>
          </w:p>
        </w:tc>
      </w:tr>
    </w:tbl>
    <w:p w14:paraId="49449FF7" w14:textId="77777777" w:rsidR="00B848AA" w:rsidRDefault="000A0EC2">
      <w:pPr>
        <w:pStyle w:val="Heading3"/>
      </w:pPr>
      <w:r>
        <w:t>Buyer contractual details</w:t>
      </w:r>
    </w:p>
    <w:p w14:paraId="68B99FE5" w14:textId="77777777" w:rsidR="00B848AA" w:rsidRDefault="000A0EC2">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B848AA" w14:paraId="1F139193"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7F3E0" w14:textId="77777777" w:rsidR="00B848AA" w:rsidRDefault="000A0EC2">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3B07D" w14:textId="77777777" w:rsidR="00B848AA" w:rsidRDefault="000A0EC2">
            <w:pPr>
              <w:spacing w:before="240"/>
            </w:pPr>
            <w:r>
              <w:t>This Call-Off Contract is for the provision of Services under:</w:t>
            </w:r>
          </w:p>
          <w:p w14:paraId="79E69CA0" w14:textId="77777777" w:rsidR="00B848AA" w:rsidRDefault="000A0EC2" w:rsidP="005C3AE7">
            <w:pPr>
              <w:pStyle w:val="ListParagraph"/>
              <w:numPr>
                <w:ilvl w:val="0"/>
                <w:numId w:val="2"/>
              </w:numPr>
              <w:spacing w:before="240"/>
            </w:pPr>
            <w:r>
              <w:t>Lot 3: Cloud support</w:t>
            </w:r>
          </w:p>
        </w:tc>
      </w:tr>
      <w:tr w:rsidR="00B848AA" w14:paraId="1DB726DC" w14:textId="77777777">
        <w:trPr>
          <w:trHeight w:val="174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47A29" w14:textId="77777777" w:rsidR="00B848AA" w:rsidRDefault="000A0EC2">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88F54DB" w14:textId="77777777" w:rsidR="00B848AA" w:rsidRDefault="000A0EC2">
            <w:pPr>
              <w:spacing w:before="240"/>
            </w:pPr>
            <w:r>
              <w:t>The Services to be provided by the Supplier under the above Lot are listed in Framework Section 2 and fully detailed in Schedule 1.</w:t>
            </w:r>
          </w:p>
        </w:tc>
      </w:tr>
      <w:tr w:rsidR="00B848AA" w14:paraId="68DF217A"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A7C79" w14:textId="77777777" w:rsidR="00B848AA" w:rsidRDefault="000A0EC2">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865EA6D" w14:textId="28B8DA2A" w:rsidR="00B848AA" w:rsidRDefault="000A0EC2" w:rsidP="000A0EC2">
            <w:pPr>
              <w:spacing w:before="240"/>
              <w:rPr>
                <w:bCs/>
              </w:rPr>
            </w:pPr>
            <w:r>
              <w:rPr>
                <w:bCs/>
              </w:rPr>
              <w:t>Additional Services related to the provision of the Services may be agreed in accordance with the variation process and with reference to the Supplier’s G-Cloud 12 rate card.</w:t>
            </w:r>
          </w:p>
        </w:tc>
      </w:tr>
      <w:tr w:rsidR="00B848AA" w14:paraId="6D9C8989"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422E8" w14:textId="77777777" w:rsidR="00B848AA" w:rsidRDefault="000A0EC2">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68BF31A" w14:textId="77777777" w:rsidR="00B848AA" w:rsidRDefault="000A0EC2">
            <w:pPr>
              <w:spacing w:before="240"/>
            </w:pPr>
            <w:r>
              <w:t>The Services will be delivered remotely, not using Buyer premises.</w:t>
            </w:r>
          </w:p>
          <w:p w14:paraId="01F9F79A" w14:textId="5E9FB89D" w:rsidR="00B848AA" w:rsidRDefault="000A0EC2">
            <w:pPr>
              <w:spacing w:before="240"/>
            </w:pPr>
            <w:r>
              <w:t>Data will be stored within the United Kingdom.</w:t>
            </w:r>
          </w:p>
        </w:tc>
      </w:tr>
      <w:tr w:rsidR="00B848AA" w14:paraId="2AE7055A"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54EA0" w14:textId="77777777" w:rsidR="00B848AA" w:rsidRDefault="000A0EC2">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B61249" w14:textId="77777777" w:rsidR="00B848AA" w:rsidRDefault="000A0EC2">
            <w:pPr>
              <w:spacing w:before="240"/>
            </w:pPr>
            <w:r>
              <w:t>The quality standards required for this Call-Off Contract are detailed in Schedule 1.</w:t>
            </w:r>
          </w:p>
          <w:p w14:paraId="0BE86346" w14:textId="77777777" w:rsidR="00B848AA" w:rsidRDefault="00B848AA">
            <w:pPr>
              <w:spacing w:before="240"/>
            </w:pPr>
          </w:p>
        </w:tc>
        <w:tc>
          <w:tcPr>
            <w:tcW w:w="40" w:type="dxa"/>
            <w:shd w:val="clear" w:color="auto" w:fill="auto"/>
            <w:tcMar>
              <w:top w:w="0" w:type="dxa"/>
              <w:left w:w="10" w:type="dxa"/>
              <w:bottom w:w="0" w:type="dxa"/>
              <w:right w:w="10" w:type="dxa"/>
            </w:tcMar>
          </w:tcPr>
          <w:p w14:paraId="6D35255B" w14:textId="77777777" w:rsidR="00B848AA" w:rsidRDefault="00B848AA">
            <w:pPr>
              <w:spacing w:before="240"/>
            </w:pPr>
          </w:p>
        </w:tc>
      </w:tr>
      <w:tr w:rsidR="00B848AA" w14:paraId="6B0123B5"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519BF" w14:textId="77777777" w:rsidR="00B848AA" w:rsidRDefault="000A0EC2">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9C3D" w14:textId="2B60AA57" w:rsidR="00B848AA" w:rsidRDefault="00C93F4B">
            <w:pPr>
              <w:spacing w:before="240"/>
            </w:pPr>
            <w:r>
              <w:t>Not applicable</w:t>
            </w:r>
          </w:p>
        </w:tc>
        <w:tc>
          <w:tcPr>
            <w:tcW w:w="40" w:type="dxa"/>
            <w:shd w:val="clear" w:color="auto" w:fill="auto"/>
            <w:tcMar>
              <w:top w:w="0" w:type="dxa"/>
              <w:left w:w="10" w:type="dxa"/>
              <w:bottom w:w="0" w:type="dxa"/>
              <w:right w:w="10" w:type="dxa"/>
            </w:tcMar>
          </w:tcPr>
          <w:p w14:paraId="7B6BA0B4" w14:textId="77777777" w:rsidR="00B848AA" w:rsidRDefault="00B848AA">
            <w:pPr>
              <w:spacing w:before="240"/>
            </w:pPr>
          </w:p>
        </w:tc>
      </w:tr>
      <w:tr w:rsidR="00B848AA" w14:paraId="2036F8E8"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3BC95" w14:textId="77777777" w:rsidR="00B848AA" w:rsidRDefault="000A0EC2">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1267446" w14:textId="36880A56" w:rsidR="00B848AA" w:rsidRDefault="000A0EC2">
            <w:pPr>
              <w:spacing w:before="240"/>
            </w:pPr>
            <w:r>
              <w:t>The service level and availability criteria required for this Call-Off Contract are detailed in Schedule 1</w:t>
            </w:r>
            <w:r w:rsidR="00193978">
              <w:t xml:space="preserve"> and in the Supplier’s Service Description information.</w:t>
            </w:r>
          </w:p>
        </w:tc>
        <w:tc>
          <w:tcPr>
            <w:tcW w:w="40" w:type="dxa"/>
            <w:shd w:val="clear" w:color="auto" w:fill="auto"/>
            <w:tcMar>
              <w:top w:w="0" w:type="dxa"/>
              <w:left w:w="10" w:type="dxa"/>
              <w:bottom w:w="0" w:type="dxa"/>
              <w:right w:w="10" w:type="dxa"/>
            </w:tcMar>
          </w:tcPr>
          <w:p w14:paraId="1B477A99" w14:textId="77777777" w:rsidR="00B848AA" w:rsidRDefault="00B848AA">
            <w:pPr>
              <w:pStyle w:val="ListParagraph"/>
            </w:pPr>
          </w:p>
        </w:tc>
      </w:tr>
      <w:tr w:rsidR="00B848AA" w14:paraId="5F6045AB"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78E08" w14:textId="77777777" w:rsidR="00B848AA" w:rsidRDefault="000A0EC2">
            <w:pPr>
              <w:spacing w:before="240"/>
              <w:rPr>
                <w:b/>
              </w:rPr>
            </w:pPr>
            <w:r>
              <w:rPr>
                <w:b/>
              </w:rPr>
              <w:lastRenderedPageBreak/>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F10BA1F" w14:textId="7BB3F9BF" w:rsidR="00B848AA" w:rsidRDefault="000A0EC2">
            <w:pPr>
              <w:spacing w:before="240"/>
            </w:pPr>
            <w:r>
              <w:t>The onboarding plan for this Call-Off Contract is</w:t>
            </w:r>
            <w:r>
              <w:rPr>
                <w:b/>
              </w:rPr>
              <w:t xml:space="preserve"> </w:t>
            </w:r>
            <w:r>
              <w:rPr>
                <w:bCs/>
              </w:rPr>
              <w:t>included within Schedule 1.</w:t>
            </w:r>
          </w:p>
        </w:tc>
        <w:tc>
          <w:tcPr>
            <w:tcW w:w="40" w:type="dxa"/>
            <w:shd w:val="clear" w:color="auto" w:fill="auto"/>
            <w:tcMar>
              <w:top w:w="0" w:type="dxa"/>
              <w:left w:w="10" w:type="dxa"/>
              <w:bottom w:w="0" w:type="dxa"/>
              <w:right w:w="10" w:type="dxa"/>
            </w:tcMar>
          </w:tcPr>
          <w:p w14:paraId="6FC122C8" w14:textId="77777777" w:rsidR="00B848AA" w:rsidRDefault="00B848AA">
            <w:pPr>
              <w:pStyle w:val="ListParagraph"/>
            </w:pPr>
          </w:p>
        </w:tc>
      </w:tr>
      <w:tr w:rsidR="00B848AA" w14:paraId="543D1283"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DAA6F" w14:textId="77777777" w:rsidR="00B848AA" w:rsidRDefault="000A0EC2">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3601AB9" w14:textId="77777777" w:rsidR="00B848AA" w:rsidRDefault="000A0EC2">
            <w:pPr>
              <w:spacing w:before="240"/>
            </w:pPr>
            <w:r>
              <w:t>The offboarding plan for this Call-Off Contract is to be agreed no later than three months prior to the expiry date. In the event of termination for any reason, the Parties shall work together promptly to agree an offboarding plan as soon as possible following notice being served.</w:t>
            </w:r>
          </w:p>
          <w:p w14:paraId="38EE001A" w14:textId="4D1D342E" w:rsidR="00400033" w:rsidRDefault="00400033" w:rsidP="000E2313">
            <w:pPr>
              <w:spacing w:before="240"/>
            </w:pPr>
            <w:r w:rsidRPr="00400033">
              <w:t xml:space="preserve">Any </w:t>
            </w:r>
            <w:r w:rsidR="00E63F8C">
              <w:t xml:space="preserve">offboarding </w:t>
            </w:r>
            <w:r w:rsidR="00731955">
              <w:t xml:space="preserve">and Exit </w:t>
            </w:r>
            <w:r w:rsidRPr="00400033">
              <w:t xml:space="preserve">activity will be chargeable </w:t>
            </w:r>
            <w:r w:rsidR="00B973BE">
              <w:t xml:space="preserve">to the Buyer </w:t>
            </w:r>
            <w:r w:rsidR="000E2313">
              <w:t>using</w:t>
            </w:r>
            <w:r w:rsidR="000E2313" w:rsidRPr="00400033">
              <w:t xml:space="preserve"> </w:t>
            </w:r>
            <w:r w:rsidRPr="00400033">
              <w:t xml:space="preserve">the </w:t>
            </w:r>
            <w:r w:rsidR="000E2313">
              <w:t xml:space="preserve">SFIA </w:t>
            </w:r>
            <w:r w:rsidR="00B973BE">
              <w:t>Da</w:t>
            </w:r>
            <w:r w:rsidR="000E2313">
              <w:t xml:space="preserve">ily </w:t>
            </w:r>
            <w:r w:rsidR="00B973BE">
              <w:t>R</w:t>
            </w:r>
            <w:r w:rsidRPr="00400033">
              <w:t xml:space="preserve">ate </w:t>
            </w:r>
            <w:r w:rsidR="000E2313">
              <w:t xml:space="preserve">Card </w:t>
            </w:r>
            <w:r w:rsidR="00B973BE">
              <w:t xml:space="preserve">set-out in Schedule 2 </w:t>
            </w:r>
            <w:r w:rsidR="00FE1F05">
              <w:t xml:space="preserve">(Call-Off Contract Charges) </w:t>
            </w:r>
            <w:r w:rsidR="00B973BE">
              <w:t>of</w:t>
            </w:r>
            <w:r w:rsidRPr="00400033">
              <w:t xml:space="preserve"> this Call-Off Contract</w:t>
            </w:r>
          </w:p>
        </w:tc>
        <w:tc>
          <w:tcPr>
            <w:tcW w:w="40" w:type="dxa"/>
            <w:shd w:val="clear" w:color="auto" w:fill="auto"/>
            <w:tcMar>
              <w:top w:w="0" w:type="dxa"/>
              <w:left w:w="10" w:type="dxa"/>
              <w:bottom w:w="0" w:type="dxa"/>
              <w:right w:w="10" w:type="dxa"/>
            </w:tcMar>
          </w:tcPr>
          <w:p w14:paraId="1D86B792" w14:textId="77777777" w:rsidR="00B848AA" w:rsidRDefault="00B848AA">
            <w:pPr>
              <w:pStyle w:val="ListParagraph"/>
            </w:pPr>
          </w:p>
        </w:tc>
      </w:tr>
      <w:tr w:rsidR="00B848AA" w14:paraId="130DBC3A"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C0774" w14:textId="77777777" w:rsidR="00B848AA" w:rsidRDefault="000A0EC2">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0B6BB23" w14:textId="7F4D6AD4" w:rsidR="00B848AA" w:rsidRDefault="000A0EC2" w:rsidP="00823A33">
            <w:pPr>
              <w:spacing w:before="240"/>
            </w:pPr>
            <w:r>
              <w:t xml:space="preserve">Not </w:t>
            </w:r>
            <w:r w:rsidR="00823A33">
              <w:t>required</w:t>
            </w:r>
            <w:r>
              <w:t>.</w:t>
            </w:r>
          </w:p>
        </w:tc>
        <w:tc>
          <w:tcPr>
            <w:tcW w:w="40" w:type="dxa"/>
            <w:shd w:val="clear" w:color="auto" w:fill="auto"/>
            <w:tcMar>
              <w:top w:w="0" w:type="dxa"/>
              <w:left w:w="10" w:type="dxa"/>
              <w:bottom w:w="0" w:type="dxa"/>
              <w:right w:w="10" w:type="dxa"/>
            </w:tcMar>
          </w:tcPr>
          <w:p w14:paraId="2D36314A" w14:textId="77777777" w:rsidR="00B848AA" w:rsidRDefault="00B848AA">
            <w:pPr>
              <w:spacing w:before="240"/>
            </w:pPr>
          </w:p>
        </w:tc>
      </w:tr>
      <w:tr w:rsidR="00B848AA" w14:paraId="76D239D0"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AB678" w14:textId="77777777" w:rsidR="00B848AA" w:rsidRDefault="000A0EC2">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6D250" w14:textId="117A39D6" w:rsidR="00E63F8C" w:rsidRPr="002B718F" w:rsidRDefault="00E63F8C" w:rsidP="002B718F">
            <w:pPr>
              <w:spacing w:before="240"/>
            </w:pPr>
            <w:r w:rsidRPr="002B718F">
              <w:t xml:space="preserve">The annual total liability of either Party for all Property defaults will not exceed </w:t>
            </w:r>
            <w:r w:rsidR="00E1287A">
              <w:t>[Redacted]</w:t>
            </w:r>
            <w:r w:rsidRPr="002B718F">
              <w:t>.</w:t>
            </w:r>
          </w:p>
          <w:p w14:paraId="3B2F3429" w14:textId="65168DE0" w:rsidR="00B848AA" w:rsidRPr="00F71382" w:rsidRDefault="000A0EC2">
            <w:pPr>
              <w:spacing w:before="240"/>
            </w:pPr>
            <w:r w:rsidRPr="00F71382">
              <w:t xml:space="preserve">The annual total liability for Buyer Data Defaults will not exceed </w:t>
            </w:r>
            <w:r w:rsidR="00E1287A">
              <w:t>[Redacted]</w:t>
            </w:r>
            <w:r w:rsidRPr="00F71382">
              <w:rPr>
                <w:b/>
              </w:rPr>
              <w:t xml:space="preserve"> </w:t>
            </w:r>
            <w:r w:rsidRPr="00F71382">
              <w:t xml:space="preserve">of the Charges payable by the Buyer to the </w:t>
            </w:r>
            <w:r w:rsidRPr="00E41855">
              <w:t>Supplier</w:t>
            </w:r>
            <w:r w:rsidR="00F71382" w:rsidRPr="00E41855">
              <w:t xml:space="preserve"> in the Year the claim arises.</w:t>
            </w:r>
            <w:r w:rsidR="00C8436E">
              <w:t xml:space="preserve"> Where a claim arises part way through the Year, the Charges payable for the purposes of this calculation will be based on a reasonable estimate for the entire 12 month period.</w:t>
            </w:r>
          </w:p>
          <w:p w14:paraId="1CF0CE5B" w14:textId="1ABBCC75" w:rsidR="00B848AA" w:rsidRDefault="000A0EC2">
            <w:pPr>
              <w:spacing w:before="240"/>
            </w:pPr>
            <w:r w:rsidRPr="00F71382">
              <w:t>The annual total liability for all other Defaults will</w:t>
            </w:r>
            <w:r>
              <w:t xml:space="preserve"> not exceed </w:t>
            </w:r>
            <w:r w:rsidR="00E1287A">
              <w:t>[Redacted]</w:t>
            </w:r>
            <w:r>
              <w:rPr>
                <w:b/>
                <w:bCs/>
              </w:rPr>
              <w:t xml:space="preserve"> </w:t>
            </w:r>
            <w:r>
              <w:t xml:space="preserve">of the Charges payable by the Buyer to the Supplier </w:t>
            </w:r>
            <w:r w:rsidR="00823A33">
              <w:t>in the Year the claim arises</w:t>
            </w:r>
            <w:r>
              <w:t xml:space="preserve">. </w:t>
            </w:r>
            <w:r w:rsidR="00C8436E">
              <w:t>Where a claim arises part way through the Year, the Charges payable for the purposes of this calculation will be based on a reasonable estimate for the entire 12 month period.</w:t>
            </w:r>
          </w:p>
          <w:p w14:paraId="5D293B25" w14:textId="77777777" w:rsidR="00823A33" w:rsidRDefault="00823A33">
            <w:pPr>
              <w:spacing w:before="240"/>
            </w:pPr>
          </w:p>
          <w:p w14:paraId="11CEDC3A" w14:textId="77777777" w:rsidR="00B848AA" w:rsidRDefault="00B848AA">
            <w:pPr>
              <w:spacing w:before="240"/>
            </w:pPr>
          </w:p>
        </w:tc>
        <w:tc>
          <w:tcPr>
            <w:tcW w:w="40" w:type="dxa"/>
            <w:shd w:val="clear" w:color="auto" w:fill="auto"/>
            <w:tcMar>
              <w:top w:w="0" w:type="dxa"/>
              <w:left w:w="10" w:type="dxa"/>
              <w:bottom w:w="0" w:type="dxa"/>
              <w:right w:w="10" w:type="dxa"/>
            </w:tcMar>
          </w:tcPr>
          <w:p w14:paraId="47E3521F" w14:textId="77777777" w:rsidR="00B848AA" w:rsidRDefault="00B848AA">
            <w:pPr>
              <w:spacing w:before="240"/>
            </w:pPr>
          </w:p>
        </w:tc>
      </w:tr>
      <w:tr w:rsidR="00B848AA" w14:paraId="7BB1A346"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0D67F" w14:textId="77777777" w:rsidR="00B848AA" w:rsidRDefault="000A0EC2">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D31C2BF" w14:textId="77777777" w:rsidR="00B848AA" w:rsidRDefault="000A0EC2">
            <w:pPr>
              <w:spacing w:before="240"/>
            </w:pPr>
            <w:r>
              <w:t>The insurance(s) required will be:</w:t>
            </w:r>
          </w:p>
          <w:p w14:paraId="4908CF8F" w14:textId="77777777" w:rsidR="00B848AA" w:rsidRDefault="000A0EC2" w:rsidP="005C3AE7">
            <w:pPr>
              <w:numPr>
                <w:ilvl w:val="0"/>
                <w:numId w:val="3"/>
              </w:numPr>
            </w:pPr>
            <w:r>
              <w:rPr>
                <w:sz w:val="14"/>
                <w:szCs w:val="14"/>
              </w:rPr>
              <w:t xml:space="preserve"> </w:t>
            </w:r>
            <w:r>
              <w:t>a minimum insurance period of 6 years following the expiration or Ending of this Call-Off Contract</w:t>
            </w:r>
          </w:p>
          <w:p w14:paraId="720F874C" w14:textId="0FC1273D" w:rsidR="00B848AA" w:rsidRDefault="000A0EC2" w:rsidP="005C3AE7">
            <w:pPr>
              <w:numPr>
                <w:ilvl w:val="0"/>
                <w:numId w:val="3"/>
              </w:numPr>
            </w:pPr>
            <w:r>
              <w:t xml:space="preserve">professional indemnity insurance cover to be held by the Supplier and by any agent, Subcontractor or consultant involved in the supply of the G-Cloud Services. This professional indemnity insurance cover will have a minimum limit of indemnity of </w:t>
            </w:r>
            <w:r w:rsidR="00E1287A">
              <w:t>[Redacted]</w:t>
            </w:r>
            <w:r>
              <w:t xml:space="preserve"> for each individual claim or any higher limit the Buyer requires (and as required by Law)</w:t>
            </w:r>
          </w:p>
          <w:p w14:paraId="58C67375" w14:textId="21B4E9FF" w:rsidR="00B848AA" w:rsidRDefault="000A0EC2" w:rsidP="005C3AE7">
            <w:pPr>
              <w:numPr>
                <w:ilvl w:val="0"/>
                <w:numId w:val="3"/>
              </w:numPr>
            </w:pPr>
            <w:r>
              <w:t xml:space="preserve">employers' liability insurance with a minimum limit of </w:t>
            </w:r>
            <w:r w:rsidR="00E1287A">
              <w:t>[Redacted]</w:t>
            </w:r>
            <w:r w:rsidR="006961B5">
              <w:t xml:space="preserve"> </w:t>
            </w:r>
            <w:r>
              <w:t>or any higher minimum limit required by Law</w:t>
            </w:r>
          </w:p>
        </w:tc>
        <w:tc>
          <w:tcPr>
            <w:tcW w:w="40" w:type="dxa"/>
            <w:shd w:val="clear" w:color="auto" w:fill="auto"/>
            <w:tcMar>
              <w:top w:w="0" w:type="dxa"/>
              <w:left w:w="10" w:type="dxa"/>
              <w:bottom w:w="0" w:type="dxa"/>
              <w:right w:w="10" w:type="dxa"/>
            </w:tcMar>
          </w:tcPr>
          <w:p w14:paraId="50482B4A" w14:textId="77777777" w:rsidR="00B848AA" w:rsidRDefault="00B848AA">
            <w:pPr>
              <w:spacing w:before="240"/>
            </w:pPr>
          </w:p>
        </w:tc>
      </w:tr>
      <w:tr w:rsidR="00B848AA" w14:paraId="1ED900DE"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1BC1F" w14:textId="77777777" w:rsidR="00B848AA" w:rsidRDefault="000A0EC2">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AEFAA" w14:textId="77777777" w:rsidR="00B848AA" w:rsidRDefault="000A0EC2">
            <w:pPr>
              <w:spacing w:before="240"/>
            </w:pPr>
            <w:r>
              <w:t xml:space="preserve">A Party may End this Call-Off Contract if the Other Party is affected by a Force Majeure Event that lasts for more than 45 consecutive days. </w:t>
            </w:r>
          </w:p>
          <w:p w14:paraId="690010EE" w14:textId="77777777" w:rsidR="00B848AA" w:rsidRDefault="00B848AA" w:rsidP="005A58FF">
            <w:pPr>
              <w:spacing w:before="240"/>
            </w:pPr>
          </w:p>
        </w:tc>
        <w:tc>
          <w:tcPr>
            <w:tcW w:w="40" w:type="dxa"/>
            <w:shd w:val="clear" w:color="auto" w:fill="auto"/>
            <w:tcMar>
              <w:top w:w="0" w:type="dxa"/>
              <w:left w:w="10" w:type="dxa"/>
              <w:bottom w:w="0" w:type="dxa"/>
              <w:right w:w="10" w:type="dxa"/>
            </w:tcMar>
          </w:tcPr>
          <w:p w14:paraId="42966622" w14:textId="77777777" w:rsidR="00B848AA" w:rsidRDefault="00B848AA">
            <w:pPr>
              <w:spacing w:before="240"/>
            </w:pPr>
          </w:p>
        </w:tc>
      </w:tr>
      <w:tr w:rsidR="00B848AA" w14:paraId="664B7886"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30850" w14:textId="77777777" w:rsidR="00B848AA" w:rsidRDefault="000A0EC2">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62995D" w14:textId="77777777" w:rsidR="00B848AA" w:rsidRDefault="000A0EC2">
            <w:pPr>
              <w:spacing w:before="240"/>
            </w:pPr>
            <w:r>
              <w:t>The following Framework Agreement audit provisions will be incorporated under clause 2.1 of this Call-Off Contract to enable the Buyer to carry out audits:</w:t>
            </w:r>
          </w:p>
          <w:p w14:paraId="0AA25663" w14:textId="77777777" w:rsidR="00B848AA" w:rsidRDefault="000A0EC2">
            <w:pPr>
              <w:spacing w:before="240"/>
            </w:pPr>
            <w:r>
              <w:t>7.8 to 7.13 inclusive.</w:t>
            </w:r>
          </w:p>
        </w:tc>
        <w:tc>
          <w:tcPr>
            <w:tcW w:w="40" w:type="dxa"/>
            <w:shd w:val="clear" w:color="auto" w:fill="auto"/>
            <w:tcMar>
              <w:top w:w="0" w:type="dxa"/>
              <w:left w:w="10" w:type="dxa"/>
              <w:bottom w:w="0" w:type="dxa"/>
              <w:right w:w="10" w:type="dxa"/>
            </w:tcMar>
          </w:tcPr>
          <w:p w14:paraId="10D8C007" w14:textId="77777777" w:rsidR="00B848AA" w:rsidRDefault="00B848AA">
            <w:pPr>
              <w:spacing w:before="240"/>
            </w:pPr>
          </w:p>
        </w:tc>
      </w:tr>
      <w:tr w:rsidR="00B848AA" w14:paraId="72024CC0"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9E6B" w14:textId="77777777" w:rsidR="00B848AA" w:rsidRDefault="000A0EC2">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DD964BB" w14:textId="77777777" w:rsidR="00B848AA" w:rsidRDefault="000A0EC2">
            <w:pPr>
              <w:spacing w:before="240"/>
            </w:pPr>
            <w:r>
              <w:t>The Buyer’s responsibilities are as set out in Schedule 1.</w:t>
            </w:r>
          </w:p>
          <w:p w14:paraId="47FA4F7F" w14:textId="77777777" w:rsidR="00B848AA" w:rsidRDefault="00B848AA">
            <w:pPr>
              <w:spacing w:before="240"/>
            </w:pPr>
          </w:p>
        </w:tc>
        <w:tc>
          <w:tcPr>
            <w:tcW w:w="40" w:type="dxa"/>
            <w:shd w:val="clear" w:color="auto" w:fill="auto"/>
            <w:tcMar>
              <w:top w:w="0" w:type="dxa"/>
              <w:left w:w="10" w:type="dxa"/>
              <w:bottom w:w="0" w:type="dxa"/>
              <w:right w:w="10" w:type="dxa"/>
            </w:tcMar>
          </w:tcPr>
          <w:p w14:paraId="68C894D3" w14:textId="77777777" w:rsidR="00B848AA" w:rsidRDefault="00B848AA">
            <w:pPr>
              <w:spacing w:before="240"/>
            </w:pPr>
          </w:p>
        </w:tc>
      </w:tr>
      <w:tr w:rsidR="00B848AA" w14:paraId="45DB5C87"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74361" w14:textId="77777777" w:rsidR="00B848AA" w:rsidRDefault="000A0EC2">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1F0D428" w14:textId="77777777" w:rsidR="00B848AA" w:rsidRDefault="000A0EC2">
            <w:pPr>
              <w:spacing w:before="240"/>
            </w:pPr>
            <w:r>
              <w:t>All relevant information is set out in Schedule 1.</w:t>
            </w:r>
          </w:p>
        </w:tc>
        <w:tc>
          <w:tcPr>
            <w:tcW w:w="40" w:type="dxa"/>
            <w:shd w:val="clear" w:color="auto" w:fill="auto"/>
            <w:tcMar>
              <w:top w:w="0" w:type="dxa"/>
              <w:left w:w="10" w:type="dxa"/>
              <w:bottom w:w="0" w:type="dxa"/>
              <w:right w:w="10" w:type="dxa"/>
            </w:tcMar>
          </w:tcPr>
          <w:p w14:paraId="5F07B5EE" w14:textId="77777777" w:rsidR="00B848AA" w:rsidRDefault="00B848AA">
            <w:pPr>
              <w:spacing w:before="240"/>
            </w:pPr>
          </w:p>
        </w:tc>
      </w:tr>
    </w:tbl>
    <w:p w14:paraId="0B79848F" w14:textId="77777777" w:rsidR="00B848AA" w:rsidRDefault="00B848AA">
      <w:pPr>
        <w:spacing w:before="240" w:after="120"/>
      </w:pPr>
    </w:p>
    <w:p w14:paraId="4FDF0970" w14:textId="77777777" w:rsidR="00B848AA" w:rsidRDefault="000A0EC2">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B848AA" w14:paraId="636AAE49"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DCF6" w14:textId="77777777" w:rsidR="00B848AA" w:rsidRDefault="000A0EC2">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EA9F2" w14:textId="77777777" w:rsidR="00B848AA" w:rsidRDefault="000A0EC2">
            <w:pPr>
              <w:spacing w:before="240"/>
            </w:pPr>
            <w:r>
              <w:t>N/A</w:t>
            </w:r>
          </w:p>
        </w:tc>
      </w:tr>
    </w:tbl>
    <w:p w14:paraId="0EAD0CA6" w14:textId="77777777" w:rsidR="00B848AA" w:rsidRDefault="00B848AA">
      <w:pPr>
        <w:spacing w:before="240" w:after="120"/>
      </w:pPr>
    </w:p>
    <w:p w14:paraId="1FCB05E3" w14:textId="77777777" w:rsidR="00B848AA" w:rsidRDefault="000A0EC2">
      <w:pPr>
        <w:pStyle w:val="Heading3"/>
      </w:pPr>
      <w:r>
        <w:t>Call-Off Contract charges and payment</w:t>
      </w:r>
    </w:p>
    <w:p w14:paraId="4AAD972D" w14:textId="77777777" w:rsidR="00B848AA" w:rsidRDefault="000A0EC2">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B848AA" w14:paraId="7BD3B6D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D7EA8" w14:textId="77777777" w:rsidR="00B848AA" w:rsidRDefault="000A0EC2">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09652" w14:textId="77777777" w:rsidR="00B848AA" w:rsidRDefault="000A0EC2">
            <w:pPr>
              <w:spacing w:before="240"/>
            </w:pPr>
            <w:r>
              <w:t xml:space="preserve">The payment method for this Call-Off Contract is </w:t>
            </w:r>
            <w:r>
              <w:rPr>
                <w:b/>
              </w:rPr>
              <w:t>bank transfer.</w:t>
            </w:r>
          </w:p>
        </w:tc>
      </w:tr>
      <w:tr w:rsidR="00B848AA" w14:paraId="68BFDE2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9F607" w14:textId="77777777" w:rsidR="00B848AA" w:rsidRDefault="000A0EC2">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02CB4" w14:textId="713907D4" w:rsidR="00B848AA" w:rsidRDefault="000A0EC2">
            <w:pPr>
              <w:spacing w:before="240"/>
            </w:pPr>
            <w:r>
              <w:t xml:space="preserve">The payment profile for this Call-Off Contract is </w:t>
            </w:r>
            <w:r>
              <w:rPr>
                <w:b/>
                <w:bCs/>
              </w:rPr>
              <w:t>monthly</w:t>
            </w:r>
            <w:r>
              <w:t xml:space="preserve"> in arrears.</w:t>
            </w:r>
          </w:p>
        </w:tc>
      </w:tr>
      <w:tr w:rsidR="00B848AA" w14:paraId="3A528BE3"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9E286" w14:textId="77777777" w:rsidR="00B848AA" w:rsidRDefault="000A0EC2">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3E12F" w14:textId="33EE49C6" w:rsidR="00B848AA" w:rsidRDefault="000A0EC2">
            <w:pPr>
              <w:spacing w:before="240"/>
            </w:pPr>
            <w:r>
              <w:t xml:space="preserve">The Supplier will issue electronic invoices </w:t>
            </w:r>
            <w:r>
              <w:rPr>
                <w:b/>
              </w:rPr>
              <w:t xml:space="preserve">monthly </w:t>
            </w:r>
            <w:r>
              <w:t xml:space="preserve">in arrears. The Buyer will pay the Supplier within </w:t>
            </w:r>
            <w:r>
              <w:rPr>
                <w:b/>
              </w:rPr>
              <w:t>30</w:t>
            </w:r>
            <w:r>
              <w:t xml:space="preserve"> days of receipt of a valid invoice.</w:t>
            </w:r>
          </w:p>
        </w:tc>
      </w:tr>
      <w:tr w:rsidR="00B848AA" w14:paraId="2A83198F"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45B4" w14:textId="77777777" w:rsidR="00B848AA" w:rsidRDefault="000A0EC2">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7D3BE" w14:textId="6317C753" w:rsidR="00B848AA" w:rsidRDefault="000A0EC2">
            <w:pPr>
              <w:spacing w:before="240"/>
            </w:pPr>
            <w:r>
              <w:t xml:space="preserve">Invoices will be sent to </w:t>
            </w:r>
            <w:r w:rsidR="005A58FF">
              <w:t xml:space="preserve">Thomas Corker </w:t>
            </w:r>
            <w:r>
              <w:t>at the details listed above.</w:t>
            </w:r>
          </w:p>
        </w:tc>
      </w:tr>
      <w:tr w:rsidR="00B848AA" w14:paraId="3E304AB1"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84E42" w14:textId="77777777" w:rsidR="00B848AA" w:rsidRDefault="000A0EC2">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EDC24" w14:textId="25BE8CBE" w:rsidR="00B848AA" w:rsidRDefault="000A0EC2" w:rsidP="003A4AF4">
            <w:pPr>
              <w:spacing w:before="240"/>
            </w:pPr>
            <w:r>
              <w:t>All invoices must include the Purchase Order number</w:t>
            </w:r>
            <w:r w:rsidR="003A4AF4">
              <w:t xml:space="preserve"> and contract reference.</w:t>
            </w:r>
          </w:p>
        </w:tc>
      </w:tr>
      <w:tr w:rsidR="00B848AA" w14:paraId="472C7C99"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E2B36" w14:textId="77777777" w:rsidR="00B848AA" w:rsidRDefault="000A0EC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C9852" w14:textId="77777777" w:rsidR="00B848AA" w:rsidRDefault="000A0EC2">
            <w:pPr>
              <w:spacing w:before="240"/>
            </w:pPr>
            <w:r w:rsidRPr="00E41855">
              <w:t>Invoice will be sent to the Buyer monthly.</w:t>
            </w:r>
          </w:p>
        </w:tc>
      </w:tr>
      <w:tr w:rsidR="00B848AA" w14:paraId="0CC410D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4C856" w14:textId="77777777" w:rsidR="00B848AA" w:rsidRDefault="000A0EC2">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63B0D" w14:textId="5141CE8C" w:rsidR="00B848AA" w:rsidRDefault="000A0EC2">
            <w:pPr>
              <w:spacing w:before="240"/>
            </w:pPr>
            <w:r>
              <w:t>The total value of this Call-Off Contract is £</w:t>
            </w:r>
            <w:r w:rsidR="009419E1">
              <w:t>576,400</w:t>
            </w:r>
            <w:r w:rsidR="005A58FF">
              <w:t xml:space="preserve">, </w:t>
            </w:r>
            <w:r>
              <w:t>including extension options.</w:t>
            </w:r>
          </w:p>
        </w:tc>
      </w:tr>
      <w:tr w:rsidR="00B848AA" w14:paraId="67C26E1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75EB4" w14:textId="77777777" w:rsidR="00B848AA" w:rsidRDefault="000A0EC2">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8F240" w14:textId="77777777" w:rsidR="00B848AA" w:rsidRDefault="000A0EC2">
            <w:pPr>
              <w:spacing w:before="240"/>
            </w:pPr>
            <w:r>
              <w:t>The breakdown of the Charges is contained within Schedule 2.</w:t>
            </w:r>
          </w:p>
        </w:tc>
      </w:tr>
    </w:tbl>
    <w:p w14:paraId="29077241" w14:textId="77777777" w:rsidR="00B848AA" w:rsidRDefault="00B848AA"/>
    <w:p w14:paraId="1DB6FD09" w14:textId="77777777" w:rsidR="00B848AA" w:rsidRDefault="000A0EC2">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B848AA" w14:paraId="43E866E7" w14:textId="77777777" w:rsidTr="60455C27">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15F872" w14:textId="77777777" w:rsidR="00B848AA" w:rsidRDefault="000A0EC2">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E8ED67" w14:textId="77777777" w:rsidR="00B848AA" w:rsidRDefault="000A0EC2">
            <w:pPr>
              <w:spacing w:before="240"/>
            </w:pPr>
            <w:r>
              <w:t>This information is contained within Schedule 1.</w:t>
            </w:r>
          </w:p>
        </w:tc>
      </w:tr>
      <w:tr w:rsidR="00B848AA" w14:paraId="175C2377" w14:textId="77777777" w:rsidTr="60455C27">
        <w:trPr>
          <w:trHeight w:val="21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C087A1" w14:textId="77777777" w:rsidR="00B848AA" w:rsidRDefault="000A0EC2">
            <w:pPr>
              <w:spacing w:before="240"/>
              <w:rPr>
                <w:b/>
              </w:rPr>
            </w:pPr>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2011EB" w14:textId="42EB4C6F" w:rsidR="00B848AA" w:rsidRDefault="000A0EC2" w:rsidP="003A4AF4">
            <w:pPr>
              <w:spacing w:before="240"/>
            </w:pPr>
            <w:r>
              <w:t xml:space="preserve">Not </w:t>
            </w:r>
            <w:r w:rsidR="003A4AF4">
              <w:t>required</w:t>
            </w:r>
            <w:r>
              <w:t>.</w:t>
            </w:r>
          </w:p>
        </w:tc>
      </w:tr>
      <w:tr w:rsidR="00B848AA" w14:paraId="031E7C22" w14:textId="77777777" w:rsidTr="60455C27">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C93D75" w14:textId="77777777" w:rsidR="00B848AA" w:rsidRDefault="000A0EC2">
            <w:pPr>
              <w:spacing w:before="240"/>
              <w:rPr>
                <w:b/>
              </w:rPr>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47984D" w14:textId="77777777" w:rsidR="00B848AA" w:rsidRDefault="000A0EC2">
            <w:pPr>
              <w:spacing w:before="240"/>
            </w:pPr>
            <w:r>
              <w:t>Contained within the incorporated Framework Agreement clause 4.1.</w:t>
            </w:r>
          </w:p>
          <w:p w14:paraId="10AACA45" w14:textId="77777777" w:rsidR="00B848AA" w:rsidRDefault="00B848AA">
            <w:pPr>
              <w:spacing w:before="240"/>
            </w:pPr>
          </w:p>
        </w:tc>
      </w:tr>
      <w:tr w:rsidR="00B848AA" w14:paraId="5324337E" w14:textId="77777777" w:rsidTr="60455C27">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8CC745" w14:textId="77777777" w:rsidR="00B848AA" w:rsidRDefault="000A0EC2">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C56E46" w14:textId="77777777" w:rsidR="00B848AA" w:rsidRDefault="000A0EC2">
            <w:pPr>
              <w:spacing w:before="240"/>
            </w:pPr>
            <w:r>
              <w:t>Not used.</w:t>
            </w:r>
          </w:p>
        </w:tc>
      </w:tr>
      <w:tr w:rsidR="00B848AA" w14:paraId="4F93E032" w14:textId="77777777" w:rsidTr="60455C27">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D84E3A" w14:textId="77777777" w:rsidR="00B848AA" w:rsidRDefault="000A0EC2">
            <w:pPr>
              <w:spacing w:before="240"/>
              <w:rPr>
                <w:b/>
              </w:rPr>
            </w:pPr>
            <w:r>
              <w:rPr>
                <w:b/>
              </w:rPr>
              <w:lastRenderedPageBreak/>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3DDEA9" w14:textId="77777777" w:rsidR="00B848AA" w:rsidRDefault="000A0EC2">
            <w:pPr>
              <w:spacing w:before="240"/>
            </w:pPr>
            <w:r>
              <w:t>Not used.</w:t>
            </w:r>
          </w:p>
        </w:tc>
      </w:tr>
      <w:tr w:rsidR="00B848AA" w14:paraId="35397011" w14:textId="77777777" w:rsidTr="60455C27">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0CC018" w14:textId="77777777" w:rsidR="00B848AA" w:rsidRDefault="000A0EC2">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324211" w14:textId="5179F44C" w:rsidR="00B848AA" w:rsidRDefault="003E087D">
            <w:pPr>
              <w:pStyle w:val="NormalWeb"/>
              <w:rPr>
                <w:rFonts w:ascii="Arial" w:hAnsi="Arial" w:cs="Arial"/>
                <w:b/>
                <w:bCs/>
                <w:color w:val="000000"/>
                <w:sz w:val="22"/>
                <w:szCs w:val="22"/>
              </w:rPr>
            </w:pPr>
            <w:r>
              <w:rPr>
                <w:rFonts w:ascii="Arial" w:hAnsi="Arial" w:cs="Arial"/>
                <w:b/>
                <w:bCs/>
                <w:color w:val="000000"/>
                <w:sz w:val="22"/>
                <w:szCs w:val="22"/>
              </w:rPr>
              <w:t xml:space="preserve">Contractual </w:t>
            </w:r>
            <w:r w:rsidR="000A0EC2">
              <w:rPr>
                <w:rFonts w:ascii="Arial" w:hAnsi="Arial" w:cs="Arial"/>
                <w:b/>
                <w:bCs/>
                <w:color w:val="000000"/>
                <w:sz w:val="22"/>
                <w:szCs w:val="22"/>
              </w:rPr>
              <w:t>Change Control Process</w:t>
            </w:r>
          </w:p>
          <w:p w14:paraId="061D6F01" w14:textId="77777777" w:rsidR="00B848AA" w:rsidRDefault="000A0EC2">
            <w:pPr>
              <w:pStyle w:val="NormalWeb"/>
              <w:rPr>
                <w:rFonts w:ascii="Arial" w:hAnsi="Arial" w:cs="Arial"/>
                <w:color w:val="000000"/>
                <w:sz w:val="22"/>
                <w:szCs w:val="22"/>
              </w:rPr>
            </w:pPr>
            <w:r>
              <w:rPr>
                <w:rFonts w:ascii="Arial" w:hAnsi="Arial" w:cs="Arial"/>
                <w:color w:val="000000"/>
                <w:sz w:val="22"/>
                <w:szCs w:val="22"/>
              </w:rPr>
              <w:t>Either party may issue a change request to the other party at any time during the Term. The change request shall be substantially in the form of Appendix 1 to Schedule 1.</w:t>
            </w:r>
          </w:p>
          <w:p w14:paraId="32383143" w14:textId="19C4396C" w:rsidR="00B848AA" w:rsidRDefault="000A0EC2">
            <w:pPr>
              <w:pStyle w:val="NormalWeb"/>
              <w:rPr>
                <w:rFonts w:ascii="Arial" w:hAnsi="Arial" w:cs="Arial"/>
                <w:color w:val="000000"/>
                <w:sz w:val="22"/>
                <w:szCs w:val="22"/>
              </w:rPr>
            </w:pPr>
            <w:r>
              <w:rPr>
                <w:rFonts w:ascii="Arial" w:hAnsi="Arial" w:cs="Arial"/>
                <w:color w:val="000000"/>
                <w:sz w:val="22"/>
                <w:szCs w:val="22"/>
              </w:rPr>
              <w:t>If the Supplier issued the change request, then it shall also provide a</w:t>
            </w:r>
            <w:r w:rsidR="003D6631">
              <w:rPr>
                <w:rFonts w:ascii="Arial" w:hAnsi="Arial" w:cs="Arial"/>
                <w:color w:val="000000"/>
                <w:sz w:val="22"/>
                <w:szCs w:val="22"/>
              </w:rPr>
              <w:t xml:space="preserve"> rough order of magnitude </w:t>
            </w:r>
            <w:r w:rsidR="009E7969">
              <w:rPr>
                <w:rFonts w:ascii="Arial" w:hAnsi="Arial" w:cs="Arial"/>
                <w:color w:val="000000"/>
                <w:sz w:val="22"/>
                <w:szCs w:val="22"/>
              </w:rPr>
              <w:t xml:space="preserve">(ROM) </w:t>
            </w:r>
            <w:r w:rsidR="00B65513">
              <w:rPr>
                <w:rFonts w:ascii="Arial" w:hAnsi="Arial" w:cs="Arial"/>
                <w:color w:val="000000"/>
                <w:sz w:val="22"/>
                <w:szCs w:val="22"/>
              </w:rPr>
              <w:t>i</w:t>
            </w:r>
            <w:r w:rsidR="003D6631">
              <w:rPr>
                <w:rFonts w:ascii="Arial" w:hAnsi="Arial" w:cs="Arial"/>
                <w:color w:val="000000"/>
                <w:sz w:val="22"/>
                <w:szCs w:val="22"/>
              </w:rPr>
              <w:t xml:space="preserve">mpact assessment </w:t>
            </w:r>
            <w:r>
              <w:rPr>
                <w:rFonts w:ascii="Arial" w:hAnsi="Arial" w:cs="Arial"/>
                <w:color w:val="000000"/>
                <w:sz w:val="22"/>
                <w:szCs w:val="22"/>
              </w:rPr>
              <w:t xml:space="preserve">to the Buyer, unless confirmed as not required by the Buyer, as soon as is reasonably practicable but in any event within </w:t>
            </w:r>
            <w:r w:rsidR="00B65513">
              <w:rPr>
                <w:rFonts w:ascii="Arial" w:hAnsi="Arial" w:cs="Arial"/>
                <w:color w:val="000000"/>
                <w:sz w:val="22"/>
                <w:szCs w:val="22"/>
              </w:rPr>
              <w:t>5</w:t>
            </w:r>
            <w:r>
              <w:rPr>
                <w:rFonts w:ascii="Arial" w:hAnsi="Arial" w:cs="Arial"/>
                <w:color w:val="000000"/>
                <w:sz w:val="22"/>
                <w:szCs w:val="22"/>
              </w:rPr>
              <w:t xml:space="preserve"> Working Days of the date of issuing the change request.</w:t>
            </w:r>
          </w:p>
          <w:p w14:paraId="30C69E26" w14:textId="27A73BE9" w:rsidR="00B848AA" w:rsidRDefault="000A0EC2">
            <w:pPr>
              <w:pStyle w:val="NormalWeb"/>
              <w:rPr>
                <w:rFonts w:ascii="Arial" w:hAnsi="Arial" w:cs="Arial"/>
                <w:color w:val="000000"/>
                <w:sz w:val="22"/>
                <w:szCs w:val="22"/>
              </w:rPr>
            </w:pPr>
            <w:r>
              <w:rPr>
                <w:rFonts w:ascii="Arial" w:hAnsi="Arial" w:cs="Arial"/>
                <w:color w:val="000000"/>
                <w:sz w:val="22"/>
                <w:szCs w:val="22"/>
              </w:rPr>
              <w:t>If the Buyer issued the change request, then the Supplier shall provide a</w:t>
            </w:r>
            <w:r w:rsidR="003D6631">
              <w:rPr>
                <w:rFonts w:ascii="Arial" w:hAnsi="Arial" w:cs="Arial"/>
                <w:color w:val="000000"/>
                <w:sz w:val="22"/>
                <w:szCs w:val="22"/>
              </w:rPr>
              <w:t xml:space="preserve"> </w:t>
            </w:r>
            <w:r w:rsidR="009E7969">
              <w:rPr>
                <w:rFonts w:ascii="Arial" w:hAnsi="Arial" w:cs="Arial"/>
                <w:color w:val="000000"/>
                <w:sz w:val="22"/>
                <w:szCs w:val="22"/>
              </w:rPr>
              <w:t>ROM</w:t>
            </w:r>
            <w:r>
              <w:rPr>
                <w:rFonts w:ascii="Arial" w:hAnsi="Arial" w:cs="Arial"/>
                <w:color w:val="000000"/>
                <w:sz w:val="22"/>
                <w:szCs w:val="22"/>
              </w:rPr>
              <w:t xml:space="preserve"> impact assessment to the Buyer as soon as is reasonably practicable but in any event within </w:t>
            </w:r>
            <w:r w:rsidR="00B65513">
              <w:rPr>
                <w:rFonts w:ascii="Arial" w:hAnsi="Arial" w:cs="Arial"/>
                <w:color w:val="000000"/>
                <w:sz w:val="22"/>
                <w:szCs w:val="22"/>
              </w:rPr>
              <w:t>5</w:t>
            </w:r>
            <w:r>
              <w:rPr>
                <w:rFonts w:ascii="Arial" w:hAnsi="Arial" w:cs="Arial"/>
                <w:color w:val="000000"/>
                <w:sz w:val="22"/>
                <w:szCs w:val="22"/>
              </w:rPr>
              <w:t xml:space="preserve"> Working Days of the date of receiving the change request from the Buyer provided that if the Supplier requires any clarifications in relation to the change request before it can deliver the</w:t>
            </w:r>
            <w:r w:rsidR="009E7969">
              <w:rPr>
                <w:rFonts w:ascii="Arial" w:hAnsi="Arial" w:cs="Arial"/>
                <w:color w:val="000000"/>
                <w:sz w:val="22"/>
                <w:szCs w:val="22"/>
              </w:rPr>
              <w:t xml:space="preserve"> ROM</w:t>
            </w:r>
            <w:r>
              <w:rPr>
                <w:rFonts w:ascii="Arial" w:hAnsi="Arial" w:cs="Arial"/>
                <w:color w:val="000000"/>
                <w:sz w:val="22"/>
                <w:szCs w:val="22"/>
              </w:rPr>
              <w:t xml:space="preserve"> impact assessment, then it will promptly notify the Buyer and the time period shall be extended by the time taken by the Buyer to provide those clarifications. </w:t>
            </w:r>
            <w:r w:rsidR="003C17C5">
              <w:rPr>
                <w:rFonts w:ascii="Arial" w:hAnsi="Arial" w:cs="Arial"/>
                <w:color w:val="000000"/>
                <w:sz w:val="22"/>
                <w:szCs w:val="22"/>
              </w:rPr>
              <w:t xml:space="preserve">The ROM may indicate a </w:t>
            </w:r>
            <w:r w:rsidR="00AF335E">
              <w:rPr>
                <w:rFonts w:ascii="Arial" w:hAnsi="Arial" w:cs="Arial"/>
                <w:color w:val="000000"/>
                <w:sz w:val="22"/>
                <w:szCs w:val="22"/>
              </w:rPr>
              <w:t>f</w:t>
            </w:r>
            <w:r w:rsidR="003C17C5">
              <w:rPr>
                <w:rFonts w:ascii="Arial" w:hAnsi="Arial" w:cs="Arial"/>
                <w:color w:val="000000"/>
                <w:sz w:val="22"/>
                <w:szCs w:val="22"/>
              </w:rPr>
              <w:t xml:space="preserve">ull </w:t>
            </w:r>
            <w:r w:rsidR="00B65513">
              <w:rPr>
                <w:rFonts w:ascii="Arial" w:hAnsi="Arial" w:cs="Arial"/>
                <w:color w:val="000000"/>
                <w:sz w:val="22"/>
                <w:szCs w:val="22"/>
              </w:rPr>
              <w:t>i</w:t>
            </w:r>
            <w:r w:rsidR="003C17C5">
              <w:rPr>
                <w:rFonts w:ascii="Arial" w:hAnsi="Arial" w:cs="Arial"/>
                <w:color w:val="000000"/>
                <w:sz w:val="22"/>
                <w:szCs w:val="22"/>
              </w:rPr>
              <w:t xml:space="preserve">mpact </w:t>
            </w:r>
            <w:r w:rsidR="00B65513">
              <w:rPr>
                <w:rFonts w:ascii="Arial" w:hAnsi="Arial" w:cs="Arial"/>
                <w:color w:val="000000"/>
                <w:sz w:val="22"/>
                <w:szCs w:val="22"/>
              </w:rPr>
              <w:t>a</w:t>
            </w:r>
            <w:r w:rsidR="003C17C5">
              <w:rPr>
                <w:rFonts w:ascii="Arial" w:hAnsi="Arial" w:cs="Arial"/>
                <w:color w:val="000000"/>
                <w:sz w:val="22"/>
                <w:szCs w:val="22"/>
              </w:rPr>
              <w:t>ssessment is required</w:t>
            </w:r>
            <w:r w:rsidR="00552C5E">
              <w:rPr>
                <w:rFonts w:ascii="Arial" w:hAnsi="Arial" w:cs="Arial"/>
                <w:color w:val="000000"/>
                <w:sz w:val="22"/>
                <w:szCs w:val="22"/>
              </w:rPr>
              <w:t>. If so, the Parties will agree a fee</w:t>
            </w:r>
            <w:r w:rsidR="00AF335E">
              <w:rPr>
                <w:rFonts w:ascii="Arial" w:hAnsi="Arial" w:cs="Arial"/>
                <w:color w:val="000000"/>
                <w:sz w:val="22"/>
                <w:szCs w:val="22"/>
              </w:rPr>
              <w:t xml:space="preserve">, using the Rate Card in Schedule 2, for the compilation of the full </w:t>
            </w:r>
            <w:r w:rsidR="00605DCA">
              <w:rPr>
                <w:rFonts w:ascii="Arial" w:hAnsi="Arial" w:cs="Arial"/>
                <w:color w:val="000000"/>
                <w:sz w:val="22"/>
                <w:szCs w:val="22"/>
              </w:rPr>
              <w:t>i</w:t>
            </w:r>
            <w:r w:rsidR="00AF335E">
              <w:rPr>
                <w:rFonts w:ascii="Arial" w:hAnsi="Arial" w:cs="Arial"/>
                <w:color w:val="000000"/>
                <w:sz w:val="22"/>
                <w:szCs w:val="22"/>
              </w:rPr>
              <w:t xml:space="preserve">mpact </w:t>
            </w:r>
            <w:r w:rsidR="00B65513">
              <w:rPr>
                <w:rFonts w:ascii="Arial" w:hAnsi="Arial" w:cs="Arial"/>
                <w:color w:val="000000"/>
                <w:sz w:val="22"/>
                <w:szCs w:val="22"/>
              </w:rPr>
              <w:t>a</w:t>
            </w:r>
            <w:r w:rsidR="00AF335E">
              <w:rPr>
                <w:rFonts w:ascii="Arial" w:hAnsi="Arial" w:cs="Arial"/>
                <w:color w:val="000000"/>
                <w:sz w:val="22"/>
                <w:szCs w:val="22"/>
              </w:rPr>
              <w:t>ssessment.</w:t>
            </w:r>
            <w:r w:rsidR="00B11783">
              <w:rPr>
                <w:rFonts w:ascii="Arial" w:hAnsi="Arial" w:cs="Arial"/>
                <w:color w:val="000000"/>
                <w:sz w:val="22"/>
                <w:szCs w:val="22"/>
              </w:rPr>
              <w:t xml:space="preserve"> Once agreed, the full </w:t>
            </w:r>
            <w:r w:rsidR="00B65513">
              <w:rPr>
                <w:rFonts w:ascii="Arial" w:hAnsi="Arial" w:cs="Arial"/>
                <w:color w:val="000000"/>
                <w:sz w:val="22"/>
                <w:szCs w:val="22"/>
              </w:rPr>
              <w:t>i</w:t>
            </w:r>
            <w:r w:rsidR="00B11783">
              <w:rPr>
                <w:rFonts w:ascii="Arial" w:hAnsi="Arial" w:cs="Arial"/>
                <w:color w:val="000000"/>
                <w:sz w:val="22"/>
                <w:szCs w:val="22"/>
              </w:rPr>
              <w:t xml:space="preserve">mpact </w:t>
            </w:r>
            <w:r w:rsidR="00B65513">
              <w:rPr>
                <w:rFonts w:ascii="Arial" w:hAnsi="Arial" w:cs="Arial"/>
                <w:color w:val="000000"/>
                <w:sz w:val="22"/>
                <w:szCs w:val="22"/>
              </w:rPr>
              <w:t>a</w:t>
            </w:r>
            <w:r w:rsidR="00B11783">
              <w:rPr>
                <w:rFonts w:ascii="Arial" w:hAnsi="Arial" w:cs="Arial"/>
                <w:color w:val="000000"/>
                <w:sz w:val="22"/>
                <w:szCs w:val="22"/>
              </w:rPr>
              <w:t xml:space="preserve">ssessment </w:t>
            </w:r>
            <w:r w:rsidR="00B65513">
              <w:rPr>
                <w:rFonts w:ascii="Arial" w:hAnsi="Arial" w:cs="Arial"/>
                <w:color w:val="000000"/>
                <w:sz w:val="22"/>
                <w:szCs w:val="22"/>
              </w:rPr>
              <w:t>shall be provided within 10 Working Days.</w:t>
            </w:r>
          </w:p>
          <w:p w14:paraId="4EADE43B" w14:textId="77777777" w:rsidR="00B848AA" w:rsidRDefault="000A0EC2">
            <w:pPr>
              <w:pStyle w:val="NormalWeb"/>
              <w:rPr>
                <w:rFonts w:ascii="Arial" w:hAnsi="Arial" w:cs="Arial"/>
                <w:color w:val="000000"/>
                <w:sz w:val="22"/>
                <w:szCs w:val="22"/>
              </w:rPr>
            </w:pPr>
            <w:r>
              <w:rPr>
                <w:rFonts w:ascii="Arial" w:hAnsi="Arial" w:cs="Arial"/>
                <w:color w:val="000000"/>
                <w:sz w:val="22"/>
                <w:szCs w:val="22"/>
              </w:rPr>
              <w:t>The Parties will then work together to agree the substantive form of the change request. If it cannot be agreed, the Contract is otherwise unaffected.</w:t>
            </w:r>
          </w:p>
          <w:p w14:paraId="00198FC4" w14:textId="55B217AF" w:rsidR="00B848AA" w:rsidRDefault="000A0EC2">
            <w:pPr>
              <w:suppressAutoHyphens w:val="0"/>
              <w:rPr>
                <w:color w:val="000000"/>
              </w:rPr>
            </w:pPr>
            <w:r>
              <w:rPr>
                <w:color w:val="000000"/>
              </w:rPr>
              <w:t xml:space="preserve">Any proposed contract change processed in accordance with this process will not be authorised and the Supplier shall not implement any proposed contract change until the pro forma is signed and executed by a duly authorised representative of the Buyer. </w:t>
            </w:r>
            <w:r w:rsidRPr="00E41855">
              <w:rPr>
                <w:color w:val="000000"/>
              </w:rPr>
              <w:t>The Supplier shall not be entitled to charge the Buyer for any work necessary as part of agreeing a change to the Contract</w:t>
            </w:r>
            <w:r w:rsidR="003C17C5">
              <w:rPr>
                <w:color w:val="000000"/>
              </w:rPr>
              <w:t xml:space="preserve"> prior to the compilation of a full </w:t>
            </w:r>
            <w:r w:rsidR="00B65513">
              <w:rPr>
                <w:color w:val="000000"/>
              </w:rPr>
              <w:t>i</w:t>
            </w:r>
            <w:r w:rsidR="003C17C5">
              <w:rPr>
                <w:color w:val="000000"/>
              </w:rPr>
              <w:t xml:space="preserve">mpact </w:t>
            </w:r>
            <w:r w:rsidR="00B65513">
              <w:rPr>
                <w:color w:val="000000"/>
              </w:rPr>
              <w:t>a</w:t>
            </w:r>
            <w:r w:rsidR="003C17C5">
              <w:rPr>
                <w:color w:val="000000"/>
              </w:rPr>
              <w:t>ssessment.</w:t>
            </w:r>
          </w:p>
          <w:p w14:paraId="1E036607" w14:textId="77777777" w:rsidR="00AF61FD" w:rsidRDefault="00AF61FD">
            <w:pPr>
              <w:suppressAutoHyphens w:val="0"/>
              <w:rPr>
                <w:color w:val="000000"/>
              </w:rPr>
            </w:pPr>
          </w:p>
          <w:p w14:paraId="4D342E38" w14:textId="4935317A" w:rsidR="00AF61FD" w:rsidRDefault="00AF61FD">
            <w:pPr>
              <w:suppressAutoHyphens w:val="0"/>
              <w:rPr>
                <w:color w:val="000000"/>
              </w:rPr>
            </w:pPr>
            <w:r>
              <w:rPr>
                <w:color w:val="000000"/>
              </w:rPr>
              <w:t xml:space="preserve">Technical or Functional changes to the </w:t>
            </w:r>
            <w:r w:rsidR="002A0579">
              <w:rPr>
                <w:color w:val="000000"/>
              </w:rPr>
              <w:t xml:space="preserve">Regulated Professions Register </w:t>
            </w:r>
            <w:r>
              <w:rPr>
                <w:color w:val="000000"/>
              </w:rPr>
              <w:t>will be managed via Service Request Process</w:t>
            </w:r>
            <w:r w:rsidR="004C69ED">
              <w:rPr>
                <w:color w:val="000000"/>
              </w:rPr>
              <w:t>.</w:t>
            </w:r>
            <w:r w:rsidR="000B538E">
              <w:rPr>
                <w:color w:val="000000"/>
              </w:rPr>
              <w:t xml:space="preserve"> Documentation of agreed changes will </w:t>
            </w:r>
            <w:r w:rsidR="00495EC0">
              <w:rPr>
                <w:color w:val="000000"/>
              </w:rPr>
              <w:t xml:space="preserve">take the form of Annex 1 to Schedule </w:t>
            </w:r>
            <w:r w:rsidR="009A3250">
              <w:rPr>
                <w:color w:val="000000"/>
              </w:rPr>
              <w:t>1</w:t>
            </w:r>
            <w:r w:rsidR="00495EC0">
              <w:rPr>
                <w:color w:val="000000"/>
              </w:rPr>
              <w:t>.</w:t>
            </w:r>
          </w:p>
          <w:p w14:paraId="0FF60FE7" w14:textId="5CE3440C" w:rsidR="004C69ED" w:rsidRDefault="004C69ED">
            <w:pPr>
              <w:suppressAutoHyphens w:val="0"/>
              <w:rPr>
                <w:color w:val="000000"/>
              </w:rPr>
            </w:pPr>
          </w:p>
          <w:p w14:paraId="15B65781" w14:textId="1D51336A" w:rsidR="008F2A6D" w:rsidRDefault="008F2A6D">
            <w:pPr>
              <w:suppressAutoHyphens w:val="0"/>
              <w:rPr>
                <w:b/>
                <w:bCs/>
                <w:color w:val="000000"/>
              </w:rPr>
            </w:pPr>
            <w:r w:rsidRPr="00353F6C">
              <w:rPr>
                <w:b/>
                <w:bCs/>
                <w:color w:val="000000"/>
              </w:rPr>
              <w:t>Service Request Process</w:t>
            </w:r>
          </w:p>
          <w:p w14:paraId="4380FC54" w14:textId="7B62C0C3" w:rsidR="00A504E0" w:rsidRPr="00A504E0" w:rsidRDefault="00A504E0">
            <w:pPr>
              <w:suppressAutoHyphens w:val="0"/>
              <w:rPr>
                <w:color w:val="000000"/>
              </w:rPr>
            </w:pPr>
            <w:r>
              <w:rPr>
                <w:color w:val="000000"/>
              </w:rPr>
              <w:lastRenderedPageBreak/>
              <w:t>See Annex 2 of Schedule 1</w:t>
            </w:r>
          </w:p>
          <w:p w14:paraId="4BBF21DA" w14:textId="77777777" w:rsidR="008F2A6D" w:rsidRDefault="008F2A6D">
            <w:pPr>
              <w:suppressAutoHyphens w:val="0"/>
              <w:rPr>
                <w:color w:val="000000"/>
              </w:rPr>
            </w:pPr>
          </w:p>
          <w:p w14:paraId="46748C4E" w14:textId="6A685FD8" w:rsidR="00872314" w:rsidRDefault="00872314">
            <w:pPr>
              <w:suppressAutoHyphens w:val="0"/>
            </w:pPr>
            <w:r w:rsidRPr="60455C27">
              <w:rPr>
                <w:color w:val="000000" w:themeColor="text1"/>
              </w:rPr>
              <w:t xml:space="preserve">In respect to release management, </w:t>
            </w:r>
            <w:r w:rsidR="0025369F" w:rsidRPr="60455C27">
              <w:rPr>
                <w:color w:val="000000" w:themeColor="text1"/>
              </w:rPr>
              <w:t xml:space="preserve">the process will be agreed on a case by case basis as required. This will </w:t>
            </w:r>
            <w:r w:rsidR="00E44161" w:rsidRPr="60455C27">
              <w:rPr>
                <w:color w:val="000000" w:themeColor="text1"/>
              </w:rPr>
              <w:t>require</w:t>
            </w:r>
            <w:r w:rsidR="0025369F" w:rsidRPr="60455C27">
              <w:rPr>
                <w:color w:val="000000" w:themeColor="text1"/>
              </w:rPr>
              <w:t xml:space="preserve"> clearance via the</w:t>
            </w:r>
            <w:r w:rsidR="001075E3" w:rsidRPr="60455C27">
              <w:rPr>
                <w:color w:val="000000" w:themeColor="text1"/>
              </w:rPr>
              <w:t xml:space="preserve"> BEIS</w:t>
            </w:r>
            <w:r w:rsidR="0025369F" w:rsidRPr="60455C27">
              <w:rPr>
                <w:color w:val="000000" w:themeColor="text1"/>
              </w:rPr>
              <w:t xml:space="preserve"> </w:t>
            </w:r>
            <w:r w:rsidR="007327A8" w:rsidRPr="60455C27">
              <w:rPr>
                <w:color w:val="000000" w:themeColor="text1"/>
              </w:rPr>
              <w:t>Operational Change and Release Board (OCRB).</w:t>
            </w:r>
          </w:p>
          <w:p w14:paraId="6FAD0DFE" w14:textId="77777777" w:rsidR="00B848AA" w:rsidRDefault="00B848AA">
            <w:pPr>
              <w:pStyle w:val="NormalWeb"/>
              <w:rPr>
                <w:rFonts w:ascii="Arial" w:hAnsi="Arial" w:cs="Arial"/>
                <w:color w:val="000000"/>
                <w:sz w:val="22"/>
                <w:szCs w:val="22"/>
              </w:rPr>
            </w:pPr>
          </w:p>
          <w:p w14:paraId="5CFEC787" w14:textId="77777777" w:rsidR="00B848AA" w:rsidRDefault="00B848AA">
            <w:pPr>
              <w:spacing w:before="240"/>
            </w:pPr>
          </w:p>
        </w:tc>
      </w:tr>
      <w:tr w:rsidR="00B848AA" w14:paraId="1ADE56E4" w14:textId="77777777" w:rsidTr="60455C27">
        <w:trPr>
          <w:trHeight w:val="21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8D16D6" w14:textId="77777777" w:rsidR="00B848AA" w:rsidRDefault="000A0EC2">
            <w:pPr>
              <w:spacing w:before="240"/>
              <w:rPr>
                <w:b/>
              </w:rPr>
            </w:pPr>
            <w:r>
              <w:rPr>
                <w:b/>
              </w:rPr>
              <w:lastRenderedPageBreak/>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B207B3" w14:textId="77777777" w:rsidR="00B848AA" w:rsidRDefault="000A0EC2">
            <w:pPr>
              <w:spacing w:before="240"/>
            </w:pPr>
            <w:r>
              <w:t>N/A</w:t>
            </w:r>
          </w:p>
        </w:tc>
      </w:tr>
      <w:tr w:rsidR="00B848AA" w14:paraId="6E62D7E8" w14:textId="77777777" w:rsidTr="60455C27">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B81BDA" w14:textId="77777777" w:rsidR="00B848AA" w:rsidRDefault="000A0EC2">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16EC8" w14:textId="3BEC9EF7" w:rsidR="00B848AA" w:rsidRDefault="000A0EC2">
            <w:pPr>
              <w:spacing w:before="240"/>
            </w:pPr>
            <w:r>
              <w:t xml:space="preserve">Confirm whether Annex 1 (and Annex 2, if applicable) of Schedule 7 is being used: </w:t>
            </w:r>
            <w:r w:rsidR="00986357">
              <w:t>Not Applicable</w:t>
            </w:r>
            <w:r>
              <w:t xml:space="preserve">. </w:t>
            </w:r>
          </w:p>
          <w:p w14:paraId="2FD3E0C6" w14:textId="77777777" w:rsidR="00AA7F7E" w:rsidRDefault="00AA7F7E">
            <w:pPr>
              <w:spacing w:before="240"/>
            </w:pPr>
            <w:r>
              <w:t>There will be no Personal Data processed as part of this Call-off Contract, accordingly the Buyer undertakes that Personal Data will not be made available to the Supplier in performing its obligations under this Call-Off Contract</w:t>
            </w:r>
          </w:p>
        </w:tc>
      </w:tr>
    </w:tbl>
    <w:p w14:paraId="6101C029" w14:textId="77777777" w:rsidR="00B848AA" w:rsidRDefault="000A0EC2">
      <w:pPr>
        <w:spacing w:before="240" w:after="240"/>
      </w:pPr>
      <w:r>
        <w:t xml:space="preserve"> </w:t>
      </w:r>
    </w:p>
    <w:p w14:paraId="1B35DFDB" w14:textId="77777777" w:rsidR="00B848AA" w:rsidRDefault="000A0EC2">
      <w:pPr>
        <w:pStyle w:val="Heading3"/>
      </w:pPr>
      <w:r>
        <w:t xml:space="preserve">1. </w:t>
      </w:r>
      <w:r>
        <w:tab/>
        <w:t>Formation of contract</w:t>
      </w:r>
    </w:p>
    <w:p w14:paraId="7CD98ACE" w14:textId="77777777" w:rsidR="00B848AA" w:rsidRDefault="000A0EC2">
      <w:pPr>
        <w:ind w:left="720" w:hanging="720"/>
      </w:pPr>
      <w:r>
        <w:t>1.1</w:t>
      </w:r>
      <w:r>
        <w:tab/>
        <w:t>By signing and returning this Order Form (Part A), the Supplier agrees to enter into a Call-Off Contract with the Buyer.</w:t>
      </w:r>
    </w:p>
    <w:p w14:paraId="40AEEE28" w14:textId="77777777" w:rsidR="00B848AA" w:rsidRDefault="00B848AA">
      <w:pPr>
        <w:ind w:firstLine="720"/>
      </w:pPr>
    </w:p>
    <w:p w14:paraId="11F34EF9" w14:textId="77777777" w:rsidR="00B848AA" w:rsidRDefault="000A0EC2">
      <w:pPr>
        <w:ind w:left="720" w:hanging="720"/>
      </w:pPr>
      <w:r>
        <w:t>1.2</w:t>
      </w:r>
      <w:r>
        <w:tab/>
        <w:t>The Parties agree that they have read the Order Form (Part A) and the Call-Off Contract terms and by signing below agree to be bound by this Call-Off Contract.</w:t>
      </w:r>
    </w:p>
    <w:p w14:paraId="3E296326" w14:textId="77777777" w:rsidR="00B848AA" w:rsidRDefault="00B848AA">
      <w:pPr>
        <w:ind w:firstLine="720"/>
      </w:pPr>
    </w:p>
    <w:p w14:paraId="54CD8797" w14:textId="77777777" w:rsidR="00B848AA" w:rsidRDefault="000A0EC2">
      <w:pPr>
        <w:ind w:left="720" w:hanging="720"/>
      </w:pPr>
      <w:r>
        <w:t>1.3</w:t>
      </w:r>
      <w:r>
        <w:tab/>
        <w:t>This Call-Off Contract will be formed when the Buyer acknowledges receipt of the signed copy of the Order Form from the Supplier.</w:t>
      </w:r>
    </w:p>
    <w:p w14:paraId="6BD77D13" w14:textId="77777777" w:rsidR="00B848AA" w:rsidRDefault="00B848AA">
      <w:pPr>
        <w:ind w:firstLine="720"/>
      </w:pPr>
    </w:p>
    <w:p w14:paraId="44E63E35" w14:textId="77777777" w:rsidR="00B848AA" w:rsidRDefault="000A0EC2">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FED5E48" w14:textId="77777777" w:rsidR="00B848AA" w:rsidRDefault="00B848AA"/>
    <w:p w14:paraId="6046C0A1" w14:textId="77777777" w:rsidR="00B848AA" w:rsidRDefault="000A0EC2">
      <w:pPr>
        <w:pStyle w:val="Heading3"/>
      </w:pPr>
      <w:r>
        <w:t xml:space="preserve">2. </w:t>
      </w:r>
      <w:r>
        <w:tab/>
        <w:t>Background to the agreement</w:t>
      </w:r>
    </w:p>
    <w:p w14:paraId="1558BD7A" w14:textId="77777777" w:rsidR="00B848AA" w:rsidRDefault="000A0EC2">
      <w:pPr>
        <w:ind w:left="720" w:hanging="720"/>
      </w:pPr>
      <w:r>
        <w:t>2.1</w:t>
      </w:r>
      <w:r>
        <w:tab/>
        <w:t>The Supplier is a provider of G-Cloud Services and agreed to provide the Services under the terms of Framework Agreement number RM1557.12.</w:t>
      </w:r>
    </w:p>
    <w:p w14:paraId="0869B4C2" w14:textId="77777777" w:rsidR="00B848AA" w:rsidRDefault="00B848AA">
      <w:pPr>
        <w:ind w:left="720"/>
      </w:pPr>
    </w:p>
    <w:p w14:paraId="5A483C3C" w14:textId="77777777" w:rsidR="00B848AA" w:rsidRDefault="000A0EC2">
      <w:r>
        <w:lastRenderedPageBreak/>
        <w:t>2.2</w:t>
      </w:r>
      <w:r>
        <w:tab/>
        <w:t>The Buyer provided an Order Form for Services to the Supplier.</w:t>
      </w:r>
    </w:p>
    <w:tbl>
      <w:tblPr>
        <w:tblpPr w:leftFromText="180" w:rightFromText="180" w:vertAnchor="text" w:horzAnchor="margin" w:tblpY="1147"/>
        <w:tblW w:w="8880" w:type="dxa"/>
        <w:tblLayout w:type="fixed"/>
        <w:tblCellMar>
          <w:left w:w="10" w:type="dxa"/>
          <w:right w:w="10" w:type="dxa"/>
        </w:tblCellMar>
        <w:tblLook w:val="04A0" w:firstRow="1" w:lastRow="0" w:firstColumn="1" w:lastColumn="0" w:noHBand="0" w:noVBand="1"/>
      </w:tblPr>
      <w:tblGrid>
        <w:gridCol w:w="1800"/>
        <w:gridCol w:w="3540"/>
        <w:gridCol w:w="3540"/>
      </w:tblGrid>
      <w:tr w:rsidR="00EA5A9A" w14:paraId="1FBEBBA9" w14:textId="77777777" w:rsidTr="00EA5A9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D00F0" w14:textId="77777777" w:rsidR="00EA5A9A" w:rsidRDefault="00EA5A9A" w:rsidP="00EA5A9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9C111" w14:textId="77777777" w:rsidR="00EA5A9A" w:rsidRPr="00406FA5" w:rsidRDefault="00EA5A9A" w:rsidP="00EA5A9A">
            <w:pPr>
              <w:spacing w:before="240"/>
              <w:rPr>
                <w:b/>
                <w:bCs/>
              </w:rPr>
            </w:pPr>
            <w:r w:rsidRPr="00406FA5">
              <w:rPr>
                <w:b/>
                <w:bCs/>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086C3" w14:textId="77777777" w:rsidR="00EA5A9A" w:rsidRPr="00406FA5" w:rsidRDefault="00EA5A9A" w:rsidP="00EA5A9A">
            <w:pPr>
              <w:spacing w:before="240"/>
              <w:rPr>
                <w:b/>
                <w:bCs/>
              </w:rPr>
            </w:pPr>
            <w:r w:rsidRPr="00406FA5">
              <w:rPr>
                <w:b/>
                <w:bCs/>
              </w:rPr>
              <w:t>Buyer</w:t>
            </w:r>
          </w:p>
        </w:tc>
      </w:tr>
      <w:tr w:rsidR="00EA5A9A" w14:paraId="4B4300C5" w14:textId="77777777" w:rsidTr="00EA5A9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20D8B" w14:textId="77777777" w:rsidR="00EA5A9A" w:rsidRDefault="00EA5A9A" w:rsidP="00EA5A9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E94D1" w14:textId="5659F3AA" w:rsidR="00EA5A9A" w:rsidRDefault="005C3B40" w:rsidP="00EA5A9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FF191" w14:textId="3F12F746" w:rsidR="00EA5A9A" w:rsidRDefault="006961B5" w:rsidP="00EA5A9A">
            <w:pPr>
              <w:spacing w:before="240"/>
            </w:pPr>
            <w:r>
              <w:t>[Redacted]</w:t>
            </w:r>
          </w:p>
        </w:tc>
      </w:tr>
      <w:tr w:rsidR="00EA5A9A" w14:paraId="168F2337" w14:textId="77777777" w:rsidTr="00EA5A9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16F23" w14:textId="77777777" w:rsidR="00EA5A9A" w:rsidRDefault="00EA5A9A" w:rsidP="00EA5A9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8F4B" w14:textId="0DA7050F" w:rsidR="00EA5A9A" w:rsidRDefault="005C3B40" w:rsidP="00EA5A9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31A91" w14:textId="6DBB5750" w:rsidR="00EA5A9A" w:rsidRDefault="006961B5" w:rsidP="00EA5A9A">
            <w:pPr>
              <w:spacing w:before="240"/>
            </w:pPr>
            <w:r>
              <w:t>[Redacted]</w:t>
            </w:r>
          </w:p>
        </w:tc>
      </w:tr>
      <w:tr w:rsidR="00EA5A9A" w14:paraId="0D29E478" w14:textId="77777777" w:rsidTr="00EA5A9A">
        <w:trPr>
          <w:trHeight w:val="1442"/>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6BA31F" w14:textId="6AD57858" w:rsidR="00EA5A9A" w:rsidRDefault="00EA5A9A" w:rsidP="00EA5A9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DA7A3" w14:textId="49561A52" w:rsidR="00EA5A9A" w:rsidRDefault="006961B5" w:rsidP="00EA5A9A">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50E15" w14:textId="6CFE83BF" w:rsidR="00EA5A9A" w:rsidRDefault="006961B5" w:rsidP="00EA5A9A">
            <w:pPr>
              <w:spacing w:before="240"/>
            </w:pPr>
            <w:r>
              <w:t>[Redacted]</w:t>
            </w:r>
          </w:p>
        </w:tc>
      </w:tr>
      <w:tr w:rsidR="00EA5A9A" w14:paraId="02C2CDC0" w14:textId="77777777" w:rsidTr="00EA5A9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5B51E" w14:textId="77777777" w:rsidR="00EA5A9A" w:rsidRDefault="00EA5A9A" w:rsidP="00EA5A9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1EC2E" w14:textId="3FF7034A" w:rsidR="00EA5A9A" w:rsidRDefault="006961B5" w:rsidP="00EA5A9A">
            <w:pPr>
              <w:spacing w:before="240"/>
            </w:pPr>
            <w:r>
              <w:t>23/0</w:t>
            </w:r>
            <w:r w:rsidR="00B2556B">
              <w:t>5</w:t>
            </w:r>
            <w:r>
              <w:t>/22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E87F5" w14:textId="31DE9F4C" w:rsidR="00EA5A9A" w:rsidRDefault="006961B5" w:rsidP="00EA5A9A">
            <w:pPr>
              <w:spacing w:before="240"/>
            </w:pPr>
            <w:r>
              <w:t>23/0</w:t>
            </w:r>
            <w:r w:rsidR="00B2556B">
              <w:t>5</w:t>
            </w:r>
            <w:r>
              <w:t>/22</w:t>
            </w:r>
          </w:p>
        </w:tc>
      </w:tr>
    </w:tbl>
    <w:p w14:paraId="0F09BC87" w14:textId="77777777" w:rsidR="00AF7930" w:rsidRPr="00AF7930" w:rsidRDefault="00AF7930" w:rsidP="00AF7930">
      <w:bookmarkStart w:id="7" w:name="_Toc33176233"/>
    </w:p>
    <w:p w14:paraId="03922EC0" w14:textId="1E83FAD3" w:rsidR="00B848AA" w:rsidRDefault="000A0EC2">
      <w:pPr>
        <w:pStyle w:val="Heading2"/>
        <w:pageBreakBefore/>
      </w:pPr>
      <w:bookmarkStart w:id="8" w:name="_Toc69399441"/>
      <w:bookmarkStart w:id="9" w:name="_Toc71109842"/>
      <w:r>
        <w:lastRenderedPageBreak/>
        <w:t>Schedule 1: Services</w:t>
      </w:r>
      <w:bookmarkEnd w:id="7"/>
      <w:bookmarkEnd w:id="8"/>
      <w:bookmarkEnd w:id="9"/>
      <w:r w:rsidR="005F6AD8">
        <w:t xml:space="preserve"> Description</w:t>
      </w:r>
    </w:p>
    <w:p w14:paraId="1A182A52" w14:textId="1DFEAF01" w:rsidR="00B848AA" w:rsidRDefault="000A0EC2">
      <w:pPr>
        <w:spacing w:before="240"/>
      </w:pPr>
      <w:r>
        <w:t xml:space="preserve">In conjunction with the Supplier’s G Cloud Service Offering document under service ID </w:t>
      </w:r>
      <w:r w:rsidR="00C1482E">
        <w:rPr>
          <w:color w:val="0B0C0C"/>
          <w:shd w:val="clear" w:color="auto" w:fill="FFFFFF"/>
        </w:rPr>
        <w:t>6437 3501 9422 808</w:t>
      </w:r>
      <w:r>
        <w:t xml:space="preserve">, and their </w:t>
      </w:r>
      <w:r w:rsidR="005A58FF">
        <w:t xml:space="preserve">response to clarifications </w:t>
      </w:r>
      <w:r>
        <w:t xml:space="preserve">dated </w:t>
      </w:r>
      <w:r w:rsidR="005F30D1">
        <w:t>25/04/2022</w:t>
      </w:r>
      <w:r w:rsidR="005A58FF">
        <w:t xml:space="preserve"> and at Annex 3 of this Schedule 1</w:t>
      </w:r>
      <w:r>
        <w:t>, this Schedule sets out the detail of the Services the Supplier shall provide to the Buyer under this Contract:</w:t>
      </w:r>
      <w:r w:rsidR="006E33A2">
        <w:t xml:space="preserve"> </w:t>
      </w:r>
    </w:p>
    <w:p w14:paraId="7D3DDA01" w14:textId="3BA985F4" w:rsidR="006E33A2" w:rsidRDefault="00F2476A">
      <w:pPr>
        <w:spacing w:before="240"/>
      </w:pPr>
      <w:r w:rsidRPr="00F2476A">
        <w:rPr>
          <w:noProof/>
        </w:rPr>
        <w:drawing>
          <wp:inline distT="0" distB="0" distL="0" distR="0" wp14:anchorId="4E56B6B5" wp14:editId="4330A151">
            <wp:extent cx="5734050" cy="4623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4623435"/>
                    </a:xfrm>
                    <a:prstGeom prst="rect">
                      <a:avLst/>
                    </a:prstGeom>
                    <a:noFill/>
                    <a:ln>
                      <a:noFill/>
                    </a:ln>
                  </pic:spPr>
                </pic:pic>
              </a:graphicData>
            </a:graphic>
          </wp:inline>
        </w:drawing>
      </w:r>
    </w:p>
    <w:p w14:paraId="1DF1FCA9" w14:textId="77777777" w:rsidR="00371954" w:rsidRDefault="00371954">
      <w:pPr>
        <w:spacing w:before="240"/>
      </w:pPr>
    </w:p>
    <w:p w14:paraId="6B32463D" w14:textId="77777777" w:rsidR="00C86EB4" w:rsidRPr="00F71382" w:rsidRDefault="00C86EB4" w:rsidP="00C86EB4">
      <w:pPr>
        <w:spacing w:before="240"/>
        <w:ind w:left="360"/>
      </w:pPr>
    </w:p>
    <w:tbl>
      <w:tblPr>
        <w:tblW w:w="5000" w:type="pct"/>
        <w:jc w:val="center"/>
        <w:tblLook w:val="04A0" w:firstRow="1" w:lastRow="0" w:firstColumn="1" w:lastColumn="0" w:noHBand="0" w:noVBand="1"/>
      </w:tblPr>
      <w:tblGrid>
        <w:gridCol w:w="9641"/>
      </w:tblGrid>
      <w:tr w:rsidR="005C3AE7" w14:paraId="76844307" w14:textId="77777777" w:rsidTr="005F4AD8">
        <w:trPr>
          <w:trHeight w:val="2880"/>
          <w:jc w:val="center"/>
        </w:trPr>
        <w:tc>
          <w:tcPr>
            <w:tcW w:w="5000" w:type="pct"/>
          </w:tcPr>
          <w:p w14:paraId="59F3BC1B" w14:textId="77777777" w:rsidR="005C3AE7" w:rsidRDefault="005C3AE7" w:rsidP="005F4AD8">
            <w:pPr>
              <w:pStyle w:val="NoSpacing"/>
              <w:jc w:val="center"/>
              <w:rPr>
                <w:rFonts w:asciiTheme="majorHAnsi" w:eastAsiaTheme="majorEastAsia" w:hAnsiTheme="majorHAnsi" w:cstheme="majorBidi"/>
                <w:caps/>
              </w:rPr>
            </w:pPr>
          </w:p>
        </w:tc>
      </w:tr>
    </w:tbl>
    <w:p w14:paraId="1AB3204B" w14:textId="11C799FC" w:rsidR="005C3AE7" w:rsidRDefault="005C3AE7" w:rsidP="005C3AE7">
      <w:r>
        <w:br w:type="page"/>
      </w:r>
    </w:p>
    <w:p w14:paraId="64EA95BD" w14:textId="77777777" w:rsidR="005C3AE7" w:rsidRDefault="005C3AE7" w:rsidP="005C3AE7">
      <w:pPr>
        <w:pStyle w:val="Heading1"/>
        <w:numPr>
          <w:ilvl w:val="0"/>
          <w:numId w:val="36"/>
        </w:numPr>
        <w:suppressAutoHyphens w:val="0"/>
        <w:autoSpaceDN/>
        <w:spacing w:before="240" w:after="0" w:line="240" w:lineRule="auto"/>
        <w:ind w:left="425" w:hanging="425"/>
        <w:textAlignment w:val="auto"/>
      </w:pPr>
      <w:bookmarkStart w:id="10" w:name="_Toc99722369"/>
      <w:r>
        <w:lastRenderedPageBreak/>
        <w:t>Background</w:t>
      </w:r>
      <w:bookmarkEnd w:id="10"/>
    </w:p>
    <w:p w14:paraId="167F7238" w14:textId="77777777" w:rsidR="005C3AE7" w:rsidRDefault="005C3AE7" w:rsidP="005C3AE7"/>
    <w:p w14:paraId="324D79CE" w14:textId="77777777" w:rsidR="005C3AE7" w:rsidRDefault="005C3AE7" w:rsidP="005C3AE7">
      <w:r>
        <w:t xml:space="preserve">The Regulated Professions Register (RPR) service is created </w:t>
      </w:r>
      <w:r w:rsidRPr="002A1868">
        <w:t>to replace the UK's previous membership in the EU's Regulated Professions Database, which lapsed at the end of the Transition Period. The service will provide a single, digital register of all regulated professions (e.g. architect, nurse)</w:t>
      </w:r>
      <w:r>
        <w:t>, whether regulated in law or on a voluntary basis,</w:t>
      </w:r>
      <w:r w:rsidRPr="002A1868">
        <w:t xml:space="preserve"> and their</w:t>
      </w:r>
      <w:r>
        <w:t xml:space="preserve"> relevant</w:t>
      </w:r>
      <w:r w:rsidRPr="002A1868">
        <w:t xml:space="preserve"> regulators</w:t>
      </w:r>
      <w:r>
        <w:t>/professional bodies</w:t>
      </w:r>
      <w:r w:rsidRPr="002A1868">
        <w:t xml:space="preserve"> across the UK. During the passage of the Professional Qualifications Bill, ministers have committed that BEIS will maintain an up-to-date list of professions regulated by law and their regulators. The RPR database will become the means through which this list is kept up to date.</w:t>
      </w:r>
    </w:p>
    <w:p w14:paraId="614694CC" w14:textId="18B7F78E" w:rsidR="005C3AE7" w:rsidRDefault="005C3AE7" w:rsidP="005C3AE7">
      <w:r>
        <w:t xml:space="preserve">The Regulated Professions Register </w:t>
      </w:r>
      <w:r w:rsidR="00410AE9">
        <w:t xml:space="preserve">Application </w:t>
      </w:r>
      <w:r w:rsidR="005F6AD8">
        <w:t xml:space="preserve">(the “Application”) </w:t>
      </w:r>
      <w:r>
        <w:t>is a web-based platform for BEIS Policy team to provide support on initial onboarding of users, an authenticated Regulator user base (estimated at around 180 organisations ) and an outward facing open Public User ‘search’ capability. The users for their needs for the service are described below.</w:t>
      </w:r>
    </w:p>
    <w:p w14:paraId="6BC74274" w14:textId="77777777" w:rsidR="005C3AE7" w:rsidRDefault="005C3AE7" w:rsidP="005C3AE7">
      <w:pPr>
        <w:pStyle w:val="ListParagraph"/>
        <w:numPr>
          <w:ilvl w:val="0"/>
          <w:numId w:val="41"/>
        </w:numPr>
        <w:suppressAutoHyphens w:val="0"/>
        <w:autoSpaceDN/>
        <w:spacing w:after="200"/>
        <w:contextualSpacing/>
        <w:textAlignment w:val="auto"/>
      </w:pPr>
      <w:r w:rsidRPr="002A1868">
        <w:rPr>
          <w:b/>
          <w:bCs/>
        </w:rPr>
        <w:t>Professional/Public user</w:t>
      </w:r>
      <w:r>
        <w:t xml:space="preserve"> - need to search the register to see if a profession is regulated in the UK, the basis on which it is regulated, and the qualification requirements if so. </w:t>
      </w:r>
    </w:p>
    <w:p w14:paraId="564D4F01" w14:textId="77777777" w:rsidR="005C3AE7" w:rsidRDefault="005C3AE7" w:rsidP="005C3AE7">
      <w:pPr>
        <w:pStyle w:val="ListParagraph"/>
        <w:numPr>
          <w:ilvl w:val="0"/>
          <w:numId w:val="41"/>
        </w:numPr>
        <w:suppressAutoHyphens w:val="0"/>
        <w:autoSpaceDN/>
        <w:spacing w:after="200"/>
        <w:contextualSpacing/>
        <w:textAlignment w:val="auto"/>
      </w:pPr>
      <w:r w:rsidRPr="384F8B08">
        <w:rPr>
          <w:b/>
          <w:bCs/>
        </w:rPr>
        <w:t>UK Regulatory Authority user</w:t>
      </w:r>
      <w:r>
        <w:t xml:space="preserve"> - need to update their information including practise and qualification requirements of the professions they regulate so that professionals can find details of their profession easily. </w:t>
      </w:r>
    </w:p>
    <w:p w14:paraId="6EDCC4BC" w14:textId="77777777" w:rsidR="005C3AE7" w:rsidRDefault="005C3AE7" w:rsidP="005C3AE7">
      <w:pPr>
        <w:pStyle w:val="ListParagraph"/>
        <w:numPr>
          <w:ilvl w:val="0"/>
          <w:numId w:val="41"/>
        </w:numPr>
        <w:suppressAutoHyphens w:val="0"/>
        <w:autoSpaceDN/>
        <w:spacing w:after="200"/>
        <w:contextualSpacing/>
        <w:textAlignment w:val="auto"/>
      </w:pPr>
      <w:r>
        <w:rPr>
          <w:b/>
          <w:bCs/>
        </w:rPr>
        <w:t>National administrator</w:t>
      </w:r>
      <w:r w:rsidRPr="002A1868">
        <w:rPr>
          <w:b/>
          <w:bCs/>
        </w:rPr>
        <w:t xml:space="preserve"> user</w:t>
      </w:r>
      <w:r>
        <w:t xml:space="preserve"> - need to support regulators with updating their details and check any information entered in the system. They also need to access information on the register to provide responses to public enquiries about regulated professions and regulators. </w:t>
      </w:r>
    </w:p>
    <w:p w14:paraId="2674454D" w14:textId="77777777" w:rsidR="005C3AE7" w:rsidRPr="004B2FC0" w:rsidRDefault="005C3AE7" w:rsidP="005C3AE7">
      <w:pPr>
        <w:pStyle w:val="ListParagraph"/>
        <w:numPr>
          <w:ilvl w:val="0"/>
          <w:numId w:val="41"/>
        </w:numPr>
        <w:suppressAutoHyphens w:val="0"/>
        <w:autoSpaceDN/>
        <w:spacing w:after="200"/>
        <w:contextualSpacing/>
        <w:textAlignment w:val="auto"/>
      </w:pPr>
      <w:r w:rsidRPr="002A1868">
        <w:rPr>
          <w:b/>
          <w:bCs/>
        </w:rPr>
        <w:t>BEIS Policy /analyst user</w:t>
      </w:r>
      <w:r>
        <w:t xml:space="preserve"> - need to create records and user accounts for new regulators and professions so that I can ensure their details, information and data are entered and published. Reporting functionalities will enable BEIS to have access to information about regulated professionals to inform policy and analytical needs.</w:t>
      </w:r>
    </w:p>
    <w:p w14:paraId="55936F1E" w14:textId="77777777" w:rsidR="005C3AE7" w:rsidRDefault="005C3AE7" w:rsidP="005C3AE7">
      <w:pPr>
        <w:pStyle w:val="Heading1"/>
        <w:numPr>
          <w:ilvl w:val="0"/>
          <w:numId w:val="36"/>
        </w:numPr>
        <w:suppressAutoHyphens w:val="0"/>
        <w:autoSpaceDN/>
        <w:spacing w:before="240" w:after="0" w:line="240" w:lineRule="auto"/>
        <w:ind w:left="425" w:hanging="425"/>
        <w:textAlignment w:val="auto"/>
      </w:pPr>
      <w:bookmarkStart w:id="11" w:name="_Toc99722370"/>
      <w:r>
        <w:t>Scope</w:t>
      </w:r>
      <w:bookmarkEnd w:id="11"/>
    </w:p>
    <w:p w14:paraId="54F4B4EF" w14:textId="345BFEB0" w:rsidR="00410AE9" w:rsidRDefault="005C3AE7" w:rsidP="005C3AE7">
      <w:r>
        <w:t xml:space="preserve">The service is under development by a third party supplier, DXW. </w:t>
      </w:r>
      <w:r w:rsidR="0079232B">
        <w:t xml:space="preserve">Prior to </w:t>
      </w:r>
      <w:r w:rsidR="0097281B">
        <w:t>A</w:t>
      </w:r>
      <w:r w:rsidR="0079232B">
        <w:t xml:space="preserve">pplication take-on, BEIS have confirmed that the </w:t>
      </w:r>
      <w:r w:rsidR="0097281B">
        <w:t xml:space="preserve">Application and Hosting Platform </w:t>
      </w:r>
      <w:r w:rsidR="00E65AB3">
        <w:t>will</w:t>
      </w:r>
      <w:r w:rsidR="0079232B">
        <w:t xml:space="preserve"> meet all requirements outlined in this </w:t>
      </w:r>
      <w:r w:rsidR="005F6AD8">
        <w:t>Schedule 1 S</w:t>
      </w:r>
      <w:r w:rsidR="0079232B">
        <w:t>ervice</w:t>
      </w:r>
      <w:r w:rsidR="00E65AB3">
        <w:t>s</w:t>
      </w:r>
      <w:r w:rsidR="0079232B">
        <w:t xml:space="preserve"> </w:t>
      </w:r>
      <w:r w:rsidR="005F6AD8">
        <w:t>D</w:t>
      </w:r>
      <w:r w:rsidR="0079232B">
        <w:t xml:space="preserve">escription. </w:t>
      </w:r>
    </w:p>
    <w:p w14:paraId="141AAB11" w14:textId="1683AF9C" w:rsidR="005C3AE7" w:rsidRPr="00734C43" w:rsidRDefault="005C3AE7" w:rsidP="005C3AE7">
      <w:r>
        <w:t xml:space="preserve">The RPR service is a web-based service with a BEIS internal support and administration user base, an authenticated Regulatory Authority/Professional body user base and an outward facing open Public User ‘search’ capability (not authenticated). </w:t>
      </w:r>
    </w:p>
    <w:p w14:paraId="71F1411F" w14:textId="64A0BB14" w:rsidR="00410AE9" w:rsidRDefault="005C3AE7" w:rsidP="005C3AE7">
      <w:r>
        <w:t xml:space="preserve">This </w:t>
      </w:r>
      <w:r w:rsidR="00634495">
        <w:t xml:space="preserve">Call-Off Contract </w:t>
      </w:r>
      <w:r>
        <w:t xml:space="preserve">is for services in respect of L2, 3 and 4 platform/software support (bug fixes) and maintenance plus software enhancement. </w:t>
      </w:r>
      <w:r w:rsidR="00410AE9">
        <w:t xml:space="preserve">The </w:t>
      </w:r>
      <w:r w:rsidR="005F6AD8">
        <w:t>S</w:t>
      </w:r>
      <w:r w:rsidR="00410AE9">
        <w:t xml:space="preserve">upplier will provide </w:t>
      </w:r>
      <w:r w:rsidR="0097281B">
        <w:t>s</w:t>
      </w:r>
      <w:r w:rsidR="00410AE9">
        <w:t xml:space="preserve">upport and </w:t>
      </w:r>
      <w:r w:rsidR="0097281B">
        <w:t>m</w:t>
      </w:r>
      <w:r w:rsidR="00410AE9">
        <w:t xml:space="preserve">aintenance services for the Application and </w:t>
      </w:r>
      <w:r w:rsidR="0097281B">
        <w:t>s</w:t>
      </w:r>
      <w:r w:rsidR="00410AE9">
        <w:t xml:space="preserve">ervice </w:t>
      </w:r>
      <w:r w:rsidR="0097281B">
        <w:t>m</w:t>
      </w:r>
      <w:r w:rsidR="00410AE9">
        <w:t>anagement for the Hosting Platform.</w:t>
      </w:r>
    </w:p>
    <w:p w14:paraId="372D7A61" w14:textId="66BCBED1" w:rsidR="00410AE9" w:rsidRDefault="005C3AE7" w:rsidP="005C3AE7">
      <w:r>
        <w:t xml:space="preserve">It is expected that L1 support will be provided by BEIS Policy Support team, where the national admin function currently sits. </w:t>
      </w:r>
    </w:p>
    <w:p w14:paraId="5E21647F" w14:textId="4142B52E" w:rsidR="005C3AE7" w:rsidRPr="00384EDF" w:rsidRDefault="005C3AE7" w:rsidP="005C3AE7">
      <w:r>
        <w:t xml:space="preserve">The procurement is for a period of 2+1 years, with BEIS reserving the right of early termination in accordance with the terms of the Call-Off Contract. </w:t>
      </w:r>
    </w:p>
    <w:p w14:paraId="42193441" w14:textId="77777777" w:rsidR="005C3AE7" w:rsidRDefault="005C3AE7" w:rsidP="005C3AE7">
      <w:pPr>
        <w:pStyle w:val="Heading1"/>
        <w:numPr>
          <w:ilvl w:val="0"/>
          <w:numId w:val="36"/>
        </w:numPr>
        <w:suppressAutoHyphens w:val="0"/>
        <w:autoSpaceDN/>
        <w:spacing w:before="240" w:after="0" w:line="240" w:lineRule="auto"/>
        <w:ind w:left="425" w:hanging="425"/>
        <w:textAlignment w:val="auto"/>
      </w:pPr>
      <w:bookmarkStart w:id="12" w:name="_Toc99722371"/>
      <w:r>
        <w:t>Technical Overview</w:t>
      </w:r>
      <w:bookmarkEnd w:id="12"/>
      <w:r>
        <w:t xml:space="preserve"> </w:t>
      </w:r>
    </w:p>
    <w:p w14:paraId="5BF66C77" w14:textId="0FA51C98" w:rsidR="005C3AE7" w:rsidRDefault="00410AE9" w:rsidP="005C3AE7">
      <w:pPr>
        <w:spacing w:line="240" w:lineRule="auto"/>
      </w:pPr>
      <w:r>
        <w:t xml:space="preserve">Hosting Platform: </w:t>
      </w:r>
      <w:r w:rsidR="005C3AE7">
        <w:t xml:space="preserve">The </w:t>
      </w:r>
      <w:r w:rsidR="006E0B87">
        <w:t xml:space="preserve">Application </w:t>
      </w:r>
      <w:r w:rsidR="005C3AE7">
        <w:t xml:space="preserve">is run on GOV.UK PaaS, and all authenticated users log in using two factor authentication. The </w:t>
      </w:r>
      <w:r w:rsidR="006E0B87">
        <w:t xml:space="preserve">Application </w:t>
      </w:r>
      <w:r w:rsidR="005C3AE7">
        <w:t xml:space="preserve">will be hosted </w:t>
      </w:r>
      <w:r w:rsidR="006E0B87">
        <w:t xml:space="preserve">on </w:t>
      </w:r>
      <w:r w:rsidR="005C3AE7">
        <w:t xml:space="preserve">GOV.UK PaaS within a BEIS Subdomain and via a GOV.UK Landing Page and registered to a service specific sub-domain. </w:t>
      </w:r>
      <w:r w:rsidR="0079232B">
        <w:t>BEIS own the relationship with GDS for GOV.UK PaaS</w:t>
      </w:r>
      <w:r w:rsidR="00634495">
        <w:t xml:space="preserve"> and will procure the required Hosting Platform.</w:t>
      </w:r>
      <w:r w:rsidR="0079232B">
        <w:t>.</w:t>
      </w:r>
    </w:p>
    <w:p w14:paraId="17ABFCAE" w14:textId="77777777" w:rsidR="005C3AE7" w:rsidRDefault="005C3AE7" w:rsidP="005C3AE7">
      <w:pPr>
        <w:spacing w:line="240" w:lineRule="auto"/>
      </w:pPr>
    </w:p>
    <w:p w14:paraId="3C0964D2" w14:textId="77777777" w:rsidR="005C3AE7" w:rsidRDefault="005C3AE7" w:rsidP="005C3AE7">
      <w:pPr>
        <w:pStyle w:val="Heading2"/>
      </w:pPr>
      <w:bookmarkStart w:id="13" w:name="_Toc99722372"/>
      <w:r>
        <w:t>Technical Architecture Diagrams.</w:t>
      </w:r>
      <w:bookmarkEnd w:id="13"/>
      <w:r>
        <w:t xml:space="preserve"> </w:t>
      </w:r>
    </w:p>
    <w:p w14:paraId="4F6D9C50" w14:textId="77777777" w:rsidR="005C3AE7" w:rsidRDefault="005C3AE7" w:rsidP="005C3AE7">
      <w:pPr>
        <w:spacing w:line="240" w:lineRule="auto"/>
      </w:pPr>
    </w:p>
    <w:p w14:paraId="3B12829A" w14:textId="39BBBFB9" w:rsidR="005C3AE7" w:rsidRDefault="005C3AE7" w:rsidP="005C3AE7"/>
    <w:p w14:paraId="3567261F" w14:textId="77777777" w:rsidR="006961B5" w:rsidRDefault="006961B5" w:rsidP="005C3AE7">
      <w:r>
        <w:t>[Redacted]</w:t>
      </w:r>
    </w:p>
    <w:p w14:paraId="50292A1B" w14:textId="3A72B2A5" w:rsidR="005C3AE7" w:rsidRDefault="005C3AE7" w:rsidP="005C3AE7">
      <w:r>
        <w:rPr>
          <w:rFonts w:ascii="Cambria" w:hAnsi="Cambria"/>
          <w:color w:val="000000"/>
          <w:shd w:val="clear" w:color="auto" w:fill="FFFFFF"/>
        </w:rPr>
        <w:br/>
      </w:r>
      <w:r w:rsidR="006961B5">
        <w:t>[Redacted]</w:t>
      </w:r>
    </w:p>
    <w:p w14:paraId="23626E7C" w14:textId="77777777" w:rsidR="006961B5" w:rsidRDefault="006961B5" w:rsidP="005C3AE7"/>
    <w:p w14:paraId="564137AE" w14:textId="7567EECD" w:rsidR="005C3AE7" w:rsidRDefault="006961B5" w:rsidP="005C3AE7">
      <w:r>
        <w:t>[Redacted]</w:t>
      </w:r>
    </w:p>
    <w:p w14:paraId="1F02014E" w14:textId="77777777" w:rsidR="005C3AE7" w:rsidRPr="00443FF8" w:rsidRDefault="005C3AE7" w:rsidP="005C3AE7">
      <w:pPr>
        <w:pStyle w:val="Heading2"/>
      </w:pPr>
      <w:bookmarkStart w:id="14" w:name="_Toc99722373"/>
      <w:r w:rsidRPr="00443FF8">
        <w:t>Integrations</w:t>
      </w:r>
      <w:bookmarkEnd w:id="14"/>
      <w:r w:rsidRPr="00443FF8">
        <w:t xml:space="preserve"> </w:t>
      </w:r>
    </w:p>
    <w:p w14:paraId="2AF8C0D0" w14:textId="77777777" w:rsidR="005C3AE7" w:rsidRPr="00F32061" w:rsidRDefault="005C3AE7" w:rsidP="005C3AE7">
      <w:pPr>
        <w:numPr>
          <w:ilvl w:val="0"/>
          <w:numId w:val="42"/>
        </w:numPr>
        <w:suppressAutoHyphens w:val="0"/>
        <w:autoSpaceDN/>
        <w:spacing w:after="160" w:line="259" w:lineRule="auto"/>
        <w:textAlignment w:val="auto"/>
      </w:pPr>
      <w:r w:rsidRPr="00F32061">
        <w:t>Auth0 (authentication)</w:t>
      </w:r>
    </w:p>
    <w:p w14:paraId="2409BD3D" w14:textId="77777777" w:rsidR="005C3AE7" w:rsidRPr="00F32061" w:rsidRDefault="005C3AE7" w:rsidP="005C3AE7">
      <w:pPr>
        <w:numPr>
          <w:ilvl w:val="0"/>
          <w:numId w:val="42"/>
        </w:numPr>
        <w:suppressAutoHyphens w:val="0"/>
        <w:autoSpaceDN/>
        <w:spacing w:after="160" w:line="259" w:lineRule="auto"/>
        <w:textAlignment w:val="auto"/>
      </w:pPr>
      <w:r w:rsidRPr="00F32061">
        <w:t>GOV.UK Notify (emails)</w:t>
      </w:r>
    </w:p>
    <w:p w14:paraId="24AD8030" w14:textId="77777777" w:rsidR="005C3AE7" w:rsidRPr="00F32061" w:rsidRDefault="005C3AE7" w:rsidP="005C3AE7">
      <w:pPr>
        <w:numPr>
          <w:ilvl w:val="0"/>
          <w:numId w:val="42"/>
        </w:numPr>
        <w:suppressAutoHyphens w:val="0"/>
        <w:autoSpaceDN/>
        <w:spacing w:after="160" w:line="259" w:lineRule="auto"/>
        <w:textAlignment w:val="auto"/>
      </w:pPr>
      <w:r w:rsidRPr="00F32061">
        <w:t>Plausible (cookie-free analytics)</w:t>
      </w:r>
    </w:p>
    <w:p w14:paraId="2F1B7FAA" w14:textId="77777777" w:rsidR="005C3AE7" w:rsidRPr="00F32061" w:rsidRDefault="005C3AE7" w:rsidP="005C3AE7">
      <w:pPr>
        <w:numPr>
          <w:ilvl w:val="0"/>
          <w:numId w:val="42"/>
        </w:numPr>
        <w:suppressAutoHyphens w:val="0"/>
        <w:autoSpaceDN/>
        <w:spacing w:after="160" w:line="259" w:lineRule="auto"/>
        <w:textAlignment w:val="auto"/>
      </w:pPr>
      <w:r>
        <w:t>Papertrail (logging)</w:t>
      </w:r>
    </w:p>
    <w:p w14:paraId="4CFD6883" w14:textId="77777777" w:rsidR="005C3AE7" w:rsidRPr="00F32061" w:rsidRDefault="005C3AE7" w:rsidP="005C3AE7">
      <w:pPr>
        <w:numPr>
          <w:ilvl w:val="0"/>
          <w:numId w:val="42"/>
        </w:numPr>
        <w:suppressAutoHyphens w:val="0"/>
        <w:autoSpaceDN/>
        <w:spacing w:after="160" w:line="259" w:lineRule="auto"/>
        <w:textAlignment w:val="auto"/>
      </w:pPr>
      <w:r w:rsidRPr="00F32061">
        <w:t>Rollbar (error reporting)</w:t>
      </w:r>
    </w:p>
    <w:p w14:paraId="309F3592" w14:textId="77777777" w:rsidR="005C3AE7" w:rsidRPr="00F32061" w:rsidRDefault="005C3AE7" w:rsidP="005C3AE7">
      <w:pPr>
        <w:numPr>
          <w:ilvl w:val="0"/>
          <w:numId w:val="42"/>
        </w:numPr>
        <w:suppressAutoHyphens w:val="0"/>
        <w:autoSpaceDN/>
        <w:spacing w:after="160" w:line="259" w:lineRule="auto"/>
        <w:textAlignment w:val="auto"/>
      </w:pPr>
      <w:r w:rsidRPr="00F32061">
        <w:t>Updown.io (Monitoring)</w:t>
      </w:r>
    </w:p>
    <w:p w14:paraId="66D6DC8E" w14:textId="77777777" w:rsidR="005C3AE7" w:rsidRPr="00F32061" w:rsidRDefault="005C3AE7" w:rsidP="005C3AE7">
      <w:pPr>
        <w:numPr>
          <w:ilvl w:val="0"/>
          <w:numId w:val="42"/>
        </w:numPr>
        <w:suppressAutoHyphens w:val="0"/>
        <w:autoSpaceDN/>
        <w:spacing w:after="160" w:line="259" w:lineRule="auto"/>
        <w:textAlignment w:val="auto"/>
      </w:pPr>
      <w:r>
        <w:t>Github Actions (Deployment and CI)</w:t>
      </w:r>
    </w:p>
    <w:p w14:paraId="5BD82E78" w14:textId="77777777" w:rsidR="005C3AE7" w:rsidRPr="00F32061" w:rsidRDefault="005C3AE7" w:rsidP="005C3AE7">
      <w:pPr>
        <w:numPr>
          <w:ilvl w:val="0"/>
          <w:numId w:val="42"/>
        </w:numPr>
        <w:suppressAutoHyphens w:val="0"/>
        <w:autoSpaceDN/>
        <w:spacing w:after="160" w:line="259" w:lineRule="auto"/>
        <w:textAlignment w:val="auto"/>
      </w:pPr>
      <w:r w:rsidRPr="00F32061">
        <w:t>GOV.UK PaaS (Hosting)</w:t>
      </w:r>
    </w:p>
    <w:p w14:paraId="0F7B873D" w14:textId="77777777" w:rsidR="005C3AE7" w:rsidRDefault="005C3AE7" w:rsidP="005C3AE7">
      <w:pPr>
        <w:numPr>
          <w:ilvl w:val="0"/>
          <w:numId w:val="42"/>
        </w:numPr>
        <w:suppressAutoHyphens w:val="0"/>
        <w:autoSpaceDN/>
        <w:spacing w:after="160" w:line="259" w:lineRule="auto"/>
        <w:textAlignment w:val="auto"/>
      </w:pPr>
      <w:r>
        <w:t>Dockerhub (Docker image storage)</w:t>
      </w:r>
    </w:p>
    <w:p w14:paraId="10FFFA3E" w14:textId="4C4AD9C9" w:rsidR="005C3AE7" w:rsidRDefault="00F10837" w:rsidP="005C3AE7">
      <w:pPr>
        <w:pStyle w:val="Heading1"/>
        <w:numPr>
          <w:ilvl w:val="0"/>
          <w:numId w:val="36"/>
        </w:numPr>
        <w:suppressAutoHyphens w:val="0"/>
        <w:autoSpaceDN/>
        <w:spacing w:before="480" w:after="0"/>
        <w:ind w:left="426" w:hanging="426"/>
        <w:textAlignment w:val="auto"/>
      </w:pPr>
      <w:bookmarkStart w:id="15" w:name="_Toc99722374"/>
      <w:r>
        <w:t>Services</w:t>
      </w:r>
      <w:r w:rsidR="006E0B87">
        <w:t xml:space="preserve"> </w:t>
      </w:r>
      <w:bookmarkEnd w:id="15"/>
    </w:p>
    <w:p w14:paraId="27F8B2A9" w14:textId="6C15780D" w:rsidR="00A334C6" w:rsidRDefault="00A334C6" w:rsidP="005C3AE7">
      <w:pPr>
        <w:pStyle w:val="Heading2"/>
      </w:pPr>
      <w:bookmarkStart w:id="16" w:name="_Toc99722375"/>
      <w:r>
        <w:t>Service Acceptance and Transition Implementation Plan</w:t>
      </w:r>
    </w:p>
    <w:p w14:paraId="0EAB7F04" w14:textId="6E889756" w:rsidR="00A334C6" w:rsidRPr="00634495" w:rsidRDefault="00A334C6" w:rsidP="005C654D">
      <w:r>
        <w:t xml:space="preserve">The Supplier will provide a Transition Implementation Plan to move BEIS from the current service to the proposed </w:t>
      </w:r>
      <w:r w:rsidR="00634495">
        <w:t>S</w:t>
      </w:r>
      <w:r>
        <w:t>ervice.  The Transition Implementation Plan will describe all required aspects to achieve Service Acceptance, including Knowledge Transfer, Application verification, BEIS user acceptance, Service baselining.  It will define the proposed timeline with supporting plan, governance, resources, requirements of the current supplier, documentation, data transfer and dependencies on BEIS.</w:t>
      </w:r>
    </w:p>
    <w:p w14:paraId="15793AC2" w14:textId="77777777" w:rsidR="00A334C6" w:rsidRPr="00FA0C99" w:rsidRDefault="00A334C6" w:rsidP="005C654D"/>
    <w:p w14:paraId="472FD026" w14:textId="556BE9E4" w:rsidR="005C3AE7" w:rsidRPr="008E5AC6" w:rsidRDefault="005C3AE7" w:rsidP="005C3AE7">
      <w:pPr>
        <w:pStyle w:val="Heading2"/>
        <w:rPr>
          <w:sz w:val="22"/>
          <w:szCs w:val="22"/>
        </w:rPr>
      </w:pPr>
      <w:r w:rsidRPr="008E5AC6">
        <w:rPr>
          <w:sz w:val="22"/>
          <w:szCs w:val="22"/>
        </w:rPr>
        <w:t>Network &amp; Server Infrastructure</w:t>
      </w:r>
      <w:bookmarkEnd w:id="16"/>
    </w:p>
    <w:p w14:paraId="1051216B" w14:textId="773D779B" w:rsidR="005C3AE7" w:rsidRPr="008E5AC6" w:rsidRDefault="005C3AE7" w:rsidP="005C3AE7">
      <w:pPr>
        <w:pStyle w:val="Normal1"/>
        <w:spacing w:before="120" w:after="120"/>
        <w:rPr>
          <w:highlight w:val="white"/>
          <w:lang w:val="en-GB"/>
        </w:rPr>
      </w:pPr>
      <w:r w:rsidRPr="008E5AC6">
        <w:rPr>
          <w:highlight w:val="white"/>
          <w:lang w:val="en-GB"/>
        </w:rPr>
        <w:t xml:space="preserve">The </w:t>
      </w:r>
      <w:r w:rsidRPr="008E5AC6">
        <w:rPr>
          <w:highlight w:val="white"/>
        </w:rPr>
        <w:t xml:space="preserve">Supplier will </w:t>
      </w:r>
      <w:r w:rsidR="0079232B" w:rsidRPr="008E5AC6">
        <w:rPr>
          <w:highlight w:val="white"/>
          <w:lang w:val="en-GB"/>
        </w:rPr>
        <w:t xml:space="preserve">maintain </w:t>
      </w:r>
      <w:r w:rsidRPr="008E5AC6">
        <w:rPr>
          <w:highlight w:val="white"/>
          <w:lang w:val="en-GB"/>
        </w:rPr>
        <w:t>a</w:t>
      </w:r>
      <w:r w:rsidRPr="008E5AC6">
        <w:rPr>
          <w:highlight w:val="white"/>
        </w:rPr>
        <w:t xml:space="preserve"> secure </w:t>
      </w:r>
      <w:r w:rsidRPr="008E5AC6">
        <w:rPr>
          <w:highlight w:val="white"/>
          <w:lang w:val="en-GB"/>
        </w:rPr>
        <w:t>service</w:t>
      </w:r>
      <w:r w:rsidRPr="008E5AC6">
        <w:rPr>
          <w:highlight w:val="white"/>
        </w:rPr>
        <w:t xml:space="preserve"> in accordance with </w:t>
      </w:r>
      <w:r w:rsidRPr="008E5AC6">
        <w:rPr>
          <w:lang w:val="en-GB"/>
        </w:rPr>
        <w:t>the</w:t>
      </w:r>
      <w:r w:rsidRPr="008E5AC6">
        <w:t xml:space="preserve"> National Cyber Security Centre </w:t>
      </w:r>
      <w:r w:rsidRPr="008E5AC6">
        <w:rPr>
          <w:lang w:val="en-GB"/>
        </w:rPr>
        <w:t>(</w:t>
      </w:r>
      <w:hyperlink r:id="rId14">
        <w:r w:rsidRPr="008E5AC6">
          <w:rPr>
            <w:highlight w:val="white"/>
          </w:rPr>
          <w:t>NCSC</w:t>
        </w:r>
        <w:r w:rsidRPr="008E5AC6">
          <w:rPr>
            <w:highlight w:val="white"/>
            <w:lang w:val="en-GB"/>
          </w:rPr>
          <w:t>)</w:t>
        </w:r>
        <w:r w:rsidRPr="008E5AC6">
          <w:rPr>
            <w:highlight w:val="white"/>
          </w:rPr>
          <w:t xml:space="preserve"> Security Design Principles</w:t>
        </w:r>
      </w:hyperlink>
      <w:r w:rsidRPr="008E5AC6">
        <w:rPr>
          <w:highlight w:val="white"/>
        </w:rPr>
        <w:t>.</w:t>
      </w:r>
      <w:r w:rsidRPr="008E5AC6">
        <w:rPr>
          <w:highlight w:val="white"/>
          <w:lang w:val="en-GB"/>
        </w:rPr>
        <w:t xml:space="preserve"> </w:t>
      </w:r>
      <w:r w:rsidRPr="008E5AC6">
        <w:rPr>
          <w:highlight w:val="white"/>
        </w:rPr>
        <w:t xml:space="preserve"> </w:t>
      </w:r>
      <w:r w:rsidRPr="008E5AC6">
        <w:rPr>
          <w:highlight w:val="white"/>
          <w:lang w:val="en-GB"/>
        </w:rPr>
        <w:t>This includes</w:t>
      </w:r>
      <w:r w:rsidRPr="008E5AC6">
        <w:rPr>
          <w:highlight w:val="white"/>
        </w:rPr>
        <w:t xml:space="preserve"> </w:t>
      </w:r>
      <w:r w:rsidR="0079232B" w:rsidRPr="008E5AC6">
        <w:rPr>
          <w:highlight w:val="white"/>
          <w:lang w:val="en-GB"/>
        </w:rPr>
        <w:t xml:space="preserve">maintaining </w:t>
      </w:r>
      <w:r w:rsidRPr="008E5AC6">
        <w:rPr>
          <w:highlight w:val="white"/>
        </w:rPr>
        <w:t>segmented and layered network architectures and comprehensive protective monitoring solutions</w:t>
      </w:r>
      <w:r w:rsidR="0079232B" w:rsidRPr="008E5AC6">
        <w:rPr>
          <w:highlight w:val="white"/>
          <w:lang w:val="en-GB"/>
        </w:rPr>
        <w:t xml:space="preserve">, that will have been delivered prior to </w:t>
      </w:r>
      <w:r w:rsidR="006E0B87" w:rsidRPr="008E5AC6">
        <w:rPr>
          <w:highlight w:val="white"/>
          <w:lang w:val="en-GB"/>
        </w:rPr>
        <w:t>A</w:t>
      </w:r>
      <w:r w:rsidR="0079232B" w:rsidRPr="008E5AC6">
        <w:rPr>
          <w:highlight w:val="white"/>
          <w:lang w:val="en-GB"/>
        </w:rPr>
        <w:t xml:space="preserve">pplication take-on and will be fulfilled through the use of the GOV.UK PaaS </w:t>
      </w:r>
      <w:r w:rsidR="0097281B" w:rsidRPr="008E5AC6">
        <w:rPr>
          <w:highlight w:val="white"/>
          <w:lang w:val="en-GB"/>
        </w:rPr>
        <w:t>h</w:t>
      </w:r>
      <w:r w:rsidR="0079232B" w:rsidRPr="008E5AC6">
        <w:rPr>
          <w:highlight w:val="white"/>
          <w:lang w:val="en-GB"/>
        </w:rPr>
        <w:t xml:space="preserve">osting </w:t>
      </w:r>
      <w:r w:rsidR="0097281B" w:rsidRPr="008E5AC6">
        <w:rPr>
          <w:highlight w:val="white"/>
          <w:lang w:val="en-GB"/>
        </w:rPr>
        <w:t>i</w:t>
      </w:r>
      <w:r w:rsidR="0079232B" w:rsidRPr="008E5AC6">
        <w:rPr>
          <w:highlight w:val="white"/>
          <w:lang w:val="en-GB"/>
        </w:rPr>
        <w:t>nfrastructure</w:t>
      </w:r>
      <w:r w:rsidRPr="008E5AC6">
        <w:rPr>
          <w:highlight w:val="white"/>
        </w:rPr>
        <w:t>.</w:t>
      </w:r>
      <w:r w:rsidRPr="008E5AC6">
        <w:rPr>
          <w:highlight w:val="white"/>
          <w:lang w:val="en-GB"/>
        </w:rPr>
        <w:t xml:space="preserve"> The Service Supplier </w:t>
      </w:r>
      <w:r w:rsidR="00410AE9" w:rsidRPr="008E5AC6">
        <w:rPr>
          <w:highlight w:val="white"/>
          <w:lang w:val="en-GB"/>
        </w:rPr>
        <w:t xml:space="preserve">will </w:t>
      </w:r>
      <w:r w:rsidRPr="008E5AC6">
        <w:rPr>
          <w:highlight w:val="white"/>
          <w:lang w:val="en-GB"/>
        </w:rPr>
        <w:t>comply with</w:t>
      </w:r>
      <w:r w:rsidRPr="008E5AC6" w:rsidDel="009E18FA">
        <w:rPr>
          <w:highlight w:val="white"/>
          <w:lang w:val="en-GB"/>
        </w:rPr>
        <w:t xml:space="preserve"> </w:t>
      </w:r>
      <w:r w:rsidRPr="008E5AC6">
        <w:rPr>
          <w:highlight w:val="white"/>
          <w:lang w:val="en-GB"/>
        </w:rPr>
        <w:t>Government Digital Service (GDS) Support Service Standards</w:t>
      </w:r>
    </w:p>
    <w:p w14:paraId="137BB0A8" w14:textId="2ED59EEB" w:rsidR="005C3AE7" w:rsidRPr="008E5AC6" w:rsidRDefault="005C3AE7" w:rsidP="005C3AE7">
      <w:pPr>
        <w:pStyle w:val="Normal1"/>
        <w:spacing w:before="120" w:after="120"/>
        <w:rPr>
          <w:highlight w:val="white"/>
        </w:rPr>
      </w:pPr>
      <w:r w:rsidRPr="008E5AC6">
        <w:rPr>
          <w:highlight w:val="white"/>
        </w:rPr>
        <w:lastRenderedPageBreak/>
        <w:t xml:space="preserve">The Supplier </w:t>
      </w:r>
      <w:r w:rsidR="00634495" w:rsidRPr="008E5AC6">
        <w:rPr>
          <w:highlight w:val="white"/>
          <w:lang w:val="en-GB"/>
        </w:rPr>
        <w:t>will maintain the</w:t>
      </w:r>
      <w:r w:rsidRPr="008E5AC6">
        <w:rPr>
          <w:highlight w:val="white"/>
        </w:rPr>
        <w:t xml:space="preserve"> solution which mitigate the security risks for an internet facing web service. </w:t>
      </w:r>
      <w:r w:rsidR="00634495" w:rsidRPr="008E5AC6">
        <w:rPr>
          <w:highlight w:val="white"/>
          <w:lang w:val="en-GB"/>
        </w:rPr>
        <w:t>The Supplier will produce</w:t>
      </w:r>
      <w:r w:rsidRPr="008E5AC6">
        <w:rPr>
          <w:highlight w:val="white"/>
        </w:rPr>
        <w:t xml:space="preserve"> a </w:t>
      </w:r>
      <w:r w:rsidRPr="008E5AC6">
        <w:t>risk assessment</w:t>
      </w:r>
      <w:r w:rsidRPr="008E5AC6">
        <w:rPr>
          <w:highlight w:val="white"/>
        </w:rPr>
        <w:t xml:space="preserve"> which describes the procedural, technical and physical controls implemented, and how any security vulnerabilities have been mitigated. </w:t>
      </w:r>
    </w:p>
    <w:p w14:paraId="0B34EC02" w14:textId="7990F62B" w:rsidR="005C3AE7" w:rsidRPr="008E5AC6" w:rsidRDefault="005C3AE7" w:rsidP="005C3AE7">
      <w:pPr>
        <w:pStyle w:val="Normal1"/>
        <w:spacing w:before="120" w:after="120"/>
        <w:rPr>
          <w:highlight w:val="white"/>
        </w:rPr>
      </w:pPr>
      <w:r w:rsidRPr="008E5AC6">
        <w:rPr>
          <w:highlight w:val="white"/>
        </w:rPr>
        <w:t>The Supplier shall monitor</w:t>
      </w:r>
      <w:r w:rsidRPr="008E5AC6">
        <w:rPr>
          <w:highlight w:val="white"/>
          <w:lang w:val="en-GB"/>
        </w:rPr>
        <w:t xml:space="preserve"> 3</w:t>
      </w:r>
      <w:r w:rsidRPr="008E5AC6">
        <w:rPr>
          <w:highlight w:val="white"/>
          <w:vertAlign w:val="superscript"/>
          <w:lang w:val="en-GB"/>
        </w:rPr>
        <w:t>rd</w:t>
      </w:r>
      <w:r w:rsidRPr="008E5AC6">
        <w:rPr>
          <w:highlight w:val="white"/>
          <w:lang w:val="en-GB"/>
        </w:rPr>
        <w:t xml:space="preserve"> party </w:t>
      </w:r>
      <w:r w:rsidR="00634495" w:rsidRPr="008E5AC6">
        <w:rPr>
          <w:highlight w:val="white"/>
          <w:lang w:val="en-GB"/>
        </w:rPr>
        <w:t>solution components</w:t>
      </w:r>
      <w:r w:rsidRPr="008E5AC6">
        <w:rPr>
          <w:highlight w:val="white"/>
        </w:rPr>
        <w:t xml:space="preserve">. </w:t>
      </w:r>
    </w:p>
    <w:p w14:paraId="084ECD71" w14:textId="77777777" w:rsidR="005C3AE7" w:rsidRPr="008E5AC6" w:rsidRDefault="005C3AE7" w:rsidP="005C3AE7">
      <w:pPr>
        <w:pStyle w:val="Normal1"/>
        <w:spacing w:before="120" w:after="120"/>
        <w:rPr>
          <w:lang w:val="en-GB"/>
        </w:rPr>
      </w:pPr>
      <w:r w:rsidRPr="008E5AC6">
        <w:rPr>
          <w:highlight w:val="white"/>
        </w:rPr>
        <w:t xml:space="preserve"> The Supplier shall provide a </w:t>
      </w:r>
      <w:r w:rsidRPr="008E5AC6">
        <w:rPr>
          <w:highlight w:val="white"/>
          <w:lang w:val="en-GB"/>
        </w:rPr>
        <w:t xml:space="preserve">threat </w:t>
      </w:r>
      <w:r w:rsidRPr="008E5AC6">
        <w:rPr>
          <w:highlight w:val="white"/>
        </w:rPr>
        <w:t>assessment for the Service to ensure that the Service is compliant with</w:t>
      </w:r>
      <w:r w:rsidRPr="008E5AC6">
        <w:rPr>
          <w:highlight w:val="white"/>
          <w:lang w:val="en-GB"/>
        </w:rPr>
        <w:t xml:space="preserve"> NCSC</w:t>
      </w:r>
      <w:r w:rsidRPr="008E5AC6">
        <w:rPr>
          <w:highlight w:val="white"/>
        </w:rPr>
        <w:t xml:space="preserve"> </w:t>
      </w:r>
      <w:hyperlink r:id="rId15">
        <w:r w:rsidRPr="008E5AC6">
          <w:rPr>
            <w:highlight w:val="white"/>
            <w:u w:val="single"/>
          </w:rPr>
          <w:t>Cloud Security Principles</w:t>
        </w:r>
      </w:hyperlink>
      <w:hyperlink r:id="rId16">
        <w:r w:rsidRPr="008E5AC6">
          <w:t>.</w:t>
        </w:r>
      </w:hyperlink>
      <w:r w:rsidRPr="008E5AC6">
        <w:rPr>
          <w:highlight w:val="white"/>
        </w:rPr>
        <w:t xml:space="preserve"> This assessment will be reviewed on an annual basis or if there is a major incident or change to infrastructure, processes and procedures.</w:t>
      </w:r>
    </w:p>
    <w:p w14:paraId="522C0AD1" w14:textId="72DFCD73" w:rsidR="005C3AE7" w:rsidRPr="008E5AC6" w:rsidRDefault="005C3AE7" w:rsidP="005C3AE7">
      <w:pPr>
        <w:pStyle w:val="Normal1"/>
        <w:spacing w:before="120" w:after="120"/>
        <w:jc w:val="both"/>
        <w:rPr>
          <w:lang w:val="en-GB"/>
        </w:rPr>
      </w:pPr>
      <w:r w:rsidRPr="008E5AC6">
        <w:rPr>
          <w:highlight w:val="white"/>
        </w:rPr>
        <w:t>The Supplier shall be ISO27001:2013 certified</w:t>
      </w:r>
      <w:r w:rsidR="00D060DB" w:rsidRPr="008E5AC6">
        <w:rPr>
          <w:highlight w:val="white"/>
          <w:lang w:val="en-GB"/>
        </w:rPr>
        <w:t>.</w:t>
      </w:r>
      <w:r w:rsidRPr="008E5AC6">
        <w:rPr>
          <w:highlight w:val="white"/>
        </w:rPr>
        <w:t xml:space="preserve"> </w:t>
      </w:r>
    </w:p>
    <w:p w14:paraId="7EA7D88D" w14:textId="77777777" w:rsidR="005C3AE7" w:rsidRDefault="005C3AE7" w:rsidP="005C3AE7">
      <w:pPr>
        <w:pStyle w:val="Heading2"/>
      </w:pPr>
      <w:bookmarkStart w:id="17" w:name="_Toc99722376"/>
      <w:r>
        <w:t>BEIS Regulated Professions Register Client Specific</w:t>
      </w:r>
      <w:bookmarkEnd w:id="17"/>
    </w:p>
    <w:p w14:paraId="082B9741" w14:textId="77777777" w:rsidR="005C3AE7" w:rsidRDefault="005C3AE7" w:rsidP="005C3AE7">
      <w:pPr>
        <w:pStyle w:val="Heading3"/>
      </w:pPr>
      <w:bookmarkStart w:id="18" w:name="_Toc99722377"/>
      <w:r>
        <w:t>User Population</w:t>
      </w:r>
      <w:bookmarkEnd w:id="18"/>
    </w:p>
    <w:p w14:paraId="0B56602C" w14:textId="77777777" w:rsidR="005C3AE7" w:rsidRDefault="005C3AE7" w:rsidP="005C3AE7">
      <w:pPr>
        <w:spacing w:after="120"/>
      </w:pPr>
      <w:r>
        <w:t xml:space="preserve">The internal users can be active 24 hours a day, 365 days a year, from BEIS offices, Regulatory Authorities/Professional bodies and remotely. </w:t>
      </w:r>
    </w:p>
    <w:p w14:paraId="0BB43D5F" w14:textId="77777777" w:rsidR="005C3AE7" w:rsidRDefault="005C3AE7" w:rsidP="005C3AE7">
      <w:pPr>
        <w:spacing w:after="120"/>
      </w:pPr>
      <w:r>
        <w:t>The Public User search facility is web accessed 24 hours a day, 365 days a year.</w:t>
      </w:r>
    </w:p>
    <w:p w14:paraId="1CA320A2" w14:textId="0ED99B35" w:rsidR="005C3AE7" w:rsidRDefault="005C3AE7" w:rsidP="005C3AE7">
      <w:pPr>
        <w:spacing w:line="240" w:lineRule="auto"/>
        <w:rPr>
          <w:rFonts w:eastAsia="Times New Roman"/>
          <w:color w:val="000000"/>
        </w:rPr>
      </w:pPr>
      <w:r>
        <w:rPr>
          <w:rFonts w:eastAsia="Times New Roman"/>
          <w:color w:val="000000" w:themeColor="text1"/>
        </w:rPr>
        <w:t xml:space="preserve">The </w:t>
      </w:r>
      <w:r w:rsidR="009A0EDB">
        <w:rPr>
          <w:rFonts w:eastAsia="Times New Roman"/>
          <w:color w:val="000000" w:themeColor="text1"/>
        </w:rPr>
        <w:t>S</w:t>
      </w:r>
      <w:r>
        <w:rPr>
          <w:rFonts w:eastAsia="Times New Roman"/>
          <w:color w:val="000000" w:themeColor="text1"/>
        </w:rPr>
        <w:t>ervice</w:t>
      </w:r>
      <w:r w:rsidRPr="4DE9B261">
        <w:rPr>
          <w:rFonts w:eastAsia="Times New Roman"/>
          <w:color w:val="000000" w:themeColor="text1"/>
        </w:rPr>
        <w:t xml:space="preserve"> shall support up to 1,000 registered users, 100 concurrent users (normal load), 170 concurrent users (peak load)</w:t>
      </w:r>
      <w:r w:rsidR="00D060DB">
        <w:rPr>
          <w:rFonts w:eastAsia="Times New Roman"/>
          <w:color w:val="000000" w:themeColor="text1"/>
        </w:rPr>
        <w:t>.</w:t>
      </w:r>
    </w:p>
    <w:p w14:paraId="3927A664" w14:textId="77777777" w:rsidR="005C3AE7" w:rsidRPr="00FE7C42" w:rsidRDefault="005C3AE7" w:rsidP="005C3AE7">
      <w:pPr>
        <w:spacing w:line="240" w:lineRule="auto"/>
        <w:rPr>
          <w:rFonts w:eastAsia="Times New Roman" w:cstheme="minorHAnsi"/>
          <w:color w:val="000000"/>
        </w:rPr>
      </w:pPr>
    </w:p>
    <w:p w14:paraId="4127255E" w14:textId="4D23FF6B" w:rsidR="005C3AE7" w:rsidRDefault="005C3AE7" w:rsidP="005C3AE7">
      <w:pPr>
        <w:spacing w:line="240" w:lineRule="auto"/>
        <w:rPr>
          <w:rFonts w:eastAsia="Times New Roman"/>
          <w:color w:val="000000"/>
        </w:rPr>
      </w:pPr>
      <w:r>
        <w:rPr>
          <w:rFonts w:eastAsia="Times New Roman"/>
          <w:color w:val="000000" w:themeColor="text1"/>
        </w:rPr>
        <w:t xml:space="preserve">The </w:t>
      </w:r>
      <w:r w:rsidR="009A0EDB">
        <w:rPr>
          <w:rFonts w:eastAsia="Times New Roman"/>
          <w:color w:val="000000" w:themeColor="text1"/>
        </w:rPr>
        <w:t>S</w:t>
      </w:r>
      <w:r>
        <w:rPr>
          <w:rFonts w:eastAsia="Times New Roman"/>
          <w:color w:val="000000" w:themeColor="text1"/>
        </w:rPr>
        <w:t>ervice</w:t>
      </w:r>
      <w:r w:rsidRPr="4DE9B261">
        <w:rPr>
          <w:rFonts w:eastAsia="Times New Roman"/>
          <w:color w:val="000000" w:themeColor="text1"/>
        </w:rPr>
        <w:t xml:space="preserve"> shall support up to 10,000 concurrent service items</w:t>
      </w:r>
      <w:r w:rsidR="00D060DB">
        <w:rPr>
          <w:rFonts w:eastAsia="Times New Roman"/>
          <w:color w:val="000000" w:themeColor="text1"/>
        </w:rPr>
        <w:t>.</w:t>
      </w:r>
    </w:p>
    <w:p w14:paraId="15D1553A" w14:textId="77777777" w:rsidR="005C3AE7" w:rsidRDefault="005C3AE7" w:rsidP="005C3AE7">
      <w:pPr>
        <w:spacing w:line="240" w:lineRule="auto"/>
        <w:rPr>
          <w:rFonts w:eastAsia="Times New Roman" w:cstheme="minorHAnsi"/>
          <w:color w:val="000000"/>
        </w:rPr>
      </w:pPr>
    </w:p>
    <w:p w14:paraId="1ABF4FE4" w14:textId="790A8A6D" w:rsidR="005C3AE7" w:rsidRPr="003E1832" w:rsidRDefault="005C3AE7" w:rsidP="005C3AE7">
      <w:pPr>
        <w:spacing w:after="120"/>
      </w:pPr>
      <w:r>
        <w:t xml:space="preserve">Note. BEIS (Users) Internal BEIS team access the </w:t>
      </w:r>
      <w:r w:rsidR="009A0EDB">
        <w:t xml:space="preserve">Application </w:t>
      </w:r>
      <w:r>
        <w:t>via secure (Zscaler and OKTA protected) end user devices via the BEIS internal network.  Regulators and Professional bodies will use their own security protection methods with BEIS National admin team maintaining multi-level security control.</w:t>
      </w:r>
    </w:p>
    <w:p w14:paraId="38688BAF" w14:textId="77777777" w:rsidR="005C3AE7" w:rsidRDefault="005C3AE7" w:rsidP="005C3AE7">
      <w:pPr>
        <w:pStyle w:val="Heading3"/>
      </w:pPr>
      <w:bookmarkStart w:id="19" w:name="_Toc99722378"/>
      <w:r>
        <w:t>Environments</w:t>
      </w:r>
      <w:bookmarkEnd w:id="19"/>
    </w:p>
    <w:p w14:paraId="1DC398B6" w14:textId="77777777" w:rsidR="005C3AE7" w:rsidRDefault="005C3AE7" w:rsidP="005C3AE7">
      <w:r>
        <w:t>Required Client End User environments are:</w:t>
      </w:r>
    </w:p>
    <w:p w14:paraId="73C63350" w14:textId="77777777" w:rsidR="005C3AE7" w:rsidRDefault="005C3AE7" w:rsidP="005C3AE7">
      <w:pPr>
        <w:pStyle w:val="ListParagraph"/>
        <w:numPr>
          <w:ilvl w:val="0"/>
          <w:numId w:val="37"/>
        </w:numPr>
        <w:suppressAutoHyphens w:val="0"/>
        <w:autoSpaceDN/>
        <w:spacing w:after="200"/>
        <w:contextualSpacing/>
        <w:textAlignment w:val="auto"/>
        <w:rPr>
          <w:rFonts w:eastAsia="Times New Roman"/>
          <w:color w:val="000000" w:themeColor="text1"/>
        </w:rPr>
      </w:pPr>
      <w:r>
        <w:t xml:space="preserve">Production (Active) - </w:t>
      </w:r>
      <w:r w:rsidRPr="030CE45F">
        <w:rPr>
          <w:rFonts w:eastAsia="Times New Roman"/>
          <w:color w:val="000000" w:themeColor="text1"/>
        </w:rPr>
        <w:t>Backup of the system should support the identified Recovery Point Objective (RPO) 1 Hour, meaning that the business will accept losing up to a maximum of 1 hour of data in the event of a major disaster or incident occurring</w:t>
      </w:r>
    </w:p>
    <w:p w14:paraId="15AB82EB" w14:textId="246D80A5" w:rsidR="005C3AE7" w:rsidRDefault="005C3AE7" w:rsidP="005C3AE7">
      <w:pPr>
        <w:pStyle w:val="ListParagraph"/>
        <w:numPr>
          <w:ilvl w:val="0"/>
          <w:numId w:val="37"/>
        </w:numPr>
        <w:suppressAutoHyphens w:val="0"/>
        <w:autoSpaceDN/>
        <w:spacing w:after="200"/>
        <w:contextualSpacing/>
        <w:textAlignment w:val="auto"/>
      </w:pPr>
      <w:r>
        <w:t xml:space="preserve">Pre-Production (Staging) </w:t>
      </w:r>
    </w:p>
    <w:p w14:paraId="0E9612F9" w14:textId="77777777" w:rsidR="0097281B" w:rsidRDefault="0097281B" w:rsidP="005C654D">
      <w:r>
        <w:t>The Supplier shall ensure that further environments can be made available at the request BEIS and within the provisions of the Call Off Agreement.</w:t>
      </w:r>
    </w:p>
    <w:p w14:paraId="2E6293C7" w14:textId="683B50FC" w:rsidR="0097281B" w:rsidRPr="004A691D" w:rsidRDefault="0097281B" w:rsidP="005C654D">
      <w:r>
        <w:t>All other hardware, software except development and test environments needed by the Supplier to undertake BEIS systems further development, maintenance and support shall be provided by the Supplier including required licencing. BEIS Digital will continue to cater for all cost with regards to Hosting Platform (GOV.UK PaaS).</w:t>
      </w:r>
    </w:p>
    <w:p w14:paraId="3FC9E63B" w14:textId="77777777" w:rsidR="0097281B" w:rsidRDefault="0097281B" w:rsidP="005C654D">
      <w:pPr>
        <w:suppressAutoHyphens w:val="0"/>
        <w:autoSpaceDN/>
        <w:spacing w:after="200"/>
        <w:contextualSpacing/>
        <w:textAlignment w:val="auto"/>
      </w:pPr>
    </w:p>
    <w:p w14:paraId="6FCA38C6" w14:textId="77777777" w:rsidR="005C3AE7" w:rsidRDefault="005C3AE7" w:rsidP="005C3AE7">
      <w:r>
        <w:rPr>
          <w:noProof/>
        </w:rPr>
        <w:lastRenderedPageBreak/>
        <w:drawing>
          <wp:inline distT="0" distB="0" distL="0" distR="0" wp14:anchorId="74B02C68" wp14:editId="4CE3C703">
            <wp:extent cx="5482584" cy="2802034"/>
            <wp:effectExtent l="0" t="0" r="4445" b="0"/>
            <wp:docPr id="10" name="Picture 1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10;&#10;Description automatically generated"/>
                    <pic:cNvPicPr/>
                  </pic:nvPicPr>
                  <pic:blipFill>
                    <a:blip r:embed="rId17"/>
                    <a:stretch>
                      <a:fillRect/>
                    </a:stretch>
                  </pic:blipFill>
                  <pic:spPr>
                    <a:xfrm>
                      <a:off x="0" y="0"/>
                      <a:ext cx="5482584" cy="2802034"/>
                    </a:xfrm>
                    <a:prstGeom prst="rect">
                      <a:avLst/>
                    </a:prstGeom>
                  </pic:spPr>
                </pic:pic>
              </a:graphicData>
            </a:graphic>
          </wp:inline>
        </w:drawing>
      </w:r>
    </w:p>
    <w:p w14:paraId="25956EC7" w14:textId="77777777" w:rsidR="0097281B" w:rsidRDefault="0097281B" w:rsidP="005C3AE7"/>
    <w:p w14:paraId="124B1CA4" w14:textId="77777777" w:rsidR="0097281B" w:rsidRDefault="005C3AE7" w:rsidP="005C3AE7">
      <w:r w:rsidRPr="005C654D">
        <w:rPr>
          <w:color w:val="434343"/>
          <w:sz w:val="28"/>
          <w:szCs w:val="28"/>
        </w:rPr>
        <w:t>Disaster Recovery</w:t>
      </w:r>
      <w:r w:rsidRPr="00577853">
        <w:t xml:space="preserve"> </w:t>
      </w:r>
    </w:p>
    <w:p w14:paraId="3BF1081B" w14:textId="50ECFAF2" w:rsidR="005C3AE7" w:rsidRDefault="0097281B" w:rsidP="005C3AE7">
      <w:r>
        <w:t xml:space="preserve">The </w:t>
      </w:r>
      <w:r w:rsidR="009A0EDB">
        <w:t>Application</w:t>
      </w:r>
      <w:r>
        <w:t xml:space="preserve"> will be </w:t>
      </w:r>
      <w:r w:rsidR="005C3AE7" w:rsidRPr="00577853">
        <w:t xml:space="preserve">recoverable within the </w:t>
      </w:r>
      <w:r w:rsidR="005C3AE7">
        <w:t>up-time</w:t>
      </w:r>
      <w:r w:rsidR="005C3AE7" w:rsidRPr="00577853">
        <w:t xml:space="preserve"> frames of the Total Outage SLA</w:t>
      </w:r>
      <w:r w:rsidR="009A0EDB">
        <w:t xml:space="preserve"> subject to the relevant Hosting Platform being available to the Supplier</w:t>
      </w:r>
      <w:r w:rsidR="00E06B4B">
        <w:t>.</w:t>
      </w:r>
    </w:p>
    <w:p w14:paraId="7BEF7B02" w14:textId="77777777" w:rsidR="005C3AE7" w:rsidRPr="00B84A1D" w:rsidRDefault="005C3AE7" w:rsidP="005C3AE7">
      <w:pPr>
        <w:pStyle w:val="Heading3"/>
        <w:rPr>
          <w:color w:val="auto"/>
        </w:rPr>
      </w:pPr>
      <w:bookmarkStart w:id="20" w:name="_Toc99722379"/>
      <w:r>
        <w:t>Operational Data</w:t>
      </w:r>
      <w:bookmarkEnd w:id="20"/>
      <w:r>
        <w:t xml:space="preserve"> </w:t>
      </w:r>
    </w:p>
    <w:p w14:paraId="2D4EF304" w14:textId="075D059F" w:rsidR="005C3AE7" w:rsidRPr="00B84A1D" w:rsidRDefault="005C3AE7" w:rsidP="005C3AE7">
      <w:pPr>
        <w:pStyle w:val="ListParagraph"/>
        <w:numPr>
          <w:ilvl w:val="0"/>
          <w:numId w:val="38"/>
        </w:numPr>
        <w:suppressAutoHyphens w:val="0"/>
        <w:autoSpaceDN/>
        <w:spacing w:after="200"/>
        <w:ind w:left="284" w:hanging="284"/>
        <w:contextualSpacing/>
        <w:textAlignment w:val="auto"/>
      </w:pPr>
      <w:r>
        <w:t>D</w:t>
      </w:r>
      <w:r w:rsidRPr="00B84A1D">
        <w:t>ata to be retained within the Production environments</w:t>
      </w:r>
      <w:r>
        <w:t xml:space="preserve"> for up to 7 years - archival rules to be provided by BEIS Digital</w:t>
      </w:r>
      <w:r w:rsidR="009A0EDB">
        <w:t xml:space="preserve"> along with the provision of the required storage</w:t>
      </w:r>
    </w:p>
    <w:p w14:paraId="48CD9A86" w14:textId="77777777" w:rsidR="005C3AE7" w:rsidRPr="00B84A1D" w:rsidRDefault="005C3AE7" w:rsidP="005C3AE7">
      <w:pPr>
        <w:pStyle w:val="ListParagraph"/>
        <w:numPr>
          <w:ilvl w:val="0"/>
          <w:numId w:val="38"/>
        </w:numPr>
        <w:suppressAutoHyphens w:val="0"/>
        <w:autoSpaceDN/>
        <w:spacing w:after="200"/>
        <w:ind w:left="284" w:hanging="284"/>
        <w:contextualSpacing/>
        <w:textAlignment w:val="auto"/>
      </w:pPr>
      <w:r w:rsidRPr="00B84A1D">
        <w:t xml:space="preserve">Annual data volumes of </w:t>
      </w:r>
      <w:r>
        <w:t>10</w:t>
      </w:r>
      <w:r w:rsidRPr="00B84A1D">
        <w:t>GB</w:t>
      </w:r>
    </w:p>
    <w:p w14:paraId="12ADD7C1" w14:textId="77777777" w:rsidR="005C3AE7" w:rsidRPr="00B84A1D" w:rsidRDefault="005C3AE7" w:rsidP="005C3AE7">
      <w:pPr>
        <w:pStyle w:val="ListParagraph"/>
        <w:numPr>
          <w:ilvl w:val="0"/>
          <w:numId w:val="38"/>
        </w:numPr>
        <w:suppressAutoHyphens w:val="0"/>
        <w:autoSpaceDN/>
        <w:spacing w:after="200"/>
        <w:ind w:left="284" w:hanging="284"/>
        <w:contextualSpacing/>
        <w:textAlignment w:val="auto"/>
      </w:pPr>
      <w:r w:rsidRPr="00B84A1D">
        <w:t xml:space="preserve">Archived retention of up to </w:t>
      </w:r>
      <w:r>
        <w:t>7yrs</w:t>
      </w:r>
    </w:p>
    <w:p w14:paraId="323ACF1F" w14:textId="77777777" w:rsidR="005C3AE7" w:rsidRPr="00B84A1D" w:rsidRDefault="005C3AE7" w:rsidP="005C3AE7">
      <w:pPr>
        <w:pStyle w:val="ListParagraph"/>
        <w:numPr>
          <w:ilvl w:val="0"/>
          <w:numId w:val="38"/>
        </w:numPr>
        <w:suppressAutoHyphens w:val="0"/>
        <w:autoSpaceDN/>
        <w:spacing w:after="200"/>
        <w:ind w:left="284" w:hanging="284"/>
        <w:contextualSpacing/>
        <w:textAlignment w:val="auto"/>
      </w:pPr>
      <w:r w:rsidRPr="00B84A1D">
        <w:t xml:space="preserve">Production back-ups taken daily and retained for </w:t>
      </w:r>
      <w:r>
        <w:t xml:space="preserve">7 days </w:t>
      </w:r>
    </w:p>
    <w:p w14:paraId="1528A118" w14:textId="77777777" w:rsidR="005C3AE7" w:rsidRPr="007D5499" w:rsidRDefault="005C3AE7" w:rsidP="005C3AE7">
      <w:pPr>
        <w:pStyle w:val="Heading3"/>
      </w:pPr>
      <w:bookmarkStart w:id="21" w:name="_Toc99722380"/>
      <w:r w:rsidRPr="007D5499">
        <w:t>Maintenance</w:t>
      </w:r>
      <w:bookmarkEnd w:id="21"/>
    </w:p>
    <w:p w14:paraId="52B8DE79" w14:textId="422A425A" w:rsidR="005C3AE7" w:rsidRPr="007D5499" w:rsidRDefault="005C3AE7" w:rsidP="005C3AE7">
      <w:pPr>
        <w:pStyle w:val="Normal1"/>
        <w:spacing w:before="120" w:after="120"/>
        <w:jc w:val="both"/>
      </w:pPr>
      <w:r w:rsidRPr="007D5499">
        <w:t xml:space="preserve">The </w:t>
      </w:r>
      <w:r w:rsidR="00D060DB">
        <w:rPr>
          <w:lang w:val="en-GB"/>
        </w:rPr>
        <w:t>S</w:t>
      </w:r>
      <w:r w:rsidR="00D060DB" w:rsidRPr="007D5499">
        <w:t xml:space="preserve">upplier </w:t>
      </w:r>
      <w:r w:rsidRPr="007D5499">
        <w:t xml:space="preserve">shall provide a maintenance schedule in accordance with </w:t>
      </w:r>
      <w:r w:rsidR="009A0EDB">
        <w:rPr>
          <w:lang w:val="en-GB"/>
        </w:rPr>
        <w:t>this Call-Off Contract</w:t>
      </w:r>
      <w:r w:rsidRPr="007D5499">
        <w:t xml:space="preserve"> with 3</w:t>
      </w:r>
      <w:r w:rsidRPr="007D5499">
        <w:rPr>
          <w:vertAlign w:val="superscript"/>
        </w:rPr>
        <w:t>rd</w:t>
      </w:r>
      <w:r w:rsidRPr="007D5499">
        <w:t xml:space="preserve"> party software releases/patches applied as advised by the 3</w:t>
      </w:r>
      <w:r w:rsidRPr="007D5499">
        <w:rPr>
          <w:vertAlign w:val="superscript"/>
        </w:rPr>
        <w:t>rd</w:t>
      </w:r>
      <w:r w:rsidRPr="007D5499">
        <w:t xml:space="preserve"> party supplier</w:t>
      </w:r>
      <w:r w:rsidR="009A0EDB">
        <w:rPr>
          <w:lang w:val="en-GB"/>
        </w:rPr>
        <w:t>s within the scope of the Service</w:t>
      </w:r>
      <w:r w:rsidRPr="007D5499">
        <w:t xml:space="preserve">.  </w:t>
      </w:r>
      <w:r w:rsidRPr="007D5499">
        <w:rPr>
          <w:highlight w:val="white"/>
        </w:rPr>
        <w:t xml:space="preserve">The Supplier </w:t>
      </w:r>
      <w:r w:rsidR="00D060DB">
        <w:rPr>
          <w:highlight w:val="white"/>
          <w:lang w:val="en-GB"/>
        </w:rPr>
        <w:t>will</w:t>
      </w:r>
      <w:r w:rsidR="00D060DB" w:rsidRPr="007D5499">
        <w:rPr>
          <w:highlight w:val="white"/>
        </w:rPr>
        <w:t xml:space="preserve"> </w:t>
      </w:r>
      <w:r w:rsidRPr="007D5499">
        <w:rPr>
          <w:highlight w:val="white"/>
        </w:rPr>
        <w:t xml:space="preserve">proactively monitor </w:t>
      </w:r>
      <w:r w:rsidRPr="007D5499">
        <w:rPr>
          <w:highlight w:val="white"/>
          <w:lang w:val="en-GB"/>
        </w:rPr>
        <w:t xml:space="preserve">the </w:t>
      </w:r>
      <w:r w:rsidRPr="007D5499">
        <w:rPr>
          <w:highlight w:val="white"/>
        </w:rPr>
        <w:t xml:space="preserve">vulnerability </w:t>
      </w:r>
      <w:r w:rsidRPr="007D5499">
        <w:rPr>
          <w:highlight w:val="white"/>
          <w:lang w:val="en-GB"/>
        </w:rPr>
        <w:t xml:space="preserve">of RPR </w:t>
      </w:r>
      <w:r w:rsidR="009A0EDB">
        <w:rPr>
          <w:highlight w:val="white"/>
          <w:lang w:val="en-GB"/>
        </w:rPr>
        <w:t>service</w:t>
      </w:r>
      <w:r w:rsidR="009A0EDB" w:rsidRPr="007D5499">
        <w:rPr>
          <w:highlight w:val="white"/>
        </w:rPr>
        <w:t xml:space="preserve"> </w:t>
      </w:r>
      <w:r w:rsidRPr="007D5499">
        <w:rPr>
          <w:highlight w:val="white"/>
        </w:rPr>
        <w:t xml:space="preserve">and demonstrate the ability to ensure all necessary patches and upgrades are applied to maintain security, integrity and availability in accordance with the </w:t>
      </w:r>
      <w:hyperlink r:id="rId18">
        <w:r w:rsidRPr="007D5499">
          <w:rPr>
            <w:color w:val="1155CC"/>
            <w:highlight w:val="white"/>
            <w:u w:val="single"/>
          </w:rPr>
          <w:t>Cloud Security Principles</w:t>
        </w:r>
      </w:hyperlink>
      <w:r w:rsidRPr="007D5499">
        <w:rPr>
          <w:highlight w:val="white"/>
        </w:rPr>
        <w:t>.</w:t>
      </w:r>
    </w:p>
    <w:p w14:paraId="185B0BA3" w14:textId="116605AF" w:rsidR="00F10837" w:rsidRDefault="005C3AE7" w:rsidP="005C3AE7">
      <w:r w:rsidRPr="007D5499">
        <w:t>Maintenance activities shall only be carried out by the</w:t>
      </w:r>
      <w:r w:rsidRPr="007D5499" w:rsidDel="00727347">
        <w:t xml:space="preserve"> </w:t>
      </w:r>
      <w:r w:rsidRPr="007D5499">
        <w:t>Supplier following agreement with BEIS, auditable through the BEIS Supplier’s change management vehicle.</w:t>
      </w:r>
    </w:p>
    <w:p w14:paraId="131ED316" w14:textId="77777777" w:rsidR="00F10837" w:rsidRDefault="00F10837" w:rsidP="00F10837">
      <w:pPr>
        <w:pStyle w:val="Heading2"/>
      </w:pPr>
      <w:r>
        <w:t>Service Wrap</w:t>
      </w:r>
    </w:p>
    <w:p w14:paraId="2094A0DA" w14:textId="170A7653" w:rsidR="00F10837" w:rsidRDefault="00F10837" w:rsidP="00F10837">
      <w:r>
        <w:t xml:space="preserve">The Supplier will provide an integrated service encompassing Support &amp; Maintenance and future development of the </w:t>
      </w:r>
      <w:r w:rsidR="00FA0C99">
        <w:t xml:space="preserve">RPR </w:t>
      </w:r>
      <w:r>
        <w:t>service in accordance with an ITIL v4 Service Wrap. Specific components of the Service Wrap include:</w:t>
      </w:r>
    </w:p>
    <w:tbl>
      <w:tblPr>
        <w:tblStyle w:val="TableGrid"/>
        <w:tblW w:w="9214" w:type="dxa"/>
        <w:tblInd w:w="108" w:type="dxa"/>
        <w:tblLook w:val="04A0" w:firstRow="1" w:lastRow="0" w:firstColumn="1" w:lastColumn="0" w:noHBand="0" w:noVBand="1"/>
      </w:tblPr>
      <w:tblGrid>
        <w:gridCol w:w="2268"/>
        <w:gridCol w:w="2552"/>
        <w:gridCol w:w="2297"/>
        <w:gridCol w:w="2097"/>
      </w:tblGrid>
      <w:tr w:rsidR="00F10837" w:rsidRPr="00BA22A3" w14:paraId="1A8C6468" w14:textId="77777777" w:rsidTr="009A0EDB">
        <w:tc>
          <w:tcPr>
            <w:tcW w:w="2268" w:type="dxa"/>
          </w:tcPr>
          <w:p w14:paraId="00EB84F8" w14:textId="77777777" w:rsidR="00F10837" w:rsidRPr="006F3796" w:rsidRDefault="00F10837" w:rsidP="009A0EDB">
            <w:pPr>
              <w:jc w:val="center"/>
            </w:pPr>
            <w:r w:rsidRPr="006F3796">
              <w:t>Service Design</w:t>
            </w:r>
          </w:p>
        </w:tc>
        <w:tc>
          <w:tcPr>
            <w:tcW w:w="2552" w:type="dxa"/>
          </w:tcPr>
          <w:p w14:paraId="6658D34A" w14:textId="77777777" w:rsidR="00F10837" w:rsidRPr="006F3796" w:rsidRDefault="00F10837" w:rsidP="009A0EDB">
            <w:pPr>
              <w:jc w:val="center"/>
            </w:pPr>
            <w:r w:rsidRPr="006F3796">
              <w:t>Service Transition</w:t>
            </w:r>
          </w:p>
        </w:tc>
        <w:tc>
          <w:tcPr>
            <w:tcW w:w="2297" w:type="dxa"/>
          </w:tcPr>
          <w:p w14:paraId="78AEBCBC" w14:textId="77777777" w:rsidR="00F10837" w:rsidRPr="006F3796" w:rsidRDefault="00F10837" w:rsidP="009A0EDB">
            <w:pPr>
              <w:jc w:val="center"/>
            </w:pPr>
            <w:r w:rsidRPr="006F3796">
              <w:t>Service Operation</w:t>
            </w:r>
          </w:p>
        </w:tc>
        <w:tc>
          <w:tcPr>
            <w:tcW w:w="2097" w:type="dxa"/>
          </w:tcPr>
          <w:p w14:paraId="628B7174" w14:textId="77777777" w:rsidR="00F10837" w:rsidRPr="006F3796" w:rsidRDefault="00F10837" w:rsidP="009A0EDB">
            <w:pPr>
              <w:jc w:val="center"/>
            </w:pPr>
            <w:r w:rsidRPr="006F3796">
              <w:t>Service Improvement</w:t>
            </w:r>
          </w:p>
        </w:tc>
      </w:tr>
      <w:tr w:rsidR="00F10837" w:rsidRPr="00BA22A3" w14:paraId="3319A0F7" w14:textId="77777777" w:rsidTr="009A0EDB">
        <w:tc>
          <w:tcPr>
            <w:tcW w:w="2268" w:type="dxa"/>
          </w:tcPr>
          <w:p w14:paraId="16F4A786" w14:textId="77777777" w:rsidR="00F10837" w:rsidRPr="006F3796" w:rsidRDefault="00F10837" w:rsidP="009A0EDB">
            <w:r w:rsidRPr="006F3796">
              <w:t>Capacity Management</w:t>
            </w:r>
          </w:p>
          <w:p w14:paraId="42CB8CEE" w14:textId="77777777" w:rsidR="00F10837" w:rsidRPr="006F3796" w:rsidRDefault="00F10837" w:rsidP="009A0EDB">
            <w:r w:rsidRPr="006F3796">
              <w:t>Availability Management</w:t>
            </w:r>
          </w:p>
          <w:p w14:paraId="15EA6AB8" w14:textId="77777777" w:rsidR="00F10837" w:rsidRPr="006F3796" w:rsidRDefault="00F10837" w:rsidP="009A0EDB">
            <w:r w:rsidRPr="006F3796">
              <w:lastRenderedPageBreak/>
              <w:t>Continuity Management</w:t>
            </w:r>
          </w:p>
          <w:p w14:paraId="5D0CC9AB" w14:textId="77777777" w:rsidR="00F10837" w:rsidRPr="006F3796" w:rsidRDefault="00F10837" w:rsidP="009A0EDB">
            <w:r w:rsidRPr="006F3796">
              <w:t>Information Security Mgt.</w:t>
            </w:r>
          </w:p>
        </w:tc>
        <w:tc>
          <w:tcPr>
            <w:tcW w:w="2552" w:type="dxa"/>
          </w:tcPr>
          <w:p w14:paraId="4EA18122" w14:textId="77777777" w:rsidR="00F10837" w:rsidRPr="006F3796" w:rsidRDefault="00F10837" w:rsidP="009A0EDB">
            <w:r w:rsidRPr="006F3796">
              <w:lastRenderedPageBreak/>
              <w:t>Change Management</w:t>
            </w:r>
          </w:p>
          <w:p w14:paraId="24E3D14A" w14:textId="77777777" w:rsidR="00F10837" w:rsidRPr="006F3796" w:rsidRDefault="00F10837" w:rsidP="009A0EDB">
            <w:r w:rsidRPr="006F3796">
              <w:t>Configuration Management</w:t>
            </w:r>
          </w:p>
          <w:p w14:paraId="52E0D8DA" w14:textId="77777777" w:rsidR="00F10837" w:rsidRPr="006F3796" w:rsidRDefault="00F10837" w:rsidP="009A0EDB">
            <w:r w:rsidRPr="006F3796">
              <w:lastRenderedPageBreak/>
              <w:t>Release / Deployment Mgt.</w:t>
            </w:r>
          </w:p>
          <w:p w14:paraId="16EBFC4A" w14:textId="77777777" w:rsidR="00F10837" w:rsidRPr="006F3796" w:rsidRDefault="00F10837" w:rsidP="009A0EDB">
            <w:r w:rsidRPr="006F3796">
              <w:t>Service Validation/Testing</w:t>
            </w:r>
          </w:p>
        </w:tc>
        <w:tc>
          <w:tcPr>
            <w:tcW w:w="2297" w:type="dxa"/>
          </w:tcPr>
          <w:p w14:paraId="763A553B" w14:textId="77777777" w:rsidR="00F10837" w:rsidRPr="006F3796" w:rsidRDefault="00F10837" w:rsidP="009A0EDB">
            <w:r w:rsidRPr="006F3796">
              <w:lastRenderedPageBreak/>
              <w:t>Event Management</w:t>
            </w:r>
          </w:p>
          <w:p w14:paraId="36E4BB09" w14:textId="77777777" w:rsidR="00F10837" w:rsidRPr="006F3796" w:rsidRDefault="00F10837" w:rsidP="009A0EDB">
            <w:r w:rsidRPr="006F3796">
              <w:t>Incident Management</w:t>
            </w:r>
          </w:p>
          <w:p w14:paraId="7FE812D2" w14:textId="77777777" w:rsidR="00F10837" w:rsidRPr="006F3796" w:rsidRDefault="00F10837" w:rsidP="009A0EDB">
            <w:r w:rsidRPr="006F3796">
              <w:t>Request Fulfilment</w:t>
            </w:r>
          </w:p>
          <w:p w14:paraId="0526F83B" w14:textId="77777777" w:rsidR="00F10837" w:rsidRPr="006F3796" w:rsidRDefault="00F10837" w:rsidP="009A0EDB">
            <w:r w:rsidRPr="006F3796">
              <w:t>Problem Management</w:t>
            </w:r>
          </w:p>
          <w:p w14:paraId="430D9F50" w14:textId="77777777" w:rsidR="00F10837" w:rsidRPr="006F3796" w:rsidRDefault="00F10837" w:rsidP="009A0EDB"/>
        </w:tc>
        <w:tc>
          <w:tcPr>
            <w:tcW w:w="2097" w:type="dxa"/>
          </w:tcPr>
          <w:p w14:paraId="7CA59C85" w14:textId="77777777" w:rsidR="00F10837" w:rsidRPr="006F3796" w:rsidRDefault="00F10837" w:rsidP="009A0EDB">
            <w:r w:rsidRPr="006F3796">
              <w:lastRenderedPageBreak/>
              <w:t>Service Monitoring</w:t>
            </w:r>
          </w:p>
          <w:p w14:paraId="7872A00F" w14:textId="77777777" w:rsidR="00F10837" w:rsidRPr="006F3796" w:rsidRDefault="00F10837" w:rsidP="009A0EDB">
            <w:r w:rsidRPr="006F3796">
              <w:t>Service Reporting</w:t>
            </w:r>
          </w:p>
          <w:p w14:paraId="6073687E" w14:textId="77777777" w:rsidR="00F10837" w:rsidRPr="006F3796" w:rsidRDefault="00F10837" w:rsidP="009A0EDB">
            <w:r w:rsidRPr="006F3796">
              <w:t>Service Level Compliance</w:t>
            </w:r>
          </w:p>
          <w:p w14:paraId="467C8C27" w14:textId="77777777" w:rsidR="00F10837" w:rsidRPr="006F3796" w:rsidRDefault="00F10837" w:rsidP="009A0EDB"/>
        </w:tc>
      </w:tr>
    </w:tbl>
    <w:p w14:paraId="7940F3AD" w14:textId="2102A8DB" w:rsidR="00F10837" w:rsidRDefault="00F10837" w:rsidP="00F10837">
      <w:pPr>
        <w:spacing w:before="120"/>
      </w:pPr>
      <w:r>
        <w:lastRenderedPageBreak/>
        <w:t xml:space="preserve">Within the </w:t>
      </w:r>
      <w:r w:rsidR="00FA0C99">
        <w:t>S</w:t>
      </w:r>
      <w:r>
        <w:t xml:space="preserve">ervice </w:t>
      </w:r>
      <w:r w:rsidR="00FA0C99">
        <w:t>W</w:t>
      </w:r>
      <w:r>
        <w:t xml:space="preserve">rap the Supplier shall monitor </w:t>
      </w:r>
      <w:r w:rsidR="00FA0C99">
        <w:t xml:space="preserve">the RPR </w:t>
      </w:r>
      <w:r>
        <w:t xml:space="preserve">service continuity and performance </w:t>
      </w:r>
      <w:r w:rsidR="00FA0C99">
        <w:t xml:space="preserve">to at least </w:t>
      </w:r>
      <w:r>
        <w:t xml:space="preserve"> meet</w:t>
      </w:r>
      <w:r w:rsidR="00FA0C99">
        <w:t xml:space="preserve"> the</w:t>
      </w:r>
      <w:r>
        <w:t xml:space="preserve"> Service Level targets.  Each month the Supplier shall </w:t>
      </w:r>
      <w:r w:rsidR="00FA0C99">
        <w:t>provide</w:t>
      </w:r>
      <w:r>
        <w:t xml:space="preserve"> BEIS </w:t>
      </w:r>
      <w:r w:rsidR="00FA0C99">
        <w:t xml:space="preserve">with </w:t>
      </w:r>
      <w:r>
        <w:t xml:space="preserve">a Performance Monitoring Report detailing the level of service which was achieved for the Service Period.  Service Reviews will be conducted in line with agreed Service Periods with </w:t>
      </w:r>
      <w:r w:rsidR="00FA0C99">
        <w:t xml:space="preserve">any </w:t>
      </w:r>
      <w:r>
        <w:t xml:space="preserve">remedial actions undertaken to timeframes set out within the Service Contract. </w:t>
      </w:r>
    </w:p>
    <w:p w14:paraId="4BD12CC8" w14:textId="77777777" w:rsidR="00F10837" w:rsidRDefault="00F10837" w:rsidP="00F10837">
      <w:pPr>
        <w:pStyle w:val="Heading2"/>
      </w:pPr>
      <w:r>
        <w:t>Service Provision</w:t>
      </w:r>
    </w:p>
    <w:p w14:paraId="32AFD517" w14:textId="75DADF48" w:rsidR="00F10837" w:rsidRPr="00D91FE9" w:rsidRDefault="00F10837" w:rsidP="00F10837">
      <w:pPr>
        <w:pStyle w:val="Normal1"/>
        <w:spacing w:before="120" w:after="120"/>
        <w:rPr>
          <w:rFonts w:asciiTheme="minorHAnsi" w:hAnsiTheme="minorHAnsi" w:cstheme="majorHAnsi"/>
          <w:highlight w:val="white"/>
        </w:rPr>
      </w:pPr>
      <w:r w:rsidRPr="00987225">
        <w:rPr>
          <w:rFonts w:asciiTheme="minorHAnsi" w:hAnsiTheme="minorHAnsi"/>
        </w:rPr>
        <w:t xml:space="preserve">The </w:t>
      </w:r>
      <w:r>
        <w:rPr>
          <w:rFonts w:asciiTheme="minorHAnsi" w:hAnsiTheme="minorHAnsi"/>
          <w:lang w:val="en-GB"/>
        </w:rPr>
        <w:t>S</w:t>
      </w:r>
      <w:r w:rsidRPr="00987225">
        <w:rPr>
          <w:rFonts w:asciiTheme="minorHAnsi" w:hAnsiTheme="minorHAnsi"/>
        </w:rPr>
        <w:t>upplier shall provide</w:t>
      </w:r>
      <w:r>
        <w:rPr>
          <w:rFonts w:asciiTheme="minorHAnsi" w:hAnsiTheme="minorHAnsi"/>
          <w:lang w:val="en-GB"/>
        </w:rPr>
        <w:t xml:space="preserve"> the </w:t>
      </w:r>
      <w:r w:rsidR="006E7566">
        <w:rPr>
          <w:rFonts w:asciiTheme="minorHAnsi" w:hAnsiTheme="minorHAnsi"/>
          <w:lang w:val="en-GB"/>
        </w:rPr>
        <w:t>S</w:t>
      </w:r>
      <w:r w:rsidRPr="00987225">
        <w:rPr>
          <w:rFonts w:asciiTheme="minorHAnsi" w:hAnsiTheme="minorHAnsi"/>
        </w:rPr>
        <w:t xml:space="preserve">ervice </w:t>
      </w:r>
      <w:r>
        <w:rPr>
          <w:rFonts w:asciiTheme="minorHAnsi" w:hAnsiTheme="minorHAnsi"/>
          <w:lang w:val="en-GB"/>
        </w:rPr>
        <w:t>using</w:t>
      </w:r>
      <w:r w:rsidRPr="00987225">
        <w:rPr>
          <w:rFonts w:asciiTheme="minorHAnsi" w:hAnsiTheme="minorHAnsi"/>
        </w:rPr>
        <w:t xml:space="preserve"> suitably experienced and qualified personnel.</w:t>
      </w:r>
      <w:r>
        <w:t xml:space="preserve"> </w:t>
      </w:r>
      <w:r w:rsidRPr="00D91FE9">
        <w:rPr>
          <w:rFonts w:asciiTheme="minorHAnsi" w:hAnsiTheme="minorHAnsi" w:cstheme="majorHAnsi"/>
          <w:highlight w:val="white"/>
        </w:rPr>
        <w:t xml:space="preserve">As </w:t>
      </w:r>
      <w:r>
        <w:rPr>
          <w:rFonts w:asciiTheme="minorHAnsi" w:hAnsiTheme="minorHAnsi" w:cstheme="majorHAnsi"/>
          <w:highlight w:val="white"/>
        </w:rPr>
        <w:t xml:space="preserve">a minimum, all staff must </w:t>
      </w:r>
      <w:r>
        <w:rPr>
          <w:rFonts w:asciiTheme="minorHAnsi" w:hAnsiTheme="minorHAnsi" w:cstheme="majorHAnsi"/>
          <w:highlight w:val="white"/>
          <w:lang w:val="en-GB"/>
        </w:rPr>
        <w:t>be vetted</w:t>
      </w:r>
      <w:r w:rsidRPr="00D91FE9">
        <w:rPr>
          <w:rFonts w:asciiTheme="minorHAnsi" w:hAnsiTheme="minorHAnsi" w:cstheme="majorHAnsi"/>
          <w:highlight w:val="white"/>
        </w:rPr>
        <w:t xml:space="preserve"> with the Baseline Personnel Security Standard. All Supplier staff must complete the personnel security controls that are described in the </w:t>
      </w:r>
      <w:hyperlink r:id="rId19">
        <w:r w:rsidRPr="00D91FE9">
          <w:rPr>
            <w:rFonts w:asciiTheme="minorHAnsi" w:hAnsiTheme="minorHAnsi" w:cstheme="majorHAnsi"/>
            <w:highlight w:val="white"/>
            <w:u w:val="single"/>
          </w:rPr>
          <w:t>Baseline Personnel Security Standard</w:t>
        </w:r>
      </w:hyperlink>
      <w:r w:rsidRPr="00D91FE9">
        <w:rPr>
          <w:rFonts w:asciiTheme="minorHAnsi" w:hAnsiTheme="minorHAnsi" w:cstheme="majorHAnsi"/>
          <w:highlight w:val="white"/>
        </w:rPr>
        <w:t xml:space="preserve"> before commencing work.</w:t>
      </w:r>
    </w:p>
    <w:p w14:paraId="1E8EA46E" w14:textId="77777777" w:rsidR="00F10837" w:rsidRPr="00D060DB" w:rsidRDefault="00F10837" w:rsidP="00F10837">
      <w:pPr>
        <w:pStyle w:val="Normal1"/>
        <w:spacing w:before="120" w:after="120"/>
        <w:rPr>
          <w:rFonts w:asciiTheme="minorHAnsi" w:hAnsiTheme="minorHAnsi" w:cstheme="majorBidi"/>
          <w:lang w:val="en-GB"/>
        </w:rPr>
      </w:pPr>
      <w:r w:rsidRPr="44631022">
        <w:rPr>
          <w:rFonts w:asciiTheme="minorHAnsi" w:hAnsiTheme="minorHAnsi" w:cstheme="majorBidi"/>
          <w:highlight w:val="white"/>
        </w:rPr>
        <w:t xml:space="preserve">Supplier staff who will have access to </w:t>
      </w:r>
      <w:r w:rsidRPr="44631022">
        <w:rPr>
          <w:rFonts w:asciiTheme="minorHAnsi" w:hAnsiTheme="minorHAnsi" w:cstheme="majorBidi"/>
          <w:highlight w:val="white"/>
          <w:lang w:val="en-GB"/>
        </w:rPr>
        <w:t>BEIS</w:t>
      </w:r>
      <w:r w:rsidRPr="44631022">
        <w:rPr>
          <w:rFonts w:asciiTheme="minorHAnsi" w:hAnsiTheme="minorHAnsi" w:cstheme="majorBidi"/>
          <w:highlight w:val="white"/>
        </w:rPr>
        <w:t xml:space="preserve"> live data (classified as Official </w:t>
      </w:r>
      <w:r w:rsidRPr="44631022">
        <w:rPr>
          <w:rFonts w:asciiTheme="minorHAnsi" w:hAnsiTheme="minorHAnsi" w:cstheme="majorBidi"/>
          <w:highlight w:val="white"/>
          <w:lang w:val="en-GB"/>
        </w:rPr>
        <w:t>Personal</w:t>
      </w:r>
      <w:r w:rsidRPr="44631022">
        <w:rPr>
          <w:rFonts w:asciiTheme="minorHAnsi" w:hAnsiTheme="minorHAnsi" w:cstheme="majorBidi"/>
          <w:highlight w:val="white"/>
        </w:rPr>
        <w:t xml:space="preserve"> data), must be </w:t>
      </w:r>
      <w:r w:rsidRPr="44631022">
        <w:rPr>
          <w:rFonts w:asciiTheme="minorHAnsi" w:hAnsiTheme="minorHAnsi" w:cstheme="majorBidi"/>
          <w:highlight w:val="white"/>
          <w:lang w:val="en-GB"/>
        </w:rPr>
        <w:t xml:space="preserve">security </w:t>
      </w:r>
      <w:r w:rsidRPr="44631022">
        <w:rPr>
          <w:rFonts w:asciiTheme="minorHAnsi" w:hAnsiTheme="minorHAnsi" w:cstheme="majorBidi"/>
          <w:lang w:val="en-GB"/>
        </w:rPr>
        <w:t>screened to BPSS level.</w:t>
      </w:r>
    </w:p>
    <w:p w14:paraId="6146D7F7" w14:textId="68B4D227" w:rsidR="00F10837" w:rsidRDefault="00F10837" w:rsidP="00F10837">
      <w:pPr>
        <w:pStyle w:val="Normal1"/>
        <w:spacing w:before="120" w:after="120"/>
        <w:rPr>
          <w:rFonts w:asciiTheme="minorHAnsi" w:hAnsiTheme="minorHAnsi" w:cstheme="majorBidi"/>
          <w:lang w:val="en-GB"/>
        </w:rPr>
      </w:pPr>
      <w:r w:rsidRPr="56144597">
        <w:rPr>
          <w:rFonts w:asciiTheme="minorHAnsi" w:hAnsiTheme="minorHAnsi" w:cstheme="majorBidi"/>
          <w:lang w:val="en-GB"/>
        </w:rPr>
        <w:t xml:space="preserve">The </w:t>
      </w:r>
      <w:r w:rsidR="006E7566">
        <w:rPr>
          <w:rFonts w:asciiTheme="minorHAnsi" w:hAnsiTheme="minorHAnsi" w:cstheme="majorBidi"/>
          <w:lang w:val="en-GB"/>
        </w:rPr>
        <w:t>S</w:t>
      </w:r>
      <w:r w:rsidRPr="56144597">
        <w:rPr>
          <w:rFonts w:asciiTheme="minorHAnsi" w:hAnsiTheme="minorHAnsi" w:cstheme="majorBidi"/>
          <w:lang w:val="en-GB"/>
        </w:rPr>
        <w:t>upplier shall provide named (and separate) Project Management and Service Relationship Management resource.</w:t>
      </w:r>
    </w:p>
    <w:p w14:paraId="75D80DEC" w14:textId="77777777" w:rsidR="00F10837" w:rsidRPr="00B61608" w:rsidRDefault="00F10837" w:rsidP="00F10837">
      <w:pPr>
        <w:pStyle w:val="Heading2"/>
      </w:pPr>
      <w:r>
        <w:t>Business C</w:t>
      </w:r>
      <w:r w:rsidRPr="00B61608">
        <w:t xml:space="preserve">ontinuity and Disaster Recovery planning </w:t>
      </w:r>
    </w:p>
    <w:p w14:paraId="7C9B05DA" w14:textId="77777777" w:rsidR="00F10837" w:rsidRPr="00287C4C" w:rsidRDefault="00F10837" w:rsidP="00F10837">
      <w:r w:rsidRPr="00B61608">
        <w:t xml:space="preserve">The Supplier </w:t>
      </w:r>
      <w:r>
        <w:t>will</w:t>
      </w:r>
      <w:r w:rsidRPr="00B61608">
        <w:t xml:space="preserve"> </w:t>
      </w:r>
      <w:r>
        <w:t>validate</w:t>
      </w:r>
      <w:r w:rsidRPr="00B61608">
        <w:t xml:space="preserve">, maintain and test business continuity and disaster recovery plan(s) and ensure that </w:t>
      </w:r>
      <w:r>
        <w:t>BEIS</w:t>
      </w:r>
      <w:r w:rsidRPr="00B61608">
        <w:t xml:space="preserve"> is aware of these plans and informed when chan</w:t>
      </w:r>
      <w:r>
        <w:t>ges are made.</w:t>
      </w:r>
    </w:p>
    <w:p w14:paraId="623C646B" w14:textId="77777777" w:rsidR="00F10837" w:rsidRDefault="00F10837" w:rsidP="005C654D">
      <w:pPr>
        <w:pStyle w:val="Heading2"/>
      </w:pPr>
      <w:r>
        <w:t>Security</w:t>
      </w:r>
    </w:p>
    <w:p w14:paraId="41E55030" w14:textId="77777777" w:rsidR="00F10837" w:rsidRPr="00654F4D" w:rsidRDefault="00F10837" w:rsidP="005C654D">
      <w:pPr>
        <w:pStyle w:val="Heading3"/>
      </w:pPr>
      <w:r w:rsidRPr="00654F4D">
        <w:t>Purpose</w:t>
      </w:r>
    </w:p>
    <w:p w14:paraId="154209D2" w14:textId="77777777" w:rsidR="00F10837" w:rsidRDefault="00F10837" w:rsidP="00F10837">
      <w:r>
        <w:t>BEIS has a duty to government, regulated organisations, the public and its own employees, to ensure that access to information is controlled and managed appropriately. The aim is to establish mechanisms and standards for the secure storage and protection of information.</w:t>
      </w:r>
    </w:p>
    <w:p w14:paraId="217F829A" w14:textId="1CA80EFC" w:rsidR="00F10837" w:rsidRDefault="00F10837" w:rsidP="00F10837">
      <w:r w:rsidRPr="00BE17F0">
        <w:t xml:space="preserve">The </w:t>
      </w:r>
      <w:r w:rsidR="006E7566">
        <w:t>S</w:t>
      </w:r>
      <w:r w:rsidRPr="00BE17F0">
        <w:t xml:space="preserve">ervice </w:t>
      </w:r>
      <w:r w:rsidR="006E7566">
        <w:t>will</w:t>
      </w:r>
      <w:r w:rsidRPr="00BE17F0">
        <w:t xml:space="preserve"> be provided in accordance with </w:t>
      </w:r>
      <w:r>
        <w:t xml:space="preserve">GDS/NCSC </w:t>
      </w:r>
      <w:r w:rsidRPr="00BE17F0">
        <w:t>Security standards and be subjected to</w:t>
      </w:r>
      <w:r>
        <w:t xml:space="preserve"> </w:t>
      </w:r>
      <w:r w:rsidR="006E7566">
        <w:t xml:space="preserve">annual </w:t>
      </w:r>
      <w:r w:rsidRPr="00692537">
        <w:t xml:space="preserve">independent penetration testing </w:t>
      </w:r>
      <w:r w:rsidRPr="00BE17F0">
        <w:t>c</w:t>
      </w:r>
      <w:r>
        <w:t>ommissioned as required by BEIS.</w:t>
      </w:r>
    </w:p>
    <w:p w14:paraId="33C20219" w14:textId="4EF5C794" w:rsidR="00F10837" w:rsidRDefault="00F10837" w:rsidP="00F10837">
      <w:r>
        <w:t xml:space="preserve">The </w:t>
      </w:r>
      <w:r w:rsidR="006E7566">
        <w:t xml:space="preserve">Parties will agree in writing </w:t>
      </w:r>
      <w:r>
        <w:t xml:space="preserve"> a Security Aspects Letter (SAL) </w:t>
      </w:r>
      <w:r w:rsidR="006E7566">
        <w:t>to</w:t>
      </w:r>
      <w:r>
        <w:t xml:space="preserve"> compl</w:t>
      </w:r>
      <w:r w:rsidR="006E7566">
        <w:t>y with</w:t>
      </w:r>
      <w:r>
        <w:t xml:space="preserve"> BEIS security requirements. </w:t>
      </w:r>
    </w:p>
    <w:p w14:paraId="34D73CBE" w14:textId="77777777" w:rsidR="00F10837" w:rsidRPr="00654F4D" w:rsidRDefault="00F10837" w:rsidP="005C654D">
      <w:pPr>
        <w:pStyle w:val="Heading3"/>
      </w:pPr>
      <w:r w:rsidRPr="00654F4D">
        <w:t>Security Designation</w:t>
      </w:r>
    </w:p>
    <w:p w14:paraId="40421FB0" w14:textId="77777777" w:rsidR="00F10837" w:rsidRDefault="00F10837" w:rsidP="00F10837">
      <w:r>
        <w:t xml:space="preserve">The nature of RPR data to be managed within the BEIS services falls within the Government Security Classification (2014) of ‘Official’ with a sub definition of ‘Personal’  </w:t>
      </w:r>
    </w:p>
    <w:p w14:paraId="43C67489" w14:textId="77777777" w:rsidR="00F10837" w:rsidRPr="00B71385" w:rsidRDefault="00F10837" w:rsidP="005C654D">
      <w:pPr>
        <w:pStyle w:val="Heading3"/>
      </w:pPr>
      <w:r w:rsidRPr="00654F4D">
        <w:t>Storage of data</w:t>
      </w:r>
    </w:p>
    <w:p w14:paraId="2F717E31" w14:textId="77777777" w:rsidR="00F10837" w:rsidRDefault="00F10837" w:rsidP="00F10837">
      <w:pPr>
        <w:rPr>
          <w:rFonts w:asciiTheme="majorHAnsi" w:eastAsiaTheme="majorEastAsia" w:hAnsiTheme="majorHAnsi" w:cstheme="majorBidi"/>
          <w:b/>
          <w:bCs/>
          <w:color w:val="5B9BD5" w:themeColor="accent1"/>
          <w:sz w:val="26"/>
          <w:szCs w:val="26"/>
        </w:rPr>
      </w:pPr>
      <w:r>
        <w:t>The RPR Data</w:t>
      </w:r>
      <w:r w:rsidRPr="00B71385">
        <w:t xml:space="preserve"> information will be stored within the United Kingdom. </w:t>
      </w:r>
      <w:r>
        <w:t xml:space="preserve"> </w:t>
      </w:r>
      <w:r w:rsidRPr="00B71385">
        <w:t>Exceptions can be made if it can be judged the risk is negligible in storing the data outside the UK</w:t>
      </w:r>
      <w:r>
        <w:t xml:space="preserve"> with</w:t>
      </w:r>
      <w:r w:rsidRPr="00B71385">
        <w:t xml:space="preserve"> sign off at </w:t>
      </w:r>
      <w:r>
        <w:t>BEIS</w:t>
      </w:r>
      <w:r w:rsidRPr="00B71385">
        <w:t xml:space="preserve"> Director level.</w:t>
      </w:r>
      <w:r>
        <w:t xml:space="preserve">  </w:t>
      </w:r>
    </w:p>
    <w:p w14:paraId="3002F026" w14:textId="77777777" w:rsidR="00F10837" w:rsidRPr="00654F4D" w:rsidRDefault="00F10837" w:rsidP="00F10837">
      <w:pPr>
        <w:pStyle w:val="Heading2"/>
      </w:pPr>
      <w:r w:rsidRPr="00654F4D">
        <w:lastRenderedPageBreak/>
        <w:t>NCSC Cloud Security Principles</w:t>
      </w:r>
    </w:p>
    <w:p w14:paraId="7BC3AD2E" w14:textId="45F646D7" w:rsidR="00F10837" w:rsidRPr="00BE17F0" w:rsidRDefault="00F10837" w:rsidP="00F10837">
      <w:r>
        <w:t>BEIS</w:t>
      </w:r>
      <w:r w:rsidRPr="00BE17F0">
        <w:t xml:space="preserve"> use all GCHQ NCSC guidance that relates to cloud-based solutions</w:t>
      </w:r>
      <w:r>
        <w:t xml:space="preserve">.  The RPR Service </w:t>
      </w:r>
      <w:r w:rsidR="006E7566">
        <w:t>will</w:t>
      </w:r>
      <w:r>
        <w:t xml:space="preserve"> comply with the following:</w:t>
      </w:r>
    </w:p>
    <w:p w14:paraId="1CD7B393" w14:textId="77777777" w:rsidR="00F10837" w:rsidRPr="00654F4D" w:rsidRDefault="00F10837" w:rsidP="00F10837">
      <w:pPr>
        <w:pStyle w:val="Heading3"/>
      </w:pPr>
      <w:r w:rsidRPr="00654F4D">
        <w:t>Data in transit protection</w:t>
      </w:r>
    </w:p>
    <w:p w14:paraId="1A10DD9B" w14:textId="77777777" w:rsidR="00F10837" w:rsidRDefault="00F10837" w:rsidP="00F10837">
      <w:pPr>
        <w:spacing w:line="240" w:lineRule="auto"/>
      </w:pPr>
      <w:r w:rsidRPr="00654F4D">
        <w:rPr>
          <w:i/>
        </w:rPr>
        <w:t>User data transiting networks should be adequately protected against tampering and eavesdropping.</w:t>
      </w:r>
    </w:p>
    <w:p w14:paraId="14123690" w14:textId="77777777" w:rsidR="00F10837" w:rsidRDefault="00F10837" w:rsidP="00F10837">
      <w:pPr>
        <w:pStyle w:val="Heading3"/>
      </w:pPr>
      <w:r>
        <w:t>Asset protection and resilience</w:t>
      </w:r>
    </w:p>
    <w:p w14:paraId="19C3EF15" w14:textId="7879C0CA" w:rsidR="00F10837" w:rsidRPr="001C5A9A" w:rsidRDefault="00F10837" w:rsidP="00F10837">
      <w:pPr>
        <w:spacing w:after="120" w:line="240" w:lineRule="auto"/>
      </w:pPr>
      <w:r w:rsidRPr="00654F4D">
        <w:rPr>
          <w:i/>
        </w:rPr>
        <w:t>User data, and the assets storing or processing it, should be protected against physical tampering, loss, damage, or seizure.</w:t>
      </w:r>
      <w:r>
        <w:rPr>
          <w:i/>
        </w:rPr>
        <w:t xml:space="preserve"> </w:t>
      </w:r>
      <w:r w:rsidR="00F25589">
        <w:t xml:space="preserve">With </w:t>
      </w:r>
      <w:r w:rsidRPr="001723BD">
        <w:t xml:space="preserve">respect </w:t>
      </w:r>
      <w:r w:rsidR="00F25589">
        <w:t xml:space="preserve">to this element of </w:t>
      </w:r>
      <w:r w:rsidRPr="001723BD">
        <w:t>the</w:t>
      </w:r>
      <w:r>
        <w:rPr>
          <w:i/>
        </w:rPr>
        <w:t xml:space="preserve"> </w:t>
      </w:r>
      <w:r w:rsidR="006E7566">
        <w:rPr>
          <w:i/>
        </w:rPr>
        <w:t>Service</w:t>
      </w:r>
      <w:r w:rsidR="00F25589">
        <w:rPr>
          <w:i/>
        </w:rPr>
        <w:t>,</w:t>
      </w:r>
      <w:r w:rsidR="006E7566">
        <w:rPr>
          <w:i/>
        </w:rPr>
        <w:t xml:space="preserve"> the S</w:t>
      </w:r>
      <w:r w:rsidRPr="00EF2938">
        <w:rPr>
          <w:i/>
        </w:rPr>
        <w:t xml:space="preserve">upplier </w:t>
      </w:r>
      <w:r w:rsidR="006E7566">
        <w:rPr>
          <w:i/>
        </w:rPr>
        <w:t>will</w:t>
      </w:r>
      <w:r w:rsidRPr="00EF2938">
        <w:rPr>
          <w:i/>
        </w:rPr>
        <w:t>:</w:t>
      </w:r>
    </w:p>
    <w:p w14:paraId="0CB7B806" w14:textId="5542AC14" w:rsidR="00F10837" w:rsidRDefault="00F10837" w:rsidP="00F10837">
      <w:pPr>
        <w:pStyle w:val="ListParagraph"/>
        <w:numPr>
          <w:ilvl w:val="0"/>
          <w:numId w:val="39"/>
        </w:numPr>
        <w:suppressAutoHyphens w:val="0"/>
        <w:autoSpaceDN/>
        <w:spacing w:line="240" w:lineRule="auto"/>
        <w:ind w:left="426" w:hanging="426"/>
        <w:contextualSpacing/>
        <w:textAlignment w:val="auto"/>
      </w:pPr>
      <w:r>
        <w:t>Be able to state where information will be stored and processed, including all snapshots, backups, exports, and replicated data</w:t>
      </w:r>
      <w:r w:rsidR="00F25589">
        <w:t>, to the extent that this information is made available by GOV.UK PaaS to the Supplier.</w:t>
      </w:r>
    </w:p>
    <w:p w14:paraId="58FB61B0" w14:textId="743E8831" w:rsidR="00F10837" w:rsidRDefault="00F10837" w:rsidP="00F10837">
      <w:pPr>
        <w:pStyle w:val="ListParagraph"/>
        <w:numPr>
          <w:ilvl w:val="0"/>
          <w:numId w:val="39"/>
        </w:numPr>
        <w:suppressAutoHyphens w:val="0"/>
        <w:autoSpaceDN/>
        <w:spacing w:line="240" w:lineRule="auto"/>
        <w:ind w:left="426" w:hanging="426"/>
        <w:contextualSpacing/>
        <w:textAlignment w:val="auto"/>
      </w:pPr>
      <w:r>
        <w:t xml:space="preserve">Store BEIS information </w:t>
      </w:r>
      <w:r w:rsidR="00790144">
        <w:t xml:space="preserve">on Supplier provided platform </w:t>
      </w:r>
      <w:r>
        <w:t>within the United Kingdom.</w:t>
      </w:r>
    </w:p>
    <w:p w14:paraId="1F4C716A" w14:textId="77777777" w:rsidR="00F10837" w:rsidRDefault="00F10837" w:rsidP="00F10837">
      <w:pPr>
        <w:pStyle w:val="ListParagraph"/>
        <w:numPr>
          <w:ilvl w:val="0"/>
          <w:numId w:val="39"/>
        </w:numPr>
        <w:suppressAutoHyphens w:val="0"/>
        <w:autoSpaceDN/>
        <w:spacing w:line="240" w:lineRule="auto"/>
        <w:ind w:left="426" w:hanging="426"/>
        <w:contextualSpacing/>
        <w:textAlignment w:val="auto"/>
      </w:pPr>
      <w:r>
        <w:t xml:space="preserve">May not use BEIS information for any purpose other than to provide RPR Services to BEIS. </w:t>
      </w:r>
    </w:p>
    <w:p w14:paraId="22DA8343" w14:textId="1660E3F0" w:rsidR="00F10837" w:rsidRDefault="00F10837" w:rsidP="00F10837">
      <w:pPr>
        <w:pStyle w:val="ListParagraph"/>
        <w:numPr>
          <w:ilvl w:val="0"/>
          <w:numId w:val="39"/>
        </w:numPr>
        <w:suppressAutoHyphens w:val="0"/>
        <w:autoSpaceDN/>
        <w:spacing w:line="240" w:lineRule="auto"/>
        <w:ind w:left="426" w:hanging="426"/>
        <w:contextualSpacing/>
        <w:textAlignment w:val="auto"/>
      </w:pPr>
      <w:r>
        <w:t xml:space="preserve">Assure BEIS that an adequate form of data encryption is employed to ensure that no data is written to disk in an unencrypted form.  They must manage cryptographic keys in accordance with Government standard IS4. </w:t>
      </w:r>
      <w:r w:rsidR="00F25589">
        <w:t>The Supplier will maintain the Application in this respect to the extent that can be achieved using GOV.UK PaaS.</w:t>
      </w:r>
    </w:p>
    <w:p w14:paraId="4242CAE3" w14:textId="77777777" w:rsidR="00F10837" w:rsidRDefault="00F10837" w:rsidP="00F10837">
      <w:pPr>
        <w:pStyle w:val="Heading3"/>
      </w:pPr>
      <w:r>
        <w:t>Separation between users</w:t>
      </w:r>
    </w:p>
    <w:p w14:paraId="176E45B4" w14:textId="16D1F0F4" w:rsidR="00F10837" w:rsidRPr="00A4418F" w:rsidRDefault="00F10837" w:rsidP="00F10837">
      <w:pPr>
        <w:spacing w:after="120" w:line="240" w:lineRule="auto"/>
      </w:pPr>
      <w:r w:rsidRPr="00654F4D">
        <w:rPr>
          <w:i/>
        </w:rPr>
        <w:t xml:space="preserve">A malicious or compromised user of the </w:t>
      </w:r>
      <w:r w:rsidR="003B415A">
        <w:rPr>
          <w:i/>
        </w:rPr>
        <w:t>RPR S</w:t>
      </w:r>
      <w:r w:rsidRPr="00654F4D">
        <w:rPr>
          <w:i/>
        </w:rPr>
        <w:t>ervice should not be able to affect the service or data of another.</w:t>
      </w:r>
      <w:r>
        <w:t xml:space="preserve">  </w:t>
      </w:r>
      <w:r w:rsidRPr="00BB05BB">
        <w:rPr>
          <w:i/>
        </w:rPr>
        <w:t>In this respect the</w:t>
      </w:r>
      <w:r>
        <w:rPr>
          <w:i/>
        </w:rPr>
        <w:t xml:space="preserve"> </w:t>
      </w:r>
      <w:r w:rsidR="003B415A">
        <w:rPr>
          <w:i/>
        </w:rPr>
        <w:t>S</w:t>
      </w:r>
      <w:r w:rsidRPr="00EF2938">
        <w:rPr>
          <w:i/>
        </w:rPr>
        <w:t>upplier must</w:t>
      </w:r>
      <w:r w:rsidR="00830D3F">
        <w:rPr>
          <w:i/>
        </w:rPr>
        <w:t xml:space="preserve"> support the following, </w:t>
      </w:r>
      <w:r w:rsidR="00830D3F">
        <w:t>to the extent that can be supported using GOV.UK PaaS as a Hosting Platform</w:t>
      </w:r>
      <w:r w:rsidRPr="00EF2938">
        <w:rPr>
          <w:i/>
        </w:rPr>
        <w:t>:</w:t>
      </w:r>
    </w:p>
    <w:p w14:paraId="7C74B8B1" w14:textId="77777777" w:rsidR="00F10837" w:rsidRDefault="00F10837" w:rsidP="00F10837">
      <w:pPr>
        <w:pStyle w:val="ListParagraph"/>
        <w:numPr>
          <w:ilvl w:val="0"/>
          <w:numId w:val="40"/>
        </w:numPr>
        <w:suppressAutoHyphens w:val="0"/>
        <w:autoSpaceDN/>
        <w:spacing w:line="240" w:lineRule="auto"/>
        <w:ind w:left="0" w:firstLine="0"/>
        <w:contextualSpacing/>
        <w:textAlignment w:val="auto"/>
      </w:pPr>
      <w:r>
        <w:t>Provide evidence of sufficient separation of data from other users of the service.</w:t>
      </w:r>
    </w:p>
    <w:p w14:paraId="24DE683F" w14:textId="77777777" w:rsidR="00F10837" w:rsidRDefault="00F10837" w:rsidP="00F10837">
      <w:pPr>
        <w:pStyle w:val="ListParagraph"/>
        <w:numPr>
          <w:ilvl w:val="0"/>
          <w:numId w:val="40"/>
        </w:numPr>
        <w:suppressAutoHyphens w:val="0"/>
        <w:autoSpaceDN/>
        <w:spacing w:line="240" w:lineRule="auto"/>
        <w:ind w:left="0" w:firstLine="0"/>
        <w:contextualSpacing/>
        <w:textAlignment w:val="auto"/>
      </w:pPr>
      <w:r>
        <w:t>Undergo penetration testing of its services as required by BEIS and implement remediations found necessary as a result of such testing.</w:t>
      </w:r>
    </w:p>
    <w:p w14:paraId="0351FBCD" w14:textId="77777777" w:rsidR="00F10837" w:rsidRDefault="00F10837" w:rsidP="00F10837">
      <w:pPr>
        <w:pStyle w:val="ListParagraph"/>
        <w:numPr>
          <w:ilvl w:val="0"/>
          <w:numId w:val="40"/>
        </w:numPr>
        <w:suppressAutoHyphens w:val="0"/>
        <w:autoSpaceDN/>
        <w:spacing w:line="240" w:lineRule="auto"/>
        <w:ind w:left="0" w:firstLine="0"/>
        <w:contextualSpacing/>
        <w:textAlignment w:val="auto"/>
      </w:pPr>
      <w:r>
        <w:t>Undertake security reviews of the design of the services and adopt an engineering approach that ensures security is a key consideration in developing the services.</w:t>
      </w:r>
    </w:p>
    <w:p w14:paraId="7B35A2D0" w14:textId="1609DD14" w:rsidR="00F10837" w:rsidRDefault="00F10837" w:rsidP="00F10837">
      <w:pPr>
        <w:pStyle w:val="ListParagraph"/>
        <w:numPr>
          <w:ilvl w:val="0"/>
          <w:numId w:val="40"/>
        </w:numPr>
        <w:suppressAutoHyphens w:val="0"/>
        <w:autoSpaceDN/>
        <w:spacing w:line="240" w:lineRule="auto"/>
        <w:ind w:left="0" w:firstLine="0"/>
        <w:contextualSpacing/>
        <w:textAlignment w:val="auto"/>
      </w:pPr>
      <w:r>
        <w:t xml:space="preserve">If required by BEIS, complete </w:t>
      </w:r>
      <w:r w:rsidRPr="00F51748">
        <w:t>Data Protection Impact Assessments</w:t>
      </w:r>
      <w:r w:rsidR="00442E2E">
        <w:t xml:space="preserve"> on an annual basis</w:t>
      </w:r>
      <w:r>
        <w:t>.</w:t>
      </w:r>
    </w:p>
    <w:p w14:paraId="53B4005F" w14:textId="77777777" w:rsidR="00F10837" w:rsidRDefault="00F10837" w:rsidP="00F10837">
      <w:pPr>
        <w:pStyle w:val="Heading2"/>
      </w:pPr>
      <w:r>
        <w:t>Governance framework</w:t>
      </w:r>
    </w:p>
    <w:p w14:paraId="3B7F2231" w14:textId="4D2641E4" w:rsidR="00F10837" w:rsidRPr="00A06E51" w:rsidRDefault="00F10837" w:rsidP="00F10837">
      <w:pPr>
        <w:rPr>
          <w:i/>
        </w:rPr>
      </w:pPr>
      <w:r w:rsidRPr="00A06E51">
        <w:rPr>
          <w:i/>
        </w:rPr>
        <w:t xml:space="preserve">The </w:t>
      </w:r>
      <w:r w:rsidR="00442E2E">
        <w:rPr>
          <w:i/>
        </w:rPr>
        <w:t>S</w:t>
      </w:r>
      <w:r w:rsidRPr="00A06E51">
        <w:rPr>
          <w:i/>
        </w:rPr>
        <w:t>upplier should have a security governance framework and policy(s) which coordinates and directs its management of the service and information within it. These should include but are not exclusive to:</w:t>
      </w:r>
    </w:p>
    <w:p w14:paraId="174F77F0" w14:textId="77777777" w:rsidR="00F10837" w:rsidRDefault="00F10837" w:rsidP="00F10837">
      <w:pPr>
        <w:spacing w:line="240" w:lineRule="auto"/>
        <w:ind w:left="426" w:hanging="426"/>
      </w:pPr>
      <w:r>
        <w:t>•</w:t>
      </w:r>
      <w:r>
        <w:tab/>
        <w:t>Operational security</w:t>
      </w:r>
    </w:p>
    <w:p w14:paraId="5EB8E643" w14:textId="77777777" w:rsidR="00F10837" w:rsidRDefault="00F10837" w:rsidP="00F10837">
      <w:pPr>
        <w:spacing w:line="240" w:lineRule="auto"/>
        <w:ind w:left="426" w:hanging="426"/>
      </w:pPr>
      <w:r>
        <w:t>•</w:t>
      </w:r>
      <w:r>
        <w:tab/>
        <w:t>Personnel security</w:t>
      </w:r>
    </w:p>
    <w:p w14:paraId="76667B64" w14:textId="77777777" w:rsidR="00F10837" w:rsidRDefault="00F10837" w:rsidP="00F10837">
      <w:pPr>
        <w:spacing w:line="240" w:lineRule="auto"/>
        <w:ind w:left="426" w:hanging="426"/>
      </w:pPr>
      <w:r>
        <w:t>•</w:t>
      </w:r>
      <w:r>
        <w:tab/>
        <w:t>Secure development</w:t>
      </w:r>
    </w:p>
    <w:p w14:paraId="5498B07A" w14:textId="77777777" w:rsidR="00F10837" w:rsidRDefault="00F10837" w:rsidP="00F10837">
      <w:pPr>
        <w:spacing w:line="240" w:lineRule="auto"/>
        <w:ind w:left="426" w:hanging="426"/>
      </w:pPr>
      <w:r>
        <w:t>•</w:t>
      </w:r>
      <w:r>
        <w:tab/>
        <w:t>Supply chain security</w:t>
      </w:r>
    </w:p>
    <w:p w14:paraId="00B7099F" w14:textId="77777777" w:rsidR="00F10837" w:rsidRDefault="00F10837" w:rsidP="00F10837">
      <w:pPr>
        <w:spacing w:line="240" w:lineRule="auto"/>
        <w:ind w:left="426" w:hanging="426"/>
      </w:pPr>
      <w:r>
        <w:t>•</w:t>
      </w:r>
      <w:r>
        <w:tab/>
        <w:t>Secure user management</w:t>
      </w:r>
    </w:p>
    <w:p w14:paraId="08F8CF50" w14:textId="77777777" w:rsidR="00F10837" w:rsidRDefault="00F10837" w:rsidP="00F10837">
      <w:pPr>
        <w:spacing w:line="240" w:lineRule="auto"/>
        <w:ind w:left="426" w:hanging="426"/>
      </w:pPr>
      <w:r>
        <w:t>•</w:t>
      </w:r>
      <w:r>
        <w:tab/>
        <w:t>Identity and authentication</w:t>
      </w:r>
    </w:p>
    <w:p w14:paraId="4C35EC88" w14:textId="77777777" w:rsidR="00F10837" w:rsidRDefault="00F10837" w:rsidP="00F10837">
      <w:pPr>
        <w:spacing w:line="240" w:lineRule="auto"/>
        <w:ind w:left="426" w:hanging="426"/>
      </w:pPr>
      <w:r>
        <w:t>•</w:t>
      </w:r>
      <w:r>
        <w:tab/>
        <w:t>External interface protection</w:t>
      </w:r>
    </w:p>
    <w:p w14:paraId="4BBFF2C9" w14:textId="77777777" w:rsidR="00F10837" w:rsidRDefault="00F10837" w:rsidP="00F10837">
      <w:pPr>
        <w:spacing w:line="240" w:lineRule="auto"/>
        <w:ind w:left="426" w:hanging="426"/>
      </w:pPr>
      <w:r>
        <w:t>•</w:t>
      </w:r>
      <w:r>
        <w:tab/>
        <w:t>Secure service administration</w:t>
      </w:r>
    </w:p>
    <w:p w14:paraId="1DD1F538" w14:textId="77777777" w:rsidR="00F10837" w:rsidRDefault="00F10837" w:rsidP="00F10837">
      <w:pPr>
        <w:spacing w:line="240" w:lineRule="auto"/>
        <w:ind w:left="426" w:hanging="426"/>
      </w:pPr>
      <w:r>
        <w:t>•</w:t>
      </w:r>
      <w:r>
        <w:tab/>
        <w:t>Audit information for users</w:t>
      </w:r>
    </w:p>
    <w:p w14:paraId="1AB923E9" w14:textId="77777777" w:rsidR="00F10837" w:rsidRDefault="00F10837" w:rsidP="00F10837">
      <w:pPr>
        <w:spacing w:line="240" w:lineRule="auto"/>
        <w:ind w:left="426" w:hanging="426"/>
      </w:pPr>
      <w:r>
        <w:t>•</w:t>
      </w:r>
      <w:r>
        <w:tab/>
        <w:t>Secure use of the service</w:t>
      </w:r>
    </w:p>
    <w:p w14:paraId="4BA36ED2" w14:textId="77777777" w:rsidR="00F10837" w:rsidRDefault="00F10837" w:rsidP="00F10837">
      <w:pPr>
        <w:spacing w:line="240" w:lineRule="auto"/>
      </w:pPr>
    </w:p>
    <w:p w14:paraId="05C7FD6F" w14:textId="57DF4B93" w:rsidR="00F10837" w:rsidRPr="007D5499" w:rsidRDefault="00F10837" w:rsidP="00F10837">
      <w:r>
        <w:lastRenderedPageBreak/>
        <w:t>BEIS will require sight of these items together and before agreement to the Security Aspects Letter (SAL) to assure itself of a) adequacy of security governance and policies and b) adherence to and maintenance (currency) within the Supplier organisation.</w:t>
      </w:r>
    </w:p>
    <w:p w14:paraId="21DFE815" w14:textId="77777777" w:rsidR="005C3AE7" w:rsidRPr="007D5499" w:rsidRDefault="005C3AE7" w:rsidP="005C3AE7">
      <w:pPr>
        <w:pStyle w:val="Heading1"/>
        <w:numPr>
          <w:ilvl w:val="0"/>
          <w:numId w:val="36"/>
        </w:numPr>
        <w:suppressAutoHyphens w:val="0"/>
        <w:autoSpaceDN/>
        <w:spacing w:before="360" w:after="0"/>
        <w:ind w:left="425" w:hanging="425"/>
        <w:textAlignment w:val="auto"/>
      </w:pPr>
      <w:bookmarkStart w:id="22" w:name="_Toc99722381"/>
      <w:r w:rsidRPr="007D5499">
        <w:t>Enhancements</w:t>
      </w:r>
      <w:bookmarkEnd w:id="22"/>
    </w:p>
    <w:p w14:paraId="25D7332A" w14:textId="44709BF1" w:rsidR="005C3AE7" w:rsidRDefault="005C3AE7" w:rsidP="005C3AE7">
      <w:r>
        <w:t>The Supplier will have resource availability</w:t>
      </w:r>
      <w:r w:rsidR="00D060DB">
        <w:t>,</w:t>
      </w:r>
      <w:r>
        <w:t xml:space="preserve"> both in terms of bandwidth and competency</w:t>
      </w:r>
      <w:r w:rsidR="00D060DB">
        <w:t>,</w:t>
      </w:r>
      <w:r>
        <w:t xml:space="preserve"> to support BEIS’s forward programme of development for the RPR </w:t>
      </w:r>
      <w:r w:rsidR="003B415A">
        <w:t>Service</w:t>
      </w:r>
      <w:r>
        <w:t>. Indicative enhancement intentions will be shared by BEIS on an annual basis.</w:t>
      </w:r>
    </w:p>
    <w:p w14:paraId="4BD29B50" w14:textId="450C14A1" w:rsidR="005C3AE7" w:rsidRDefault="005C3AE7" w:rsidP="007E7435">
      <w:r>
        <w:t xml:space="preserve">BEIS will maintain a backlog of future enhancements to the RPR </w:t>
      </w:r>
      <w:r w:rsidR="003B415A">
        <w:t>S</w:t>
      </w:r>
      <w:r>
        <w:t xml:space="preserve">ervice which are required to be developed, delivered, and supported by the Supplier in accordance with </w:t>
      </w:r>
      <w:r w:rsidR="00113785">
        <w:t xml:space="preserve">the </w:t>
      </w:r>
      <w:r w:rsidR="00113785" w:rsidRPr="00113785">
        <w:t>Contractual Change Control Process defined in the Order Form</w:t>
      </w:r>
      <w:r>
        <w:t>.  The Supplier shall be responsible for system test, regression testing, integration testing and performance testing of all such changes in accordance with test plans to be agreed with BEIS. BEIS will perform user acceptance testing.</w:t>
      </w:r>
    </w:p>
    <w:p w14:paraId="699D29B8" w14:textId="0687662C" w:rsidR="005C3AE7" w:rsidRPr="005C654D" w:rsidRDefault="005C3AE7" w:rsidP="005C3AE7">
      <w:r w:rsidRPr="005C654D">
        <w:t xml:space="preserve">The Supplier will be required to provide an </w:t>
      </w:r>
      <w:r w:rsidR="00113785" w:rsidRPr="005C654D">
        <w:t>I</w:t>
      </w:r>
      <w:r w:rsidRPr="005C654D">
        <w:t xml:space="preserve">mpact </w:t>
      </w:r>
      <w:r w:rsidR="00113785" w:rsidRPr="005C654D">
        <w:t>A</w:t>
      </w:r>
      <w:r w:rsidRPr="005C654D">
        <w:t xml:space="preserve">ssessment of proposed changes and enhancements to the RPR </w:t>
      </w:r>
      <w:r w:rsidR="00113785" w:rsidRPr="005C654D">
        <w:t>S</w:t>
      </w:r>
      <w:r w:rsidRPr="005C654D">
        <w:t xml:space="preserve">ervice within an agreed end to end development process, to templated output and quality assurance standards.  The Supplier shall provide each </w:t>
      </w:r>
      <w:r w:rsidR="00113785" w:rsidRPr="005C654D">
        <w:t>I</w:t>
      </w:r>
      <w:r w:rsidRPr="005C654D">
        <w:t xml:space="preserve">mpact </w:t>
      </w:r>
      <w:r w:rsidR="00113785" w:rsidRPr="005C654D">
        <w:t>A</w:t>
      </w:r>
      <w:r w:rsidRPr="005C654D">
        <w:t>ssessment together with a costed quotation and time-specified delivery proposal.</w:t>
      </w:r>
    </w:p>
    <w:p w14:paraId="4D5679FE" w14:textId="13676CA5" w:rsidR="005C3AE7" w:rsidRPr="005C654D" w:rsidRDefault="005C3AE7" w:rsidP="005C3AE7">
      <w:r w:rsidRPr="005C654D">
        <w:t xml:space="preserve">Work will be commissioned through statements of work agreed between the Parties and contracted for under the </w:t>
      </w:r>
      <w:r w:rsidR="00113785" w:rsidRPr="005C654D">
        <w:t>Call-Off Contract</w:t>
      </w:r>
      <w:r w:rsidRPr="005C654D">
        <w:t>.  Charges shall be calculated against the Supplier’s rate card and normally fixed price in accordance with the Supplier’s estimate of resources required to deliver.</w:t>
      </w:r>
    </w:p>
    <w:p w14:paraId="0992F2AC" w14:textId="01BFB470" w:rsidR="005C3AE7" w:rsidRPr="005C654D" w:rsidRDefault="005C3AE7" w:rsidP="005C3AE7">
      <w:r w:rsidRPr="005C654D">
        <w:t xml:space="preserve">This enhancement process will be stated within each Enhancement Work Package and agreed with the </w:t>
      </w:r>
      <w:r w:rsidR="00113785" w:rsidRPr="005C654D">
        <w:t>S</w:t>
      </w:r>
      <w:r w:rsidRPr="005C654D">
        <w:t>upplier in line with the BEIS/GDS Agile Digital delivery framework. It will be incorporated into the Service Wrap and be subject to the Supplier’s performance reporting and periodic Service Reviews.</w:t>
      </w:r>
    </w:p>
    <w:p w14:paraId="620F0416" w14:textId="77777777" w:rsidR="005C3AE7" w:rsidRDefault="005C3AE7" w:rsidP="005C3AE7">
      <w:r>
        <w:br w:type="page"/>
      </w:r>
    </w:p>
    <w:p w14:paraId="1F279F1A" w14:textId="0ECD6A3E" w:rsidR="005C3AE7" w:rsidRDefault="005C3AE7" w:rsidP="005C3AE7">
      <w:pPr>
        <w:rPr>
          <w:rFonts w:asciiTheme="majorHAnsi" w:eastAsiaTheme="majorEastAsia" w:hAnsiTheme="majorHAnsi" w:cstheme="majorBidi"/>
          <w:b/>
          <w:bCs/>
          <w:color w:val="2E74B5" w:themeColor="accent1" w:themeShade="BF"/>
          <w:sz w:val="28"/>
          <w:szCs w:val="28"/>
        </w:rPr>
      </w:pPr>
      <w:bookmarkStart w:id="23" w:name="_Toc32570540"/>
    </w:p>
    <w:p w14:paraId="4E0F5DB8" w14:textId="302DC338" w:rsidR="005C3AE7" w:rsidRDefault="005C3AE7" w:rsidP="005C3AE7">
      <w:pPr>
        <w:pStyle w:val="Heading1"/>
        <w:spacing w:before="360"/>
        <w:rPr>
          <w:color w:val="FF0000"/>
        </w:rPr>
      </w:pPr>
      <w:bookmarkStart w:id="24" w:name="_Toc99722396"/>
      <w:r>
        <w:t>Appendix 1.</w:t>
      </w:r>
      <w:r w:rsidRPr="00B61608">
        <w:t xml:space="preserve"> SLA and OLA</w:t>
      </w:r>
      <w:r>
        <w:t xml:space="preserve"> Principles</w:t>
      </w:r>
      <w:bookmarkEnd w:id="23"/>
      <w:bookmarkEnd w:id="24"/>
    </w:p>
    <w:p w14:paraId="3E8B3B4E" w14:textId="2BF765BE" w:rsidR="005C3AE7" w:rsidRDefault="005C3AE7" w:rsidP="005C3AE7">
      <w:r>
        <w:t xml:space="preserve">Service and Operational Level Agreements (SLAs and OLAs) </w:t>
      </w:r>
      <w:r w:rsidR="00297F08">
        <w:t>are</w:t>
      </w:r>
      <w:r>
        <w:t xml:space="preserve"> included </w:t>
      </w:r>
      <w:r w:rsidR="00297F08">
        <w:t>with</w:t>
      </w:r>
      <w:r>
        <w:t xml:space="preserve">in </w:t>
      </w:r>
      <w:r w:rsidR="00297F08">
        <w:t>this Call-Off Contract</w:t>
      </w:r>
      <w:r>
        <w:t>.  The SLAs and OLAs reflect BEIS’s business impact criteria for categorising and prioritising service failures.  Assessment of delivered performance v SLAs will be made within the Service Reviews to be held at the completion of each Service Period.</w:t>
      </w:r>
    </w:p>
    <w:p w14:paraId="51F26253" w14:textId="77777777" w:rsidR="00FA257B" w:rsidRDefault="00FA257B" w:rsidP="005C3AE7"/>
    <w:tbl>
      <w:tblPr>
        <w:tblW w:w="9210"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900"/>
        <w:gridCol w:w="8310"/>
      </w:tblGrid>
      <w:tr w:rsidR="005C3AE7" w:rsidRPr="008905A6" w14:paraId="3B6E7F3A" w14:textId="77777777" w:rsidTr="005F4AD8">
        <w:trPr>
          <w:trHeight w:val="358"/>
        </w:trPr>
        <w:tc>
          <w:tcPr>
            <w:tcW w:w="900" w:type="dxa"/>
            <w:tcBorders>
              <w:top w:val="single" w:sz="6" w:space="0" w:color="000000" w:themeColor="text1"/>
              <w:left w:val="single" w:sz="6" w:space="0" w:color="CCCCCC"/>
              <w:bottom w:val="single" w:sz="6" w:space="0" w:color="CCCCCC"/>
              <w:right w:val="single" w:sz="6" w:space="0" w:color="CCCCCC"/>
            </w:tcBorders>
            <w:tcMar>
              <w:top w:w="0" w:type="dxa"/>
              <w:left w:w="40" w:type="dxa"/>
              <w:bottom w:w="0" w:type="dxa"/>
              <w:right w:w="40" w:type="dxa"/>
            </w:tcMar>
          </w:tcPr>
          <w:p w14:paraId="7E6EE28B" w14:textId="77777777" w:rsidR="005C3AE7" w:rsidRPr="008905A6" w:rsidRDefault="005C3AE7" w:rsidP="005F4AD8">
            <w:pPr>
              <w:pStyle w:val="Normal1"/>
              <w:widowControl w:val="0"/>
              <w:rPr>
                <w:b/>
              </w:rPr>
            </w:pPr>
            <w:r w:rsidRPr="008905A6">
              <w:rPr>
                <w:b/>
              </w:rPr>
              <w:t>ID</w:t>
            </w:r>
          </w:p>
        </w:tc>
        <w:tc>
          <w:tcPr>
            <w:tcW w:w="8310" w:type="dxa"/>
            <w:tcBorders>
              <w:top w:val="single" w:sz="6" w:space="0" w:color="000000" w:themeColor="text1"/>
              <w:left w:val="single" w:sz="6" w:space="0" w:color="CCCCCC"/>
              <w:bottom w:val="single" w:sz="6" w:space="0" w:color="CCCCCC"/>
              <w:right w:val="single" w:sz="6" w:space="0" w:color="CCCCCC"/>
            </w:tcBorders>
            <w:tcMar>
              <w:top w:w="0" w:type="dxa"/>
              <w:left w:w="40" w:type="dxa"/>
              <w:bottom w:w="0" w:type="dxa"/>
              <w:right w:w="40" w:type="dxa"/>
            </w:tcMar>
          </w:tcPr>
          <w:p w14:paraId="7EF5EC13" w14:textId="77777777" w:rsidR="005C3AE7" w:rsidRPr="008905A6" w:rsidRDefault="005C3AE7" w:rsidP="005F4AD8">
            <w:pPr>
              <w:pStyle w:val="Normal1"/>
              <w:widowControl w:val="0"/>
              <w:rPr>
                <w:b/>
                <w:lang w:val="en-GB"/>
              </w:rPr>
            </w:pPr>
            <w:r w:rsidRPr="008905A6">
              <w:rPr>
                <w:b/>
              </w:rPr>
              <w:t>SLA</w:t>
            </w:r>
          </w:p>
        </w:tc>
      </w:tr>
      <w:tr w:rsidR="005C3AE7" w:rsidRPr="008905A6" w14:paraId="384F2BD0" w14:textId="77777777" w:rsidTr="005F4AD8">
        <w:trPr>
          <w:trHeight w:val="60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913A452" w14:textId="77777777" w:rsidR="005C3AE7" w:rsidRPr="008905A6" w:rsidRDefault="005C3AE7" w:rsidP="005F4AD8">
            <w:pPr>
              <w:pStyle w:val="Normal1"/>
              <w:widowControl w:val="0"/>
              <w:rPr>
                <w:lang w:val="en-GB"/>
              </w:rPr>
            </w:pPr>
            <w:r w:rsidRPr="008905A6">
              <w:rPr>
                <w:lang w:val="en-GB"/>
              </w:rPr>
              <w:t>1</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93A5DF" w14:textId="77777777" w:rsidR="005C3AE7" w:rsidRPr="008905A6" w:rsidRDefault="005C3AE7" w:rsidP="005F4AD8">
            <w:pPr>
              <w:pStyle w:val="Normal1"/>
              <w:widowControl w:val="0"/>
            </w:pPr>
            <w:r w:rsidRPr="008905A6">
              <w:t xml:space="preserve">Core Support hours shall be within the hours of </w:t>
            </w:r>
            <w:r w:rsidRPr="008905A6">
              <w:rPr>
                <w:lang w:val="en-GB"/>
              </w:rPr>
              <w:t>0900 - 1700</w:t>
            </w:r>
            <w:r w:rsidRPr="008905A6">
              <w:t xml:space="preserve"> </w:t>
            </w:r>
            <w:r w:rsidRPr="008905A6">
              <w:rPr>
                <w:lang w:val="en-GB"/>
              </w:rPr>
              <w:t xml:space="preserve">UK time </w:t>
            </w:r>
            <w:r w:rsidRPr="008905A6">
              <w:t>on Working Days</w:t>
            </w:r>
            <w:r w:rsidRPr="008905A6">
              <w:rPr>
                <w:lang w:val="en-GB"/>
              </w:rPr>
              <w:t xml:space="preserve"> Monday to Friday</w:t>
            </w:r>
            <w:r w:rsidRPr="008905A6">
              <w:t xml:space="preserve"> only. For the avoidance of doubt, for the purposes of calculating Response Times and Resolution Times, measurement of the times shall stop at </w:t>
            </w:r>
            <w:r w:rsidRPr="008905A6">
              <w:rPr>
                <w:lang w:val="en-GB"/>
              </w:rPr>
              <w:t>17</w:t>
            </w:r>
            <w:r w:rsidRPr="008905A6">
              <w:t>:00 hours on a Working Day and shall resume at 0</w:t>
            </w:r>
            <w:r w:rsidRPr="008905A6">
              <w:rPr>
                <w:lang w:val="en-GB"/>
              </w:rPr>
              <w:t>9</w:t>
            </w:r>
            <w:r w:rsidRPr="008905A6">
              <w:t>:00 hours on the next Working Day</w:t>
            </w:r>
          </w:p>
        </w:tc>
      </w:tr>
      <w:tr w:rsidR="005C3AE7" w:rsidRPr="008905A6" w14:paraId="32879DB0" w14:textId="77777777" w:rsidTr="005F4AD8">
        <w:trPr>
          <w:trHeight w:val="60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0508F32" w14:textId="77777777" w:rsidR="005C3AE7" w:rsidRPr="008905A6" w:rsidRDefault="005C3AE7" w:rsidP="005F4AD8">
            <w:pPr>
              <w:pStyle w:val="Normal1"/>
              <w:widowControl w:val="0"/>
              <w:rPr>
                <w:lang w:val="en-GB"/>
              </w:rPr>
            </w:pPr>
            <w:r w:rsidRPr="008905A6">
              <w:rPr>
                <w:lang w:val="en-GB"/>
              </w:rPr>
              <w:t>2</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9259B1" w14:textId="77777777" w:rsidR="005C3AE7" w:rsidRPr="008905A6" w:rsidRDefault="005C3AE7" w:rsidP="005F4AD8">
            <w:pPr>
              <w:pStyle w:val="Normal1"/>
              <w:widowControl w:val="0"/>
            </w:pPr>
            <w:r w:rsidRPr="008905A6">
              <w:t xml:space="preserve">The Supplier will proactively monitor server load and disk space and ensure optimal site running </w:t>
            </w:r>
            <w:r w:rsidRPr="008905A6">
              <w:rPr>
                <w:lang w:val="en-GB"/>
              </w:rPr>
              <w:t>during Core Support</w:t>
            </w:r>
            <w:r w:rsidRPr="008905A6">
              <w:t xml:space="preserve"> hours. If issues are identified with site performance, then the Supplier will make </w:t>
            </w:r>
            <w:r w:rsidRPr="008905A6">
              <w:rPr>
                <w:lang w:val="en-GB"/>
              </w:rPr>
              <w:t>BEIS</w:t>
            </w:r>
            <w:r w:rsidRPr="008905A6">
              <w:t xml:space="preserve"> aware of these at the earliest opportunity and take appropriate action in agreement with </w:t>
            </w:r>
            <w:r w:rsidRPr="008905A6">
              <w:rPr>
                <w:lang w:val="en-GB"/>
              </w:rPr>
              <w:t>BEIS</w:t>
            </w:r>
            <w:r w:rsidRPr="008905A6">
              <w:t xml:space="preserve"> to restore optimal site performance.</w:t>
            </w:r>
          </w:p>
        </w:tc>
      </w:tr>
      <w:tr w:rsidR="005C3AE7" w:rsidRPr="008905A6" w14:paraId="4CB5D5D6" w14:textId="77777777" w:rsidTr="005F4AD8">
        <w:trPr>
          <w:trHeight w:val="60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7B9403B" w14:textId="77777777" w:rsidR="005C3AE7" w:rsidRPr="008905A6" w:rsidRDefault="005C3AE7" w:rsidP="005F4AD8">
            <w:pPr>
              <w:pStyle w:val="Normal1"/>
              <w:widowControl w:val="0"/>
              <w:rPr>
                <w:lang w:val="en-GB"/>
              </w:rPr>
            </w:pPr>
            <w:r w:rsidRPr="008905A6">
              <w:rPr>
                <w:lang w:val="en-GB"/>
              </w:rPr>
              <w:t>3</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8E1E25D" w14:textId="65CB2266" w:rsidR="005C3AE7" w:rsidRPr="00CC35EB" w:rsidRDefault="005C3AE7" w:rsidP="005F4AD8">
            <w:pPr>
              <w:pStyle w:val="Normal1"/>
              <w:widowControl w:val="0"/>
              <w:rPr>
                <w:lang w:val="en-GB"/>
              </w:rPr>
            </w:pPr>
            <w:r w:rsidRPr="008905A6">
              <w:rPr>
                <w:lang w:val="en-GB"/>
              </w:rPr>
              <w:t>The Supplier shall t</w:t>
            </w:r>
            <w:r w:rsidRPr="008905A6">
              <w:t>riage, respond to and resolve all tickets raised to second-line support by phone or email, according to prioritisation</w:t>
            </w:r>
            <w:r w:rsidR="00CC35EB">
              <w:rPr>
                <w:lang w:val="en-GB"/>
              </w:rPr>
              <w:t xml:space="preserve"> in the table below.</w:t>
            </w:r>
          </w:p>
        </w:tc>
      </w:tr>
      <w:tr w:rsidR="00CC35EB" w:rsidRPr="008905A6" w14:paraId="57C8CED9" w14:textId="77777777" w:rsidTr="005F4AD8">
        <w:trPr>
          <w:trHeight w:val="96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638D35F" w14:textId="77777777" w:rsidR="00CC35EB" w:rsidRPr="008905A6" w:rsidRDefault="00CC35EB" w:rsidP="005F4AD8">
            <w:pPr>
              <w:pStyle w:val="Normal1"/>
              <w:widowControl w:val="0"/>
              <w:rPr>
                <w:lang w:val="en-GB"/>
              </w:rPr>
            </w:pP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tbl>
            <w:tblPr>
              <w:tblW w:w="8129" w:type="dxa"/>
              <w:tblLayout w:type="fixed"/>
              <w:tblCellMar>
                <w:left w:w="10" w:type="dxa"/>
                <w:right w:w="10" w:type="dxa"/>
              </w:tblCellMar>
              <w:tblLook w:val="04A0" w:firstRow="1" w:lastRow="0" w:firstColumn="1" w:lastColumn="0" w:noHBand="0" w:noVBand="1"/>
            </w:tblPr>
            <w:tblGrid>
              <w:gridCol w:w="1195"/>
              <w:gridCol w:w="1489"/>
              <w:gridCol w:w="938"/>
              <w:gridCol w:w="929"/>
              <w:gridCol w:w="3578"/>
            </w:tblGrid>
            <w:tr w:rsidR="00CC35EB" w14:paraId="4B161C11" w14:textId="77777777" w:rsidTr="005C654D">
              <w:trPr>
                <w:trHeight w:val="123"/>
                <w:tblHead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BFAE" w14:textId="77777777" w:rsidR="00CC35EB" w:rsidRDefault="00CC35EB" w:rsidP="00CC35EB">
                  <w:pPr>
                    <w:spacing w:line="240" w:lineRule="auto"/>
                    <w:textAlignment w:val="auto"/>
                    <w:rPr>
                      <w:rFonts w:ascii="Calibri" w:eastAsia="Times New Roman" w:hAnsi="Calibri" w:cs="Times New Roman"/>
                      <w:b/>
                      <w:bCs/>
                      <w:sz w:val="16"/>
                      <w:szCs w:val="16"/>
                      <w:lang w:eastAsia="en-US"/>
                    </w:rPr>
                  </w:pPr>
                  <w:r>
                    <w:rPr>
                      <w:rFonts w:ascii="Calibri" w:eastAsia="Times New Roman" w:hAnsi="Calibri" w:cs="Times New Roman"/>
                      <w:b/>
                      <w:bCs/>
                      <w:sz w:val="16"/>
                      <w:szCs w:val="16"/>
                      <w:lang w:eastAsia="en-US"/>
                    </w:rPr>
                    <w:t>Priority</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312D" w14:textId="77777777" w:rsidR="00CC35EB" w:rsidRDefault="00CC35EB" w:rsidP="00CC35EB">
                  <w:pPr>
                    <w:spacing w:line="240" w:lineRule="auto"/>
                    <w:textAlignment w:val="auto"/>
                    <w:rPr>
                      <w:rFonts w:ascii="Calibri" w:eastAsia="Times New Roman" w:hAnsi="Calibri" w:cs="Times New Roman"/>
                      <w:b/>
                      <w:bCs/>
                      <w:sz w:val="16"/>
                      <w:szCs w:val="16"/>
                      <w:lang w:eastAsia="en-US"/>
                    </w:rPr>
                  </w:pPr>
                  <w:r>
                    <w:rPr>
                      <w:rFonts w:ascii="Calibri" w:eastAsia="Times New Roman" w:hAnsi="Calibri" w:cs="Times New Roman"/>
                      <w:b/>
                      <w:bCs/>
                      <w:sz w:val="16"/>
                      <w:szCs w:val="16"/>
                      <w:lang w:eastAsia="en-US"/>
                    </w:rPr>
                    <w:t>Description</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89AD" w14:textId="77777777" w:rsidR="00CC35EB" w:rsidRDefault="00CC35EB" w:rsidP="00CC35EB">
                  <w:pPr>
                    <w:spacing w:line="240" w:lineRule="auto"/>
                    <w:textAlignment w:val="auto"/>
                    <w:rPr>
                      <w:rFonts w:ascii="Calibri" w:eastAsia="Times New Roman" w:hAnsi="Calibri" w:cs="Times New Roman"/>
                      <w:b/>
                      <w:bCs/>
                      <w:sz w:val="16"/>
                      <w:szCs w:val="16"/>
                      <w:lang w:eastAsia="en-US"/>
                    </w:rPr>
                  </w:pPr>
                  <w:r>
                    <w:rPr>
                      <w:rFonts w:ascii="Calibri" w:eastAsia="Times New Roman" w:hAnsi="Calibri" w:cs="Times New Roman"/>
                      <w:b/>
                      <w:bCs/>
                      <w:sz w:val="16"/>
                      <w:szCs w:val="16"/>
                      <w:lang w:eastAsia="en-US"/>
                    </w:rPr>
                    <w:t>Response Target</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9547" w14:textId="77777777" w:rsidR="00CC35EB" w:rsidRDefault="00CC35EB" w:rsidP="00CC35EB">
                  <w:pPr>
                    <w:spacing w:line="240" w:lineRule="auto"/>
                    <w:textAlignment w:val="auto"/>
                    <w:rPr>
                      <w:rFonts w:ascii="Calibri" w:eastAsia="Times New Roman" w:hAnsi="Calibri" w:cs="Times New Roman"/>
                      <w:b/>
                      <w:bCs/>
                      <w:sz w:val="16"/>
                      <w:szCs w:val="16"/>
                      <w:lang w:eastAsia="en-US"/>
                    </w:rPr>
                  </w:pPr>
                  <w:r>
                    <w:rPr>
                      <w:rFonts w:ascii="Calibri" w:eastAsia="Times New Roman" w:hAnsi="Calibri" w:cs="Times New Roman"/>
                      <w:b/>
                      <w:bCs/>
                      <w:sz w:val="16"/>
                      <w:szCs w:val="16"/>
                      <w:lang w:eastAsia="en-US"/>
                    </w:rPr>
                    <w:t>Resolution Target</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A00E" w14:textId="77777777" w:rsidR="00CC35EB" w:rsidRDefault="00CC35EB" w:rsidP="00CC35EB">
                  <w:pPr>
                    <w:spacing w:line="240" w:lineRule="auto"/>
                    <w:textAlignment w:val="auto"/>
                    <w:rPr>
                      <w:rFonts w:ascii="Calibri" w:eastAsia="Times New Roman" w:hAnsi="Calibri" w:cs="Times New Roman"/>
                      <w:b/>
                      <w:bCs/>
                      <w:sz w:val="20"/>
                      <w:szCs w:val="20"/>
                      <w:lang w:eastAsia="en-US"/>
                    </w:rPr>
                  </w:pPr>
                </w:p>
              </w:tc>
            </w:tr>
            <w:tr w:rsidR="00CC35EB" w14:paraId="7F7AF854" w14:textId="77777777" w:rsidTr="005C654D">
              <w:trPr>
                <w:trHeight w:val="123"/>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F8FFE" w14:textId="77777777" w:rsidR="00CC35EB" w:rsidRDefault="00CC35EB" w:rsidP="00CC35EB">
                  <w:pPr>
                    <w:spacing w:line="240" w:lineRule="auto"/>
                    <w:jc w:val="center"/>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D89D" w14:textId="77777777" w:rsidR="00CC35EB" w:rsidRDefault="00CC35EB" w:rsidP="00CC35EB">
                  <w:pPr>
                    <w:pStyle w:val="ListParagraph"/>
                    <w:numPr>
                      <w:ilvl w:val="0"/>
                      <w:numId w:val="46"/>
                    </w:numPr>
                    <w:suppressAutoHyphens w:val="0"/>
                    <w:spacing w:line="240" w:lineRule="auto"/>
                    <w:ind w:left="318" w:hanging="318"/>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Total Loss of System</w:t>
                  </w:r>
                </w:p>
                <w:p w14:paraId="5419FAF7" w14:textId="77777777" w:rsidR="00CC35EB" w:rsidRDefault="00CC35EB" w:rsidP="00CC35EB">
                  <w:pPr>
                    <w:pStyle w:val="ListParagraph"/>
                    <w:numPr>
                      <w:ilvl w:val="0"/>
                      <w:numId w:val="46"/>
                    </w:numPr>
                    <w:suppressAutoHyphens w:val="0"/>
                    <w:spacing w:line="240" w:lineRule="auto"/>
                    <w:ind w:left="318" w:hanging="318"/>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Security Breach</w:t>
                  </w:r>
                </w:p>
                <w:p w14:paraId="03BDC035" w14:textId="77777777" w:rsidR="00CC35EB" w:rsidRDefault="00CC35EB" w:rsidP="00CC35EB">
                  <w:pPr>
                    <w:pStyle w:val="ListParagraph"/>
                    <w:numPr>
                      <w:ilvl w:val="0"/>
                      <w:numId w:val="46"/>
                    </w:numPr>
                    <w:suppressAutoHyphens w:val="0"/>
                    <w:spacing w:line="240" w:lineRule="auto"/>
                    <w:ind w:left="318" w:hanging="318"/>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Critical Functionality Unavailable or Incorrect</w:t>
                  </w:r>
                </w:p>
                <w:p w14:paraId="21836901" w14:textId="77777777" w:rsidR="00CC35EB" w:rsidRDefault="00CC35EB" w:rsidP="00CC35EB">
                  <w:pPr>
                    <w:pStyle w:val="ListParagraph"/>
                    <w:numPr>
                      <w:ilvl w:val="0"/>
                      <w:numId w:val="46"/>
                    </w:numPr>
                    <w:suppressAutoHyphens w:val="0"/>
                    <w:spacing w:line="240" w:lineRule="auto"/>
                    <w:ind w:left="318" w:hanging="318"/>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Critical Business Process cannot be completed</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043C"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30 Minutes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4678"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4 Hours</w:t>
                  </w:r>
                </w:p>
              </w:tc>
              <w:tc>
                <w:tcPr>
                  <w:tcW w:w="35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8F26D0" w14:textId="77777777" w:rsidR="00CC35EB" w:rsidRDefault="00CC35EB" w:rsidP="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All Response Target times and Resolution Target times are based on the Support Service Hours.  Any overtime hours worked will be subject to prior written approval from Buyer.</w:t>
                  </w:r>
                </w:p>
                <w:p w14:paraId="50D0BC66" w14:textId="77777777" w:rsidR="00CC35EB" w:rsidRDefault="00CC35EB" w:rsidP="00CC35EB">
                  <w:pPr>
                    <w:pStyle w:val="ListParagraph"/>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 xml:space="preserve">All Incidents and requests will initially be raised via the Buyer service desk and will be assigned to Supplier as a resolution group.  </w:t>
                  </w:r>
                </w:p>
                <w:p w14:paraId="72D86FCA" w14:textId="558E82D5" w:rsidR="00CC35EB" w:rsidRDefault="00CC35EB" w:rsidP="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 xml:space="preserve">SLA targets are only applicable to Incidents where the cause of the incident is shown to be within the scope of </w:t>
                  </w:r>
                  <w:r w:rsidR="002A0579" w:rsidRPr="002A0579">
                    <w:rPr>
                      <w:rFonts w:ascii="Calibri" w:eastAsia="Times New Roman" w:hAnsi="Calibri" w:cs="Times New Roman"/>
                      <w:sz w:val="18"/>
                      <w:szCs w:val="18"/>
                      <w:lang w:eastAsia="en-US"/>
                    </w:rPr>
                    <w:t xml:space="preserve">Regulated Professions Register </w:t>
                  </w:r>
                  <w:r>
                    <w:rPr>
                      <w:rFonts w:ascii="Calibri" w:eastAsia="Times New Roman" w:hAnsi="Calibri" w:cs="Times New Roman"/>
                      <w:sz w:val="18"/>
                      <w:szCs w:val="18"/>
                      <w:lang w:eastAsia="en-US"/>
                    </w:rPr>
                    <w:t xml:space="preserve">Service provided by the Supplier under this Call-Off Contract. Supplier SLA reporting will therefore treat Incidents where the cause is outside the scope of the </w:t>
                  </w:r>
                  <w:r w:rsidR="002A0579" w:rsidRPr="002A0579">
                    <w:rPr>
                      <w:rFonts w:ascii="Calibri" w:eastAsia="Times New Roman" w:hAnsi="Calibri" w:cs="Times New Roman"/>
                      <w:sz w:val="18"/>
                      <w:szCs w:val="18"/>
                      <w:lang w:eastAsia="en-US"/>
                    </w:rPr>
                    <w:t xml:space="preserve">Regulated Professions Register </w:t>
                  </w:r>
                  <w:r>
                    <w:rPr>
                      <w:rFonts w:ascii="Calibri" w:eastAsia="Times New Roman" w:hAnsi="Calibri" w:cs="Times New Roman"/>
                      <w:sz w:val="18"/>
                      <w:szCs w:val="18"/>
                      <w:lang w:eastAsia="en-US"/>
                    </w:rPr>
                    <w:t xml:space="preserve">Service as Exemption Incidents, they will however still be counted as Incidents from </w:t>
                  </w:r>
                  <w:r w:rsidR="003D50D7">
                    <w:rPr>
                      <w:rFonts w:ascii="Calibri" w:eastAsia="Times New Roman" w:hAnsi="Calibri" w:cs="Times New Roman"/>
                      <w:sz w:val="18"/>
                      <w:szCs w:val="18"/>
                      <w:lang w:eastAsia="en-US"/>
                    </w:rPr>
                    <w:t>an</w:t>
                  </w:r>
                  <w:r>
                    <w:rPr>
                      <w:rFonts w:ascii="Calibri" w:eastAsia="Times New Roman" w:hAnsi="Calibri" w:cs="Times New Roman"/>
                      <w:sz w:val="18"/>
                      <w:szCs w:val="18"/>
                      <w:lang w:eastAsia="en-US"/>
                    </w:rPr>
                    <w:t xml:space="preserve"> Incident count perspective.</w:t>
                  </w:r>
                </w:p>
                <w:p w14:paraId="7445974F" w14:textId="573DF733" w:rsidR="00CC35EB" w:rsidRDefault="00CC35EB" w:rsidP="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 xml:space="preserve">The Supplier SLA clock will be stopped once the Supplier has passed the incident back to the Buyer or a third party (pending a response from the Buyer or a third party, e.g. BEIS Digital or a third party provider). During this period the incident status will be set to </w:t>
                  </w:r>
                  <w:r w:rsidRPr="005C654D">
                    <w:rPr>
                      <w:rFonts w:ascii="Calibri" w:eastAsia="Times New Roman" w:hAnsi="Calibri" w:cs="Times New Roman"/>
                      <w:i/>
                      <w:iCs/>
                      <w:sz w:val="18"/>
                      <w:szCs w:val="18"/>
                      <w:lang w:eastAsia="en-US"/>
                    </w:rPr>
                    <w:t>Pending</w:t>
                  </w:r>
                  <w:r>
                    <w:rPr>
                      <w:rFonts w:ascii="Calibri" w:eastAsia="Times New Roman" w:hAnsi="Calibri" w:cs="Times New Roman"/>
                      <w:sz w:val="18"/>
                      <w:szCs w:val="18"/>
                      <w:lang w:eastAsia="en-US"/>
                    </w:rPr>
                    <w:t xml:space="preserve">. The SLA clock will be restarted once the required response has been provided back to Supplier, and the incident status returned to </w:t>
                  </w:r>
                  <w:r w:rsidR="00185071" w:rsidRPr="005C654D">
                    <w:rPr>
                      <w:rFonts w:ascii="Calibri" w:eastAsia="Times New Roman" w:hAnsi="Calibri" w:cs="Times New Roman"/>
                      <w:i/>
                      <w:iCs/>
                      <w:sz w:val="18"/>
                      <w:szCs w:val="18"/>
                      <w:lang w:eastAsia="en-US"/>
                    </w:rPr>
                    <w:t>In Progress</w:t>
                  </w:r>
                  <w:r>
                    <w:rPr>
                      <w:rFonts w:ascii="Calibri" w:eastAsia="Times New Roman" w:hAnsi="Calibri" w:cs="Times New Roman"/>
                      <w:sz w:val="18"/>
                      <w:szCs w:val="18"/>
                      <w:lang w:eastAsia="en-US"/>
                    </w:rPr>
                    <w:t>.</w:t>
                  </w:r>
                </w:p>
                <w:p w14:paraId="2CCAA684" w14:textId="7F4146DA" w:rsidR="00CC35EB" w:rsidRDefault="00CC35EB" w:rsidP="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lastRenderedPageBreak/>
                    <w:t>The Supplier SLA clock will be stopped when</w:t>
                  </w:r>
                  <w:r w:rsidR="00685DF7">
                    <w:rPr>
                      <w:rFonts w:ascii="Calibri" w:eastAsia="Times New Roman" w:hAnsi="Calibri" w:cs="Times New Roman"/>
                      <w:sz w:val="18"/>
                      <w:szCs w:val="18"/>
                      <w:lang w:eastAsia="en-US"/>
                    </w:rPr>
                    <w:t xml:space="preserve"> either a Permanent Fix or</w:t>
                  </w:r>
                  <w:r>
                    <w:rPr>
                      <w:rFonts w:ascii="Calibri" w:eastAsia="Times New Roman" w:hAnsi="Calibri" w:cs="Times New Roman"/>
                      <w:sz w:val="18"/>
                      <w:szCs w:val="18"/>
                      <w:lang w:eastAsia="en-US"/>
                    </w:rPr>
                    <w:t xml:space="preserve"> a Workaround has been provided and normal service restored. At this point, the Supplier Incident status will be set to </w:t>
                  </w:r>
                  <w:r w:rsidRPr="005C654D">
                    <w:rPr>
                      <w:rFonts w:ascii="Calibri" w:eastAsia="Times New Roman" w:hAnsi="Calibri" w:cs="Times New Roman"/>
                      <w:i/>
                      <w:iCs/>
                      <w:sz w:val="18"/>
                      <w:szCs w:val="18"/>
                      <w:lang w:eastAsia="en-US"/>
                    </w:rPr>
                    <w:t>Resolved</w:t>
                  </w:r>
                  <w:r>
                    <w:rPr>
                      <w:rFonts w:ascii="Calibri" w:eastAsia="Times New Roman" w:hAnsi="Calibri" w:cs="Times New Roman"/>
                      <w:sz w:val="18"/>
                      <w:szCs w:val="18"/>
                      <w:lang w:eastAsia="en-US"/>
                    </w:rPr>
                    <w:t xml:space="preserve">. If the workaround is unsuccessful, then the SLA clock will be restarted, and the incident status returned to </w:t>
                  </w:r>
                  <w:r w:rsidR="00685DF7" w:rsidRPr="005C654D">
                    <w:rPr>
                      <w:rFonts w:ascii="Calibri" w:eastAsia="Times New Roman" w:hAnsi="Calibri" w:cs="Times New Roman"/>
                      <w:i/>
                      <w:iCs/>
                      <w:sz w:val="18"/>
                      <w:szCs w:val="18"/>
                      <w:lang w:eastAsia="en-US"/>
                    </w:rPr>
                    <w:t>In Progress</w:t>
                  </w:r>
                  <w:r w:rsidRPr="005C654D">
                    <w:rPr>
                      <w:rFonts w:ascii="Calibri" w:eastAsia="Times New Roman" w:hAnsi="Calibri" w:cs="Times New Roman"/>
                      <w:i/>
                      <w:iCs/>
                      <w:sz w:val="18"/>
                      <w:szCs w:val="18"/>
                      <w:lang w:eastAsia="en-US"/>
                    </w:rPr>
                    <w:t xml:space="preserve">.  </w:t>
                  </w:r>
                </w:p>
                <w:p w14:paraId="338C4CDF" w14:textId="69A03C75" w:rsidR="00685DF7" w:rsidRDefault="00CC35EB" w:rsidP="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 xml:space="preserve">Any workaround will be agreed between the Parties and, the Buyer will not unreasonably withhold their approval of the workaround.  A </w:t>
                  </w:r>
                  <w:r w:rsidR="00685DF7">
                    <w:rPr>
                      <w:rFonts w:ascii="Calibri" w:eastAsia="Times New Roman" w:hAnsi="Calibri" w:cs="Times New Roman"/>
                      <w:sz w:val="18"/>
                      <w:szCs w:val="18"/>
                      <w:lang w:eastAsia="en-US"/>
                    </w:rPr>
                    <w:t>P</w:t>
                  </w:r>
                  <w:r>
                    <w:rPr>
                      <w:rFonts w:ascii="Calibri" w:eastAsia="Times New Roman" w:hAnsi="Calibri" w:cs="Times New Roman"/>
                      <w:sz w:val="18"/>
                      <w:szCs w:val="18"/>
                      <w:lang w:eastAsia="en-US"/>
                    </w:rPr>
                    <w:t xml:space="preserve">roblem ticket will be raised documenting the issue and detailing the workaround that has been applied. Any further or longer term, complete fix will be progressed against the </w:t>
                  </w:r>
                  <w:r w:rsidR="00685DF7">
                    <w:rPr>
                      <w:rFonts w:ascii="Calibri" w:eastAsia="Times New Roman" w:hAnsi="Calibri" w:cs="Times New Roman"/>
                      <w:sz w:val="18"/>
                      <w:szCs w:val="18"/>
                      <w:lang w:eastAsia="en-US"/>
                    </w:rPr>
                    <w:t>P</w:t>
                  </w:r>
                  <w:r>
                    <w:rPr>
                      <w:rFonts w:ascii="Calibri" w:eastAsia="Times New Roman" w:hAnsi="Calibri" w:cs="Times New Roman"/>
                      <w:sz w:val="18"/>
                      <w:szCs w:val="18"/>
                      <w:lang w:eastAsia="en-US"/>
                    </w:rPr>
                    <w:t xml:space="preserve">roblem ticket or, alternatively, the workaround would remain in place on agreement from the Buyer.  </w:t>
                  </w:r>
                </w:p>
                <w:p w14:paraId="538AC869" w14:textId="7A7F4CF6" w:rsidR="00E06C48" w:rsidRDefault="00CC35EB">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Pr>
                      <w:rFonts w:ascii="Calibri" w:eastAsia="Times New Roman" w:hAnsi="Calibri" w:cs="Times New Roman"/>
                      <w:sz w:val="18"/>
                      <w:szCs w:val="18"/>
                      <w:lang w:eastAsia="en-US"/>
                    </w:rPr>
                    <w:t xml:space="preserve">In terms of third-parties, if they are contracted via Supplier, they are essentially part of the Supplier so the same rules apply to the SLA if the ticket was with a Supplier team. </w:t>
                  </w:r>
                  <w:r w:rsidR="00685DF7">
                    <w:rPr>
                      <w:rFonts w:ascii="Calibri" w:eastAsia="Times New Roman" w:hAnsi="Calibri" w:cs="Times New Roman"/>
                      <w:sz w:val="18"/>
                      <w:szCs w:val="18"/>
                      <w:lang w:eastAsia="en-US"/>
                    </w:rPr>
                    <w:t>If an Incident is assigned to a third-party supplier</w:t>
                  </w:r>
                  <w:r w:rsidR="00E06C48">
                    <w:rPr>
                      <w:rFonts w:ascii="Calibri" w:eastAsia="Times New Roman" w:hAnsi="Calibri" w:cs="Times New Roman"/>
                      <w:sz w:val="18"/>
                      <w:szCs w:val="18"/>
                      <w:lang w:eastAsia="en-US"/>
                    </w:rPr>
                    <w:t xml:space="preserve"> not contracted to the Supplier, the Supplier SLA clock will be stopped, and the Supplier Incident status set to </w:t>
                  </w:r>
                  <w:r w:rsidR="00E06C48" w:rsidRPr="005C654D">
                    <w:rPr>
                      <w:rFonts w:ascii="Calibri" w:eastAsia="Times New Roman" w:hAnsi="Calibri" w:cs="Times New Roman"/>
                      <w:i/>
                      <w:iCs/>
                      <w:sz w:val="18"/>
                      <w:szCs w:val="18"/>
                      <w:lang w:eastAsia="en-US"/>
                    </w:rPr>
                    <w:t>Pending</w:t>
                  </w:r>
                  <w:r w:rsidR="00E06C48">
                    <w:rPr>
                      <w:rFonts w:ascii="Calibri" w:eastAsia="Times New Roman" w:hAnsi="Calibri" w:cs="Times New Roman"/>
                      <w:sz w:val="18"/>
                      <w:szCs w:val="18"/>
                      <w:lang w:eastAsia="en-US"/>
                    </w:rPr>
                    <w:t xml:space="preserve">. If the Incident is re-assigned back to the Supplier then the SLA clock will be restarted and the Incident status set back to </w:t>
                  </w:r>
                  <w:r w:rsidR="00E06C48" w:rsidRPr="005C654D">
                    <w:rPr>
                      <w:rFonts w:ascii="Calibri" w:eastAsia="Times New Roman" w:hAnsi="Calibri" w:cs="Times New Roman"/>
                      <w:i/>
                      <w:iCs/>
                      <w:sz w:val="18"/>
                      <w:szCs w:val="18"/>
                      <w:lang w:eastAsia="en-US"/>
                    </w:rPr>
                    <w:t>In Progress</w:t>
                  </w:r>
                  <w:r w:rsidR="00E06C48">
                    <w:rPr>
                      <w:rFonts w:ascii="Calibri" w:eastAsia="Times New Roman" w:hAnsi="Calibri" w:cs="Times New Roman"/>
                      <w:sz w:val="18"/>
                      <w:szCs w:val="18"/>
                      <w:lang w:eastAsia="en-US"/>
                    </w:rPr>
                    <w:t>.</w:t>
                  </w:r>
                </w:p>
                <w:p w14:paraId="6ADEC6BC" w14:textId="661CA84B" w:rsidR="00CC35EB" w:rsidRPr="005C654D" w:rsidRDefault="00E06C48" w:rsidP="005C654D">
                  <w:pPr>
                    <w:numPr>
                      <w:ilvl w:val="0"/>
                      <w:numId w:val="47"/>
                    </w:numPr>
                    <w:suppressAutoHyphens w:val="0"/>
                    <w:spacing w:after="120" w:line="240" w:lineRule="auto"/>
                    <w:ind w:left="184" w:hanging="184"/>
                    <w:textAlignment w:val="auto"/>
                    <w:rPr>
                      <w:rFonts w:ascii="Calibri" w:eastAsia="Times New Roman" w:hAnsi="Calibri" w:cs="Times New Roman"/>
                      <w:sz w:val="18"/>
                      <w:szCs w:val="18"/>
                      <w:lang w:eastAsia="en-US"/>
                    </w:rPr>
                  </w:pPr>
                  <w:r w:rsidRPr="005C654D">
                    <w:rPr>
                      <w:rFonts w:ascii="Calibri" w:eastAsia="Times New Roman" w:hAnsi="Calibri" w:cs="Times New Roman"/>
                      <w:sz w:val="18"/>
                      <w:szCs w:val="18"/>
                      <w:lang w:eastAsia="en-US"/>
                    </w:rPr>
                    <w:t xml:space="preserve">When the Buyer has agreed that an Incident has been resolved successfully, the Incident status will be set to </w:t>
                  </w:r>
                  <w:r w:rsidRPr="005C654D">
                    <w:rPr>
                      <w:rFonts w:ascii="Calibri" w:eastAsia="Times New Roman" w:hAnsi="Calibri" w:cs="Times New Roman"/>
                      <w:i/>
                      <w:iCs/>
                      <w:sz w:val="18"/>
                      <w:szCs w:val="18"/>
                      <w:lang w:eastAsia="en-US"/>
                    </w:rPr>
                    <w:t>Closed</w:t>
                  </w:r>
                  <w:r w:rsidRPr="005C654D">
                    <w:rPr>
                      <w:rFonts w:ascii="Calibri" w:eastAsia="Times New Roman" w:hAnsi="Calibri" w:cs="Times New Roman"/>
                      <w:sz w:val="18"/>
                      <w:szCs w:val="18"/>
                      <w:lang w:eastAsia="en-US"/>
                    </w:rPr>
                    <w:t>.</w:t>
                  </w:r>
                </w:p>
              </w:tc>
            </w:tr>
            <w:tr w:rsidR="00CC35EB" w14:paraId="4C3EE958" w14:textId="77777777" w:rsidTr="005C654D">
              <w:trPr>
                <w:trHeight w:val="121"/>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AD39" w14:textId="77777777" w:rsidR="00CC35EB" w:rsidRDefault="00CC35EB" w:rsidP="00CC35EB">
                  <w:pPr>
                    <w:spacing w:line="240" w:lineRule="auto"/>
                    <w:jc w:val="center"/>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31D2E" w14:textId="77777777" w:rsidR="00CC35EB"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Partial loss of access to system</w:t>
                  </w:r>
                </w:p>
                <w:p w14:paraId="66232D66" w14:textId="77777777" w:rsidR="00CC35EB" w:rsidRPr="007C6B82"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 xml:space="preserve">Critical functionality not working to specification, </w:t>
                  </w:r>
                  <w:r w:rsidRPr="007C6B82">
                    <w:rPr>
                      <w:rFonts w:ascii="Calibri" w:eastAsia="Times New Roman" w:hAnsi="Calibri"/>
                      <w:sz w:val="16"/>
                      <w:szCs w:val="16"/>
                      <w:lang w:eastAsia="en-US"/>
                    </w:rPr>
                    <w:t>but a workaround is available</w:t>
                  </w:r>
                </w:p>
                <w:p w14:paraId="6E918B07" w14:textId="3D76464F" w:rsidR="00CC35EB" w:rsidRPr="007C6B82"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 xml:space="preserve">Important requirement is not available. </w:t>
                  </w:r>
                  <w:r w:rsidR="00185071">
                    <w:rPr>
                      <w:rFonts w:ascii="Calibri" w:eastAsia="Times New Roman" w:hAnsi="Calibri"/>
                      <w:sz w:val="16"/>
                      <w:szCs w:val="16"/>
                      <w:lang w:eastAsia="en-US"/>
                    </w:rPr>
                    <w:t>There</w:t>
                  </w:r>
                  <w:r w:rsidR="00185071" w:rsidRPr="007C6B82">
                    <w:rPr>
                      <w:rFonts w:ascii="Calibri" w:eastAsia="Times New Roman" w:hAnsi="Calibri"/>
                      <w:sz w:val="16"/>
                      <w:szCs w:val="16"/>
                      <w:lang w:eastAsia="en-US"/>
                    </w:rPr>
                    <w:t xml:space="preserve"> may</w:t>
                  </w:r>
                  <w:r w:rsidRPr="007C6B82">
                    <w:rPr>
                      <w:rFonts w:ascii="Calibri" w:eastAsia="Times New Roman" w:hAnsi="Calibri"/>
                      <w:sz w:val="16"/>
                      <w:szCs w:val="16"/>
                      <w:lang w:eastAsia="en-US"/>
                    </w:rPr>
                    <w:t xml:space="preserve"> be a workaround.</w:t>
                  </w:r>
                </w:p>
                <w:p w14:paraId="608F77BD" w14:textId="77777777" w:rsidR="00CC35EB"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Serious usability issues for users</w:t>
                  </w:r>
                </w:p>
                <w:p w14:paraId="7AF17296" w14:textId="77777777" w:rsidR="00CC35EB" w:rsidRPr="007C6B82"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 xml:space="preserve">Integrity of the application is brought into </w:t>
                  </w:r>
                  <w:r w:rsidRPr="007C6B82">
                    <w:rPr>
                      <w:rFonts w:ascii="Calibri" w:eastAsia="Times New Roman" w:hAnsi="Calibri"/>
                      <w:sz w:val="16"/>
                      <w:szCs w:val="16"/>
                      <w:lang w:eastAsia="en-US"/>
                    </w:rPr>
                    <w:t>question</w:t>
                  </w:r>
                </w:p>
                <w:p w14:paraId="1BC5D809" w14:textId="77777777" w:rsidR="00CC35EB"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lastRenderedPageBreak/>
                    <w:t>Compromised data integrity / accuracy</w:t>
                  </w:r>
                </w:p>
                <w:p w14:paraId="0FFD8858" w14:textId="77777777" w:rsidR="00CC35EB" w:rsidRPr="007C6B82" w:rsidRDefault="00CC35EB" w:rsidP="00CC35EB">
                  <w:pPr>
                    <w:pStyle w:val="ListParagraph"/>
                    <w:numPr>
                      <w:ilvl w:val="0"/>
                      <w:numId w:val="48"/>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 xml:space="preserve">High rate of defect occurrence in application </w:t>
                  </w:r>
                  <w:r w:rsidRPr="007C6B82">
                    <w:rPr>
                      <w:rFonts w:ascii="Calibri" w:eastAsia="Times New Roman" w:hAnsi="Calibri"/>
                      <w:sz w:val="16"/>
                      <w:szCs w:val="16"/>
                      <w:lang w:eastAsia="en-US"/>
                    </w:rPr>
                    <w:t>processing</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5EDB"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lastRenderedPageBreak/>
                    <w:t>1 Hour</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A498"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2 Days</w:t>
                  </w:r>
                </w:p>
              </w:tc>
              <w:tc>
                <w:tcPr>
                  <w:tcW w:w="3578" w:type="dxa"/>
                  <w:vMerge/>
                  <w:tcBorders>
                    <w:left w:val="single" w:sz="4" w:space="0" w:color="000000"/>
                    <w:right w:val="single" w:sz="4" w:space="0" w:color="000000"/>
                  </w:tcBorders>
                  <w:shd w:val="clear" w:color="auto" w:fill="auto"/>
                  <w:tcMar>
                    <w:top w:w="0" w:type="dxa"/>
                    <w:left w:w="108" w:type="dxa"/>
                    <w:bottom w:w="0" w:type="dxa"/>
                    <w:right w:w="108" w:type="dxa"/>
                  </w:tcMar>
                </w:tcPr>
                <w:p w14:paraId="31921511" w14:textId="77777777" w:rsidR="00CC35EB" w:rsidRDefault="00CC35EB" w:rsidP="00CC35EB">
                  <w:pPr>
                    <w:spacing w:line="240" w:lineRule="auto"/>
                    <w:textAlignment w:val="auto"/>
                    <w:rPr>
                      <w:rFonts w:ascii="Calibri" w:eastAsia="Times New Roman" w:hAnsi="Calibri" w:cs="Times New Roman"/>
                      <w:b/>
                      <w:bCs/>
                      <w:sz w:val="20"/>
                      <w:szCs w:val="20"/>
                      <w:lang w:eastAsia="en-US"/>
                    </w:rPr>
                  </w:pPr>
                </w:p>
              </w:tc>
            </w:tr>
            <w:tr w:rsidR="00CC35EB" w14:paraId="5746BCFD" w14:textId="77777777" w:rsidTr="005C654D">
              <w:trPr>
                <w:trHeight w:val="121"/>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B4D7" w14:textId="77777777" w:rsidR="00CC35EB" w:rsidRDefault="00CC35EB" w:rsidP="00CC35EB">
                  <w:pPr>
                    <w:spacing w:line="240" w:lineRule="auto"/>
                    <w:jc w:val="center"/>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726B" w14:textId="77777777" w:rsidR="00CC35EB" w:rsidRDefault="00CC35EB" w:rsidP="00CC35EB">
                  <w:pPr>
                    <w:pStyle w:val="ListParagraph"/>
                    <w:numPr>
                      <w:ilvl w:val="0"/>
                      <w:numId w:val="49"/>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Requirement has not been delivered as expected, but a workaround is available</w:t>
                  </w:r>
                </w:p>
                <w:p w14:paraId="0E5A7CAB" w14:textId="77777777" w:rsidR="00CC35EB" w:rsidRDefault="00CC35EB" w:rsidP="00CC35EB">
                  <w:pPr>
                    <w:pStyle w:val="ListParagraph"/>
                    <w:numPr>
                      <w:ilvl w:val="0"/>
                      <w:numId w:val="49"/>
                    </w:numPr>
                    <w:suppressAutoHyphens w:val="0"/>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General usability issues e.g. screen sizing incorrect, truncated text, incorrect defaults, report formats - but can be manually altered so that it is usable</w:t>
                  </w:r>
                </w:p>
                <w:p w14:paraId="406D6118" w14:textId="77777777" w:rsidR="00CC35EB" w:rsidRDefault="00CC35EB" w:rsidP="00CC35EB">
                  <w:pPr>
                    <w:pStyle w:val="ListParagraph"/>
                    <w:numPr>
                      <w:ilvl w:val="0"/>
                      <w:numId w:val="49"/>
                    </w:numPr>
                    <w:suppressAutoHyphens w:val="0"/>
                    <w:spacing w:line="240" w:lineRule="auto"/>
                    <w:textAlignment w:val="auto"/>
                  </w:pPr>
                  <w:r>
                    <w:rPr>
                      <w:rFonts w:ascii="Calibri" w:eastAsia="SymbolMT" w:hAnsi="Calibri" w:cs="SymbolMT"/>
                      <w:sz w:val="16"/>
                      <w:szCs w:val="16"/>
                      <w:lang w:eastAsia="en-US"/>
                    </w:rPr>
                    <w:t xml:space="preserve"> </w:t>
                  </w:r>
                  <w:r>
                    <w:rPr>
                      <w:rFonts w:ascii="Calibri" w:eastAsia="Times New Roman" w:hAnsi="Calibri"/>
                      <w:sz w:val="16"/>
                      <w:szCs w:val="16"/>
                      <w:lang w:eastAsia="en-US"/>
                    </w:rPr>
                    <w:t>Minor errors but system still operates</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BFAB"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4 Hours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D6D2"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5 Days</w:t>
                  </w:r>
                </w:p>
              </w:tc>
              <w:tc>
                <w:tcPr>
                  <w:tcW w:w="3578" w:type="dxa"/>
                  <w:vMerge/>
                  <w:tcBorders>
                    <w:left w:val="single" w:sz="4" w:space="0" w:color="000000"/>
                    <w:right w:val="single" w:sz="4" w:space="0" w:color="000000"/>
                  </w:tcBorders>
                  <w:shd w:val="clear" w:color="auto" w:fill="auto"/>
                  <w:tcMar>
                    <w:top w:w="0" w:type="dxa"/>
                    <w:left w:w="108" w:type="dxa"/>
                    <w:bottom w:w="0" w:type="dxa"/>
                    <w:right w:w="108" w:type="dxa"/>
                  </w:tcMar>
                </w:tcPr>
                <w:p w14:paraId="4410E5A5" w14:textId="77777777" w:rsidR="00CC35EB" w:rsidRDefault="00CC35EB" w:rsidP="00CC35EB">
                  <w:pPr>
                    <w:spacing w:line="240" w:lineRule="auto"/>
                    <w:textAlignment w:val="auto"/>
                    <w:rPr>
                      <w:rFonts w:ascii="Calibri" w:eastAsia="Times New Roman" w:hAnsi="Calibri" w:cs="Times New Roman"/>
                      <w:b/>
                      <w:bCs/>
                      <w:sz w:val="20"/>
                      <w:szCs w:val="20"/>
                      <w:lang w:eastAsia="en-US"/>
                    </w:rPr>
                  </w:pPr>
                </w:p>
              </w:tc>
            </w:tr>
            <w:tr w:rsidR="00CC35EB" w14:paraId="57BE8148" w14:textId="77777777" w:rsidTr="005C654D">
              <w:trPr>
                <w:trHeight w:val="121"/>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0BC7" w14:textId="77777777" w:rsidR="00CC35EB" w:rsidRDefault="00CC35EB" w:rsidP="00CC35EB">
                  <w:pPr>
                    <w:spacing w:line="240" w:lineRule="auto"/>
                    <w:jc w:val="center"/>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B148"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Low impact and not a significant concern</w:t>
                  </w:r>
                </w:p>
                <w:p w14:paraId="0E22BE6C"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Cosmetic issues e.g. spelling mistakes,</w:t>
                  </w:r>
                </w:p>
                <w:p w14:paraId="65EFEF9A"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incorrect background/text colour</w:t>
                  </w:r>
                </w:p>
                <w:p w14:paraId="40C7D3E4"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Not affecting the functional operation of the</w:t>
                  </w:r>
                </w:p>
                <w:p w14:paraId="4D18AFB6"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system</w:t>
                  </w:r>
                </w:p>
                <w:p w14:paraId="4719C9CF"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Screen layout incorrect</w:t>
                  </w:r>
                </w:p>
                <w:p w14:paraId="435FEB3B" w14:textId="77777777" w:rsidR="00CC35EB" w:rsidRDefault="00CC35EB" w:rsidP="00CC35EB">
                  <w:pPr>
                    <w:autoSpaceDE w:val="0"/>
                    <w:spacing w:line="240" w:lineRule="auto"/>
                    <w:textAlignment w:val="auto"/>
                    <w:rPr>
                      <w:rFonts w:ascii="Calibri" w:eastAsia="Times New Roman" w:hAnsi="Calibri"/>
                      <w:sz w:val="16"/>
                      <w:szCs w:val="16"/>
                      <w:lang w:eastAsia="en-US"/>
                    </w:rPr>
                  </w:pPr>
                  <w:r>
                    <w:rPr>
                      <w:rFonts w:ascii="Calibri" w:eastAsia="Times New Roman" w:hAnsi="Calibri"/>
                      <w:sz w:val="16"/>
                      <w:szCs w:val="16"/>
                      <w:lang w:eastAsia="en-US"/>
                    </w:rPr>
                    <w:t>Field sizes inappropriate</w:t>
                  </w:r>
                </w:p>
                <w:p w14:paraId="51D018E3" w14:textId="77777777" w:rsidR="00CC35EB" w:rsidRDefault="00CC35EB" w:rsidP="00CC35EB">
                  <w:pPr>
                    <w:spacing w:line="240" w:lineRule="auto"/>
                    <w:textAlignment w:val="auto"/>
                  </w:pPr>
                  <w:r>
                    <w:rPr>
                      <w:rFonts w:ascii="Calibri" w:eastAsia="Times New Roman" w:hAnsi="Calibri"/>
                      <w:sz w:val="16"/>
                      <w:szCs w:val="16"/>
                      <w:lang w:eastAsia="en-US"/>
                    </w:rPr>
                    <w:t>Help text incorrect</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B03B"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8 Hours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9343" w14:textId="77777777" w:rsidR="00CC35EB" w:rsidRDefault="00CC35EB" w:rsidP="00CC35EB">
                  <w:pPr>
                    <w:spacing w:line="240" w:lineRule="auto"/>
                    <w:textAlignment w:val="auto"/>
                    <w:rPr>
                      <w:rFonts w:ascii="Calibri" w:eastAsia="Times New Roman" w:hAnsi="Calibri" w:cs="Times New Roman"/>
                      <w:sz w:val="16"/>
                      <w:szCs w:val="16"/>
                      <w:lang w:eastAsia="en-US"/>
                    </w:rPr>
                  </w:pPr>
                  <w:r>
                    <w:rPr>
                      <w:rFonts w:ascii="Calibri" w:eastAsia="Times New Roman" w:hAnsi="Calibri" w:cs="Times New Roman"/>
                      <w:sz w:val="16"/>
                      <w:szCs w:val="16"/>
                      <w:lang w:eastAsia="en-US"/>
                    </w:rPr>
                    <w:t>Scheduled Release</w:t>
                  </w:r>
                </w:p>
              </w:tc>
              <w:tc>
                <w:tcPr>
                  <w:tcW w:w="35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444A" w14:textId="77777777" w:rsidR="00CC35EB" w:rsidRDefault="00CC35EB" w:rsidP="00CC35EB">
                  <w:pPr>
                    <w:spacing w:line="240" w:lineRule="auto"/>
                    <w:textAlignment w:val="auto"/>
                    <w:rPr>
                      <w:rFonts w:ascii="Calibri" w:eastAsia="Times New Roman" w:hAnsi="Calibri" w:cs="Times New Roman"/>
                      <w:b/>
                      <w:bCs/>
                      <w:sz w:val="20"/>
                      <w:szCs w:val="20"/>
                      <w:lang w:eastAsia="en-US"/>
                    </w:rPr>
                  </w:pPr>
                </w:p>
              </w:tc>
            </w:tr>
          </w:tbl>
          <w:p w14:paraId="6D119D34" w14:textId="77777777" w:rsidR="00CC35EB" w:rsidRPr="008905A6" w:rsidRDefault="00CC35EB" w:rsidP="005F4AD8">
            <w:pPr>
              <w:pStyle w:val="Normal1"/>
              <w:widowControl w:val="0"/>
            </w:pPr>
          </w:p>
        </w:tc>
      </w:tr>
      <w:tr w:rsidR="005C3AE7" w:rsidRPr="008905A6" w14:paraId="2D96087E" w14:textId="77777777" w:rsidTr="005F4AD8">
        <w:trPr>
          <w:trHeight w:val="96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6D95A97" w14:textId="77777777" w:rsidR="005C3AE7" w:rsidRPr="008905A6" w:rsidRDefault="005C3AE7" w:rsidP="005F4AD8">
            <w:pPr>
              <w:pStyle w:val="Normal1"/>
              <w:widowControl w:val="0"/>
              <w:rPr>
                <w:lang w:val="en-GB"/>
              </w:rPr>
            </w:pPr>
            <w:r w:rsidRPr="008905A6">
              <w:rPr>
                <w:lang w:val="en-GB"/>
              </w:rPr>
              <w:lastRenderedPageBreak/>
              <w:t>4</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B75499F" w14:textId="680430F4" w:rsidR="005C3AE7" w:rsidRPr="008905A6" w:rsidRDefault="005C3AE7" w:rsidP="00297F08">
            <w:pPr>
              <w:pStyle w:val="Normal1"/>
              <w:widowControl w:val="0"/>
            </w:pPr>
            <w:r w:rsidRPr="008905A6">
              <w:t xml:space="preserve">The Supplier </w:t>
            </w:r>
            <w:r w:rsidR="00297F08">
              <w:rPr>
                <w:lang w:val="en-GB"/>
              </w:rPr>
              <w:t>will</w:t>
            </w:r>
            <w:r w:rsidR="00297F08" w:rsidRPr="008905A6">
              <w:t xml:space="preserve"> </w:t>
            </w:r>
            <w:r w:rsidRPr="008905A6">
              <w:t xml:space="preserve">respond to and resolve site-wide incidents, or incidents affecting business critical areas of the BEIS system . Critical incidents </w:t>
            </w:r>
            <w:r w:rsidRPr="008905A6">
              <w:rPr>
                <w:lang w:val="en-GB"/>
              </w:rPr>
              <w:t>must</w:t>
            </w:r>
            <w:r w:rsidRPr="008905A6">
              <w:t xml:space="preserve"> be reported with 30 minutes and resolved within </w:t>
            </w:r>
            <w:r w:rsidR="00CC35EB">
              <w:rPr>
                <w:lang w:val="en-GB"/>
              </w:rPr>
              <w:t>4</w:t>
            </w:r>
            <w:r w:rsidR="00CC35EB" w:rsidRPr="008905A6">
              <w:t xml:space="preserve"> </w:t>
            </w:r>
            <w:r w:rsidRPr="008905A6">
              <w:t xml:space="preserve">hours. </w:t>
            </w:r>
          </w:p>
        </w:tc>
      </w:tr>
      <w:tr w:rsidR="005C3AE7" w:rsidRPr="008905A6" w14:paraId="410A76BA" w14:textId="77777777" w:rsidTr="005F4AD8">
        <w:trPr>
          <w:trHeight w:val="34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FD0984C" w14:textId="77777777" w:rsidR="005C3AE7" w:rsidRPr="008905A6" w:rsidRDefault="005C3AE7" w:rsidP="005F4AD8">
            <w:pPr>
              <w:pStyle w:val="Normal1"/>
              <w:widowControl w:val="0"/>
              <w:rPr>
                <w:lang w:val="en-GB"/>
              </w:rPr>
            </w:pPr>
            <w:r w:rsidRPr="008905A6">
              <w:rPr>
                <w:lang w:val="en-GB"/>
              </w:rPr>
              <w:t>5</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06F833D" w14:textId="47E568C3" w:rsidR="005C3AE7" w:rsidRPr="008905A6" w:rsidRDefault="005C3AE7" w:rsidP="005F4AD8">
            <w:pPr>
              <w:pStyle w:val="Normal1"/>
              <w:widowControl w:val="0"/>
              <w:rPr>
                <w:lang w:val="en-GB"/>
              </w:rPr>
            </w:pPr>
            <w:r w:rsidRPr="008905A6">
              <w:t>The Supplier will ensure that</w:t>
            </w:r>
            <w:r w:rsidR="00CC35EB">
              <w:rPr>
                <w:lang w:val="en-GB"/>
              </w:rPr>
              <w:t xml:space="preserve">, for the elements of the Application and Hosting Platform over which the Supplier has full management control, the RPR Service </w:t>
            </w:r>
            <w:r w:rsidRPr="008905A6">
              <w:t xml:space="preserve">is available 99.95% of time </w:t>
            </w:r>
            <w:r w:rsidRPr="008905A6">
              <w:rPr>
                <w:lang w:val="en-GB"/>
              </w:rPr>
              <w:t>during Core Support hours</w:t>
            </w:r>
            <w:r w:rsidRPr="008905A6">
              <w:t xml:space="preserve"> and will provide monthly reporting to demonstrate BEIS system uptime and availability.</w:t>
            </w:r>
            <w:r w:rsidRPr="008905A6">
              <w:rPr>
                <w:lang w:val="en-GB"/>
              </w:rPr>
              <w:t xml:space="preserve"> Outside of Core Support hours the BEIS system shall remain available for use by BEIS except during periods of planned maintenance of which prior notice is given to BEIS.</w:t>
            </w:r>
          </w:p>
        </w:tc>
      </w:tr>
      <w:tr w:rsidR="005C3AE7" w:rsidRPr="008905A6" w14:paraId="7A5B92AE" w14:textId="77777777" w:rsidTr="005F4AD8">
        <w:trPr>
          <w:trHeight w:val="520"/>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79A6EB" w14:textId="77777777" w:rsidR="005C3AE7" w:rsidRPr="008905A6" w:rsidRDefault="005C3AE7" w:rsidP="005F4AD8">
            <w:pPr>
              <w:pStyle w:val="Normal1"/>
              <w:widowControl w:val="0"/>
              <w:rPr>
                <w:lang w:val="en-GB"/>
              </w:rPr>
            </w:pPr>
            <w:r w:rsidRPr="008905A6">
              <w:rPr>
                <w:lang w:val="en-GB"/>
              </w:rPr>
              <w:t>6</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B056E0B" w14:textId="77777777" w:rsidR="005C3AE7" w:rsidRPr="008905A6" w:rsidRDefault="005C3AE7" w:rsidP="005F4AD8">
            <w:pPr>
              <w:pStyle w:val="Normal1"/>
              <w:widowControl w:val="0"/>
              <w:rPr>
                <w:lang w:val="en-GB"/>
              </w:rPr>
            </w:pPr>
            <w:r w:rsidRPr="008905A6">
              <w:t>Where downtime or site performance is likely to be impacted, the Supplier sh</w:t>
            </w:r>
            <w:r w:rsidRPr="008905A6">
              <w:rPr>
                <w:lang w:val="en-GB"/>
              </w:rPr>
              <w:t>all</w:t>
            </w:r>
            <w:r w:rsidRPr="008905A6">
              <w:t xml:space="preserve"> ensure that </w:t>
            </w:r>
            <w:r w:rsidRPr="008905A6">
              <w:rPr>
                <w:lang w:val="en-GB"/>
              </w:rPr>
              <w:t>BEIS</w:t>
            </w:r>
            <w:r w:rsidRPr="008905A6">
              <w:t xml:space="preserve"> is made aware of the impact a minimum of 3 working days before a change is to be implemented. All changes that could potentially impact BEIS system performance must take place out</w:t>
            </w:r>
            <w:r w:rsidRPr="008905A6">
              <w:rPr>
                <w:lang w:val="en-GB"/>
              </w:rPr>
              <w:t>side</w:t>
            </w:r>
            <w:r w:rsidRPr="008905A6">
              <w:t>-of-</w:t>
            </w:r>
            <w:r w:rsidRPr="008905A6">
              <w:rPr>
                <w:lang w:val="en-GB"/>
              </w:rPr>
              <w:t xml:space="preserve">Core Support </w:t>
            </w:r>
            <w:r w:rsidRPr="008905A6">
              <w:t xml:space="preserve">hours and in agreement with </w:t>
            </w:r>
            <w:r w:rsidRPr="008905A6">
              <w:rPr>
                <w:lang w:val="en-GB"/>
              </w:rPr>
              <w:t>BEIS.  Such changes should not impact BEIS critical processing periods.</w:t>
            </w:r>
          </w:p>
        </w:tc>
      </w:tr>
      <w:tr w:rsidR="005C3AE7" w:rsidRPr="008905A6" w14:paraId="4B2F36B7" w14:textId="77777777" w:rsidTr="005F4AD8">
        <w:trPr>
          <w:trHeight w:val="1193"/>
        </w:trPr>
        <w:tc>
          <w:tcPr>
            <w:tcW w:w="9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61712A0" w14:textId="77777777" w:rsidR="005C3AE7" w:rsidRPr="008905A6" w:rsidRDefault="005C3AE7" w:rsidP="005F4AD8">
            <w:pPr>
              <w:pStyle w:val="Normal1"/>
              <w:widowControl w:val="0"/>
              <w:rPr>
                <w:lang w:val="en-GB"/>
              </w:rPr>
            </w:pPr>
            <w:r w:rsidRPr="008905A6">
              <w:rPr>
                <w:lang w:val="en-GB"/>
              </w:rPr>
              <w:lastRenderedPageBreak/>
              <w:t>7</w:t>
            </w:r>
          </w:p>
        </w:tc>
        <w:tc>
          <w:tcPr>
            <w:tcW w:w="83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E324FE0" w14:textId="33417BB4" w:rsidR="005C3AE7" w:rsidRPr="008905A6" w:rsidRDefault="005C3AE7" w:rsidP="005F4AD8">
            <w:pPr>
              <w:pStyle w:val="Normal1"/>
              <w:widowControl w:val="0"/>
            </w:pPr>
            <w:r w:rsidRPr="008905A6">
              <w:t xml:space="preserve">The Supplier will </w:t>
            </w:r>
            <w:r w:rsidRPr="008905A6">
              <w:rPr>
                <w:lang w:val="en-GB"/>
              </w:rPr>
              <w:t xml:space="preserve">cooperate in the </w:t>
            </w:r>
            <w:r w:rsidRPr="008905A6">
              <w:t>run</w:t>
            </w:r>
            <w:r w:rsidRPr="008905A6">
              <w:rPr>
                <w:lang w:val="en-GB"/>
              </w:rPr>
              <w:t>ning of</w:t>
            </w:r>
            <w:r w:rsidRPr="008905A6">
              <w:t xml:space="preserve"> an annual pen</w:t>
            </w:r>
            <w:r w:rsidRPr="008905A6">
              <w:rPr>
                <w:lang w:val="en-GB"/>
              </w:rPr>
              <w:t xml:space="preserve">etration </w:t>
            </w:r>
            <w:r w:rsidRPr="008905A6">
              <w:t>test and retest with a CHECK or Crest accredited Supplier</w:t>
            </w:r>
            <w:r w:rsidRPr="008905A6">
              <w:rPr>
                <w:lang w:val="en-GB"/>
              </w:rPr>
              <w:t xml:space="preserve"> appointed by BEIS</w:t>
            </w:r>
            <w:r w:rsidRPr="008905A6">
              <w:t>.</w:t>
            </w:r>
            <w:r w:rsidRPr="008905A6">
              <w:rPr>
                <w:lang w:val="en-GB"/>
              </w:rPr>
              <w:t xml:space="preserve"> </w:t>
            </w:r>
            <w:r w:rsidRPr="008905A6">
              <w:t xml:space="preserve"> The Supplier will be responsible for fixing security issues identified in pen</w:t>
            </w:r>
            <w:r w:rsidRPr="008905A6">
              <w:rPr>
                <w:lang w:val="en-GB"/>
              </w:rPr>
              <w:t xml:space="preserve">etration </w:t>
            </w:r>
            <w:r w:rsidRPr="008905A6">
              <w:t xml:space="preserve">testing within 6 weeks of the test. </w:t>
            </w:r>
            <w:r w:rsidRPr="008905A6">
              <w:rPr>
                <w:lang w:val="en-GB"/>
              </w:rPr>
              <w:t xml:space="preserve"> </w:t>
            </w:r>
            <w:r w:rsidRPr="008905A6">
              <w:t xml:space="preserve">A retest will be required within 1 month of the changes being implemented. </w:t>
            </w:r>
          </w:p>
        </w:tc>
      </w:tr>
    </w:tbl>
    <w:p w14:paraId="6D52EB5C" w14:textId="77777777" w:rsidR="005C3AE7" w:rsidRDefault="005C3AE7" w:rsidP="005C3AE7">
      <w:pPr>
        <w:pStyle w:val="Normal1"/>
      </w:pPr>
    </w:p>
    <w:p w14:paraId="1AA8070B" w14:textId="77777777" w:rsidR="00FA257B" w:rsidRDefault="00FA257B" w:rsidP="005C3AE7">
      <w:pPr>
        <w:pStyle w:val="Normal1"/>
      </w:pPr>
    </w:p>
    <w:p w14:paraId="48A5F976" w14:textId="77777777" w:rsidR="00FA257B" w:rsidRDefault="00FA257B" w:rsidP="005C3AE7">
      <w:pPr>
        <w:pStyle w:val="Normal1"/>
      </w:pPr>
    </w:p>
    <w:p w14:paraId="5581125A" w14:textId="77777777" w:rsidR="00FA257B" w:rsidRDefault="00FA257B" w:rsidP="005C3AE7">
      <w:pPr>
        <w:pStyle w:val="Normal1"/>
      </w:pPr>
    </w:p>
    <w:p w14:paraId="364BA2A0" w14:textId="77777777" w:rsidR="00FA257B" w:rsidRDefault="00FA257B" w:rsidP="005C3AE7">
      <w:pPr>
        <w:pStyle w:val="Normal1"/>
      </w:pPr>
    </w:p>
    <w:p w14:paraId="42AA67E1" w14:textId="77777777" w:rsidR="00FA257B" w:rsidRDefault="00FA257B" w:rsidP="005C3AE7">
      <w:pPr>
        <w:pStyle w:val="Normal1"/>
      </w:pPr>
    </w:p>
    <w:p w14:paraId="6446E17A" w14:textId="77777777" w:rsidR="00FA257B" w:rsidRDefault="00FA257B" w:rsidP="005C3AE7">
      <w:pPr>
        <w:pStyle w:val="Normal1"/>
      </w:pPr>
    </w:p>
    <w:p w14:paraId="0750EA1C" w14:textId="77777777" w:rsidR="00FA257B" w:rsidRPr="008905A6" w:rsidRDefault="00FA257B" w:rsidP="005C3AE7">
      <w:pPr>
        <w:pStyle w:val="Normal1"/>
      </w:pPr>
    </w:p>
    <w:tbl>
      <w:tblPr>
        <w:tblW w:w="921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5085"/>
        <w:gridCol w:w="3315"/>
      </w:tblGrid>
      <w:tr w:rsidR="005C3AE7" w:rsidRPr="008905A6" w14:paraId="0D2CC855" w14:textId="77777777" w:rsidTr="005F4AD8">
        <w:trPr>
          <w:trHeight w:val="320"/>
        </w:trPr>
        <w:tc>
          <w:tcPr>
            <w:tcW w:w="810" w:type="dxa"/>
            <w:tcBorders>
              <w:top w:val="single" w:sz="6" w:space="0" w:color="000000" w:themeColor="text1"/>
              <w:left w:val="single" w:sz="6" w:space="0" w:color="000000" w:themeColor="text1"/>
              <w:bottom w:val="single" w:sz="6" w:space="0" w:color="CCCCCC"/>
              <w:right w:val="single" w:sz="6" w:space="0" w:color="000000" w:themeColor="text1"/>
            </w:tcBorders>
            <w:tcMar>
              <w:top w:w="0" w:type="dxa"/>
              <w:left w:w="40" w:type="dxa"/>
              <w:bottom w:w="0" w:type="dxa"/>
              <w:right w:w="40" w:type="dxa"/>
            </w:tcMar>
          </w:tcPr>
          <w:p w14:paraId="211C234E" w14:textId="77777777" w:rsidR="005C3AE7" w:rsidRPr="008905A6" w:rsidRDefault="005C3AE7" w:rsidP="005F4AD8">
            <w:pPr>
              <w:pStyle w:val="Normal1"/>
              <w:widowControl w:val="0"/>
              <w:rPr>
                <w:b/>
              </w:rPr>
            </w:pPr>
            <w:r w:rsidRPr="008905A6">
              <w:rPr>
                <w:b/>
              </w:rPr>
              <w:t>ID</w:t>
            </w:r>
          </w:p>
        </w:tc>
        <w:tc>
          <w:tcPr>
            <w:tcW w:w="5085" w:type="dxa"/>
            <w:tcBorders>
              <w:top w:val="single" w:sz="6" w:space="0" w:color="000000" w:themeColor="text1"/>
              <w:left w:val="single" w:sz="6" w:space="0" w:color="000000" w:themeColor="text1"/>
              <w:bottom w:val="single" w:sz="6" w:space="0" w:color="CCCCCC"/>
              <w:right w:val="single" w:sz="6" w:space="0" w:color="000000" w:themeColor="text1"/>
            </w:tcBorders>
            <w:tcMar>
              <w:top w:w="0" w:type="dxa"/>
              <w:left w:w="40" w:type="dxa"/>
              <w:bottom w:w="0" w:type="dxa"/>
              <w:right w:w="40" w:type="dxa"/>
            </w:tcMar>
          </w:tcPr>
          <w:p w14:paraId="147DDFAE" w14:textId="77777777" w:rsidR="00FA257B" w:rsidRDefault="005C3AE7" w:rsidP="005F4AD8">
            <w:pPr>
              <w:pStyle w:val="Normal1"/>
              <w:widowControl w:val="0"/>
              <w:rPr>
                <w:b/>
                <w:lang w:val="en-GB"/>
              </w:rPr>
            </w:pPr>
            <w:r w:rsidRPr="008905A6">
              <w:rPr>
                <w:b/>
                <w:lang w:val="en-GB"/>
              </w:rPr>
              <w:t>Operational Level Agreements (</w:t>
            </w:r>
            <w:r w:rsidRPr="008905A6">
              <w:rPr>
                <w:b/>
              </w:rPr>
              <w:t>OLA</w:t>
            </w:r>
            <w:r w:rsidRPr="008905A6">
              <w:rPr>
                <w:b/>
                <w:lang w:val="en-GB"/>
              </w:rPr>
              <w:t>) –</w:t>
            </w:r>
            <w:r w:rsidR="00FA257B">
              <w:rPr>
                <w:b/>
                <w:lang w:val="en-GB"/>
              </w:rPr>
              <w:t xml:space="preserve"> </w:t>
            </w:r>
          </w:p>
          <w:p w14:paraId="4F833CFA" w14:textId="1F71529A" w:rsidR="005C3AE7" w:rsidRPr="008905A6" w:rsidRDefault="005C3AE7" w:rsidP="005F4AD8">
            <w:pPr>
              <w:pStyle w:val="Normal1"/>
              <w:widowControl w:val="0"/>
              <w:rPr>
                <w:b/>
                <w:lang w:val="en-GB"/>
              </w:rPr>
            </w:pPr>
            <w:r w:rsidRPr="008905A6">
              <w:rPr>
                <w:b/>
                <w:lang w:val="en-GB"/>
              </w:rPr>
              <w:t xml:space="preserve"> </w:t>
            </w:r>
            <w:r w:rsidR="00FA257B" w:rsidRPr="008905A6">
              <w:rPr>
                <w:b/>
                <w:lang w:val="en-GB"/>
              </w:rPr>
              <w:t>Non-Exhaustive</w:t>
            </w:r>
          </w:p>
        </w:tc>
        <w:tc>
          <w:tcPr>
            <w:tcW w:w="3315" w:type="dxa"/>
            <w:tcBorders>
              <w:top w:val="single" w:sz="6" w:space="0" w:color="000000" w:themeColor="text1"/>
              <w:left w:val="single" w:sz="6" w:space="0" w:color="000000" w:themeColor="text1"/>
              <w:bottom w:val="single" w:sz="8" w:space="0" w:color="000000" w:themeColor="text1"/>
              <w:right w:val="single" w:sz="6" w:space="0" w:color="000000" w:themeColor="text1"/>
            </w:tcBorders>
            <w:tcMar>
              <w:top w:w="0" w:type="dxa"/>
              <w:left w:w="40" w:type="dxa"/>
              <w:bottom w:w="0" w:type="dxa"/>
              <w:right w:w="40" w:type="dxa"/>
            </w:tcMar>
          </w:tcPr>
          <w:p w14:paraId="78C73442" w14:textId="77777777" w:rsidR="005C3AE7" w:rsidRPr="008905A6" w:rsidRDefault="005C3AE7" w:rsidP="005F4AD8">
            <w:pPr>
              <w:pStyle w:val="Normal1"/>
              <w:widowControl w:val="0"/>
            </w:pPr>
          </w:p>
        </w:tc>
      </w:tr>
      <w:tr w:rsidR="005C3AE7" w:rsidRPr="008905A6" w14:paraId="63BC3D31" w14:textId="77777777" w:rsidTr="005F4AD8">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14:paraId="0A0E1E34" w14:textId="77777777" w:rsidR="005C3AE7" w:rsidRPr="008905A6" w:rsidRDefault="005C3AE7" w:rsidP="005F4AD8">
            <w:pPr>
              <w:pStyle w:val="Normal1"/>
              <w:widowControl w:val="0"/>
            </w:pPr>
            <w:r w:rsidRPr="008905A6">
              <w:t>1</w:t>
            </w: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14:paraId="5AA962A4" w14:textId="77777777" w:rsidR="005C3AE7" w:rsidRPr="008905A6" w:rsidRDefault="005C3AE7" w:rsidP="005F4AD8">
            <w:pPr>
              <w:pStyle w:val="Normal1"/>
              <w:widowControl w:val="0"/>
            </w:pPr>
            <w:r w:rsidRPr="008905A6">
              <w:t xml:space="preserve">The Supplier has clearly documented Business Continuity plans, including out of hours arrangements. </w:t>
            </w:r>
          </w:p>
        </w:tc>
        <w:tc>
          <w:tcPr>
            <w:tcW w:w="3315"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0" w:type="dxa"/>
              <w:left w:w="40" w:type="dxa"/>
              <w:bottom w:w="0" w:type="dxa"/>
              <w:right w:w="40" w:type="dxa"/>
            </w:tcMar>
          </w:tcPr>
          <w:p w14:paraId="2F3A1ECC" w14:textId="77777777" w:rsidR="005C3AE7" w:rsidRPr="008905A6" w:rsidRDefault="005C3AE7" w:rsidP="005F4AD8">
            <w:pPr>
              <w:pStyle w:val="Normal1"/>
              <w:widowControl w:val="0"/>
              <w:rPr>
                <w:highlight w:val="white"/>
                <w:lang w:val="en-GB"/>
              </w:rPr>
            </w:pPr>
            <w:r w:rsidRPr="008905A6">
              <w:rPr>
                <w:highlight w:val="white"/>
              </w:rPr>
              <w:t>The Supplier will supply business continuity documentation and update on the status of business continuity plans as part of</w:t>
            </w:r>
            <w:r w:rsidRPr="008905A6">
              <w:rPr>
                <w:highlight w:val="white"/>
                <w:lang w:val="en-GB"/>
              </w:rPr>
              <w:t xml:space="preserve"> the</w:t>
            </w:r>
            <w:r w:rsidRPr="008905A6">
              <w:rPr>
                <w:highlight w:val="white"/>
              </w:rPr>
              <w:t xml:space="preserve"> </w:t>
            </w:r>
            <w:r w:rsidRPr="008905A6">
              <w:rPr>
                <w:highlight w:val="white"/>
                <w:lang w:val="en-GB"/>
              </w:rPr>
              <w:t xml:space="preserve">Service. </w:t>
            </w:r>
            <w:r w:rsidRPr="008905A6">
              <w:rPr>
                <w:highlight w:val="white"/>
              </w:rPr>
              <w:br/>
            </w:r>
          </w:p>
        </w:tc>
      </w:tr>
      <w:tr w:rsidR="005C3AE7" w:rsidRPr="008905A6" w14:paraId="25E2F1E0" w14:textId="77777777" w:rsidTr="005F4AD8">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14:paraId="47846CC6" w14:textId="77777777" w:rsidR="005C3AE7" w:rsidRPr="008905A6" w:rsidRDefault="005C3AE7" w:rsidP="005F4AD8">
            <w:pPr>
              <w:pStyle w:val="Normal1"/>
              <w:widowControl w:val="0"/>
            </w:pPr>
            <w:r w:rsidRPr="008905A6">
              <w:t>2</w:t>
            </w: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tcPr>
          <w:p w14:paraId="3E4DB7F4" w14:textId="77777777" w:rsidR="005C3AE7" w:rsidRPr="008905A6" w:rsidRDefault="005C3AE7" w:rsidP="005F4AD8">
            <w:pPr>
              <w:pStyle w:val="Normal1"/>
              <w:widowControl w:val="0"/>
            </w:pPr>
            <w:r w:rsidRPr="008905A6">
              <w:t>The Supplier has clearly documented Disaster Recovery arrangements, including out of hours support.</w:t>
            </w:r>
          </w:p>
        </w:tc>
        <w:tc>
          <w:tcPr>
            <w:tcW w:w="3315"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0" w:type="dxa"/>
              <w:left w:w="40" w:type="dxa"/>
              <w:bottom w:w="0" w:type="dxa"/>
              <w:right w:w="40" w:type="dxa"/>
            </w:tcMar>
          </w:tcPr>
          <w:p w14:paraId="4696E52E" w14:textId="77777777" w:rsidR="005C3AE7" w:rsidRPr="008905A6" w:rsidRDefault="005C3AE7" w:rsidP="005F4AD8">
            <w:pPr>
              <w:pStyle w:val="Normal1"/>
              <w:widowControl w:val="0"/>
              <w:rPr>
                <w:highlight w:val="white"/>
              </w:rPr>
            </w:pPr>
            <w:r w:rsidRPr="008905A6">
              <w:rPr>
                <w:highlight w:val="white"/>
              </w:rPr>
              <w:t xml:space="preserve">The Supplier will be asked to supply disaster recovery documentation and update on the status of disaster recovery plans as part of ongoing </w:t>
            </w:r>
            <w:r w:rsidRPr="008905A6">
              <w:rPr>
                <w:highlight w:val="white"/>
                <w:lang w:val="en-GB"/>
              </w:rPr>
              <w:t>Service m</w:t>
            </w:r>
            <w:r w:rsidRPr="008905A6">
              <w:rPr>
                <w:highlight w:val="white"/>
              </w:rPr>
              <w:t>anagement.</w:t>
            </w:r>
            <w:r w:rsidRPr="008905A6">
              <w:rPr>
                <w:highlight w:val="white"/>
              </w:rPr>
              <w:br/>
            </w:r>
          </w:p>
        </w:tc>
      </w:tr>
      <w:tr w:rsidR="005C3AE7" w:rsidRPr="008905A6" w14:paraId="1A95B054" w14:textId="77777777" w:rsidTr="005F4AD8">
        <w:tc>
          <w:tcPr>
            <w:tcW w:w="810" w:type="dxa"/>
            <w:tcBorders>
              <w:top w:val="single" w:sz="6" w:space="0" w:color="000000" w:themeColor="text1"/>
            </w:tcBorders>
            <w:shd w:val="clear" w:color="auto" w:fill="auto"/>
            <w:tcMar>
              <w:top w:w="100" w:type="dxa"/>
              <w:left w:w="100" w:type="dxa"/>
              <w:bottom w:w="100" w:type="dxa"/>
              <w:right w:w="100" w:type="dxa"/>
            </w:tcMar>
          </w:tcPr>
          <w:p w14:paraId="0E65E1E4" w14:textId="77777777" w:rsidR="005C3AE7" w:rsidRPr="008905A6" w:rsidRDefault="005C3AE7" w:rsidP="005F4AD8">
            <w:pPr>
              <w:pStyle w:val="Normal1"/>
              <w:widowControl w:val="0"/>
            </w:pPr>
            <w:r w:rsidRPr="008905A6">
              <w:t>3</w:t>
            </w:r>
          </w:p>
        </w:tc>
        <w:tc>
          <w:tcPr>
            <w:tcW w:w="5085" w:type="dxa"/>
            <w:tcBorders>
              <w:top w:val="single" w:sz="6" w:space="0" w:color="000000" w:themeColor="text1"/>
            </w:tcBorders>
            <w:shd w:val="clear" w:color="auto" w:fill="auto"/>
            <w:tcMar>
              <w:top w:w="100" w:type="dxa"/>
              <w:left w:w="100" w:type="dxa"/>
              <w:bottom w:w="100" w:type="dxa"/>
              <w:right w:w="100" w:type="dxa"/>
            </w:tcMar>
          </w:tcPr>
          <w:p w14:paraId="75978E30" w14:textId="77777777" w:rsidR="005C3AE7" w:rsidRPr="008905A6" w:rsidRDefault="005C3AE7" w:rsidP="005F4AD8">
            <w:pPr>
              <w:pStyle w:val="Normal1"/>
              <w:widowControl w:val="0"/>
              <w:rPr>
                <w:lang w:val="en-GB"/>
              </w:rPr>
            </w:pPr>
            <w:r w:rsidRPr="008905A6">
              <w:t xml:space="preserve">The Supplier will maintain a security risk register to be shared with </w:t>
            </w:r>
            <w:r w:rsidRPr="008905A6">
              <w:rPr>
                <w:lang w:val="en-GB"/>
              </w:rPr>
              <w:t>BEIS</w:t>
            </w:r>
            <w:r w:rsidRPr="008905A6">
              <w:t xml:space="preserve"> and provide a </w:t>
            </w:r>
            <w:r w:rsidRPr="008905A6">
              <w:rPr>
                <w:lang w:val="en-GB"/>
              </w:rPr>
              <w:t xml:space="preserve">qualified </w:t>
            </w:r>
            <w:r w:rsidRPr="008905A6">
              <w:t>named per</w:t>
            </w:r>
            <w:r w:rsidRPr="008905A6">
              <w:rPr>
                <w:lang w:val="en-GB"/>
              </w:rPr>
              <w:t>son as security contact.</w:t>
            </w:r>
          </w:p>
        </w:tc>
        <w:tc>
          <w:tcPr>
            <w:tcW w:w="3315" w:type="dxa"/>
            <w:tcBorders>
              <w:top w:val="single" w:sz="8" w:space="0" w:color="000000" w:themeColor="text1"/>
            </w:tcBorders>
            <w:shd w:val="clear" w:color="auto" w:fill="auto"/>
            <w:tcMar>
              <w:top w:w="100" w:type="dxa"/>
              <w:left w:w="100" w:type="dxa"/>
              <w:bottom w:w="100" w:type="dxa"/>
              <w:right w:w="100" w:type="dxa"/>
            </w:tcMar>
          </w:tcPr>
          <w:p w14:paraId="5236C7A4" w14:textId="77777777" w:rsidR="005C3AE7" w:rsidRPr="008905A6" w:rsidRDefault="005C3AE7" w:rsidP="005F4AD8">
            <w:pPr>
              <w:pStyle w:val="Normal1"/>
              <w:widowControl w:val="0"/>
            </w:pPr>
            <w:r w:rsidRPr="008905A6">
              <w:rPr>
                <w:highlight w:val="white"/>
              </w:rPr>
              <w:t xml:space="preserve">The Supplier will </w:t>
            </w:r>
            <w:r w:rsidRPr="008905A6">
              <w:rPr>
                <w:highlight w:val="white"/>
                <w:lang w:val="en-GB"/>
              </w:rPr>
              <w:t xml:space="preserve">maintain </w:t>
            </w:r>
            <w:r w:rsidRPr="008905A6">
              <w:rPr>
                <w:highlight w:val="white"/>
              </w:rPr>
              <w:t xml:space="preserve">a security risk register and update on security and data risk as part of ongoing </w:t>
            </w:r>
            <w:r w:rsidRPr="008905A6">
              <w:rPr>
                <w:highlight w:val="white"/>
                <w:lang w:val="en-GB"/>
              </w:rPr>
              <w:t>Service m</w:t>
            </w:r>
            <w:r w:rsidRPr="008905A6">
              <w:rPr>
                <w:highlight w:val="white"/>
              </w:rPr>
              <w:t>anagement.</w:t>
            </w:r>
            <w:r w:rsidRPr="008905A6">
              <w:rPr>
                <w:highlight w:val="white"/>
              </w:rPr>
              <w:br/>
            </w:r>
          </w:p>
        </w:tc>
      </w:tr>
      <w:tr w:rsidR="005C3AE7" w:rsidRPr="008905A6" w14:paraId="10CAEF13" w14:textId="77777777" w:rsidTr="005F4AD8">
        <w:tc>
          <w:tcPr>
            <w:tcW w:w="810" w:type="dxa"/>
            <w:shd w:val="clear" w:color="auto" w:fill="auto"/>
            <w:tcMar>
              <w:top w:w="100" w:type="dxa"/>
              <w:left w:w="100" w:type="dxa"/>
              <w:bottom w:w="100" w:type="dxa"/>
              <w:right w:w="100" w:type="dxa"/>
            </w:tcMar>
          </w:tcPr>
          <w:p w14:paraId="7B9A4082" w14:textId="77777777" w:rsidR="005C3AE7" w:rsidRPr="008905A6" w:rsidRDefault="005C3AE7" w:rsidP="005F4AD8">
            <w:pPr>
              <w:pStyle w:val="Normal1"/>
              <w:widowControl w:val="0"/>
            </w:pPr>
            <w:r w:rsidRPr="008905A6">
              <w:t>4</w:t>
            </w:r>
          </w:p>
        </w:tc>
        <w:tc>
          <w:tcPr>
            <w:tcW w:w="5085" w:type="dxa"/>
            <w:shd w:val="clear" w:color="auto" w:fill="auto"/>
            <w:tcMar>
              <w:top w:w="100" w:type="dxa"/>
              <w:left w:w="100" w:type="dxa"/>
              <w:bottom w:w="100" w:type="dxa"/>
              <w:right w:w="100" w:type="dxa"/>
            </w:tcMar>
          </w:tcPr>
          <w:p w14:paraId="67A9ABB1" w14:textId="77777777" w:rsidR="005C3AE7" w:rsidRPr="008905A6" w:rsidRDefault="005C3AE7" w:rsidP="005F4AD8">
            <w:pPr>
              <w:pStyle w:val="Normal1"/>
              <w:widowControl w:val="0"/>
            </w:pPr>
            <w:r w:rsidRPr="008905A6">
              <w:t>The Supplier will maintain and share a finance tracker showing all invoicing amounts related to specific Statements of Work</w:t>
            </w:r>
            <w:r w:rsidRPr="008905A6">
              <w:rPr>
                <w:lang w:val="en-GB"/>
              </w:rPr>
              <w:t>, Contract Change Notices</w:t>
            </w:r>
            <w:r w:rsidRPr="008905A6">
              <w:t xml:space="preserve"> and Purchase order numbers and rate of spend. </w:t>
            </w:r>
          </w:p>
        </w:tc>
        <w:tc>
          <w:tcPr>
            <w:tcW w:w="3315" w:type="dxa"/>
            <w:shd w:val="clear" w:color="auto" w:fill="auto"/>
            <w:tcMar>
              <w:top w:w="100" w:type="dxa"/>
              <w:left w:w="100" w:type="dxa"/>
              <w:bottom w:w="100" w:type="dxa"/>
              <w:right w:w="100" w:type="dxa"/>
            </w:tcMar>
          </w:tcPr>
          <w:p w14:paraId="732C97DD" w14:textId="77777777" w:rsidR="005C3AE7" w:rsidRPr="008905A6" w:rsidRDefault="005C3AE7" w:rsidP="005F4AD8">
            <w:pPr>
              <w:pStyle w:val="Normal1"/>
              <w:widowControl w:val="0"/>
            </w:pPr>
            <w:r w:rsidRPr="008905A6">
              <w:rPr>
                <w:highlight w:val="white"/>
              </w:rPr>
              <w:t xml:space="preserve">The Supplier will be asked to supply a finance tracker and update on the financial spend as part of ongoing </w:t>
            </w:r>
            <w:r w:rsidRPr="008905A6">
              <w:rPr>
                <w:highlight w:val="white"/>
                <w:lang w:val="en-GB"/>
              </w:rPr>
              <w:t>Service m</w:t>
            </w:r>
            <w:r w:rsidRPr="008905A6">
              <w:rPr>
                <w:highlight w:val="white"/>
              </w:rPr>
              <w:t>anagement.</w:t>
            </w:r>
            <w:r w:rsidRPr="008905A6">
              <w:rPr>
                <w:highlight w:val="white"/>
              </w:rPr>
              <w:br/>
            </w:r>
          </w:p>
        </w:tc>
      </w:tr>
    </w:tbl>
    <w:p w14:paraId="5442740F" w14:textId="77777777" w:rsidR="005C3AE7" w:rsidRPr="00370AB8" w:rsidRDefault="005C3AE7" w:rsidP="005C3AE7"/>
    <w:p w14:paraId="146B3A38" w14:textId="77777777" w:rsidR="005C3AE7" w:rsidRDefault="005C3AE7" w:rsidP="005C3AE7"/>
    <w:p w14:paraId="3DC46A2F" w14:textId="77777777" w:rsidR="00B848AA" w:rsidRDefault="00B848AA">
      <w:pPr>
        <w:pageBreakBefore/>
        <w:suppressAutoHyphens w:val="0"/>
        <w:rPr>
          <w:b/>
          <w:bCs/>
        </w:rPr>
      </w:pPr>
    </w:p>
    <w:p w14:paraId="332A6D6F" w14:textId="5B52D973" w:rsidR="00B848AA" w:rsidRDefault="000A0EC2" w:rsidP="00B746AB">
      <w:pPr>
        <w:spacing w:before="240"/>
        <w:jc w:val="center"/>
        <w:rPr>
          <w:b/>
          <w:bCs/>
        </w:rPr>
      </w:pPr>
      <w:r>
        <w:rPr>
          <w:b/>
          <w:bCs/>
        </w:rPr>
        <w:t xml:space="preserve">Annex 1 to Schedule </w:t>
      </w:r>
      <w:r w:rsidR="00212901">
        <w:rPr>
          <w:b/>
          <w:bCs/>
        </w:rPr>
        <w:t>1</w:t>
      </w:r>
      <w:r>
        <w:rPr>
          <w:b/>
          <w:bCs/>
        </w:rPr>
        <w:t xml:space="preserve"> – Variation Form Template</w:t>
      </w:r>
    </w:p>
    <w:p w14:paraId="7DB51C6E" w14:textId="77777777" w:rsidR="00B848AA" w:rsidRDefault="00B848AA">
      <w:pPr>
        <w:rPr>
          <w:rFonts w:eastAsia="Times New Roman"/>
        </w:rPr>
      </w:pPr>
    </w:p>
    <w:p w14:paraId="28109163" w14:textId="77777777" w:rsidR="00B848AA" w:rsidRDefault="00B848AA">
      <w:pPr>
        <w:rPr>
          <w:rFonts w:eastAsia="Times New Roman"/>
        </w:rPr>
      </w:pPr>
    </w:p>
    <w:p w14:paraId="1EA64C52" w14:textId="77777777" w:rsidR="00B848AA" w:rsidRDefault="000A0EC2">
      <w:pPr>
        <w:rPr>
          <w:rFonts w:eastAsia="Times New Roman"/>
        </w:rPr>
      </w:pPr>
      <w:r>
        <w:rPr>
          <w:rFonts w:eastAsia="Times New Roman"/>
        </w:rPr>
        <w:t xml:space="preserve">No of Call Off Order Form being varied: </w:t>
      </w:r>
    </w:p>
    <w:p w14:paraId="6CCAB8F5" w14:textId="77777777" w:rsidR="00B848AA" w:rsidRDefault="00B848AA">
      <w:pPr>
        <w:rPr>
          <w:rFonts w:eastAsia="Times New Roman"/>
        </w:rPr>
      </w:pPr>
    </w:p>
    <w:p w14:paraId="382680AC" w14:textId="77777777" w:rsidR="00B848AA" w:rsidRDefault="000A0EC2">
      <w:pPr>
        <w:rPr>
          <w:rFonts w:eastAsia="Times New Roman"/>
        </w:rPr>
      </w:pPr>
      <w:r>
        <w:rPr>
          <w:rFonts w:eastAsia="Times New Roman"/>
        </w:rPr>
        <w:t xml:space="preserve">Variation Form No: </w:t>
      </w:r>
    </w:p>
    <w:p w14:paraId="38230F17" w14:textId="77777777" w:rsidR="00B848AA" w:rsidRDefault="00B848AA">
      <w:pPr>
        <w:rPr>
          <w:rFonts w:eastAsia="Times New Roman"/>
        </w:rPr>
      </w:pPr>
    </w:p>
    <w:p w14:paraId="3406BF92" w14:textId="77777777" w:rsidR="00B848AA" w:rsidRDefault="000A0EC2">
      <w:r>
        <w:rPr>
          <w:rFonts w:eastAsia="Times New Roman"/>
          <w:b/>
          <w:bCs/>
        </w:rPr>
        <w:t>BETWEEN</w:t>
      </w:r>
      <w:r>
        <w:rPr>
          <w:rFonts w:eastAsia="Times New Roman"/>
        </w:rPr>
        <w:t xml:space="preserve">: </w:t>
      </w:r>
    </w:p>
    <w:p w14:paraId="01F01232" w14:textId="77777777" w:rsidR="00B848AA" w:rsidRDefault="000A0EC2">
      <w:pPr>
        <w:rPr>
          <w:rFonts w:eastAsia="Times New Roman"/>
        </w:rPr>
      </w:pPr>
      <w:r>
        <w:rPr>
          <w:rFonts w:eastAsia="Times New Roman"/>
        </w:rPr>
        <w:t xml:space="preserve">The Department for Business, Energy and Industrial Strategy ("the Customer") </w:t>
      </w:r>
    </w:p>
    <w:p w14:paraId="71F6A695" w14:textId="77777777" w:rsidR="00B848AA" w:rsidRDefault="00B848AA">
      <w:pPr>
        <w:rPr>
          <w:rFonts w:eastAsia="Times New Roman"/>
        </w:rPr>
      </w:pPr>
    </w:p>
    <w:p w14:paraId="1E619898" w14:textId="77777777" w:rsidR="00B848AA" w:rsidRDefault="000A0EC2">
      <w:pPr>
        <w:rPr>
          <w:rFonts w:eastAsia="Times New Roman"/>
        </w:rPr>
      </w:pPr>
      <w:r>
        <w:rPr>
          <w:rFonts w:eastAsia="Times New Roman"/>
        </w:rPr>
        <w:t xml:space="preserve">and </w:t>
      </w:r>
    </w:p>
    <w:p w14:paraId="2127D05E" w14:textId="77777777" w:rsidR="00B848AA" w:rsidRDefault="00B848AA">
      <w:pPr>
        <w:rPr>
          <w:rFonts w:eastAsia="Times New Roman"/>
        </w:rPr>
      </w:pPr>
    </w:p>
    <w:p w14:paraId="0F717520" w14:textId="5AD1883B" w:rsidR="00B848AA" w:rsidRDefault="005A58FF">
      <w:pPr>
        <w:rPr>
          <w:rFonts w:eastAsia="Times New Roman"/>
        </w:rPr>
      </w:pPr>
      <w:r>
        <w:rPr>
          <w:rFonts w:eastAsia="Times New Roman"/>
        </w:rPr>
        <w:t>[x]</w:t>
      </w:r>
      <w:r w:rsidR="000A0EC2">
        <w:rPr>
          <w:rFonts w:eastAsia="Times New Roman"/>
        </w:rPr>
        <w:t xml:space="preserve"> ("the Supplier") </w:t>
      </w:r>
    </w:p>
    <w:p w14:paraId="0EA71156" w14:textId="77777777" w:rsidR="00B848AA" w:rsidRDefault="00B848AA">
      <w:pPr>
        <w:rPr>
          <w:rFonts w:eastAsia="Times New Roman"/>
        </w:rPr>
      </w:pPr>
    </w:p>
    <w:p w14:paraId="3A50D95F" w14:textId="77777777" w:rsidR="00B848AA" w:rsidRDefault="000A0EC2">
      <w:pPr>
        <w:rPr>
          <w:rFonts w:eastAsia="Times New Roman"/>
        </w:rPr>
      </w:pPr>
      <w:r>
        <w:rPr>
          <w:rFonts w:eastAsia="Times New Roman"/>
        </w:rPr>
        <w:t>(Together “the Parties”)</w:t>
      </w:r>
    </w:p>
    <w:p w14:paraId="4AAFF624" w14:textId="77777777" w:rsidR="00B848AA" w:rsidRDefault="00B848AA">
      <w:pPr>
        <w:rPr>
          <w:rFonts w:eastAsia="Times New Roman"/>
        </w:rPr>
      </w:pPr>
    </w:p>
    <w:p w14:paraId="5B829ABE" w14:textId="77777777" w:rsidR="00B848AA" w:rsidRDefault="00B848AA">
      <w:pPr>
        <w:rPr>
          <w:rFonts w:eastAsia="Times New Roman"/>
        </w:rPr>
      </w:pPr>
    </w:p>
    <w:p w14:paraId="3C7758CB" w14:textId="77777777" w:rsidR="00B848AA" w:rsidRDefault="000A0EC2" w:rsidP="005C3AE7">
      <w:pPr>
        <w:pStyle w:val="ListParagraph"/>
        <w:numPr>
          <w:ilvl w:val="0"/>
          <w:numId w:val="4"/>
        </w:numPr>
        <w:suppressAutoHyphens w:val="0"/>
        <w:spacing w:line="240" w:lineRule="auto"/>
        <w:textAlignment w:val="auto"/>
      </w:pPr>
      <w:r>
        <w:rPr>
          <w:rFonts w:eastAsia="Times New Roman"/>
          <w:b/>
          <w:bCs/>
        </w:rPr>
        <w:t>This Call Off Contract is varied as follows</w:t>
      </w:r>
      <w:r>
        <w:rPr>
          <w:rFonts w:eastAsia="Times New Roman"/>
        </w:rPr>
        <w:t xml:space="preserve">: </w:t>
      </w:r>
    </w:p>
    <w:p w14:paraId="4996418E" w14:textId="77777777" w:rsidR="00B848AA" w:rsidRDefault="00B848AA">
      <w:pPr>
        <w:rPr>
          <w:rFonts w:eastAsia="Times New Roman"/>
        </w:rPr>
      </w:pPr>
    </w:p>
    <w:p w14:paraId="245DCE50" w14:textId="77777777" w:rsidR="00B848AA" w:rsidRDefault="00B848AA">
      <w:pPr>
        <w:rPr>
          <w:rFonts w:eastAsia="Times New Roman"/>
        </w:rPr>
      </w:pPr>
    </w:p>
    <w:p w14:paraId="3DC091DA" w14:textId="77777777" w:rsidR="00B848AA" w:rsidRDefault="000A0EC2" w:rsidP="005C3AE7">
      <w:pPr>
        <w:pStyle w:val="ListParagraph"/>
        <w:numPr>
          <w:ilvl w:val="0"/>
          <w:numId w:val="4"/>
        </w:numPr>
        <w:suppressAutoHyphens w:val="0"/>
        <w:spacing w:line="240" w:lineRule="auto"/>
        <w:textAlignment w:val="auto"/>
        <w:rPr>
          <w:rFonts w:eastAsia="Times New Roman"/>
        </w:rPr>
      </w:pPr>
      <w:r>
        <w:rPr>
          <w:rFonts w:eastAsia="Times New Roman"/>
        </w:rPr>
        <w:t xml:space="preserve">Words and expressions in this Variation shall have the meanings given to them in this Call Off Contract. </w:t>
      </w:r>
    </w:p>
    <w:p w14:paraId="1FA83A47" w14:textId="77777777" w:rsidR="00B848AA" w:rsidRDefault="00B848AA">
      <w:pPr>
        <w:rPr>
          <w:rFonts w:eastAsia="Times New Roman"/>
        </w:rPr>
      </w:pPr>
    </w:p>
    <w:p w14:paraId="13D086B8" w14:textId="77777777" w:rsidR="00B848AA" w:rsidRDefault="000A0EC2" w:rsidP="005C3AE7">
      <w:pPr>
        <w:pStyle w:val="ListParagraph"/>
        <w:numPr>
          <w:ilvl w:val="0"/>
          <w:numId w:val="4"/>
        </w:numPr>
        <w:suppressAutoHyphens w:val="0"/>
        <w:spacing w:line="240" w:lineRule="auto"/>
        <w:textAlignment w:val="auto"/>
        <w:rPr>
          <w:rFonts w:eastAsia="Times New Roman"/>
        </w:rPr>
      </w:pPr>
      <w:r>
        <w:rPr>
          <w:rFonts w:eastAsia="Times New Roman"/>
        </w:rPr>
        <w:t xml:space="preserve">This Call Off Contract, including any previous Variations, shall remain effective and unaltered except as amended by this Variation. </w:t>
      </w:r>
    </w:p>
    <w:p w14:paraId="41CCFAEA" w14:textId="77777777" w:rsidR="00B848AA" w:rsidRDefault="00B848AA">
      <w:pPr>
        <w:rPr>
          <w:rFonts w:eastAsia="Times New Roman"/>
        </w:rPr>
      </w:pPr>
    </w:p>
    <w:p w14:paraId="6FC2B414" w14:textId="77777777" w:rsidR="00B848AA" w:rsidRDefault="00B848AA">
      <w:pPr>
        <w:rPr>
          <w:rFonts w:eastAsia="Times New Roman"/>
        </w:rPr>
      </w:pPr>
    </w:p>
    <w:p w14:paraId="1B8351A3" w14:textId="77777777" w:rsidR="00B848AA" w:rsidRDefault="000A0EC2">
      <w:pPr>
        <w:rPr>
          <w:rFonts w:eastAsia="Times New Roman"/>
        </w:rPr>
      </w:pPr>
      <w:r>
        <w:rPr>
          <w:rFonts w:eastAsia="Times New Roman"/>
        </w:rPr>
        <w:t>Signed by an authorised signatory for and on behalf of the Customer:</w:t>
      </w:r>
    </w:p>
    <w:p w14:paraId="17DFA31F" w14:textId="77777777" w:rsidR="00B848AA" w:rsidRDefault="00B848AA">
      <w:pPr>
        <w:rPr>
          <w:rFonts w:eastAsia="Times New Roman"/>
        </w:rPr>
      </w:pPr>
    </w:p>
    <w:p w14:paraId="7981ABFB" w14:textId="77777777" w:rsidR="00B848AA" w:rsidRDefault="000A0EC2">
      <w:pPr>
        <w:rPr>
          <w:rFonts w:eastAsia="Times New Roman"/>
        </w:rPr>
      </w:pPr>
      <w:r>
        <w:rPr>
          <w:rFonts w:eastAsia="Times New Roman"/>
        </w:rPr>
        <w:t xml:space="preserve">Signature </w:t>
      </w:r>
    </w:p>
    <w:p w14:paraId="7EAFC693" w14:textId="77777777" w:rsidR="00B848AA" w:rsidRDefault="00B848AA">
      <w:pPr>
        <w:rPr>
          <w:rFonts w:eastAsia="Times New Roman"/>
        </w:rPr>
      </w:pPr>
    </w:p>
    <w:p w14:paraId="3861E220" w14:textId="77777777" w:rsidR="00B848AA" w:rsidRDefault="000A0EC2">
      <w:pPr>
        <w:rPr>
          <w:rFonts w:eastAsia="Times New Roman"/>
        </w:rPr>
      </w:pPr>
      <w:r>
        <w:rPr>
          <w:rFonts w:eastAsia="Times New Roman"/>
        </w:rPr>
        <w:t xml:space="preserve">Date </w:t>
      </w:r>
    </w:p>
    <w:p w14:paraId="1E2CAEAF" w14:textId="77777777" w:rsidR="00B848AA" w:rsidRDefault="00B848AA">
      <w:pPr>
        <w:rPr>
          <w:rFonts w:eastAsia="Times New Roman"/>
        </w:rPr>
      </w:pPr>
    </w:p>
    <w:p w14:paraId="333626DF" w14:textId="77777777" w:rsidR="00B848AA" w:rsidRDefault="000A0EC2">
      <w:pPr>
        <w:rPr>
          <w:rFonts w:eastAsia="Times New Roman"/>
        </w:rPr>
      </w:pPr>
      <w:r>
        <w:rPr>
          <w:rFonts w:eastAsia="Times New Roman"/>
        </w:rPr>
        <w:t xml:space="preserve">Name (in Capitals) </w:t>
      </w:r>
    </w:p>
    <w:p w14:paraId="3F7E14CD" w14:textId="77777777" w:rsidR="00B848AA" w:rsidRDefault="00B848AA">
      <w:pPr>
        <w:rPr>
          <w:rFonts w:eastAsia="Times New Roman"/>
        </w:rPr>
      </w:pPr>
    </w:p>
    <w:p w14:paraId="62F0C381" w14:textId="77777777" w:rsidR="00B848AA" w:rsidRDefault="000A0EC2">
      <w:pPr>
        <w:rPr>
          <w:rFonts w:eastAsia="Times New Roman"/>
        </w:rPr>
      </w:pPr>
      <w:r>
        <w:rPr>
          <w:rFonts w:eastAsia="Times New Roman"/>
        </w:rPr>
        <w:t xml:space="preserve">Address </w:t>
      </w:r>
    </w:p>
    <w:p w14:paraId="49890D32" w14:textId="77777777" w:rsidR="00B848AA" w:rsidRDefault="00B848AA">
      <w:pPr>
        <w:rPr>
          <w:rFonts w:eastAsia="Times New Roman"/>
        </w:rPr>
      </w:pPr>
    </w:p>
    <w:p w14:paraId="29CC0F22" w14:textId="77777777" w:rsidR="00B848AA" w:rsidRDefault="00B848AA">
      <w:pPr>
        <w:rPr>
          <w:rFonts w:eastAsia="Times New Roman"/>
        </w:rPr>
      </w:pPr>
    </w:p>
    <w:p w14:paraId="146D4845" w14:textId="77777777" w:rsidR="00B848AA" w:rsidRDefault="000A0EC2">
      <w:pPr>
        <w:rPr>
          <w:rFonts w:eastAsia="Times New Roman"/>
        </w:rPr>
      </w:pPr>
      <w:r>
        <w:rPr>
          <w:rFonts w:eastAsia="Times New Roman"/>
        </w:rPr>
        <w:t>Signed by an authorised signatory to sign for and on behalf of the Supplier:</w:t>
      </w:r>
    </w:p>
    <w:p w14:paraId="3F7A4C65" w14:textId="77777777" w:rsidR="00B848AA" w:rsidRDefault="00B848AA">
      <w:pPr>
        <w:rPr>
          <w:rFonts w:eastAsia="Times New Roman"/>
        </w:rPr>
      </w:pPr>
    </w:p>
    <w:p w14:paraId="51D1838D" w14:textId="77777777" w:rsidR="00B848AA" w:rsidRDefault="000A0EC2">
      <w:pPr>
        <w:rPr>
          <w:rFonts w:eastAsia="Times New Roman"/>
        </w:rPr>
      </w:pPr>
      <w:r>
        <w:rPr>
          <w:rFonts w:eastAsia="Times New Roman"/>
        </w:rPr>
        <w:t xml:space="preserve">Signature </w:t>
      </w:r>
    </w:p>
    <w:p w14:paraId="6DB08F49" w14:textId="77777777" w:rsidR="00B848AA" w:rsidRDefault="00B848AA">
      <w:pPr>
        <w:rPr>
          <w:rFonts w:eastAsia="Times New Roman"/>
        </w:rPr>
      </w:pPr>
    </w:p>
    <w:p w14:paraId="2975E645" w14:textId="77777777" w:rsidR="00B848AA" w:rsidRDefault="000A0EC2">
      <w:pPr>
        <w:rPr>
          <w:rFonts w:eastAsia="Times New Roman"/>
        </w:rPr>
      </w:pPr>
      <w:r>
        <w:rPr>
          <w:rFonts w:eastAsia="Times New Roman"/>
        </w:rPr>
        <w:t xml:space="preserve">Date </w:t>
      </w:r>
    </w:p>
    <w:p w14:paraId="2B0FBD8F" w14:textId="77777777" w:rsidR="00B848AA" w:rsidRDefault="00B848AA">
      <w:pPr>
        <w:rPr>
          <w:rFonts w:eastAsia="Times New Roman"/>
        </w:rPr>
      </w:pPr>
    </w:p>
    <w:p w14:paraId="15E7DE49" w14:textId="77777777" w:rsidR="00B848AA" w:rsidRDefault="000A0EC2">
      <w:pPr>
        <w:rPr>
          <w:rFonts w:eastAsia="Times New Roman"/>
        </w:rPr>
      </w:pPr>
      <w:r>
        <w:rPr>
          <w:rFonts w:eastAsia="Times New Roman"/>
        </w:rPr>
        <w:t xml:space="preserve">Name (in Capitals) </w:t>
      </w:r>
    </w:p>
    <w:p w14:paraId="7B4746FF" w14:textId="77777777" w:rsidR="00B848AA" w:rsidRDefault="00B848AA">
      <w:pPr>
        <w:rPr>
          <w:rFonts w:eastAsia="Times New Roman"/>
        </w:rPr>
      </w:pPr>
    </w:p>
    <w:p w14:paraId="787B927A" w14:textId="77777777" w:rsidR="00B848AA" w:rsidRDefault="000A0EC2">
      <w:pPr>
        <w:rPr>
          <w:rFonts w:eastAsia="Times New Roman"/>
        </w:rPr>
      </w:pPr>
      <w:r>
        <w:rPr>
          <w:rFonts w:eastAsia="Times New Roman"/>
        </w:rPr>
        <w:t>Address</w:t>
      </w:r>
    </w:p>
    <w:p w14:paraId="74C3EC48" w14:textId="2D51A881" w:rsidR="4F710A92" w:rsidRDefault="4F710A92" w:rsidP="00B746AB">
      <w:pPr>
        <w:spacing w:before="240"/>
        <w:rPr>
          <w:b/>
          <w:bCs/>
        </w:rPr>
      </w:pPr>
    </w:p>
    <w:p w14:paraId="5F42C654" w14:textId="1EB8A2A3" w:rsidR="00212901" w:rsidRDefault="000A0EC2" w:rsidP="00212901">
      <w:pPr>
        <w:spacing w:before="240"/>
        <w:jc w:val="center"/>
        <w:rPr>
          <w:b/>
          <w:bCs/>
        </w:rPr>
      </w:pPr>
      <w:r w:rsidRPr="60455C27">
        <w:rPr>
          <w:b/>
          <w:bCs/>
        </w:rPr>
        <w:lastRenderedPageBreak/>
        <w:t xml:space="preserve"> </w:t>
      </w:r>
      <w:r w:rsidR="00212901" w:rsidRPr="60455C27">
        <w:rPr>
          <w:b/>
          <w:bCs/>
        </w:rPr>
        <w:t>Annex 2 to Schedule 1 – Service Request Process</w:t>
      </w:r>
    </w:p>
    <w:p w14:paraId="14600F3F" w14:textId="77777777" w:rsidR="00C94EB2" w:rsidRDefault="00C94EB2" w:rsidP="00C94EB2">
      <w:pPr>
        <w:pStyle w:val="Heading2"/>
        <w:keepLines w:val="0"/>
        <w:spacing w:after="0"/>
      </w:pPr>
      <w:bookmarkStart w:id="25" w:name="_Toc509244676"/>
      <w:bookmarkStart w:id="26" w:name="_Toc71108721"/>
      <w:bookmarkStart w:id="27" w:name="_Toc71108774"/>
      <w:bookmarkStart w:id="28" w:name="_Toc71108825"/>
      <w:bookmarkStart w:id="29" w:name="_Toc71108853"/>
      <w:bookmarkStart w:id="30" w:name="_Toc71109843"/>
      <w:bookmarkStart w:id="31" w:name="_Toc54966014"/>
      <w:bookmarkStart w:id="32" w:name="_Toc54966127"/>
      <w:r>
        <w:t>Summary</w:t>
      </w:r>
      <w:bookmarkEnd w:id="25"/>
      <w:bookmarkEnd w:id="26"/>
      <w:bookmarkEnd w:id="27"/>
      <w:bookmarkEnd w:id="28"/>
      <w:bookmarkEnd w:id="29"/>
      <w:bookmarkEnd w:id="30"/>
    </w:p>
    <w:p w14:paraId="4435A5C0" w14:textId="77777777" w:rsidR="00C94EB2" w:rsidRDefault="00C94EB2" w:rsidP="00C94EB2">
      <w:r>
        <w:t>Service requests are generally small, low risk and include the following:</w:t>
      </w:r>
    </w:p>
    <w:p w14:paraId="592483A0" w14:textId="77777777" w:rsidR="00C94EB2" w:rsidRDefault="00C94EB2" w:rsidP="005C3AE7">
      <w:pPr>
        <w:numPr>
          <w:ilvl w:val="0"/>
          <w:numId w:val="34"/>
        </w:numPr>
        <w:suppressAutoHyphens w:val="0"/>
        <w:autoSpaceDN/>
        <w:spacing w:before="240" w:line="240" w:lineRule="auto"/>
        <w:jc w:val="both"/>
        <w:textAlignment w:val="auto"/>
      </w:pPr>
      <w:r>
        <w:t>Request for information</w:t>
      </w:r>
    </w:p>
    <w:p w14:paraId="68DA78E6" w14:textId="77777777" w:rsidR="00C94EB2" w:rsidRDefault="00C94EB2" w:rsidP="005C3AE7">
      <w:pPr>
        <w:numPr>
          <w:ilvl w:val="0"/>
          <w:numId w:val="34"/>
        </w:numPr>
        <w:suppressAutoHyphens w:val="0"/>
        <w:autoSpaceDN/>
        <w:spacing w:before="240" w:line="240" w:lineRule="auto"/>
        <w:jc w:val="both"/>
        <w:textAlignment w:val="auto"/>
      </w:pPr>
      <w:r>
        <w:t>Request for advice</w:t>
      </w:r>
    </w:p>
    <w:p w14:paraId="205CFF5A" w14:textId="77777777" w:rsidR="00C94EB2" w:rsidRDefault="00C94EB2" w:rsidP="005C3AE7">
      <w:pPr>
        <w:numPr>
          <w:ilvl w:val="0"/>
          <w:numId w:val="34"/>
        </w:numPr>
        <w:suppressAutoHyphens w:val="0"/>
        <w:autoSpaceDN/>
        <w:spacing w:before="240" w:line="240" w:lineRule="auto"/>
        <w:jc w:val="both"/>
        <w:textAlignment w:val="auto"/>
      </w:pPr>
      <w:r>
        <w:t>A standard change</w:t>
      </w:r>
    </w:p>
    <w:p w14:paraId="2ABCD379" w14:textId="77777777" w:rsidR="00C94EB2" w:rsidRDefault="00C94EB2" w:rsidP="005C3AE7">
      <w:pPr>
        <w:numPr>
          <w:ilvl w:val="0"/>
          <w:numId w:val="34"/>
        </w:numPr>
        <w:suppressAutoHyphens w:val="0"/>
        <w:autoSpaceDN/>
        <w:spacing w:before="240" w:line="240" w:lineRule="auto"/>
        <w:jc w:val="both"/>
        <w:textAlignment w:val="auto"/>
      </w:pPr>
      <w:r>
        <w:t>Access to a service</w:t>
      </w:r>
    </w:p>
    <w:p w14:paraId="29099024" w14:textId="77777777" w:rsidR="00C94EB2" w:rsidRDefault="00C94EB2" w:rsidP="005C3AE7">
      <w:pPr>
        <w:numPr>
          <w:ilvl w:val="0"/>
          <w:numId w:val="34"/>
        </w:numPr>
        <w:suppressAutoHyphens w:val="0"/>
        <w:autoSpaceDN/>
        <w:spacing w:before="240" w:line="240" w:lineRule="auto"/>
        <w:jc w:val="both"/>
        <w:textAlignment w:val="auto"/>
      </w:pPr>
      <w:r>
        <w:t>Request for a quote</w:t>
      </w:r>
    </w:p>
    <w:p w14:paraId="6EEB7DFB" w14:textId="77777777" w:rsidR="00C94EB2" w:rsidRDefault="00C94EB2" w:rsidP="00C94EB2"/>
    <w:p w14:paraId="5B4CFC45" w14:textId="3D68895B" w:rsidR="00C94EB2" w:rsidRDefault="00C94EB2" w:rsidP="00C94EB2">
      <w:r>
        <w:t>Service requests are logged by the policy support team on agreed tool. The support team assigned a unique reference number, then is assigned to the most appropriate member of the support team to process the service request, in agreement with the analyst. An email is then sent to the customer by the supplier team advising them of their unique reference number and details of who is handling their request.</w:t>
      </w:r>
    </w:p>
    <w:p w14:paraId="4E40E40B" w14:textId="56D1668A" w:rsidR="00CF4492" w:rsidRDefault="00CF4492" w:rsidP="00C94EB2"/>
    <w:p w14:paraId="3376C719" w14:textId="56D1668A" w:rsidR="00C94EB2" w:rsidRDefault="00C94EB2" w:rsidP="00C94EB2">
      <w:r>
        <w:t>Service request procedures are held under configuration control in the application project libraries. These are created for activities that may be repeatedly performed, and where a procedure will improve consistency of the action performed. Once the procedure has been correctly implemented the service request can be closed.</w:t>
      </w:r>
    </w:p>
    <w:p w14:paraId="00BEDA3B" w14:textId="56D1668A" w:rsidR="00CF4492" w:rsidRDefault="00CF4492" w:rsidP="00C94EB2"/>
    <w:p w14:paraId="6EC0D05D" w14:textId="3702C7FC" w:rsidR="00C94EB2" w:rsidRDefault="00C94EB2" w:rsidP="00C94EB2">
      <w:r>
        <w:t>It may be that the application is working according to current specifications but the customer is requesting a change. The Service Request process may be followed for minor cosmetic changes to an existing application but major enhancements are likely to be handled as separate projects, as optional services, outside the standard support process.</w:t>
      </w:r>
    </w:p>
    <w:p w14:paraId="76066828" w14:textId="77777777" w:rsidR="00C94EB2" w:rsidRPr="00463D6D" w:rsidRDefault="00C94EB2" w:rsidP="00C94EB2">
      <w:pPr>
        <w:pStyle w:val="Heading2"/>
        <w:keepLines w:val="0"/>
        <w:spacing w:after="0"/>
      </w:pPr>
      <w:bookmarkStart w:id="33" w:name="_Toc509244677"/>
      <w:bookmarkStart w:id="34" w:name="_Toc71108722"/>
      <w:bookmarkStart w:id="35" w:name="_Toc71108775"/>
      <w:bookmarkStart w:id="36" w:name="_Toc71108826"/>
      <w:bookmarkStart w:id="37" w:name="_Toc71108854"/>
      <w:bookmarkStart w:id="38" w:name="_Toc71109844"/>
      <w:r w:rsidRPr="00463D6D">
        <w:t>Introduction</w:t>
      </w:r>
      <w:bookmarkEnd w:id="33"/>
      <w:bookmarkEnd w:id="34"/>
      <w:bookmarkEnd w:id="35"/>
      <w:bookmarkEnd w:id="36"/>
      <w:bookmarkEnd w:id="37"/>
      <w:bookmarkEnd w:id="38"/>
    </w:p>
    <w:p w14:paraId="6ED6C7C8" w14:textId="674EC5B0" w:rsidR="00C94EB2" w:rsidRDefault="00C94EB2" w:rsidP="00C94EB2">
      <w:r>
        <w:t>A Service Request is a request from a user for information or advice, a standard change, or access to an IT service. It should require a small amount of effort, it should be low risk, pre-authorised and preferably listed in the service catalogue. Larger and riskier pieces of work are managed through the Change Management Process.</w:t>
      </w:r>
    </w:p>
    <w:p w14:paraId="40BB2A3C" w14:textId="77777777" w:rsidR="00C94EB2" w:rsidRPr="00BC1932" w:rsidRDefault="00C94EB2" w:rsidP="00C94EB2">
      <w:pPr>
        <w:pStyle w:val="Heading2"/>
        <w:keepLines w:val="0"/>
        <w:spacing w:after="0"/>
      </w:pPr>
      <w:bookmarkStart w:id="39" w:name="_Toc509244678"/>
      <w:bookmarkStart w:id="40" w:name="_Toc71108723"/>
      <w:bookmarkStart w:id="41" w:name="_Toc71108776"/>
      <w:bookmarkStart w:id="42" w:name="_Toc71108827"/>
      <w:bookmarkStart w:id="43" w:name="_Toc71108855"/>
      <w:bookmarkStart w:id="44" w:name="_Toc71109845"/>
      <w:r w:rsidRPr="00BC1932">
        <w:t>Objective</w:t>
      </w:r>
      <w:bookmarkEnd w:id="39"/>
      <w:bookmarkEnd w:id="40"/>
      <w:bookmarkEnd w:id="41"/>
      <w:bookmarkEnd w:id="42"/>
      <w:bookmarkEnd w:id="43"/>
      <w:bookmarkEnd w:id="44"/>
    </w:p>
    <w:p w14:paraId="67500CE5" w14:textId="446C2234" w:rsidR="00C94EB2" w:rsidRPr="00BC1932" w:rsidRDefault="00C94EB2" w:rsidP="00C94EB2">
      <w:r w:rsidRPr="00BC1932">
        <w:t xml:space="preserve">The objective of the </w:t>
      </w:r>
      <w:r w:rsidR="00F75735">
        <w:t>Service Request</w:t>
      </w:r>
      <w:r w:rsidRPr="00BC1932">
        <w:t xml:space="preserve"> Process is to </w:t>
      </w:r>
      <w:r w:rsidRPr="00B16BE9">
        <w:t xml:space="preserve">enable </w:t>
      </w:r>
      <w:r>
        <w:t>us</w:t>
      </w:r>
      <w:r w:rsidRPr="00B16BE9">
        <w:t>ers to request and receive standard services without the need to go through the full incident and change process.</w:t>
      </w:r>
      <w:r>
        <w:t xml:space="preserve"> A Service Request is defined as a request for advice or information, a standard pre-authorised change or access to an IT service. </w:t>
      </w:r>
    </w:p>
    <w:p w14:paraId="050BA9E0" w14:textId="77777777" w:rsidR="00C94EB2" w:rsidRPr="00D75516" w:rsidRDefault="00C94EB2" w:rsidP="00C94EB2">
      <w:pPr>
        <w:pStyle w:val="Heading2"/>
        <w:keepLines w:val="0"/>
        <w:spacing w:after="0"/>
      </w:pPr>
      <w:bookmarkStart w:id="45" w:name="_Toc509244679"/>
      <w:bookmarkStart w:id="46" w:name="_Toc71108724"/>
      <w:bookmarkStart w:id="47" w:name="_Toc71108777"/>
      <w:bookmarkStart w:id="48" w:name="_Toc71108828"/>
      <w:bookmarkStart w:id="49" w:name="_Toc71108856"/>
      <w:bookmarkStart w:id="50" w:name="_Toc71109846"/>
      <w:r w:rsidRPr="00D75516">
        <w:t>Scope</w:t>
      </w:r>
      <w:bookmarkEnd w:id="45"/>
      <w:bookmarkEnd w:id="46"/>
      <w:bookmarkEnd w:id="47"/>
      <w:bookmarkEnd w:id="48"/>
      <w:bookmarkEnd w:id="49"/>
      <w:bookmarkEnd w:id="50"/>
    </w:p>
    <w:p w14:paraId="2B80B371" w14:textId="1B622258" w:rsidR="00C94EB2" w:rsidRDefault="00346701" w:rsidP="00C94EB2">
      <w:r>
        <w:t xml:space="preserve">The scope of this process is as set out in the ‘Objective’ section above. </w:t>
      </w:r>
      <w:r w:rsidR="0055123A">
        <w:t xml:space="preserve">For the avoidance of doubt, advice, information or support in relation to any of the following shall be out of scope of this process and is included within the fixed monthly charge as detailed in Schedule 2 of the Contract: </w:t>
      </w:r>
    </w:p>
    <w:p w14:paraId="37E89A6A" w14:textId="77777777" w:rsidR="00C7718A" w:rsidRPr="00353F6C" w:rsidRDefault="00C7718A" w:rsidP="005C3AE7">
      <w:pPr>
        <w:pStyle w:val="ListParagraph"/>
        <w:numPr>
          <w:ilvl w:val="0"/>
          <w:numId w:val="35"/>
        </w:numPr>
        <w:suppressAutoHyphens w:val="0"/>
        <w:spacing w:line="240" w:lineRule="auto"/>
        <w:textAlignment w:val="auto"/>
        <w:rPr>
          <w:rFonts w:eastAsia="Times New Roman"/>
          <w:shd w:val="clear" w:color="auto" w:fill="FAF9F8"/>
          <w:lang w:eastAsia="en-US"/>
        </w:rPr>
      </w:pPr>
      <w:r w:rsidRPr="00353F6C">
        <w:rPr>
          <w:rFonts w:eastAsia="Times New Roman"/>
          <w:shd w:val="clear" w:color="auto" w:fill="FAF9F8"/>
          <w:lang w:eastAsia="en-US"/>
        </w:rPr>
        <w:t>Incident Management</w:t>
      </w:r>
    </w:p>
    <w:p w14:paraId="717898C4" w14:textId="77777777" w:rsidR="00C7718A" w:rsidRPr="00353F6C" w:rsidRDefault="00C7718A" w:rsidP="005C3AE7">
      <w:pPr>
        <w:pStyle w:val="ListParagraph"/>
        <w:numPr>
          <w:ilvl w:val="0"/>
          <w:numId w:val="35"/>
        </w:numPr>
        <w:suppressAutoHyphens w:val="0"/>
        <w:spacing w:line="240" w:lineRule="auto"/>
        <w:textAlignment w:val="auto"/>
        <w:rPr>
          <w:rFonts w:eastAsia="Times New Roman"/>
          <w:shd w:val="clear" w:color="auto" w:fill="FAF9F8"/>
          <w:lang w:eastAsia="en-US"/>
        </w:rPr>
      </w:pPr>
      <w:r w:rsidRPr="00353F6C">
        <w:rPr>
          <w:rFonts w:eastAsia="Times New Roman"/>
          <w:shd w:val="clear" w:color="auto" w:fill="FAF9F8"/>
          <w:lang w:eastAsia="en-US"/>
        </w:rPr>
        <w:lastRenderedPageBreak/>
        <w:t xml:space="preserve">Application Management </w:t>
      </w:r>
    </w:p>
    <w:p w14:paraId="487D0564" w14:textId="77777777" w:rsidR="00C7718A" w:rsidRPr="00353F6C" w:rsidRDefault="00C7718A" w:rsidP="005C3AE7">
      <w:pPr>
        <w:pStyle w:val="ListParagraph"/>
        <w:numPr>
          <w:ilvl w:val="0"/>
          <w:numId w:val="35"/>
        </w:numPr>
        <w:suppressAutoHyphens w:val="0"/>
        <w:spacing w:line="240" w:lineRule="auto"/>
        <w:textAlignment w:val="auto"/>
        <w:rPr>
          <w:rFonts w:eastAsia="Times New Roman"/>
          <w:shd w:val="clear" w:color="auto" w:fill="FAF9F8"/>
          <w:lang w:eastAsia="en-US"/>
        </w:rPr>
      </w:pPr>
      <w:r w:rsidRPr="00353F6C">
        <w:rPr>
          <w:rFonts w:eastAsia="Times New Roman"/>
          <w:shd w:val="clear" w:color="auto" w:fill="FAF9F8"/>
          <w:lang w:eastAsia="en-US"/>
        </w:rPr>
        <w:t>Service Reporting</w:t>
      </w:r>
    </w:p>
    <w:p w14:paraId="7F44B0AE" w14:textId="77777777" w:rsidR="00C7718A" w:rsidRPr="00353F6C" w:rsidRDefault="00C7718A" w:rsidP="005C3AE7">
      <w:pPr>
        <w:pStyle w:val="ListParagraph"/>
        <w:numPr>
          <w:ilvl w:val="0"/>
          <w:numId w:val="35"/>
        </w:numPr>
        <w:suppressAutoHyphens w:val="0"/>
        <w:spacing w:line="240" w:lineRule="auto"/>
        <w:textAlignment w:val="auto"/>
        <w:rPr>
          <w:rFonts w:eastAsia="Times New Roman"/>
          <w:shd w:val="clear" w:color="auto" w:fill="FAF9F8"/>
          <w:lang w:eastAsia="en-US"/>
        </w:rPr>
      </w:pPr>
      <w:r w:rsidRPr="00353F6C">
        <w:rPr>
          <w:rFonts w:eastAsia="Times New Roman"/>
          <w:shd w:val="clear" w:color="auto" w:fill="FAF9F8"/>
          <w:lang w:eastAsia="en-US"/>
        </w:rPr>
        <w:t>Knowledge Management</w:t>
      </w:r>
    </w:p>
    <w:p w14:paraId="093AFDDF" w14:textId="77777777" w:rsidR="00C7718A" w:rsidRPr="00353F6C" w:rsidRDefault="00C7718A" w:rsidP="005C3AE7">
      <w:pPr>
        <w:pStyle w:val="ListParagraph"/>
        <w:numPr>
          <w:ilvl w:val="0"/>
          <w:numId w:val="35"/>
        </w:numPr>
        <w:suppressAutoHyphens w:val="0"/>
        <w:spacing w:line="240" w:lineRule="auto"/>
        <w:textAlignment w:val="auto"/>
        <w:rPr>
          <w:rFonts w:eastAsia="Times New Roman"/>
          <w:shd w:val="clear" w:color="auto" w:fill="FAF9F8"/>
          <w:lang w:eastAsia="en-US"/>
        </w:rPr>
      </w:pPr>
      <w:r w:rsidRPr="00353F6C">
        <w:rPr>
          <w:rFonts w:eastAsia="Times New Roman"/>
          <w:shd w:val="clear" w:color="auto" w:fill="FAF9F8"/>
          <w:lang w:eastAsia="en-US"/>
        </w:rPr>
        <w:t>Capacity Management</w:t>
      </w:r>
    </w:p>
    <w:p w14:paraId="0370D151" w14:textId="77777777" w:rsidR="00C94EB2" w:rsidRPr="00A34497" w:rsidRDefault="00C94EB2" w:rsidP="00C94EB2">
      <w:pPr>
        <w:pStyle w:val="Heading2"/>
        <w:keepLines w:val="0"/>
        <w:spacing w:after="0"/>
      </w:pPr>
      <w:bookmarkStart w:id="51" w:name="_Toc509244680"/>
      <w:bookmarkStart w:id="52" w:name="_Toc71108725"/>
      <w:bookmarkStart w:id="53" w:name="_Toc71108778"/>
      <w:bookmarkStart w:id="54" w:name="_Toc71108829"/>
      <w:bookmarkStart w:id="55" w:name="_Toc71108857"/>
      <w:bookmarkStart w:id="56" w:name="_Toc71109847"/>
      <w:r w:rsidRPr="00A34497">
        <w:t>Context</w:t>
      </w:r>
      <w:bookmarkEnd w:id="51"/>
      <w:bookmarkEnd w:id="52"/>
      <w:bookmarkEnd w:id="53"/>
      <w:bookmarkEnd w:id="54"/>
      <w:bookmarkEnd w:id="55"/>
      <w:bookmarkEnd w:id="56"/>
    </w:p>
    <w:p w14:paraId="1A1ACD0C" w14:textId="77777777" w:rsidR="00C94EB2" w:rsidRDefault="00C94EB2" w:rsidP="00C94EB2">
      <w:r>
        <w:t>Service Requests are initiated by the customer and then processed by the support team. The majority of small service requests will be pre-approved but if not then the change will need to be approved in Change Management.</w:t>
      </w:r>
    </w:p>
    <w:p w14:paraId="0D049A15" w14:textId="77777777" w:rsidR="00F75735" w:rsidRDefault="00F75735" w:rsidP="00C94EB2"/>
    <w:p w14:paraId="1138F6D1" w14:textId="77777777" w:rsidR="00C94EB2" w:rsidRPr="00D44CDC" w:rsidRDefault="00C94EB2" w:rsidP="00C94EB2">
      <w:r>
        <w:t>A history of service requests is passed to Service management for reporting.</w:t>
      </w:r>
    </w:p>
    <w:p w14:paraId="51615EE8" w14:textId="77777777" w:rsidR="00C94EB2" w:rsidRDefault="00C94EB2" w:rsidP="00C94EB2">
      <w:r>
        <w:t>The diagram below shows these interactions graphically.</w:t>
      </w:r>
    </w:p>
    <w:p w14:paraId="1F82BFDA" w14:textId="77777777" w:rsidR="00C94EB2" w:rsidRDefault="004E4C22" w:rsidP="00C94EB2">
      <w:r>
        <w:rPr>
          <w:noProof/>
        </w:rPr>
        <w:object w:dxaOrig="5781" w:dyaOrig="6575" w14:anchorId="27686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65pt;height:329.35pt;mso-width-percent:0;mso-height-percent:0;mso-width-percent:0;mso-height-percent:0" o:ole="">
            <v:imagedata r:id="rId20" o:title=""/>
          </v:shape>
          <o:OLEObject Type="Embed" ProgID="Visio.Drawing.11" ShapeID="_x0000_i1025" DrawAspect="Content" ObjectID="_1716727802" r:id="rId21"/>
        </w:object>
      </w:r>
    </w:p>
    <w:p w14:paraId="7606D24D" w14:textId="77777777" w:rsidR="00C94EB2" w:rsidRDefault="00C94EB2" w:rsidP="00C94EB2"/>
    <w:p w14:paraId="7EBED871" w14:textId="77777777" w:rsidR="00C94EB2" w:rsidRDefault="00C94EB2" w:rsidP="00C94EB2">
      <w:pPr>
        <w:pStyle w:val="Heading2"/>
        <w:keepLines w:val="0"/>
        <w:spacing w:after="0"/>
      </w:pPr>
      <w:bookmarkStart w:id="57" w:name="_Toc509244681"/>
      <w:bookmarkStart w:id="58" w:name="_Toc71108726"/>
      <w:bookmarkStart w:id="59" w:name="_Toc71108779"/>
      <w:bookmarkStart w:id="60" w:name="_Toc71108830"/>
      <w:bookmarkStart w:id="61" w:name="_Toc71108858"/>
      <w:bookmarkStart w:id="62" w:name="_Toc71109848"/>
      <w:r>
        <w:t>Service Request Process</w:t>
      </w:r>
      <w:bookmarkEnd w:id="57"/>
      <w:bookmarkEnd w:id="58"/>
      <w:bookmarkEnd w:id="59"/>
      <w:bookmarkEnd w:id="60"/>
      <w:bookmarkEnd w:id="61"/>
      <w:bookmarkEnd w:id="62"/>
    </w:p>
    <w:p w14:paraId="7A826CA5" w14:textId="11DD062A" w:rsidR="00C94EB2" w:rsidRDefault="00C94EB2" w:rsidP="00C94EB2">
      <w:r>
        <w:t>The event which initiates the process is the receipt of a Service Request from a user, through the service portal or by email or telephone. The request will be logged and managed to contractual Service Level Agreement (SLA) in the service desk system.</w:t>
      </w:r>
    </w:p>
    <w:p w14:paraId="74A2652A" w14:textId="77777777" w:rsidR="00F75735" w:rsidRDefault="00F75735" w:rsidP="00C94EB2"/>
    <w:p w14:paraId="100DAAE9" w14:textId="68F21945" w:rsidR="00C94EB2" w:rsidRDefault="00C94EB2" w:rsidP="00C94EB2">
      <w:r>
        <w:t>The service team carry out the change or provide the advice and close the service request when approved by the us</w:t>
      </w:r>
      <w:r w:rsidR="005A58FF">
        <w:t>e</w:t>
      </w:r>
      <w:r w:rsidR="00151D54">
        <w:t xml:space="preserve">r. The </w:t>
      </w:r>
      <w:r>
        <w:t xml:space="preserve">table below gives the step by step description of the </w:t>
      </w:r>
      <w:r w:rsidRPr="00997639">
        <w:t>process:</w:t>
      </w:r>
    </w:p>
    <w:p w14:paraId="77626330" w14:textId="77777777" w:rsidR="00C94EB2" w:rsidRPr="00997639" w:rsidRDefault="00C94EB2" w:rsidP="00C94EB2"/>
    <w:tbl>
      <w:tblPr>
        <w:tblStyle w:val="SciSysTableStriped"/>
        <w:tblW w:w="9889" w:type="dxa"/>
        <w:tblLayout w:type="fixed"/>
        <w:tblLook w:val="0020" w:firstRow="1" w:lastRow="0" w:firstColumn="0" w:lastColumn="0" w:noHBand="0" w:noVBand="0"/>
      </w:tblPr>
      <w:tblGrid>
        <w:gridCol w:w="2409"/>
        <w:gridCol w:w="7480"/>
      </w:tblGrid>
      <w:tr w:rsidR="00C94EB2" w:rsidRPr="0043730F" w14:paraId="2E70DDCF" w14:textId="77777777" w:rsidTr="0020426A">
        <w:trPr>
          <w:cnfStyle w:val="100000000000" w:firstRow="1" w:lastRow="0" w:firstColumn="0" w:lastColumn="0" w:oddVBand="0" w:evenVBand="0" w:oddHBand="0" w:evenHBand="0" w:firstRowFirstColumn="0" w:firstRowLastColumn="0" w:lastRowFirstColumn="0" w:lastRowLastColumn="0"/>
          <w:cantSplit/>
          <w:tblHeader/>
        </w:trPr>
        <w:tc>
          <w:tcPr>
            <w:tcW w:w="9889" w:type="dxa"/>
            <w:gridSpan w:val="2"/>
          </w:tcPr>
          <w:p w14:paraId="148431A2" w14:textId="77777777" w:rsidR="00C94EB2" w:rsidRPr="0043730F" w:rsidRDefault="00C94EB2" w:rsidP="0020426A">
            <w:pPr>
              <w:pStyle w:val="TableCell"/>
            </w:pPr>
            <w:r>
              <w:lastRenderedPageBreak/>
              <w:t>Request Fulfilment  – step by step description</w:t>
            </w:r>
          </w:p>
        </w:tc>
      </w:tr>
      <w:tr w:rsidR="00C94EB2" w:rsidRPr="0043730F" w14:paraId="71C4BD11" w14:textId="77777777" w:rsidTr="0020426A">
        <w:trPr>
          <w:cnfStyle w:val="100000000000" w:firstRow="1" w:lastRow="0" w:firstColumn="0" w:lastColumn="0" w:oddVBand="0" w:evenVBand="0" w:oddHBand="0" w:evenHBand="0" w:firstRowFirstColumn="0" w:firstRowLastColumn="0" w:lastRowFirstColumn="0" w:lastRowLastColumn="0"/>
          <w:cantSplit/>
          <w:tblHeader/>
        </w:trPr>
        <w:tc>
          <w:tcPr>
            <w:tcW w:w="2409" w:type="dxa"/>
          </w:tcPr>
          <w:p w14:paraId="3AFA0C64" w14:textId="77777777" w:rsidR="00C94EB2" w:rsidRPr="0043730F" w:rsidRDefault="00C94EB2" w:rsidP="0020426A">
            <w:pPr>
              <w:pStyle w:val="TableCell"/>
            </w:pPr>
            <w:r w:rsidRPr="0043730F">
              <w:t>Title</w:t>
            </w:r>
          </w:p>
        </w:tc>
        <w:tc>
          <w:tcPr>
            <w:tcW w:w="7480" w:type="dxa"/>
          </w:tcPr>
          <w:p w14:paraId="25BA2907" w14:textId="77777777" w:rsidR="00C94EB2" w:rsidRPr="0043730F" w:rsidRDefault="00C94EB2" w:rsidP="0020426A">
            <w:pPr>
              <w:pStyle w:val="TableCell"/>
            </w:pPr>
            <w:r w:rsidRPr="0043730F">
              <w:t>Description</w:t>
            </w:r>
          </w:p>
        </w:tc>
      </w:tr>
      <w:tr w:rsidR="00C94EB2" w:rsidRPr="0043730F" w14:paraId="7958821D" w14:textId="77777777" w:rsidTr="0020426A">
        <w:trPr>
          <w:cantSplit/>
        </w:trPr>
        <w:tc>
          <w:tcPr>
            <w:tcW w:w="2409" w:type="dxa"/>
          </w:tcPr>
          <w:p w14:paraId="239638FA" w14:textId="77777777" w:rsidR="00C94EB2" w:rsidRPr="0043730F" w:rsidRDefault="00C94EB2" w:rsidP="0020426A">
            <w:pPr>
              <w:pStyle w:val="TableCell"/>
            </w:pPr>
            <w:r w:rsidRPr="0043730F">
              <w:t>Call Logging</w:t>
            </w:r>
          </w:p>
        </w:tc>
        <w:tc>
          <w:tcPr>
            <w:tcW w:w="7480" w:type="dxa"/>
          </w:tcPr>
          <w:p w14:paraId="551495C7" w14:textId="46F0E28C" w:rsidR="00C94EB2" w:rsidRDefault="00C94EB2" w:rsidP="0020426A">
            <w:pPr>
              <w:pStyle w:val="TableCell"/>
            </w:pPr>
            <w:r w:rsidRPr="0043730F">
              <w:t xml:space="preserve">Requests will be made to the Support team via </w:t>
            </w:r>
            <w:r w:rsidR="00E06C48">
              <w:t xml:space="preserve">email, phone call, or the </w:t>
            </w:r>
            <w:r w:rsidR="009C180D">
              <w:t>service desk</w:t>
            </w:r>
            <w:r w:rsidR="00E06C48">
              <w:t xml:space="preserve"> web portal</w:t>
            </w:r>
            <w:r w:rsidRPr="0043730F">
              <w:t>. Once a request is logged an automatic email is generated informing the caller of their reference number. (Requests logged manually by a support analyst after receiving a phone call or email will have a status of ‘Accepted’.)</w:t>
            </w:r>
          </w:p>
          <w:p w14:paraId="11C2CDA9" w14:textId="77777777" w:rsidR="00C94EB2" w:rsidRPr="0043730F" w:rsidRDefault="00C94EB2" w:rsidP="0020426A">
            <w:pPr>
              <w:pStyle w:val="TableCell"/>
              <w:rPr>
                <w:rFonts w:cs="Tahoma"/>
              </w:rPr>
            </w:pPr>
          </w:p>
        </w:tc>
      </w:tr>
      <w:tr w:rsidR="00C94EB2" w:rsidRPr="0043730F" w14:paraId="36BFF1A6"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53849BCE" w14:textId="77777777" w:rsidR="00C94EB2" w:rsidRPr="0043730F" w:rsidRDefault="00C94EB2" w:rsidP="0020426A">
            <w:pPr>
              <w:pStyle w:val="TableCell"/>
            </w:pPr>
            <w:r w:rsidRPr="0043730F">
              <w:t>Valid Request?</w:t>
            </w:r>
          </w:p>
          <w:p w14:paraId="2159FEB0" w14:textId="77777777" w:rsidR="00C94EB2" w:rsidRPr="0043730F" w:rsidRDefault="00C94EB2" w:rsidP="0020426A">
            <w:pPr>
              <w:pStyle w:val="TableCell"/>
            </w:pPr>
          </w:p>
        </w:tc>
        <w:tc>
          <w:tcPr>
            <w:tcW w:w="7480" w:type="dxa"/>
          </w:tcPr>
          <w:p w14:paraId="148C590B" w14:textId="23162403" w:rsidR="00C94EB2" w:rsidRPr="0043730F" w:rsidRDefault="00C94EB2" w:rsidP="0020426A">
            <w:pPr>
              <w:pStyle w:val="TableCell"/>
            </w:pPr>
            <w:r w:rsidRPr="0043730F">
              <w:t xml:space="preserve">Requests logged via the </w:t>
            </w:r>
            <w:r w:rsidR="009C180D">
              <w:t>service desk</w:t>
            </w:r>
            <w:r w:rsidR="00E06C48">
              <w:t xml:space="preserve"> web portal</w:t>
            </w:r>
            <w:r w:rsidR="00E06C48" w:rsidRPr="0043730F">
              <w:t xml:space="preserve"> </w:t>
            </w:r>
            <w:r w:rsidRPr="0043730F">
              <w:t>need to be validated by a support analyst. If the request is valid then the analyst sets the request status to ‘Accepted’ in the service desk tool and it is progressed. If it is not a valid request then the caller is informed and the request is closed.</w:t>
            </w:r>
          </w:p>
          <w:p w14:paraId="6740A9D3" w14:textId="77777777" w:rsidR="00C94EB2" w:rsidRPr="0043730F" w:rsidRDefault="00C94EB2" w:rsidP="0020426A">
            <w:pPr>
              <w:pStyle w:val="TableCell"/>
            </w:pPr>
          </w:p>
        </w:tc>
      </w:tr>
      <w:tr w:rsidR="00C94EB2" w:rsidRPr="0043730F" w14:paraId="3ADDE291" w14:textId="77777777" w:rsidTr="0020426A">
        <w:trPr>
          <w:cantSplit/>
        </w:trPr>
        <w:tc>
          <w:tcPr>
            <w:tcW w:w="2409" w:type="dxa"/>
          </w:tcPr>
          <w:p w14:paraId="7CA639A7" w14:textId="77777777" w:rsidR="00C94EB2" w:rsidRPr="0043730F" w:rsidRDefault="00C94EB2" w:rsidP="0020426A">
            <w:pPr>
              <w:pStyle w:val="TableCell"/>
            </w:pPr>
            <w:r>
              <w:t>Discuss request with caller</w:t>
            </w:r>
          </w:p>
        </w:tc>
        <w:tc>
          <w:tcPr>
            <w:tcW w:w="7480" w:type="dxa"/>
          </w:tcPr>
          <w:p w14:paraId="0FFEBF65" w14:textId="77777777" w:rsidR="00C94EB2" w:rsidRDefault="00C94EB2" w:rsidP="0020426A">
            <w:pPr>
              <w:pStyle w:val="TableCell"/>
            </w:pPr>
            <w:r w:rsidRPr="0043730F">
              <w:t>If it is not a valid request</w:t>
            </w:r>
            <w:r>
              <w:t>, the analyst will contact the caller and discuss the requirements. If appropriate, details of the request may be passed back to the originating Helpdesk. If the call is confirmed to be outside the scope of the support service it will be closed. If the caller has provided further information and it is possible to proceed, the request will now be accepted</w:t>
            </w:r>
          </w:p>
          <w:p w14:paraId="3B0145C1" w14:textId="77777777" w:rsidR="00C94EB2" w:rsidRPr="0043730F" w:rsidRDefault="00C94EB2" w:rsidP="0020426A">
            <w:pPr>
              <w:pStyle w:val="TableCell"/>
            </w:pPr>
          </w:p>
        </w:tc>
      </w:tr>
      <w:tr w:rsidR="00C94EB2" w:rsidRPr="0043730F" w14:paraId="4C779E04"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6D49AC44" w14:textId="77777777" w:rsidR="00C94EB2" w:rsidRPr="0043730F" w:rsidRDefault="00C94EB2" w:rsidP="0020426A">
            <w:pPr>
              <w:pStyle w:val="TableCell"/>
            </w:pPr>
            <w:r w:rsidRPr="0043730F">
              <w:t>Request assigned to analyst or analyst takes ownership</w:t>
            </w:r>
          </w:p>
          <w:p w14:paraId="3E629381" w14:textId="2370564B" w:rsidR="00C94EB2" w:rsidRDefault="00C94EB2" w:rsidP="0020426A">
            <w:pPr>
              <w:pStyle w:val="TableCell"/>
            </w:pPr>
            <w:r w:rsidRPr="0043730F">
              <w:t xml:space="preserve">Status = </w:t>
            </w:r>
            <w:r w:rsidR="00756E1D">
              <w:t>IN PROGRESS</w:t>
            </w:r>
          </w:p>
          <w:p w14:paraId="66C19DCB" w14:textId="77777777" w:rsidR="00C94EB2" w:rsidRPr="0043730F" w:rsidRDefault="00C94EB2" w:rsidP="0020426A">
            <w:pPr>
              <w:pStyle w:val="TableCell"/>
            </w:pPr>
          </w:p>
        </w:tc>
        <w:tc>
          <w:tcPr>
            <w:tcW w:w="7480" w:type="dxa"/>
          </w:tcPr>
          <w:p w14:paraId="2CCF5E19" w14:textId="77777777" w:rsidR="00C94EB2" w:rsidRPr="0043730F" w:rsidRDefault="00C94EB2" w:rsidP="0020426A">
            <w:pPr>
              <w:pStyle w:val="TableCell"/>
            </w:pPr>
            <w:r w:rsidRPr="0043730F">
              <w:t>The requests should be assigned to an analyst before any further actions are carried out. This makes the analyst the ‘Owner’ of the request. This can be done by the analyst themselves or by someone else, e.g. duty analyst.</w:t>
            </w:r>
          </w:p>
          <w:p w14:paraId="2A59A765" w14:textId="77777777" w:rsidR="00C94EB2" w:rsidRPr="0043730F" w:rsidRDefault="00C94EB2" w:rsidP="0020426A">
            <w:pPr>
              <w:pStyle w:val="TableCell"/>
            </w:pPr>
          </w:p>
        </w:tc>
      </w:tr>
      <w:tr w:rsidR="00C94EB2" w:rsidRPr="0043730F" w14:paraId="35FD90E9" w14:textId="77777777" w:rsidTr="0020426A">
        <w:trPr>
          <w:cantSplit/>
        </w:trPr>
        <w:tc>
          <w:tcPr>
            <w:tcW w:w="2409" w:type="dxa"/>
          </w:tcPr>
          <w:p w14:paraId="23F5CE81" w14:textId="77777777" w:rsidR="00C94EB2" w:rsidRPr="0043730F" w:rsidRDefault="00C94EB2" w:rsidP="0020426A">
            <w:pPr>
              <w:pStyle w:val="TableCell"/>
            </w:pPr>
            <w:r w:rsidRPr="0043730F">
              <w:t>Charging Required?</w:t>
            </w:r>
          </w:p>
          <w:p w14:paraId="27FFF68B" w14:textId="77777777" w:rsidR="00C94EB2" w:rsidRPr="0043730F" w:rsidRDefault="00C94EB2" w:rsidP="0020426A">
            <w:pPr>
              <w:pStyle w:val="TableCell"/>
            </w:pPr>
          </w:p>
        </w:tc>
        <w:tc>
          <w:tcPr>
            <w:tcW w:w="7480" w:type="dxa"/>
          </w:tcPr>
          <w:p w14:paraId="21A1F782" w14:textId="77777777" w:rsidR="00C94EB2" w:rsidRPr="0043730F" w:rsidRDefault="00C94EB2" w:rsidP="0020426A">
            <w:pPr>
              <w:pStyle w:val="TableCell"/>
            </w:pPr>
            <w:r w:rsidRPr="0043730F">
              <w:t>If charging is required then refer to ‘calculate the costs/analysis time’ otherwise move onto the next stage ‘approval required?’ If charging is required then by default, approval is required.</w:t>
            </w:r>
          </w:p>
          <w:p w14:paraId="5DA0F4DD" w14:textId="77777777" w:rsidR="00C94EB2" w:rsidRDefault="00C94EB2" w:rsidP="0020426A">
            <w:pPr>
              <w:pStyle w:val="TableCell"/>
            </w:pPr>
            <w:r w:rsidRPr="0043730F">
              <w:t>Where standard service requests are documented in specific procedure documents, the document will describe the charging and approval processes applicable.</w:t>
            </w:r>
          </w:p>
          <w:p w14:paraId="02DEBCCC" w14:textId="77777777" w:rsidR="00C94EB2" w:rsidRPr="0043730F" w:rsidRDefault="00C94EB2" w:rsidP="0020426A">
            <w:pPr>
              <w:pStyle w:val="TableCell"/>
            </w:pPr>
          </w:p>
        </w:tc>
      </w:tr>
      <w:tr w:rsidR="00C94EB2" w:rsidRPr="00937D7D" w14:paraId="4A74EE45"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5BAD1A54" w14:textId="77777777" w:rsidR="00C94EB2" w:rsidRDefault="00C94EB2" w:rsidP="0020426A">
            <w:pPr>
              <w:pStyle w:val="TableCell"/>
            </w:pPr>
            <w:r w:rsidRPr="0043730F">
              <w:t>Calculate costs / Analysis time</w:t>
            </w:r>
          </w:p>
          <w:p w14:paraId="1AD7F7A3" w14:textId="77777777" w:rsidR="00C94EB2" w:rsidRPr="0043730F" w:rsidRDefault="00C94EB2" w:rsidP="0020426A">
            <w:pPr>
              <w:pStyle w:val="TableCell"/>
            </w:pPr>
          </w:p>
        </w:tc>
        <w:tc>
          <w:tcPr>
            <w:tcW w:w="7480" w:type="dxa"/>
          </w:tcPr>
          <w:p w14:paraId="6A43EA00" w14:textId="77777777" w:rsidR="00C94EB2" w:rsidRPr="0043730F" w:rsidRDefault="00C94EB2" w:rsidP="0020426A">
            <w:pPr>
              <w:pStyle w:val="TableCell"/>
            </w:pPr>
            <w:r w:rsidRPr="0043730F">
              <w:t>Record the calculated the costs and/or further analysis time for carrying out the work.</w:t>
            </w:r>
          </w:p>
        </w:tc>
      </w:tr>
      <w:tr w:rsidR="00C94EB2" w:rsidRPr="00937D7D" w14:paraId="35D62254" w14:textId="77777777" w:rsidTr="0020426A">
        <w:trPr>
          <w:cantSplit/>
        </w:trPr>
        <w:tc>
          <w:tcPr>
            <w:tcW w:w="2409" w:type="dxa"/>
          </w:tcPr>
          <w:p w14:paraId="02E5B8F8" w14:textId="77777777" w:rsidR="00C94EB2" w:rsidRPr="0043730F" w:rsidRDefault="00C94EB2" w:rsidP="0020426A">
            <w:pPr>
              <w:pStyle w:val="TableCell"/>
            </w:pPr>
            <w:r w:rsidRPr="0043730F">
              <w:t>Approval required?</w:t>
            </w:r>
          </w:p>
          <w:p w14:paraId="41F5A4C9" w14:textId="77777777" w:rsidR="00C94EB2" w:rsidRPr="0043730F" w:rsidRDefault="00C94EB2" w:rsidP="0020426A">
            <w:pPr>
              <w:pStyle w:val="TableCell"/>
            </w:pPr>
          </w:p>
        </w:tc>
        <w:tc>
          <w:tcPr>
            <w:tcW w:w="7480" w:type="dxa"/>
          </w:tcPr>
          <w:p w14:paraId="07BF90B0" w14:textId="77777777" w:rsidR="00C94EB2" w:rsidRDefault="00C94EB2" w:rsidP="0020426A">
            <w:pPr>
              <w:pStyle w:val="TableCell"/>
            </w:pPr>
            <w:r w:rsidRPr="0043730F">
              <w:t>If approval is required then refer to ‘Request Approval’ otherwise move onto the next stage ‘procurement required?’</w:t>
            </w:r>
          </w:p>
          <w:p w14:paraId="5B1E5600" w14:textId="77777777" w:rsidR="00C94EB2" w:rsidRPr="0043730F" w:rsidRDefault="00C94EB2" w:rsidP="0020426A">
            <w:pPr>
              <w:pStyle w:val="TableCell"/>
            </w:pPr>
          </w:p>
        </w:tc>
      </w:tr>
      <w:tr w:rsidR="00C94EB2" w:rsidRPr="00937D7D" w14:paraId="660DEDD4"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72EFD2AB" w14:textId="77777777" w:rsidR="00C94EB2" w:rsidRDefault="00C94EB2" w:rsidP="0020426A">
            <w:pPr>
              <w:pStyle w:val="TableCell"/>
            </w:pPr>
            <w:r w:rsidRPr="0043730F">
              <w:t>Request approval. Status = APPROVAL</w:t>
            </w:r>
          </w:p>
          <w:p w14:paraId="7571E85F" w14:textId="77777777" w:rsidR="00C94EB2" w:rsidRPr="0043730F" w:rsidRDefault="00C94EB2" w:rsidP="0020426A">
            <w:pPr>
              <w:pStyle w:val="TableCell"/>
            </w:pPr>
          </w:p>
        </w:tc>
        <w:tc>
          <w:tcPr>
            <w:tcW w:w="7480" w:type="dxa"/>
          </w:tcPr>
          <w:p w14:paraId="2DEC8743" w14:textId="0AEE9376" w:rsidR="00C94EB2" w:rsidRPr="0043730F" w:rsidRDefault="00C94EB2" w:rsidP="0020426A">
            <w:pPr>
              <w:pStyle w:val="TableCell"/>
            </w:pPr>
            <w:r w:rsidRPr="0043730F">
              <w:t>Request approval from the appropriate</w:t>
            </w:r>
            <w:r>
              <w:t xml:space="preserve"> person and record this is in </w:t>
            </w:r>
            <w:r w:rsidR="009C180D">
              <w:t>the service desk tool</w:t>
            </w:r>
          </w:p>
        </w:tc>
      </w:tr>
      <w:tr w:rsidR="00C94EB2" w:rsidRPr="00937D7D" w14:paraId="6260F09C" w14:textId="77777777" w:rsidTr="0020426A">
        <w:trPr>
          <w:cantSplit/>
        </w:trPr>
        <w:tc>
          <w:tcPr>
            <w:tcW w:w="2409" w:type="dxa"/>
          </w:tcPr>
          <w:p w14:paraId="3F69CBB6" w14:textId="77777777" w:rsidR="00C94EB2" w:rsidRPr="0043730F" w:rsidRDefault="00C94EB2" w:rsidP="0020426A">
            <w:pPr>
              <w:pStyle w:val="TableCell"/>
            </w:pPr>
            <w:r w:rsidRPr="0043730F">
              <w:t>Approved?</w:t>
            </w:r>
          </w:p>
        </w:tc>
        <w:tc>
          <w:tcPr>
            <w:tcW w:w="7480" w:type="dxa"/>
          </w:tcPr>
          <w:p w14:paraId="58B8DBF5" w14:textId="77777777" w:rsidR="00C94EB2" w:rsidRDefault="00C94EB2" w:rsidP="0020426A">
            <w:pPr>
              <w:pStyle w:val="TableCell"/>
            </w:pPr>
            <w:r w:rsidRPr="0043730F">
              <w:t>If the request is approved then move onto the next stage ‘procurement required?’. If the request is not approved then this is noted in the service desk tool and the request is closed</w:t>
            </w:r>
          </w:p>
          <w:p w14:paraId="46DB33D9" w14:textId="77777777" w:rsidR="00C94EB2" w:rsidRPr="0043730F" w:rsidRDefault="00C94EB2" w:rsidP="0020426A">
            <w:pPr>
              <w:pStyle w:val="TableCell"/>
            </w:pPr>
          </w:p>
        </w:tc>
      </w:tr>
      <w:tr w:rsidR="00C94EB2" w:rsidRPr="00937D7D" w14:paraId="6112D7FE"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3BFB7646" w14:textId="77777777" w:rsidR="00C94EB2" w:rsidRPr="0043730F" w:rsidRDefault="00C94EB2" w:rsidP="0020426A">
            <w:pPr>
              <w:pStyle w:val="TableCell"/>
            </w:pPr>
            <w:r w:rsidRPr="0043730F">
              <w:t>Information Required from Caller</w:t>
            </w:r>
          </w:p>
        </w:tc>
        <w:tc>
          <w:tcPr>
            <w:tcW w:w="7480" w:type="dxa"/>
          </w:tcPr>
          <w:p w14:paraId="38F540F5" w14:textId="77777777" w:rsidR="00C94EB2" w:rsidRDefault="00C94EB2" w:rsidP="0020426A">
            <w:pPr>
              <w:pStyle w:val="TableCell"/>
            </w:pPr>
            <w:r w:rsidRPr="0043730F">
              <w:t>The status should be set ‘pending’ and the clock stopped in the service desk tool when waiting on information from the caller.</w:t>
            </w:r>
          </w:p>
          <w:p w14:paraId="33C9D591" w14:textId="77777777" w:rsidR="00C94EB2" w:rsidRPr="0043730F" w:rsidRDefault="00C94EB2" w:rsidP="0020426A">
            <w:pPr>
              <w:pStyle w:val="TableCell"/>
            </w:pPr>
          </w:p>
        </w:tc>
      </w:tr>
      <w:tr w:rsidR="00C94EB2" w:rsidRPr="00937D7D" w14:paraId="1E8B3713" w14:textId="77777777" w:rsidTr="0020426A">
        <w:trPr>
          <w:cantSplit/>
        </w:trPr>
        <w:tc>
          <w:tcPr>
            <w:tcW w:w="2409" w:type="dxa"/>
          </w:tcPr>
          <w:p w14:paraId="2AF50D95" w14:textId="77777777" w:rsidR="00C94EB2" w:rsidRPr="0043730F" w:rsidRDefault="00C94EB2" w:rsidP="0020426A">
            <w:pPr>
              <w:pStyle w:val="TableCell"/>
            </w:pPr>
            <w:r w:rsidRPr="0043730F">
              <w:t>Information Received</w:t>
            </w:r>
          </w:p>
          <w:p w14:paraId="1616CC99" w14:textId="77777777" w:rsidR="00C94EB2" w:rsidRPr="0043730F" w:rsidRDefault="00C94EB2" w:rsidP="0020426A">
            <w:pPr>
              <w:pStyle w:val="TableCell"/>
            </w:pPr>
          </w:p>
        </w:tc>
        <w:tc>
          <w:tcPr>
            <w:tcW w:w="7480" w:type="dxa"/>
          </w:tcPr>
          <w:p w14:paraId="03B3B74B" w14:textId="77777777" w:rsidR="00C94EB2" w:rsidRDefault="00C94EB2" w:rsidP="0020426A">
            <w:pPr>
              <w:pStyle w:val="TableCell"/>
            </w:pPr>
            <w:r w:rsidRPr="0043730F">
              <w:t xml:space="preserve">Once the information has been received from the caller the request should be assigned back to the relevant person in the service desk tool and the SLA clock started. </w:t>
            </w:r>
          </w:p>
          <w:p w14:paraId="208B6415" w14:textId="77777777" w:rsidR="00C94EB2" w:rsidRPr="0043730F" w:rsidRDefault="00C94EB2" w:rsidP="0020426A">
            <w:pPr>
              <w:pStyle w:val="TableCell"/>
            </w:pPr>
          </w:p>
        </w:tc>
      </w:tr>
      <w:tr w:rsidR="00C94EB2" w:rsidRPr="00937D7D" w14:paraId="79CF4D8E"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5DCC8547" w14:textId="77777777" w:rsidR="00C94EB2" w:rsidRPr="0043730F" w:rsidRDefault="00C94EB2" w:rsidP="0020426A">
            <w:pPr>
              <w:pStyle w:val="TableCell"/>
            </w:pPr>
            <w:r w:rsidRPr="0043730F">
              <w:t>Implementation</w:t>
            </w:r>
          </w:p>
          <w:p w14:paraId="0A21E989" w14:textId="77777777" w:rsidR="00C94EB2" w:rsidRPr="0043730F" w:rsidRDefault="00C94EB2" w:rsidP="0020426A">
            <w:pPr>
              <w:pStyle w:val="TableCell"/>
            </w:pPr>
          </w:p>
        </w:tc>
        <w:tc>
          <w:tcPr>
            <w:tcW w:w="7480" w:type="dxa"/>
          </w:tcPr>
          <w:p w14:paraId="5208E018" w14:textId="77777777" w:rsidR="00C94EB2" w:rsidRDefault="00C94EB2" w:rsidP="0020426A">
            <w:pPr>
              <w:pStyle w:val="TableCell"/>
            </w:pPr>
            <w:r w:rsidRPr="0043730F">
              <w:t>Implement/provide to caller. Once the request has been implemented or provided then the status should be set to ‘Resolved’. The SLA clock should then be stopped (this is automatic the service desk tool)</w:t>
            </w:r>
          </w:p>
          <w:p w14:paraId="3989E2D1" w14:textId="77777777" w:rsidR="00C94EB2" w:rsidRPr="0043730F" w:rsidRDefault="00C94EB2" w:rsidP="0020426A">
            <w:pPr>
              <w:pStyle w:val="TableCell"/>
            </w:pPr>
          </w:p>
        </w:tc>
      </w:tr>
      <w:tr w:rsidR="00C94EB2" w:rsidRPr="0043730F" w14:paraId="78D74A21" w14:textId="77777777" w:rsidTr="0020426A">
        <w:trPr>
          <w:cantSplit/>
        </w:trPr>
        <w:tc>
          <w:tcPr>
            <w:tcW w:w="2409" w:type="dxa"/>
          </w:tcPr>
          <w:p w14:paraId="20DF346D" w14:textId="77777777" w:rsidR="00C94EB2" w:rsidRPr="0043730F" w:rsidRDefault="00C94EB2" w:rsidP="0020426A">
            <w:pPr>
              <w:pStyle w:val="TableCell"/>
            </w:pPr>
            <w:r w:rsidRPr="0043730F">
              <w:t>Caller agrees to close?</w:t>
            </w:r>
          </w:p>
          <w:p w14:paraId="2DEB0C8B" w14:textId="77777777" w:rsidR="00C94EB2" w:rsidRPr="0043730F" w:rsidRDefault="00C94EB2" w:rsidP="0020426A">
            <w:pPr>
              <w:pStyle w:val="TableCell"/>
            </w:pPr>
          </w:p>
        </w:tc>
        <w:tc>
          <w:tcPr>
            <w:tcW w:w="7480" w:type="dxa"/>
          </w:tcPr>
          <w:p w14:paraId="2D4D0D42" w14:textId="77777777" w:rsidR="00C94EB2" w:rsidRDefault="00C94EB2" w:rsidP="0020426A">
            <w:pPr>
              <w:pStyle w:val="TableCell"/>
            </w:pPr>
            <w:r w:rsidRPr="0043730F">
              <w:t>The request should not be closed until the request has been fulfilled to the callers’ satisfaction. If the caller is satisfied and agrees to close then the request can be closed in the service desk tool. If the caller does not agree to close then it will need to be assigned to an analyst so further investigation can be carried out</w:t>
            </w:r>
          </w:p>
          <w:p w14:paraId="000271E0" w14:textId="77777777" w:rsidR="00C94EB2" w:rsidRPr="0043730F" w:rsidRDefault="00C94EB2" w:rsidP="0020426A">
            <w:pPr>
              <w:pStyle w:val="TableCell"/>
            </w:pPr>
          </w:p>
        </w:tc>
      </w:tr>
      <w:tr w:rsidR="00C94EB2" w:rsidRPr="0043730F" w14:paraId="087B9651" w14:textId="77777777" w:rsidTr="0020426A">
        <w:trPr>
          <w:cnfStyle w:val="000000010000" w:firstRow="0" w:lastRow="0" w:firstColumn="0" w:lastColumn="0" w:oddVBand="0" w:evenVBand="0" w:oddHBand="0" w:evenHBand="1" w:firstRowFirstColumn="0" w:firstRowLastColumn="0" w:lastRowFirstColumn="0" w:lastRowLastColumn="0"/>
          <w:cantSplit/>
        </w:trPr>
        <w:tc>
          <w:tcPr>
            <w:tcW w:w="2409" w:type="dxa"/>
          </w:tcPr>
          <w:p w14:paraId="7643D730" w14:textId="7D9BBCC0" w:rsidR="00C94EB2" w:rsidRPr="0043730F" w:rsidRDefault="00C94EB2" w:rsidP="0020426A">
            <w:pPr>
              <w:pStyle w:val="TableCell"/>
            </w:pPr>
            <w:r w:rsidRPr="0043730F">
              <w:lastRenderedPageBreak/>
              <w:t xml:space="preserve">Status = </w:t>
            </w:r>
            <w:r w:rsidR="00756E1D">
              <w:t>IN PROGRESS</w:t>
            </w:r>
          </w:p>
        </w:tc>
        <w:tc>
          <w:tcPr>
            <w:tcW w:w="7480" w:type="dxa"/>
          </w:tcPr>
          <w:p w14:paraId="23A3362A" w14:textId="77777777" w:rsidR="00C94EB2" w:rsidRDefault="00C94EB2" w:rsidP="0020426A">
            <w:pPr>
              <w:pStyle w:val="TableCell"/>
            </w:pPr>
            <w:r w:rsidRPr="0043730F">
              <w:t>The request is assigned to an analyst in the service desk tool and the SLA clock should be restarted</w:t>
            </w:r>
          </w:p>
          <w:p w14:paraId="4761A81F" w14:textId="77777777" w:rsidR="00C94EB2" w:rsidRPr="0043730F" w:rsidRDefault="00C94EB2" w:rsidP="0020426A">
            <w:pPr>
              <w:pStyle w:val="TableCell"/>
            </w:pPr>
          </w:p>
        </w:tc>
      </w:tr>
      <w:tr w:rsidR="00C94EB2" w:rsidRPr="0043730F" w14:paraId="45B50DF4" w14:textId="77777777" w:rsidTr="0020426A">
        <w:trPr>
          <w:cantSplit/>
        </w:trPr>
        <w:tc>
          <w:tcPr>
            <w:tcW w:w="2409" w:type="dxa"/>
          </w:tcPr>
          <w:p w14:paraId="084247DE" w14:textId="77777777" w:rsidR="00C94EB2" w:rsidRPr="0043730F" w:rsidRDefault="00C94EB2" w:rsidP="0020426A">
            <w:pPr>
              <w:pStyle w:val="TableCell"/>
            </w:pPr>
            <w:r w:rsidRPr="0043730F">
              <w:t>Request Closed</w:t>
            </w:r>
          </w:p>
          <w:p w14:paraId="71CBCA17" w14:textId="77777777" w:rsidR="00C94EB2" w:rsidRDefault="00C94EB2" w:rsidP="0020426A">
            <w:pPr>
              <w:pStyle w:val="TableCell"/>
            </w:pPr>
            <w:r w:rsidRPr="0043730F">
              <w:t>Status = CLOSED</w:t>
            </w:r>
          </w:p>
          <w:p w14:paraId="3214C845" w14:textId="77777777" w:rsidR="00C94EB2" w:rsidRPr="0043730F" w:rsidRDefault="00C94EB2" w:rsidP="0020426A">
            <w:pPr>
              <w:pStyle w:val="TableCell"/>
            </w:pPr>
          </w:p>
        </w:tc>
        <w:tc>
          <w:tcPr>
            <w:tcW w:w="7480" w:type="dxa"/>
          </w:tcPr>
          <w:p w14:paraId="6253D8E7" w14:textId="77777777" w:rsidR="00C94EB2" w:rsidRPr="0043730F" w:rsidRDefault="00C94EB2" w:rsidP="0020426A">
            <w:pPr>
              <w:pStyle w:val="TableCell"/>
            </w:pPr>
            <w:r w:rsidRPr="0043730F">
              <w:t>The request is closed in the service desk tool.</w:t>
            </w:r>
          </w:p>
        </w:tc>
      </w:tr>
    </w:tbl>
    <w:p w14:paraId="4DE52308" w14:textId="77777777" w:rsidR="00C94EB2" w:rsidRPr="00BC1932" w:rsidRDefault="00C94EB2" w:rsidP="00C94EB2">
      <w:pPr>
        <w:pStyle w:val="Heading2"/>
        <w:keepLines w:val="0"/>
        <w:spacing w:after="0"/>
      </w:pPr>
      <w:bookmarkStart w:id="63" w:name="_Toc509244682"/>
      <w:bookmarkStart w:id="64" w:name="_Toc71108727"/>
      <w:bookmarkStart w:id="65" w:name="_Toc71108780"/>
      <w:bookmarkStart w:id="66" w:name="_Toc71108831"/>
      <w:bookmarkStart w:id="67" w:name="_Toc71108859"/>
      <w:bookmarkStart w:id="68" w:name="_Toc71109849"/>
      <w:r w:rsidRPr="00BC1932">
        <w:t>Key Performance Indicators</w:t>
      </w:r>
      <w:bookmarkEnd w:id="63"/>
      <w:bookmarkEnd w:id="64"/>
      <w:bookmarkEnd w:id="65"/>
      <w:bookmarkEnd w:id="66"/>
      <w:bookmarkEnd w:id="67"/>
      <w:bookmarkEnd w:id="68"/>
    </w:p>
    <w:p w14:paraId="6A7DB821" w14:textId="77777777" w:rsidR="00C94EB2" w:rsidRDefault="00C94EB2" w:rsidP="00C94EB2">
      <w:r w:rsidRPr="00BC1932">
        <w:t>The following metrics are indicators of the health of the</w:t>
      </w:r>
      <w:r>
        <w:t xml:space="preserve"> Request Fulfilment</w:t>
      </w:r>
      <w:r w:rsidRPr="00BC1932">
        <w:t xml:space="preserve"> process:</w:t>
      </w:r>
    </w:p>
    <w:p w14:paraId="740DBC1A" w14:textId="77777777" w:rsidR="00C94EB2" w:rsidRPr="00BC1932" w:rsidRDefault="00C94EB2" w:rsidP="005C3AE7">
      <w:pPr>
        <w:numPr>
          <w:ilvl w:val="0"/>
          <w:numId w:val="34"/>
        </w:numPr>
        <w:suppressAutoHyphens w:val="0"/>
        <w:autoSpaceDN/>
        <w:spacing w:before="240" w:line="240" w:lineRule="auto"/>
        <w:jc w:val="both"/>
        <w:textAlignment w:val="auto"/>
      </w:pPr>
      <w:r w:rsidRPr="00BC1932">
        <w:t xml:space="preserve">Percentage of </w:t>
      </w:r>
      <w:r>
        <w:t>requests</w:t>
      </w:r>
      <w:r w:rsidRPr="00BC1932">
        <w:t xml:space="preserve"> resolved within </w:t>
      </w:r>
      <w:r>
        <w:t xml:space="preserve">contractual </w:t>
      </w:r>
      <w:r w:rsidRPr="00BC1932">
        <w:t>SLA – this should be high and increasing as the service develops</w:t>
      </w:r>
    </w:p>
    <w:p w14:paraId="4DF623C9" w14:textId="77777777" w:rsidR="00C94EB2" w:rsidRPr="00BC1932" w:rsidRDefault="00C94EB2" w:rsidP="005C3AE7">
      <w:pPr>
        <w:numPr>
          <w:ilvl w:val="0"/>
          <w:numId w:val="34"/>
        </w:numPr>
        <w:suppressAutoHyphens w:val="0"/>
        <w:autoSpaceDN/>
        <w:spacing w:before="240" w:line="240" w:lineRule="auto"/>
        <w:jc w:val="both"/>
        <w:textAlignment w:val="auto"/>
      </w:pPr>
      <w:r w:rsidRPr="00BC1932">
        <w:t xml:space="preserve">Customer satisfaction with </w:t>
      </w:r>
      <w:r>
        <w:t>Request Fulfilment</w:t>
      </w:r>
      <w:r w:rsidRPr="00BC1932">
        <w:t xml:space="preserve"> – should be high and increasing</w:t>
      </w:r>
    </w:p>
    <w:p w14:paraId="76C7B70C" w14:textId="77777777" w:rsidR="00C94EB2" w:rsidRPr="00D75516" w:rsidRDefault="00C94EB2" w:rsidP="00C94EB2">
      <w:pPr>
        <w:pStyle w:val="Heading2"/>
        <w:keepLines w:val="0"/>
        <w:spacing w:after="0"/>
      </w:pPr>
      <w:bookmarkStart w:id="69" w:name="_Toc509244683"/>
      <w:bookmarkStart w:id="70" w:name="_Toc71108728"/>
      <w:bookmarkStart w:id="71" w:name="_Toc71108781"/>
      <w:bookmarkStart w:id="72" w:name="_Toc71108832"/>
      <w:bookmarkStart w:id="73" w:name="_Toc71108860"/>
      <w:bookmarkStart w:id="74" w:name="_Toc71109850"/>
      <w:r w:rsidRPr="00D75516">
        <w:t>Accountability and Review</w:t>
      </w:r>
      <w:bookmarkEnd w:id="69"/>
      <w:bookmarkEnd w:id="70"/>
      <w:bookmarkEnd w:id="71"/>
      <w:bookmarkEnd w:id="72"/>
      <w:bookmarkEnd w:id="73"/>
      <w:bookmarkEnd w:id="74"/>
    </w:p>
    <w:p w14:paraId="66C6502D" w14:textId="77777777" w:rsidR="00C94EB2" w:rsidRPr="00D75516" w:rsidRDefault="00C94EB2" w:rsidP="00C94EB2">
      <w:pPr>
        <w:rPr>
          <w:bCs/>
        </w:rPr>
      </w:pPr>
      <w:r w:rsidRPr="00D75516">
        <w:rPr>
          <w:bCs/>
        </w:rPr>
        <w:t>The Service Review Board</w:t>
      </w:r>
      <w:r>
        <w:rPr>
          <w:bCs/>
        </w:rPr>
        <w:t>s are</w:t>
      </w:r>
      <w:r w:rsidRPr="00D75516">
        <w:rPr>
          <w:bCs/>
        </w:rPr>
        <w:t xml:space="preserve"> accountable fo</w:t>
      </w:r>
      <w:r>
        <w:rPr>
          <w:bCs/>
        </w:rPr>
        <w:t>r the operation and regular review of the application of this process to each service.</w:t>
      </w:r>
    </w:p>
    <w:bookmarkEnd w:id="31"/>
    <w:bookmarkEnd w:id="32"/>
    <w:p w14:paraId="360EBD89" w14:textId="77777777" w:rsidR="00C94EB2" w:rsidRDefault="00C94EB2">
      <w:pPr>
        <w:spacing w:before="240"/>
        <w:rPr>
          <w:b/>
        </w:rPr>
      </w:pPr>
    </w:p>
    <w:p w14:paraId="6F1B5DC5" w14:textId="77777777" w:rsidR="00B848AA" w:rsidRDefault="00B848AA">
      <w:pPr>
        <w:suppressAutoHyphens w:val="0"/>
      </w:pPr>
      <w:bookmarkStart w:id="75" w:name="_Toc33176234"/>
    </w:p>
    <w:p w14:paraId="27D37B7A" w14:textId="77777777" w:rsidR="00B746AB" w:rsidRDefault="00B746AB" w:rsidP="4F710A92">
      <w:pPr>
        <w:pStyle w:val="Heading2"/>
        <w:jc w:val="center"/>
        <w:rPr>
          <w:b/>
          <w:bCs/>
          <w:sz w:val="22"/>
          <w:szCs w:val="22"/>
        </w:rPr>
      </w:pPr>
    </w:p>
    <w:p w14:paraId="3AC2AEB2" w14:textId="77777777" w:rsidR="00B746AB" w:rsidRDefault="00B746AB" w:rsidP="4F710A92">
      <w:pPr>
        <w:pStyle w:val="Heading2"/>
        <w:jc w:val="center"/>
        <w:rPr>
          <w:b/>
          <w:bCs/>
          <w:sz w:val="22"/>
          <w:szCs w:val="22"/>
        </w:rPr>
      </w:pPr>
    </w:p>
    <w:p w14:paraId="06F823CC" w14:textId="77777777" w:rsidR="00B746AB" w:rsidRDefault="00B746AB" w:rsidP="4F710A92">
      <w:pPr>
        <w:pStyle w:val="Heading2"/>
        <w:jc w:val="center"/>
        <w:rPr>
          <w:b/>
          <w:bCs/>
          <w:sz w:val="22"/>
          <w:szCs w:val="22"/>
        </w:rPr>
      </w:pPr>
    </w:p>
    <w:p w14:paraId="2C48693D" w14:textId="77777777" w:rsidR="00B746AB" w:rsidRDefault="00B746AB" w:rsidP="4F710A92">
      <w:pPr>
        <w:pStyle w:val="Heading2"/>
        <w:jc w:val="center"/>
        <w:rPr>
          <w:b/>
          <w:bCs/>
          <w:sz w:val="22"/>
          <w:szCs w:val="22"/>
        </w:rPr>
      </w:pPr>
    </w:p>
    <w:p w14:paraId="501E1BF3" w14:textId="77777777" w:rsidR="00B746AB" w:rsidRDefault="00B746AB" w:rsidP="4F710A92">
      <w:pPr>
        <w:pStyle w:val="Heading2"/>
        <w:jc w:val="center"/>
        <w:rPr>
          <w:b/>
          <w:bCs/>
          <w:sz w:val="22"/>
          <w:szCs w:val="22"/>
        </w:rPr>
      </w:pPr>
    </w:p>
    <w:p w14:paraId="02D254B4" w14:textId="77777777" w:rsidR="00B746AB" w:rsidRDefault="00B746AB" w:rsidP="00B746AB"/>
    <w:p w14:paraId="0963EE03" w14:textId="77777777" w:rsidR="00B746AB" w:rsidRDefault="00B746AB" w:rsidP="00B746AB"/>
    <w:p w14:paraId="1CFAFE5B" w14:textId="77777777" w:rsidR="00B746AB" w:rsidRDefault="00B746AB" w:rsidP="00B746AB"/>
    <w:p w14:paraId="6F558B30" w14:textId="77777777" w:rsidR="00B746AB" w:rsidRDefault="00B746AB" w:rsidP="00B746AB"/>
    <w:p w14:paraId="32D5EB70" w14:textId="77777777" w:rsidR="00B746AB" w:rsidRDefault="00B746AB" w:rsidP="00B746AB"/>
    <w:p w14:paraId="086289D9" w14:textId="77777777" w:rsidR="00B746AB" w:rsidRDefault="00B746AB" w:rsidP="00B746AB"/>
    <w:p w14:paraId="3CE56B09" w14:textId="77777777" w:rsidR="00B746AB" w:rsidRPr="00B746AB" w:rsidRDefault="00B746AB" w:rsidP="00B746AB"/>
    <w:p w14:paraId="0253B27B" w14:textId="77777777" w:rsidR="00B746AB" w:rsidRDefault="00B746AB" w:rsidP="4F710A92">
      <w:pPr>
        <w:pStyle w:val="Heading2"/>
        <w:jc w:val="center"/>
        <w:rPr>
          <w:b/>
          <w:bCs/>
          <w:sz w:val="22"/>
          <w:szCs w:val="22"/>
        </w:rPr>
      </w:pPr>
    </w:p>
    <w:p w14:paraId="79C7498E" w14:textId="77777777" w:rsidR="00B746AB" w:rsidRDefault="00B746AB" w:rsidP="00B746AB"/>
    <w:p w14:paraId="40166F45" w14:textId="77777777" w:rsidR="00B746AB" w:rsidRPr="00B746AB" w:rsidRDefault="00B746AB" w:rsidP="00B746AB"/>
    <w:p w14:paraId="65B6E216" w14:textId="22C9C059" w:rsidR="4F710A92" w:rsidRDefault="4F710A92" w:rsidP="4F710A92">
      <w:pPr>
        <w:pStyle w:val="Heading2"/>
        <w:jc w:val="center"/>
        <w:rPr>
          <w:b/>
          <w:bCs/>
          <w:sz w:val="22"/>
          <w:szCs w:val="22"/>
        </w:rPr>
      </w:pPr>
      <w:r w:rsidRPr="4F710A92">
        <w:rPr>
          <w:b/>
          <w:bCs/>
          <w:sz w:val="22"/>
          <w:szCs w:val="22"/>
        </w:rPr>
        <w:lastRenderedPageBreak/>
        <w:t>Annex 3 to Schedule 1 – Clarification Question Responses</w:t>
      </w:r>
    </w:p>
    <w:p w14:paraId="30E4D68C" w14:textId="65C4205E" w:rsidR="00F10837" w:rsidRPr="00F10837" w:rsidRDefault="00F10837" w:rsidP="005C654D">
      <w:r>
        <w:t>This Annex includes the Supplier’s responses to Clarification Questions posed as part of the GCloud evaluation activity. The responses provided are included verbatim here, in line with the practice of embedding a supplier proposal within a normal contract. The information is provided for information and does not define any additional obligations for the Supplier. Should there be any conflict between the Services Description described in all other elements of Schedule 1 and this Annex 3, then the other elements of Schedule 1 will take precedence.</w:t>
      </w:r>
    </w:p>
    <w:p w14:paraId="24855B90" w14:textId="17169551" w:rsidR="4F710A92" w:rsidRDefault="4F710A92" w:rsidP="4F710A92"/>
    <w:p w14:paraId="2DDA67E7" w14:textId="77777777" w:rsidR="00B746AB" w:rsidRPr="00C944BD" w:rsidRDefault="00B746AB" w:rsidP="00B746AB">
      <w:pPr>
        <w:pStyle w:val="Heading1"/>
        <w:rPr>
          <w:sz w:val="32"/>
          <w:szCs w:val="32"/>
        </w:rPr>
      </w:pPr>
      <w:r w:rsidRPr="00C944BD">
        <w:rPr>
          <w:sz w:val="32"/>
          <w:szCs w:val="32"/>
        </w:rPr>
        <w:t>Clarification questions</w:t>
      </w:r>
    </w:p>
    <w:p w14:paraId="2ED0D0C7" w14:textId="77777777" w:rsidR="00B746AB" w:rsidRPr="00C944BD" w:rsidRDefault="00B746AB" w:rsidP="00B746AB">
      <w:pPr>
        <w:pStyle w:val="Heading3"/>
        <w:rPr>
          <w:i/>
          <w:iCs/>
          <w:sz w:val="22"/>
          <w:szCs w:val="22"/>
        </w:rPr>
      </w:pPr>
      <w:r w:rsidRPr="00C944BD">
        <w:rPr>
          <w:sz w:val="22"/>
          <w:szCs w:val="22"/>
        </w:rPr>
        <w:t>A</w:t>
      </w:r>
      <w:r w:rsidRPr="00C944BD">
        <w:rPr>
          <w:i/>
          <w:iCs/>
          <w:sz w:val="22"/>
          <w:szCs w:val="22"/>
        </w:rPr>
        <w:t>)</w:t>
      </w:r>
      <w:r w:rsidRPr="00C944BD">
        <w:rPr>
          <w:i/>
          <w:iCs/>
          <w:sz w:val="22"/>
          <w:szCs w:val="22"/>
        </w:rPr>
        <w:tab/>
        <w:t>Can you, with reference to prior experience implementing solutions which mitigate internet facing web service security risks, explain how this will be managed for these requirements?</w:t>
      </w:r>
    </w:p>
    <w:p w14:paraId="1BE61D30"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Our overriding security principle is to operate solutions to a 'least privilege' access approach, regardless of environment or operation. This ensures that security is baked in and not bolted on as an afterthought. We design solutions to be built with layers of security such that, if a layer is bypassed, an intruder cannot gain deeper access into the solution without challenge. </w:t>
      </w:r>
    </w:p>
    <w:p w14:paraId="65FA8B6F"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Examples of secure internet-facing web services that we have delivered include: </w:t>
      </w:r>
    </w:p>
    <w:p w14:paraId="57C408B9" w14:textId="4D1FB2CE" w:rsidR="00B746AB" w:rsidRPr="00507140" w:rsidRDefault="005C3B40" w:rsidP="00B746AB">
      <w:pPr>
        <w:pStyle w:val="BodyText"/>
        <w:numPr>
          <w:ilvl w:val="0"/>
          <w:numId w:val="45"/>
        </w:numPr>
        <w:autoSpaceDN/>
        <w:spacing w:after="0"/>
        <w:rPr>
          <w:rFonts w:ascii="Arial" w:hAnsi="Arial" w:cs="Arial"/>
          <w:sz w:val="22"/>
        </w:rPr>
      </w:pPr>
      <w:r w:rsidRPr="00507140">
        <w:rPr>
          <w:rFonts w:ascii="Arial" w:hAnsi="Arial" w:cs="Arial"/>
          <w:sz w:val="22"/>
        </w:rPr>
        <w:t>[Redacted]</w:t>
      </w:r>
      <w:r w:rsidR="00B746AB" w:rsidRPr="00507140">
        <w:rPr>
          <w:rFonts w:ascii="Arial" w:hAnsi="Arial" w:cs="Arial"/>
          <w:sz w:val="22"/>
        </w:rPr>
        <w:t xml:space="preserve"> – a secure web-based API and user interface to support reporting of </w:t>
      </w:r>
      <w:r w:rsidRPr="00507140">
        <w:rPr>
          <w:rFonts w:ascii="Arial" w:hAnsi="Arial" w:cs="Arial"/>
          <w:sz w:val="22"/>
        </w:rPr>
        <w:t>[Redacted]</w:t>
      </w:r>
      <w:r w:rsidR="00B746AB" w:rsidRPr="00507140">
        <w:rPr>
          <w:rFonts w:ascii="Arial" w:hAnsi="Arial" w:cs="Arial"/>
          <w:sz w:val="22"/>
        </w:rPr>
        <w:t xml:space="preserve"> movements in England by markets, </w:t>
      </w:r>
      <w:r w:rsidRPr="00507140">
        <w:rPr>
          <w:rFonts w:ascii="Arial" w:hAnsi="Arial" w:cs="Arial"/>
          <w:sz w:val="22"/>
        </w:rPr>
        <w:t>[Redacted]</w:t>
      </w:r>
      <w:r w:rsidR="00B746AB" w:rsidRPr="00507140">
        <w:rPr>
          <w:rFonts w:ascii="Arial" w:hAnsi="Arial" w:cs="Arial"/>
          <w:sz w:val="22"/>
        </w:rPr>
        <w:t xml:space="preserve"> with 200,000 registered holdings generating 300,000 requests per month.</w:t>
      </w:r>
    </w:p>
    <w:p w14:paraId="168F9486" w14:textId="5781532F" w:rsidR="00B746AB" w:rsidRPr="00507140" w:rsidRDefault="005C3B40" w:rsidP="00B746AB">
      <w:pPr>
        <w:pStyle w:val="BodyText"/>
        <w:numPr>
          <w:ilvl w:val="0"/>
          <w:numId w:val="45"/>
        </w:numPr>
        <w:autoSpaceDN/>
        <w:spacing w:after="0"/>
        <w:rPr>
          <w:rFonts w:ascii="Arial" w:hAnsi="Arial" w:cs="Arial"/>
          <w:sz w:val="22"/>
        </w:rPr>
      </w:pPr>
      <w:r w:rsidRPr="00507140">
        <w:rPr>
          <w:rFonts w:ascii="Arial" w:hAnsi="Arial" w:cs="Arial"/>
          <w:sz w:val="22"/>
        </w:rPr>
        <w:t>[Redacted]</w:t>
      </w:r>
      <w:r w:rsidR="00B746AB" w:rsidRPr="00507140">
        <w:rPr>
          <w:rFonts w:ascii="Arial" w:hAnsi="Arial" w:cs="Arial"/>
          <w:sz w:val="22"/>
        </w:rPr>
        <w:t xml:space="preserve">- a secure online service to enable citizens to respond digitally to </w:t>
      </w:r>
      <w:r w:rsidR="007A008F" w:rsidRPr="00507140">
        <w:rPr>
          <w:rFonts w:ascii="Arial" w:hAnsi="Arial" w:cs="Arial"/>
          <w:sz w:val="22"/>
        </w:rPr>
        <w:t>[Redacted]</w:t>
      </w:r>
      <w:r w:rsidR="00B746AB" w:rsidRPr="00507140">
        <w:rPr>
          <w:rFonts w:ascii="Arial" w:hAnsi="Arial" w:cs="Arial"/>
          <w:sz w:val="22"/>
        </w:rPr>
        <w:t>. Launched on GOV.UK in April 2020, over 400,000 citizens have used the service.</w:t>
      </w:r>
    </w:p>
    <w:p w14:paraId="1D41A110" w14:textId="00144FB8" w:rsidR="00B746AB" w:rsidRPr="00507140" w:rsidRDefault="007A008F" w:rsidP="00B746AB">
      <w:pPr>
        <w:pStyle w:val="BodyText"/>
        <w:numPr>
          <w:ilvl w:val="0"/>
          <w:numId w:val="45"/>
        </w:numPr>
        <w:autoSpaceDN/>
        <w:spacing w:after="0"/>
        <w:rPr>
          <w:rFonts w:ascii="Arial" w:hAnsi="Arial" w:cs="Arial"/>
          <w:sz w:val="22"/>
        </w:rPr>
      </w:pPr>
      <w:r w:rsidRPr="00507140">
        <w:rPr>
          <w:rFonts w:ascii="Arial" w:hAnsi="Arial" w:cs="Arial"/>
          <w:sz w:val="22"/>
        </w:rPr>
        <w:t>[Redacted]</w:t>
      </w:r>
      <w:r w:rsidR="00B746AB" w:rsidRPr="00507140">
        <w:rPr>
          <w:rFonts w:ascii="Arial" w:hAnsi="Arial" w:cs="Arial"/>
          <w:sz w:val="22"/>
        </w:rPr>
        <w:t xml:space="preserve">- an open data portal for the </w:t>
      </w:r>
      <w:r w:rsidRPr="00507140">
        <w:rPr>
          <w:rFonts w:ascii="Arial" w:hAnsi="Arial" w:cs="Arial"/>
          <w:sz w:val="22"/>
        </w:rPr>
        <w:t>[Redacted]</w:t>
      </w:r>
      <w:r w:rsidR="00B746AB" w:rsidRPr="00507140">
        <w:rPr>
          <w:rFonts w:ascii="Arial" w:hAnsi="Arial" w:cs="Arial"/>
          <w:sz w:val="22"/>
        </w:rPr>
        <w:t xml:space="preserve">. It provides a shared platform to citizens and public authorities, enabling information to be shared in a common format. It is hosted in a client-owned </w:t>
      </w:r>
      <w:r w:rsidRPr="00507140">
        <w:rPr>
          <w:rFonts w:ascii="Arial" w:hAnsi="Arial" w:cs="Arial"/>
          <w:sz w:val="22"/>
        </w:rPr>
        <w:t>[Redacted]</w:t>
      </w:r>
      <w:r w:rsidR="00B746AB" w:rsidRPr="00507140">
        <w:rPr>
          <w:rFonts w:ascii="Arial" w:hAnsi="Arial" w:cs="Arial"/>
          <w:sz w:val="22"/>
        </w:rPr>
        <w:t xml:space="preserve"> tenancy and supports secure user authentication including multi-factor authentication (MFA). </w:t>
      </w:r>
    </w:p>
    <w:p w14:paraId="79CCA81E" w14:textId="77777777" w:rsidR="00B746AB" w:rsidRPr="00507140" w:rsidRDefault="00B746AB" w:rsidP="00B746AB">
      <w:pPr>
        <w:pStyle w:val="BodyText"/>
        <w:rPr>
          <w:rFonts w:ascii="Arial" w:hAnsi="Arial" w:cs="Arial"/>
          <w:sz w:val="22"/>
        </w:rPr>
      </w:pPr>
    </w:p>
    <w:p w14:paraId="3B5A87C7" w14:textId="3D4A9633" w:rsidR="00B746AB" w:rsidRPr="00C944BD" w:rsidRDefault="00B746AB" w:rsidP="00B746AB">
      <w:pPr>
        <w:pStyle w:val="BodyText"/>
        <w:rPr>
          <w:rFonts w:ascii="Arial" w:hAnsi="Arial" w:cs="Arial"/>
          <w:sz w:val="22"/>
        </w:rPr>
      </w:pPr>
      <w:r w:rsidRPr="00C944BD">
        <w:rPr>
          <w:rFonts w:ascii="Arial" w:hAnsi="Arial" w:cs="Arial"/>
          <w:sz w:val="22"/>
        </w:rPr>
        <w:t xml:space="preserve">Our security architects apply security frameworks such as the </w:t>
      </w:r>
      <w:r w:rsidR="007A008F">
        <w:t>[Redacted]</w:t>
      </w:r>
      <w:r w:rsidRPr="00C944BD">
        <w:rPr>
          <w:rFonts w:ascii="Arial" w:hAnsi="Arial" w:cs="Arial"/>
          <w:sz w:val="22"/>
        </w:rPr>
        <w:t xml:space="preserve"> supported by the CGI Responsive Collaborative approach to Digital Architecture (RCDA) to build in security and privacy by design. We align these frameworks to government guidance including NCSC and Technology Code of Practice. We use Open Web Application Security Project (OWASP) best practices to develop solutions that are resilient to threats. We typically establish automated application delivery toolchains to continually monitor vulnerabilities as part of our design.</w:t>
      </w:r>
    </w:p>
    <w:p w14:paraId="1B17A0F5" w14:textId="31BFBFC5" w:rsidR="00B746AB" w:rsidRPr="00C944BD" w:rsidRDefault="00B746AB" w:rsidP="00B746AB">
      <w:pPr>
        <w:pStyle w:val="BodyText"/>
        <w:rPr>
          <w:rFonts w:ascii="Arial" w:hAnsi="Arial" w:cs="Arial"/>
          <w:sz w:val="22"/>
        </w:rPr>
      </w:pPr>
      <w:r w:rsidRPr="00C944BD">
        <w:rPr>
          <w:rFonts w:ascii="Arial" w:hAnsi="Arial" w:cs="Arial"/>
          <w:sz w:val="22"/>
        </w:rPr>
        <w:t xml:space="preserve">From a delivery perspective, we use Infrastructure as Code and tooling to orchestrate environment builds. To ensure no links between environments, we use </w:t>
      </w:r>
      <w:r w:rsidR="007A008F">
        <w:t>[Redacted]</w:t>
      </w:r>
      <w:r w:rsidRPr="00C944BD">
        <w:rPr>
          <w:rFonts w:ascii="Arial" w:hAnsi="Arial" w:cs="Arial"/>
          <w:sz w:val="22"/>
        </w:rPr>
        <w:t>to ensure all sensitive environment metadata is protected and to avoid persisting hardcoded environment security values.</w:t>
      </w:r>
    </w:p>
    <w:p w14:paraId="74868B4D" w14:textId="77777777" w:rsidR="00B746AB" w:rsidRPr="00C944BD" w:rsidRDefault="00B746AB" w:rsidP="00B746AB">
      <w:pPr>
        <w:pStyle w:val="BodyText"/>
        <w:rPr>
          <w:rFonts w:ascii="Arial" w:hAnsi="Arial" w:cs="Arial"/>
          <w:sz w:val="22"/>
        </w:rPr>
      </w:pPr>
      <w:r w:rsidRPr="00C944BD">
        <w:rPr>
          <w:rFonts w:ascii="Arial" w:hAnsi="Arial" w:cs="Arial"/>
          <w:sz w:val="22"/>
        </w:rPr>
        <w:t>During transition for the RPR service, we will analyse existing security risk assessments and re-assess as required to fully establish the risk baseline. We will evaluate the current solution design, application code, development toolchain, deployment configuration and technical controls against the risk assessment and security principles described above to identify recommended remedial actions. Where these cannot be completed during the transition phase, we will agree an action plan with you.</w:t>
      </w:r>
    </w:p>
    <w:p w14:paraId="689B00EE" w14:textId="77777777" w:rsidR="00B746AB" w:rsidRPr="002A032C" w:rsidRDefault="00B746AB" w:rsidP="00B746AB">
      <w:pPr>
        <w:pStyle w:val="Heading2"/>
      </w:pPr>
      <w:r w:rsidRPr="002A032C">
        <w:lastRenderedPageBreak/>
        <w:t>Maintenance and support service requirements</w:t>
      </w:r>
    </w:p>
    <w:p w14:paraId="1D7FA353" w14:textId="77777777" w:rsidR="00B746AB" w:rsidRPr="002A032C" w:rsidRDefault="00B746AB" w:rsidP="00B746AB">
      <w:pPr>
        <w:pStyle w:val="Heading3"/>
        <w:rPr>
          <w:i/>
          <w:iCs/>
          <w:sz w:val="22"/>
          <w:szCs w:val="22"/>
        </w:rPr>
      </w:pPr>
      <w:r w:rsidRPr="002A032C">
        <w:rPr>
          <w:i/>
          <w:iCs/>
          <w:sz w:val="22"/>
          <w:szCs w:val="22"/>
        </w:rPr>
        <w:t>1)</w:t>
      </w:r>
      <w:r w:rsidRPr="00C944BD">
        <w:rPr>
          <w:sz w:val="22"/>
          <w:szCs w:val="22"/>
        </w:rPr>
        <w:tab/>
      </w:r>
      <w:r w:rsidRPr="002A032C">
        <w:rPr>
          <w:i/>
          <w:iCs/>
          <w:sz w:val="22"/>
          <w:szCs w:val="22"/>
        </w:rPr>
        <w:t>How do you approach locating system vulnerabilities, and how do you determine which patches and upgrades are required to maintain security, integrity and availability of the service?</w:t>
      </w:r>
    </w:p>
    <w:p w14:paraId="44A95A1B" w14:textId="77777777" w:rsidR="00B746AB" w:rsidRPr="00C944BD" w:rsidRDefault="00B746AB" w:rsidP="00B746AB">
      <w:pPr>
        <w:pStyle w:val="BodyText"/>
        <w:rPr>
          <w:rFonts w:ascii="Arial" w:hAnsi="Arial" w:cs="Arial"/>
          <w:sz w:val="22"/>
        </w:rPr>
      </w:pPr>
      <w:r w:rsidRPr="00C944BD">
        <w:rPr>
          <w:rFonts w:ascii="Arial" w:hAnsi="Arial" w:cs="Arial"/>
          <w:sz w:val="22"/>
        </w:rPr>
        <w:t>During transition we will evaluate the current set-up of the RPR development toolchain and environment configuration. We will be working towards a multi-layer approach to provide security in depth. Considerations for layers of managing vulnerabilities include:</w:t>
      </w:r>
    </w:p>
    <w:p w14:paraId="2FF28511" w14:textId="77777777" w:rsidR="00B746AB" w:rsidRPr="00C944BD" w:rsidRDefault="00B746AB" w:rsidP="00B746AB">
      <w:pPr>
        <w:pStyle w:val="BodyText"/>
        <w:rPr>
          <w:rFonts w:ascii="Arial" w:hAnsi="Arial" w:cs="Arial"/>
          <w:sz w:val="22"/>
        </w:rPr>
      </w:pPr>
      <w:r w:rsidRPr="00C944BD">
        <w:rPr>
          <w:rFonts w:ascii="Arial" w:hAnsi="Arial" w:cs="Arial"/>
          <w:sz w:val="22"/>
        </w:rPr>
        <w:t>1)</w:t>
      </w:r>
      <w:r w:rsidRPr="00C944BD">
        <w:rPr>
          <w:rFonts w:ascii="Arial" w:hAnsi="Arial" w:cs="Arial"/>
          <w:sz w:val="22"/>
        </w:rPr>
        <w:tab/>
        <w:t xml:space="preserve">Static code analysis identifying common application coding errors that might introduce security vulnerabilities. Examples include SQL ingestion errors or un-sanitised logging of user input. The OWASP Top 10 is a good profile to apply, plus standard code quality profiles that would identify unreachable code, resource leaks, etc. Quality gates can be set in the development pipeline to automatically block code that contains vulnerabilities. </w:t>
      </w:r>
    </w:p>
    <w:p w14:paraId="05E7AD0E" w14:textId="77777777" w:rsidR="00B746AB" w:rsidRPr="00C944BD" w:rsidRDefault="00B746AB" w:rsidP="00B746AB">
      <w:pPr>
        <w:pStyle w:val="BodyText"/>
        <w:rPr>
          <w:rFonts w:ascii="Arial" w:hAnsi="Arial" w:cs="Arial"/>
          <w:sz w:val="22"/>
        </w:rPr>
      </w:pPr>
      <w:r w:rsidRPr="00C944BD">
        <w:rPr>
          <w:rFonts w:ascii="Arial" w:hAnsi="Arial" w:cs="Arial"/>
          <w:sz w:val="22"/>
        </w:rPr>
        <w:t>2)</w:t>
      </w:r>
      <w:r w:rsidRPr="00C944BD">
        <w:rPr>
          <w:rFonts w:ascii="Arial" w:hAnsi="Arial" w:cs="Arial"/>
          <w:sz w:val="22"/>
        </w:rPr>
        <w:tab/>
        <w:t>Library vulnerability analysis. This process would identify and classify library versions that contain known CVEs (Common Vulnerabilities and Exposures). The process can automatically raise tickets for investigation and, in some cases, automatically define an upgrade route to address the CVE. The build process can be configured to block CVEs.</w:t>
      </w:r>
    </w:p>
    <w:p w14:paraId="23E69754" w14:textId="77777777" w:rsidR="00B746AB" w:rsidRPr="00C944BD" w:rsidRDefault="00B746AB" w:rsidP="00B746AB">
      <w:pPr>
        <w:pStyle w:val="BodyText"/>
        <w:rPr>
          <w:rFonts w:ascii="Arial" w:hAnsi="Arial" w:cs="Arial"/>
          <w:sz w:val="22"/>
        </w:rPr>
      </w:pPr>
      <w:r w:rsidRPr="00C944BD">
        <w:rPr>
          <w:rFonts w:ascii="Arial" w:hAnsi="Arial" w:cs="Arial"/>
          <w:sz w:val="22"/>
        </w:rPr>
        <w:t>3)</w:t>
      </w:r>
      <w:r w:rsidRPr="00C944BD">
        <w:rPr>
          <w:rFonts w:ascii="Arial" w:hAnsi="Arial" w:cs="Arial"/>
          <w:sz w:val="22"/>
        </w:rPr>
        <w:tab/>
        <w:t>Container analysis. This process would scan built containers containing application code and also report on CVEs. This safeguard can then be included in the build process and can block builds with specified vulnerabilities.</w:t>
      </w:r>
    </w:p>
    <w:p w14:paraId="60482F8E" w14:textId="77777777" w:rsidR="00B746AB" w:rsidRPr="00C944BD" w:rsidRDefault="00B746AB" w:rsidP="00B746AB">
      <w:pPr>
        <w:pStyle w:val="BodyText"/>
        <w:rPr>
          <w:rFonts w:ascii="Arial" w:hAnsi="Arial" w:cs="Arial"/>
          <w:sz w:val="22"/>
        </w:rPr>
      </w:pPr>
      <w:r w:rsidRPr="00C944BD">
        <w:rPr>
          <w:rFonts w:ascii="Arial" w:hAnsi="Arial" w:cs="Arial"/>
          <w:sz w:val="22"/>
        </w:rPr>
        <w:t>To support the above layers a continuous integration pipeline is required. We will assess what is in place with the existing Github Actions-based pipelines. We would recommend Sonarqube, BlackDuck, Whitesource or Snyk as options for further discussion.</w:t>
      </w:r>
    </w:p>
    <w:p w14:paraId="4C5543B6" w14:textId="51F81714" w:rsidR="00B746AB" w:rsidRPr="00507140" w:rsidRDefault="00B746AB" w:rsidP="00B746AB">
      <w:pPr>
        <w:pStyle w:val="BodyText"/>
        <w:rPr>
          <w:rFonts w:ascii="Arial" w:hAnsi="Arial" w:cs="Arial"/>
          <w:sz w:val="22"/>
        </w:rPr>
      </w:pPr>
      <w:r w:rsidRPr="00507140">
        <w:rPr>
          <w:rFonts w:ascii="Arial" w:hAnsi="Arial" w:cs="Arial"/>
          <w:sz w:val="22"/>
        </w:rPr>
        <w:t xml:space="preserve">As an example, </w:t>
      </w:r>
      <w:r w:rsidR="007A008F" w:rsidRPr="00507140">
        <w:rPr>
          <w:rFonts w:ascii="Arial" w:hAnsi="Arial" w:cs="Arial"/>
          <w:sz w:val="22"/>
        </w:rPr>
        <w:t>[Redacted]</w:t>
      </w:r>
    </w:p>
    <w:p w14:paraId="7E1370E2" w14:textId="77777777" w:rsidR="00B746AB" w:rsidRPr="002A032C" w:rsidRDefault="00B746AB" w:rsidP="00B746AB">
      <w:pPr>
        <w:pStyle w:val="Heading3"/>
        <w:rPr>
          <w:i/>
          <w:iCs/>
          <w:sz w:val="22"/>
          <w:szCs w:val="22"/>
        </w:rPr>
      </w:pPr>
      <w:r w:rsidRPr="002A032C">
        <w:rPr>
          <w:i/>
          <w:iCs/>
          <w:sz w:val="22"/>
          <w:szCs w:val="22"/>
        </w:rPr>
        <w:t>2)</w:t>
      </w:r>
      <w:r w:rsidRPr="002A032C">
        <w:rPr>
          <w:i/>
          <w:iCs/>
          <w:sz w:val="22"/>
          <w:szCs w:val="22"/>
        </w:rPr>
        <w:tab/>
        <w:t>Can the service support 1,000 registered users, 100 concurrent users during normal loads, 170 concurrent users during peak loads, and support 10,000 concurrent service items at one time?</w:t>
      </w:r>
    </w:p>
    <w:p w14:paraId="4ADE9127" w14:textId="08C2A8F4" w:rsidR="00B746AB" w:rsidRPr="00507140" w:rsidRDefault="00B746AB" w:rsidP="00B746AB">
      <w:pPr>
        <w:pStyle w:val="BodyText"/>
        <w:rPr>
          <w:rFonts w:ascii="Arial" w:hAnsi="Arial" w:cs="Arial"/>
          <w:sz w:val="22"/>
        </w:rPr>
      </w:pPr>
      <w:r w:rsidRPr="00507140">
        <w:rPr>
          <w:rFonts w:ascii="Arial" w:hAnsi="Arial" w:cs="Arial"/>
          <w:sz w:val="22"/>
        </w:rPr>
        <w:t xml:space="preserve">We have experience of providing support and development services for applications of this scale and significantly higher. For example, the </w:t>
      </w:r>
      <w:r w:rsidR="007A008F" w:rsidRPr="00507140">
        <w:rPr>
          <w:rFonts w:ascii="Arial" w:hAnsi="Arial" w:cs="Arial"/>
          <w:sz w:val="22"/>
        </w:rPr>
        <w:t>[Redacted]</w:t>
      </w:r>
      <w:r w:rsidRPr="00507140">
        <w:rPr>
          <w:rFonts w:ascii="Arial" w:hAnsi="Arial" w:cs="Arial"/>
          <w:sz w:val="22"/>
        </w:rPr>
        <w:t xml:space="preserve"> web-based registry supports over 800 concurrent users with over 2,000 registered users. The solution achieved 100% availability even when peak loads were double the original estimates for concurrent usage. The </w:t>
      </w:r>
      <w:r w:rsidR="007A008F" w:rsidRPr="00507140">
        <w:rPr>
          <w:rFonts w:ascii="Arial" w:hAnsi="Arial" w:cs="Arial"/>
          <w:sz w:val="22"/>
        </w:rPr>
        <w:t>[Redacted]</w:t>
      </w:r>
      <w:r w:rsidR="00655543">
        <w:rPr>
          <w:rFonts w:ascii="Arial" w:hAnsi="Arial" w:cs="Arial"/>
          <w:sz w:val="22"/>
        </w:rPr>
        <w:t xml:space="preserve"> </w:t>
      </w:r>
      <w:r w:rsidRPr="00507140">
        <w:rPr>
          <w:rFonts w:ascii="Arial" w:hAnsi="Arial" w:cs="Arial"/>
          <w:sz w:val="22"/>
        </w:rPr>
        <w:t>has been tested with over 1,200 concurrent users and supports 1.5m movement items per month.</w:t>
      </w:r>
    </w:p>
    <w:p w14:paraId="5773532B" w14:textId="77777777" w:rsidR="00B746AB" w:rsidRPr="00507140" w:rsidRDefault="00B746AB" w:rsidP="00B746AB">
      <w:pPr>
        <w:pStyle w:val="BodyText"/>
        <w:rPr>
          <w:rFonts w:ascii="Arial" w:hAnsi="Arial" w:cs="Arial"/>
          <w:sz w:val="22"/>
        </w:rPr>
      </w:pPr>
      <w:r w:rsidRPr="00507140">
        <w:rPr>
          <w:rFonts w:ascii="Arial" w:hAnsi="Arial" w:cs="Arial"/>
          <w:sz w:val="22"/>
        </w:rPr>
        <w:t xml:space="preserve">You have indicated that the application is already expected to meet stated requirements. From an initial view of the architecture, the service should be able to scale horizontally which would be essential for availability and performance. </w:t>
      </w:r>
    </w:p>
    <w:p w14:paraId="7E4A75D4" w14:textId="77777777" w:rsidR="00B746AB" w:rsidRPr="00507140" w:rsidRDefault="00B746AB" w:rsidP="00B746AB">
      <w:pPr>
        <w:pStyle w:val="BodyText"/>
        <w:rPr>
          <w:rFonts w:ascii="Arial" w:hAnsi="Arial" w:cs="Arial"/>
          <w:sz w:val="22"/>
        </w:rPr>
      </w:pPr>
      <w:r w:rsidRPr="00507140">
        <w:rPr>
          <w:rFonts w:ascii="Arial" w:hAnsi="Arial" w:cs="Arial"/>
          <w:sz w:val="22"/>
        </w:rPr>
        <w:t xml:space="preserve">During transition we will review existing performance testing and results. It is recommended that load testing be developed using JMeter (or similar) to exercise the application in a pattern representative of normal usage. This would benchmark normal load, peak load and see how the application performs as load is increased. The application should behave in a predictable manner up to specified peak load with performance possibly degrading beyond this in a controlled manner. </w:t>
      </w:r>
    </w:p>
    <w:p w14:paraId="099744B9" w14:textId="77777777" w:rsidR="00B746AB" w:rsidRPr="002A032C" w:rsidRDefault="00B746AB" w:rsidP="00B746AB">
      <w:pPr>
        <w:pStyle w:val="Heading3"/>
        <w:rPr>
          <w:i/>
          <w:iCs/>
          <w:sz w:val="22"/>
          <w:szCs w:val="22"/>
        </w:rPr>
      </w:pPr>
      <w:r w:rsidRPr="002A032C">
        <w:rPr>
          <w:i/>
          <w:iCs/>
          <w:sz w:val="22"/>
          <w:szCs w:val="22"/>
        </w:rPr>
        <w:lastRenderedPageBreak/>
        <w:t>3)</w:t>
      </w:r>
      <w:r w:rsidRPr="002A032C">
        <w:rPr>
          <w:i/>
          <w:iCs/>
          <w:sz w:val="22"/>
          <w:szCs w:val="22"/>
        </w:rPr>
        <w:tab/>
        <w:t>Can you provide more information around the DevOps approach? How is the automation process managed within a service, especially around deployment to enable cost reduction?</w:t>
      </w:r>
    </w:p>
    <w:p w14:paraId="0B3426AE" w14:textId="77777777" w:rsidR="00B746AB" w:rsidRPr="00C944BD" w:rsidRDefault="00B746AB" w:rsidP="00B746AB">
      <w:pPr>
        <w:pStyle w:val="BodyText"/>
        <w:rPr>
          <w:rFonts w:ascii="Arial" w:hAnsi="Arial" w:cs="Arial"/>
          <w:sz w:val="22"/>
          <w:lang w:eastAsia="en-GB"/>
        </w:rPr>
      </w:pPr>
      <w:r w:rsidRPr="00C944BD">
        <w:rPr>
          <w:rFonts w:ascii="Arial" w:hAnsi="Arial" w:cs="Arial"/>
          <w:sz w:val="22"/>
          <w:lang w:eastAsia="en-GB"/>
        </w:rPr>
        <w:t>Our DevOps approach is based on automation to increase speed of deployment to production. Faster deployments facilitate smaller incremental changes, reducing technical risk and maintenance costs. It can also allow experimentation, e.g. A/B testing, feature flags.</w:t>
      </w:r>
    </w:p>
    <w:p w14:paraId="6ABCA0E6" w14:textId="6F82D221" w:rsidR="00B746AB" w:rsidRPr="00C944BD" w:rsidRDefault="00B746AB" w:rsidP="00B746AB">
      <w:pPr>
        <w:pStyle w:val="BodyText"/>
        <w:rPr>
          <w:rFonts w:ascii="Arial" w:hAnsi="Arial" w:cs="Arial"/>
          <w:sz w:val="22"/>
          <w:lang w:eastAsia="en-GB"/>
        </w:rPr>
      </w:pPr>
      <w:r w:rsidRPr="00C944BD">
        <w:rPr>
          <w:rFonts w:ascii="Arial" w:hAnsi="Arial" w:cs="Arial"/>
          <w:sz w:val="22"/>
          <w:lang w:eastAsia="en-GB"/>
        </w:rPr>
        <w:t xml:space="preserve">The automation process is managed to improve code quality, testability, and security governance - reducing manual processes to complete release from development to production. As an example, the </w:t>
      </w:r>
      <w:r w:rsidR="007A008F">
        <w:t>[Redacted]</w:t>
      </w:r>
      <w:r w:rsidRPr="00C944BD">
        <w:rPr>
          <w:rFonts w:ascii="Arial" w:hAnsi="Arial" w:cs="Arial"/>
          <w:sz w:val="22"/>
          <w:lang w:eastAsia="en-GB"/>
        </w:rPr>
        <w:t xml:space="preserve">project uses an automated Jenkins CI (Continuous Integration) pipeline following merge of changes into a GitLab source control system. This pipeline automatically runs code quality and security checks as well as unit and regression testing. Our teams have experience with a wide variety of toolchains, including Github, Azure DevOps and AWS. </w:t>
      </w:r>
    </w:p>
    <w:p w14:paraId="61758087" w14:textId="77777777" w:rsidR="00B746AB" w:rsidRPr="00C944BD" w:rsidRDefault="00B746AB" w:rsidP="00B746AB">
      <w:pPr>
        <w:pStyle w:val="BodyText"/>
        <w:rPr>
          <w:rFonts w:ascii="Arial" w:hAnsi="Arial" w:cs="Arial"/>
          <w:sz w:val="22"/>
          <w:lang w:eastAsia="en-GB"/>
        </w:rPr>
      </w:pPr>
      <w:r w:rsidRPr="00C944BD">
        <w:rPr>
          <w:rFonts w:ascii="Arial" w:hAnsi="Arial" w:cs="Arial"/>
          <w:sz w:val="22"/>
          <w:lang w:eastAsia="en-GB"/>
        </w:rPr>
        <w:t xml:space="preserve">The term “deployment to enable cost reduction” can be viewed through different lenses. One example might be automatically removing test environments when not required. Another might be establishing elastic scaling to “right-size” the infrastructure for current load. </w:t>
      </w:r>
    </w:p>
    <w:p w14:paraId="73D0A73D" w14:textId="77777777" w:rsidR="00B746AB" w:rsidRPr="002A032C" w:rsidRDefault="00B746AB" w:rsidP="00B746AB">
      <w:pPr>
        <w:pStyle w:val="Heading3"/>
        <w:rPr>
          <w:i/>
          <w:iCs/>
          <w:sz w:val="22"/>
          <w:szCs w:val="22"/>
        </w:rPr>
      </w:pPr>
      <w:r w:rsidRPr="002A032C">
        <w:rPr>
          <w:i/>
          <w:iCs/>
          <w:sz w:val="22"/>
          <w:szCs w:val="22"/>
        </w:rPr>
        <w:t>4)</w:t>
      </w:r>
      <w:r w:rsidRPr="002A032C">
        <w:rPr>
          <w:i/>
          <w:iCs/>
          <w:sz w:val="22"/>
          <w:szCs w:val="22"/>
        </w:rPr>
        <w:tab/>
        <w:t xml:space="preserve">What is the process of maintaining integration tools/technology within a service? </w:t>
      </w:r>
    </w:p>
    <w:p w14:paraId="26ACB417" w14:textId="77777777" w:rsidR="00B746AB" w:rsidRPr="00C944BD" w:rsidRDefault="00B746AB" w:rsidP="00B746AB">
      <w:pPr>
        <w:pStyle w:val="BodyText"/>
        <w:rPr>
          <w:rFonts w:ascii="Arial" w:hAnsi="Arial" w:cs="Arial"/>
          <w:sz w:val="22"/>
          <w:shd w:val="clear" w:color="auto" w:fill="FFFFFF"/>
          <w:lang w:eastAsia="en-GB"/>
        </w:rPr>
      </w:pPr>
      <w:r w:rsidRPr="00C944BD">
        <w:rPr>
          <w:rFonts w:ascii="Arial" w:hAnsi="Arial" w:cs="Arial"/>
          <w:sz w:val="22"/>
          <w:shd w:val="clear" w:color="auto" w:fill="FFFFFF"/>
          <w:lang w:eastAsia="en-GB"/>
        </w:rPr>
        <w:t xml:space="preserve">The project should have a stated goal of being evergreen such that no single component becomes end of life. This applies equally to commercial software and open-source software. A goal might be to be within N-2 or N-1, where N is the latest version of a tool or component. A strategy will be required for each such tool or component. The upgrade path would therefore follow the strategy, other than by exception, e.g. critical vulnerabilities. </w:t>
      </w:r>
    </w:p>
    <w:p w14:paraId="4A85A39B" w14:textId="77777777" w:rsidR="00B746AB" w:rsidRPr="00C944BD" w:rsidRDefault="00B746AB" w:rsidP="00B746AB">
      <w:pPr>
        <w:pStyle w:val="BodyText"/>
        <w:rPr>
          <w:rFonts w:ascii="Arial" w:hAnsi="Arial" w:cs="Arial"/>
          <w:sz w:val="22"/>
          <w:shd w:val="clear" w:color="auto" w:fill="FFFFFF"/>
          <w:lang w:eastAsia="en-GB"/>
        </w:rPr>
      </w:pPr>
      <w:r w:rsidRPr="00C944BD">
        <w:rPr>
          <w:rFonts w:ascii="Arial" w:hAnsi="Arial" w:cs="Arial"/>
          <w:sz w:val="22"/>
          <w:shd w:val="clear" w:color="auto" w:fill="FFFFFF"/>
          <w:lang w:eastAsia="en-GB"/>
        </w:rPr>
        <w:t xml:space="preserve">The application should be engineered such that tools and components can be upgraded without loss of service. This requires adapting to API versioning and possible use of feature flags. We will assess the current application design and implementation during Transition. </w:t>
      </w:r>
    </w:p>
    <w:p w14:paraId="03E25591" w14:textId="4131C756" w:rsidR="00B746AB" w:rsidRPr="00C944BD" w:rsidRDefault="00B746AB" w:rsidP="00B746AB">
      <w:pPr>
        <w:pStyle w:val="BodyText"/>
        <w:rPr>
          <w:rFonts w:ascii="Arial" w:hAnsi="Arial" w:cs="Arial"/>
          <w:sz w:val="22"/>
        </w:rPr>
      </w:pPr>
      <w:r w:rsidRPr="00C944BD">
        <w:rPr>
          <w:rFonts w:ascii="Arial" w:hAnsi="Arial" w:cs="Arial"/>
          <w:sz w:val="22"/>
          <w:shd w:val="clear" w:color="auto" w:fill="FFFFFF"/>
          <w:lang w:eastAsia="en-GB"/>
        </w:rPr>
        <w:t xml:space="preserve">The </w:t>
      </w:r>
      <w:r w:rsidR="007A008F">
        <w:t>[Redacted]</w:t>
      </w:r>
      <w:r w:rsidRPr="00C944BD">
        <w:rPr>
          <w:rFonts w:ascii="Arial" w:hAnsi="Arial" w:cs="Arial"/>
          <w:sz w:val="22"/>
          <w:shd w:val="clear" w:color="auto" w:fill="FFFFFF"/>
          <w:lang w:eastAsia="en-GB"/>
        </w:rPr>
        <w:t xml:space="preserve">project provides an example of how we manage a wider set of integration tools/technology. For 14 major components used by the application, a strategy has been written that identifies what N and N-1 means. The programme performs a review of all 14 components every three months to identify required upgrades. </w:t>
      </w:r>
    </w:p>
    <w:p w14:paraId="1CF95081" w14:textId="77777777" w:rsidR="00B746AB" w:rsidRPr="00A0308E" w:rsidRDefault="00B746AB" w:rsidP="00B746AB">
      <w:pPr>
        <w:pStyle w:val="Heading3"/>
        <w:rPr>
          <w:i/>
          <w:iCs/>
          <w:sz w:val="22"/>
          <w:szCs w:val="22"/>
        </w:rPr>
      </w:pPr>
      <w:r w:rsidRPr="00A0308E">
        <w:rPr>
          <w:i/>
          <w:iCs/>
          <w:sz w:val="22"/>
          <w:szCs w:val="22"/>
        </w:rPr>
        <w:t>5)</w:t>
      </w:r>
      <w:r w:rsidRPr="00A0308E">
        <w:rPr>
          <w:i/>
          <w:iCs/>
          <w:sz w:val="22"/>
          <w:szCs w:val="22"/>
        </w:rPr>
        <w:tab/>
        <w:t>Can the supplier provide example of where they had to conduct a transition from a different organisation and how that is typically managed?</w:t>
      </w:r>
    </w:p>
    <w:p w14:paraId="23921A84" w14:textId="77777777" w:rsidR="00B746AB" w:rsidRPr="00C944BD" w:rsidRDefault="00B746AB" w:rsidP="00B746AB">
      <w:pPr>
        <w:pStyle w:val="BodyText"/>
        <w:rPr>
          <w:rFonts w:ascii="Arial" w:hAnsi="Arial" w:cs="Arial"/>
          <w:sz w:val="22"/>
        </w:rPr>
      </w:pPr>
      <w:r w:rsidRPr="00C944BD">
        <w:rPr>
          <w:rFonts w:ascii="Arial" w:hAnsi="Arial" w:cs="Arial"/>
          <w:sz w:val="22"/>
        </w:rPr>
        <w:t>CGI successfully conducted a similar transition in 2021 when we took on support and maintenance of the Subsidy Transparency Database for BEIS, following its delivery into Beta by a third party supplier. The transition was conducted based on our standard Transition Project Plan, which was tailored to suit the specific requirements of the service. Positive feedback from BEIS customers confirmed that it was successfully completed under similarly short timescales as are required for the RPR service.</w:t>
      </w:r>
    </w:p>
    <w:p w14:paraId="370FEF87" w14:textId="77777777" w:rsidR="00B746AB" w:rsidRPr="00C944BD" w:rsidRDefault="00B746AB" w:rsidP="00B746AB">
      <w:pPr>
        <w:pStyle w:val="BodyText"/>
        <w:rPr>
          <w:rFonts w:ascii="Arial" w:hAnsi="Arial" w:cs="Arial"/>
          <w:sz w:val="22"/>
        </w:rPr>
      </w:pPr>
      <w:r w:rsidRPr="00C944BD">
        <w:rPr>
          <w:rFonts w:ascii="Arial" w:hAnsi="Arial" w:cs="Arial"/>
          <w:sz w:val="22"/>
        </w:rPr>
        <w:t>An experienced Transition Project Manager will lead a team consisting of relevant technical consultants, a security specialist, and the Service Delivery Manager who will be assigned to manage the service following transition. A Transition Project Plan will be produced and used to manage progress against the agreed transition tasks, typically including:</w:t>
      </w:r>
    </w:p>
    <w:p w14:paraId="7964E302" w14:textId="77777777" w:rsidR="00B746AB" w:rsidRPr="00C944BD" w:rsidRDefault="00B746AB" w:rsidP="00B746AB">
      <w:pPr>
        <w:pStyle w:val="BodyText"/>
        <w:numPr>
          <w:ilvl w:val="0"/>
          <w:numId w:val="43"/>
        </w:numPr>
        <w:autoSpaceDN/>
        <w:rPr>
          <w:rFonts w:ascii="Arial" w:hAnsi="Arial" w:cs="Arial"/>
          <w:sz w:val="22"/>
        </w:rPr>
      </w:pPr>
      <w:r w:rsidRPr="00C944BD">
        <w:rPr>
          <w:rFonts w:ascii="Arial" w:hAnsi="Arial" w:cs="Arial"/>
          <w:b/>
          <w:bCs/>
          <w:sz w:val="22"/>
        </w:rPr>
        <w:t>Knowledge Transfer</w:t>
      </w:r>
      <w:r w:rsidRPr="00C944BD">
        <w:rPr>
          <w:rFonts w:ascii="Arial" w:hAnsi="Arial" w:cs="Arial"/>
          <w:sz w:val="22"/>
        </w:rPr>
        <w:t xml:space="preserve"> – from both BEIS and the existing supplier</w:t>
      </w:r>
    </w:p>
    <w:p w14:paraId="2E65C32E" w14:textId="77777777" w:rsidR="00B746AB" w:rsidRPr="00C944BD" w:rsidRDefault="00B746AB" w:rsidP="00B746AB">
      <w:pPr>
        <w:pStyle w:val="BodyText"/>
        <w:numPr>
          <w:ilvl w:val="0"/>
          <w:numId w:val="43"/>
        </w:numPr>
        <w:autoSpaceDN/>
        <w:rPr>
          <w:rFonts w:ascii="Arial" w:hAnsi="Arial" w:cs="Arial"/>
          <w:sz w:val="22"/>
        </w:rPr>
      </w:pPr>
      <w:r w:rsidRPr="00C944BD">
        <w:rPr>
          <w:rFonts w:ascii="Arial" w:hAnsi="Arial" w:cs="Arial"/>
          <w:b/>
          <w:bCs/>
          <w:sz w:val="22"/>
        </w:rPr>
        <w:t>Establish the Technical Capability</w:t>
      </w:r>
      <w:r w:rsidRPr="00C944BD">
        <w:rPr>
          <w:rFonts w:ascii="Arial" w:hAnsi="Arial" w:cs="Arial"/>
          <w:sz w:val="22"/>
        </w:rPr>
        <w:t xml:space="preserve"> – including access to required environments and technical artefacts</w:t>
      </w:r>
    </w:p>
    <w:p w14:paraId="10FD9481" w14:textId="77777777" w:rsidR="00B746AB" w:rsidRPr="00C944BD" w:rsidRDefault="00B746AB" w:rsidP="00B746AB">
      <w:pPr>
        <w:pStyle w:val="BodyText"/>
        <w:numPr>
          <w:ilvl w:val="0"/>
          <w:numId w:val="43"/>
        </w:numPr>
        <w:autoSpaceDN/>
        <w:rPr>
          <w:rFonts w:ascii="Arial" w:hAnsi="Arial" w:cs="Arial"/>
          <w:sz w:val="22"/>
        </w:rPr>
      </w:pPr>
      <w:r w:rsidRPr="00C944BD">
        <w:rPr>
          <w:rFonts w:ascii="Arial" w:hAnsi="Arial" w:cs="Arial"/>
          <w:b/>
          <w:bCs/>
          <w:sz w:val="22"/>
        </w:rPr>
        <w:lastRenderedPageBreak/>
        <w:t>Validate the Technical Capability</w:t>
      </w:r>
      <w:r w:rsidRPr="00C944BD">
        <w:rPr>
          <w:rFonts w:ascii="Arial" w:hAnsi="Arial" w:cs="Arial"/>
          <w:sz w:val="22"/>
        </w:rPr>
        <w:t xml:space="preserve"> – essentially ensuring we have the capability to build and deploy the service to each environment throughout the end-to-end delivery lifecycle.</w:t>
      </w:r>
    </w:p>
    <w:p w14:paraId="6B36D5B4" w14:textId="77777777" w:rsidR="00B746AB" w:rsidRPr="00C944BD" w:rsidRDefault="00B746AB" w:rsidP="00B746AB">
      <w:pPr>
        <w:pStyle w:val="BodyText"/>
        <w:numPr>
          <w:ilvl w:val="0"/>
          <w:numId w:val="43"/>
        </w:numPr>
        <w:autoSpaceDN/>
        <w:rPr>
          <w:rFonts w:ascii="Arial" w:hAnsi="Arial" w:cs="Arial"/>
          <w:sz w:val="22"/>
        </w:rPr>
      </w:pPr>
      <w:r w:rsidRPr="00C944BD">
        <w:rPr>
          <w:rFonts w:ascii="Arial" w:hAnsi="Arial" w:cs="Arial"/>
          <w:b/>
          <w:bCs/>
          <w:sz w:val="22"/>
        </w:rPr>
        <w:t>Establish the Service</w:t>
      </w:r>
      <w:r w:rsidRPr="00C944BD">
        <w:rPr>
          <w:rFonts w:ascii="Arial" w:hAnsi="Arial" w:cs="Arial"/>
          <w:sz w:val="22"/>
        </w:rPr>
        <w:t xml:space="preserve"> – design and implementation of the service operating model required to deliver the service, including the required security controls.</w:t>
      </w:r>
    </w:p>
    <w:p w14:paraId="31B1471D" w14:textId="77777777" w:rsidR="00B746AB" w:rsidRPr="00C944BD" w:rsidRDefault="00B746AB" w:rsidP="00B746AB">
      <w:pPr>
        <w:pStyle w:val="BodyText"/>
        <w:rPr>
          <w:rFonts w:ascii="Arial" w:hAnsi="Arial" w:cs="Arial"/>
          <w:sz w:val="22"/>
        </w:rPr>
      </w:pPr>
      <w:r w:rsidRPr="00C944BD">
        <w:rPr>
          <w:rFonts w:ascii="Arial" w:hAnsi="Arial" w:cs="Arial"/>
          <w:sz w:val="22"/>
        </w:rPr>
        <w:t>For a transition over a short period or with a fixed duration, as in this case, our approach is to build a Remedial Action Plan to address any issues and improvements identified during Transition. The activities can then be completed post service go-live.</w:t>
      </w:r>
    </w:p>
    <w:p w14:paraId="7901EC96"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For RPR we propose drawing from the same resource pool as the Subsidy Transparency Service. BEIS has given positive feedback on our team’s approach to taking on and supporting the Subsidy Transparency Service and we would look to leverage that experience and knowledge for the RPR service. </w:t>
      </w:r>
    </w:p>
    <w:p w14:paraId="59DE3A84" w14:textId="77777777" w:rsidR="00B746AB" w:rsidRPr="00A0308E" w:rsidRDefault="00B746AB" w:rsidP="00B746AB">
      <w:pPr>
        <w:pStyle w:val="Heading2"/>
      </w:pPr>
      <w:r w:rsidRPr="00A0308E">
        <w:t xml:space="preserve">Security &amp; Business Continuity/Disaster Recovery </w:t>
      </w:r>
    </w:p>
    <w:p w14:paraId="3D77B5E4" w14:textId="77777777" w:rsidR="00B746AB" w:rsidRPr="00A0308E" w:rsidRDefault="00B746AB" w:rsidP="00B746AB">
      <w:pPr>
        <w:pStyle w:val="Heading3"/>
        <w:rPr>
          <w:i/>
          <w:iCs/>
          <w:sz w:val="22"/>
          <w:szCs w:val="22"/>
        </w:rPr>
      </w:pPr>
      <w:r w:rsidRPr="00A0308E">
        <w:rPr>
          <w:i/>
          <w:iCs/>
          <w:sz w:val="22"/>
          <w:szCs w:val="22"/>
        </w:rPr>
        <w:t>6)</w:t>
      </w:r>
      <w:r w:rsidRPr="00A0308E">
        <w:rPr>
          <w:i/>
          <w:iCs/>
          <w:sz w:val="22"/>
          <w:szCs w:val="22"/>
        </w:rPr>
        <w:tab/>
        <w:t>How do you create, maintain and test business continuity within your disaster recovery plans?</w:t>
      </w:r>
    </w:p>
    <w:p w14:paraId="3489C0CC"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CGI policy dictates that all business operations and client services have effective and tested business continuity plans; we regularly test 'as live' all Business Continuity Plans. </w:t>
      </w:r>
    </w:p>
    <w:p w14:paraId="23B62B33" w14:textId="77777777" w:rsidR="00B746AB" w:rsidRPr="00C944BD" w:rsidRDefault="00B746AB" w:rsidP="00B746AB">
      <w:pPr>
        <w:pStyle w:val="BodyText"/>
        <w:rPr>
          <w:rFonts w:ascii="Arial" w:hAnsi="Arial" w:cs="Arial"/>
          <w:sz w:val="22"/>
        </w:rPr>
      </w:pPr>
      <w:r w:rsidRPr="00C944BD">
        <w:rPr>
          <w:rFonts w:ascii="Arial" w:hAnsi="Arial" w:cs="Arial"/>
          <w:sz w:val="22"/>
        </w:rPr>
        <w:t>Our Business Continuity policy is set at our corporate level, with the UK Business Continuity Management System (BCMS) certified to ISO:22301. The BCMS supports service-specific IT Disaster Recovery and Service Continuity plans. These specific plans enable us to respond effectively to events that may adversely impact our clients' services. We are able to provide a 24/7/365 response, especially as many of the services we provide are essential to their continued operations.</w:t>
      </w:r>
    </w:p>
    <w:p w14:paraId="1EA41C3F" w14:textId="77777777" w:rsidR="00B746AB" w:rsidRPr="00C944BD" w:rsidRDefault="00B746AB" w:rsidP="00B746AB">
      <w:pPr>
        <w:pStyle w:val="BodyText"/>
        <w:rPr>
          <w:rFonts w:ascii="Arial" w:hAnsi="Arial" w:cs="Arial"/>
          <w:sz w:val="22"/>
        </w:rPr>
      </w:pPr>
      <w:r w:rsidRPr="00C944BD">
        <w:rPr>
          <w:rFonts w:ascii="Arial" w:hAnsi="Arial" w:cs="Arial"/>
          <w:sz w:val="22"/>
        </w:rPr>
        <w:t>Every CGI project or service is required to carry out a project-level business continuity assessment at start-up. This identifies and initiates any preventative activities that need to be undertaken (e.g. backups, replication, etc.) and documents the implications to the business and/or customer of system, project or service down-time. This is reviewed regularly for accuracy and completeness by the CGI Service Delivery Manager and is used to ensure that any required activities to protect the project or service are in place.</w:t>
      </w:r>
    </w:p>
    <w:p w14:paraId="18DC52C3"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The RPR service-specific plan will be developed based on the existing materials identified during Transition. We will combine your existing position with our BCDR experience to deliver an integrated BEIS/CGI BCDR plan that makes trigger points, e.g. BC incident causing a major/critical service failure, and communication pathways to BEIS clear. The plan will include: </w:t>
      </w:r>
    </w:p>
    <w:p w14:paraId="575FCD51"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 xml:space="preserve">Whom to contact, their role and responsibilities </w:t>
      </w:r>
    </w:p>
    <w:p w14:paraId="11548B66"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 xml:space="preserve">How and when to initiate/trigger resolution and communication plans depending on the incident assessment, the actions to take (primary/secondary) </w:t>
      </w:r>
    </w:p>
    <w:p w14:paraId="73747BE7"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The frequency, delivery methods and types of status updates to BEIS governance stakeholders.</w:t>
      </w:r>
    </w:p>
    <w:p w14:paraId="56C2416E"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 xml:space="preserve">Emergency operating and management procedures, </w:t>
      </w:r>
    </w:p>
    <w:p w14:paraId="7555042E"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 xml:space="preserve">Agreed special services levels that may apply </w:t>
      </w:r>
    </w:p>
    <w:p w14:paraId="598E5624" w14:textId="77777777" w:rsidR="00B746AB" w:rsidRPr="00C944BD" w:rsidRDefault="00B746AB" w:rsidP="00B746AB">
      <w:pPr>
        <w:pStyle w:val="BodyText"/>
        <w:numPr>
          <w:ilvl w:val="0"/>
          <w:numId w:val="44"/>
        </w:numPr>
        <w:autoSpaceDN/>
        <w:spacing w:after="0"/>
        <w:rPr>
          <w:rFonts w:ascii="Arial" w:hAnsi="Arial" w:cs="Arial"/>
          <w:sz w:val="22"/>
        </w:rPr>
      </w:pPr>
      <w:r w:rsidRPr="00C944BD">
        <w:rPr>
          <w:rFonts w:ascii="Arial" w:hAnsi="Arial" w:cs="Arial"/>
          <w:sz w:val="22"/>
        </w:rPr>
        <w:t>Actions, dependencies, test measures and other success criteria required to return to normal operations.</w:t>
      </w:r>
    </w:p>
    <w:p w14:paraId="448B7F9D" w14:textId="77777777" w:rsidR="00B746AB" w:rsidRPr="00A0308E" w:rsidRDefault="00B746AB" w:rsidP="00B746AB">
      <w:pPr>
        <w:pStyle w:val="Heading2"/>
      </w:pPr>
      <w:r w:rsidRPr="00A0308E">
        <w:lastRenderedPageBreak/>
        <w:t xml:space="preserve">Implementation </w:t>
      </w:r>
    </w:p>
    <w:p w14:paraId="36AB9063" w14:textId="77777777" w:rsidR="00B746AB" w:rsidRPr="00D77A22" w:rsidRDefault="00B746AB" w:rsidP="00B746AB">
      <w:pPr>
        <w:pStyle w:val="Heading3"/>
        <w:rPr>
          <w:i/>
          <w:iCs/>
          <w:sz w:val="22"/>
          <w:szCs w:val="22"/>
        </w:rPr>
      </w:pPr>
      <w:r w:rsidRPr="00D77A22">
        <w:rPr>
          <w:i/>
          <w:iCs/>
          <w:sz w:val="22"/>
          <w:szCs w:val="22"/>
        </w:rPr>
        <w:t>7)</w:t>
      </w:r>
      <w:r w:rsidRPr="00D77A22">
        <w:rPr>
          <w:i/>
          <w:iCs/>
          <w:sz w:val="22"/>
          <w:szCs w:val="22"/>
        </w:rPr>
        <w:tab/>
        <w:t>What experience do you have with running annual penetration testing with external suppliers, and what approach do you take to fix security issues identified during the testing?</w:t>
      </w:r>
    </w:p>
    <w:p w14:paraId="6ECF0472" w14:textId="50EDB75F" w:rsidR="00B746AB" w:rsidRPr="00507140" w:rsidRDefault="00B746AB" w:rsidP="00B746AB">
      <w:pPr>
        <w:pStyle w:val="BodyText"/>
        <w:rPr>
          <w:rFonts w:ascii="Arial" w:hAnsi="Arial" w:cs="Arial"/>
          <w:sz w:val="22"/>
        </w:rPr>
      </w:pPr>
      <w:r w:rsidRPr="00507140">
        <w:rPr>
          <w:rFonts w:ascii="Arial" w:hAnsi="Arial" w:cs="Arial"/>
          <w:sz w:val="22"/>
        </w:rPr>
        <w:t xml:space="preserve">Annual penetration testing of secure internet-facing web service solutions is a common service requirement for many of our clients, including: </w:t>
      </w:r>
      <w:r w:rsidR="001428AA" w:rsidRPr="00507140">
        <w:rPr>
          <w:rFonts w:ascii="Arial" w:hAnsi="Arial" w:cs="Arial"/>
          <w:sz w:val="22"/>
        </w:rPr>
        <w:t>[Redacted]</w:t>
      </w:r>
      <w:r w:rsidRPr="00507140">
        <w:rPr>
          <w:rFonts w:ascii="Arial" w:hAnsi="Arial" w:cs="Arial"/>
          <w:sz w:val="22"/>
        </w:rPr>
        <w:t>. We also provide NCSC-accredited Penetration Testing services in our own right, so are experienced as both the tester and the subject of third party testing.</w:t>
      </w:r>
    </w:p>
    <w:p w14:paraId="16EA8B7E" w14:textId="77777777" w:rsidR="00B746AB" w:rsidRPr="00507140" w:rsidRDefault="00B746AB" w:rsidP="00B746AB">
      <w:pPr>
        <w:pStyle w:val="BodyText"/>
        <w:rPr>
          <w:rFonts w:ascii="Arial" w:hAnsi="Arial" w:cs="Arial"/>
          <w:sz w:val="22"/>
        </w:rPr>
      </w:pPr>
      <w:r w:rsidRPr="00507140">
        <w:rPr>
          <w:rFonts w:ascii="Arial" w:hAnsi="Arial" w:cs="Arial"/>
          <w:sz w:val="22"/>
        </w:rPr>
        <w:t xml:space="preserve">To ensure no conflict of interest, it is recommended that BEIS engage the external test partner. We will collaborate with your chosen partner to define a detailed schedule for testing activity. We will provide any necessary facilitation to ensure that test partners have the necessary systems access. We help to onboard the tester and provide them with any necessary background information to ensure a smooth test. </w:t>
      </w:r>
    </w:p>
    <w:p w14:paraId="3EF620D6" w14:textId="77777777" w:rsidR="00B746AB" w:rsidRPr="00507140" w:rsidRDefault="00B746AB" w:rsidP="00B746AB">
      <w:pPr>
        <w:pStyle w:val="BodyText"/>
        <w:rPr>
          <w:rFonts w:ascii="Arial" w:hAnsi="Arial" w:cs="Arial"/>
          <w:sz w:val="22"/>
        </w:rPr>
      </w:pPr>
      <w:r w:rsidRPr="00507140">
        <w:rPr>
          <w:rFonts w:ascii="Arial" w:hAnsi="Arial" w:cs="Arial"/>
          <w:sz w:val="22"/>
        </w:rPr>
        <w:t xml:space="preserve">During testing we work with your test partner to understand issues raised. We then work jointly with you and your test partner to triage all identified issues, confirming severity, impact and priority for resolution. For the RPR service, we understand that there may be an ongoing backlog of product enhancements. We recommend adopting a product management model, with work managed using a Kanban / Scrum approach based on a prioritised product backlog. This backlog will include new features, bug fixes, technical debt and continuous improvement items, with prioritisation driven by business need. Application releases and environment changes to resolve security issues will be delivered to agreed schedules. </w:t>
      </w:r>
    </w:p>
    <w:p w14:paraId="03569733" w14:textId="77777777" w:rsidR="00B746AB" w:rsidRPr="00D77A22" w:rsidRDefault="00B746AB" w:rsidP="00B746AB">
      <w:pPr>
        <w:pStyle w:val="Heading3"/>
        <w:rPr>
          <w:i/>
          <w:iCs/>
          <w:sz w:val="22"/>
          <w:szCs w:val="22"/>
        </w:rPr>
      </w:pPr>
      <w:r w:rsidRPr="00D77A22">
        <w:rPr>
          <w:i/>
          <w:iCs/>
          <w:sz w:val="22"/>
          <w:szCs w:val="22"/>
        </w:rPr>
        <w:t>8)</w:t>
      </w:r>
      <w:r w:rsidRPr="00D77A22">
        <w:rPr>
          <w:i/>
          <w:iCs/>
          <w:sz w:val="22"/>
          <w:szCs w:val="22"/>
        </w:rPr>
        <w:tab/>
        <w:t>How do you respond to critical incidents, and how long does it take you to report this and respond to the incidents?</w:t>
      </w:r>
    </w:p>
    <w:p w14:paraId="2BF330C2" w14:textId="77777777" w:rsidR="00B746AB" w:rsidRPr="00C944BD" w:rsidRDefault="00B746AB" w:rsidP="00B746AB">
      <w:pPr>
        <w:pStyle w:val="BodyText"/>
        <w:rPr>
          <w:rFonts w:ascii="Arial" w:hAnsi="Arial" w:cs="Arial"/>
          <w:sz w:val="22"/>
        </w:rPr>
      </w:pPr>
      <w:r w:rsidRPr="00C944BD">
        <w:rPr>
          <w:rFonts w:ascii="Arial" w:hAnsi="Arial" w:cs="Arial"/>
          <w:sz w:val="22"/>
        </w:rPr>
        <w:t>CGI will generally be notified of a critical incident either directly by the BEIS L1 support team, or by an alert generated by service monitoring. If the latter, then the CGI Service Team would inform BEIS immediately, within agreed service hours, upon receiving the alert.</w:t>
      </w:r>
    </w:p>
    <w:p w14:paraId="2BA242EB" w14:textId="77777777" w:rsidR="00B746AB" w:rsidRPr="00C944BD" w:rsidRDefault="00B746AB" w:rsidP="00B746AB">
      <w:pPr>
        <w:pStyle w:val="BodyText"/>
        <w:rPr>
          <w:rFonts w:ascii="Arial" w:hAnsi="Arial" w:cs="Arial"/>
          <w:sz w:val="22"/>
        </w:rPr>
      </w:pPr>
      <w:r w:rsidRPr="00C944BD">
        <w:rPr>
          <w:rFonts w:ascii="Arial" w:hAnsi="Arial" w:cs="Arial"/>
          <w:sz w:val="22"/>
        </w:rPr>
        <w:t>CGI will deliver the support service using a shared resource model, providing us with the coverage and flexibility to respond to critical incidents within the required 30 minute response target.</w:t>
      </w:r>
    </w:p>
    <w:p w14:paraId="0AEDECF1" w14:textId="77777777" w:rsidR="00B746AB" w:rsidRPr="00C944BD" w:rsidRDefault="00B746AB" w:rsidP="00B746AB">
      <w:pPr>
        <w:pStyle w:val="BodyText"/>
        <w:rPr>
          <w:rFonts w:ascii="Arial" w:hAnsi="Arial" w:cs="Arial"/>
          <w:sz w:val="22"/>
        </w:rPr>
      </w:pPr>
      <w:r w:rsidRPr="00C944BD">
        <w:rPr>
          <w:rFonts w:ascii="Arial" w:hAnsi="Arial" w:cs="Arial"/>
          <w:sz w:val="22"/>
        </w:rPr>
        <w:t>Any critical incident would be escalated to the CGI Service Delivery Manager who would coordinate the response and provide regular updates to BEIS on progress being made.</w:t>
      </w:r>
    </w:p>
    <w:p w14:paraId="64A79C89" w14:textId="77777777" w:rsidR="00B746AB" w:rsidRPr="00D77A22" w:rsidRDefault="00B746AB" w:rsidP="00B746AB">
      <w:pPr>
        <w:pStyle w:val="Heading3"/>
        <w:rPr>
          <w:i/>
          <w:iCs/>
          <w:sz w:val="22"/>
          <w:szCs w:val="22"/>
        </w:rPr>
      </w:pPr>
      <w:r w:rsidRPr="00D77A22">
        <w:rPr>
          <w:i/>
          <w:iCs/>
          <w:sz w:val="22"/>
          <w:szCs w:val="22"/>
        </w:rPr>
        <w:t>9)</w:t>
      </w:r>
      <w:r w:rsidRPr="00D77A22">
        <w:rPr>
          <w:i/>
          <w:iCs/>
          <w:sz w:val="22"/>
          <w:szCs w:val="22"/>
        </w:rPr>
        <w:tab/>
        <w:t>How do you monitor server loads and ensure optimal site running?</w:t>
      </w:r>
    </w:p>
    <w:p w14:paraId="0D2D1C73"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The GOV.UK Platform as a Service hosting service provides a number of flexible features to support both application and backing service performance metrics. During Transition we will assess how the application and hosting environment are currently configured. </w:t>
      </w:r>
    </w:p>
    <w:p w14:paraId="16A911BD" w14:textId="220BC0E4" w:rsidR="00B746AB" w:rsidRPr="00C944BD" w:rsidRDefault="00B746AB" w:rsidP="00B746AB">
      <w:pPr>
        <w:pStyle w:val="BodyText"/>
        <w:rPr>
          <w:rFonts w:ascii="Arial" w:hAnsi="Arial" w:cs="Arial"/>
          <w:sz w:val="22"/>
        </w:rPr>
      </w:pPr>
      <w:r w:rsidRPr="00C944BD">
        <w:rPr>
          <w:rFonts w:ascii="Arial" w:hAnsi="Arial" w:cs="Arial"/>
          <w:sz w:val="22"/>
        </w:rPr>
        <w:t xml:space="preserve">For a similar service we provide for </w:t>
      </w:r>
      <w:r w:rsidR="001428AA">
        <w:t>[Redacted]</w:t>
      </w:r>
      <w:r w:rsidRPr="00C944BD">
        <w:rPr>
          <w:rFonts w:ascii="Arial" w:hAnsi="Arial" w:cs="Arial"/>
          <w:sz w:val="22"/>
        </w:rPr>
        <w:t xml:space="preserve">, capacity and performance metrics are monitored using AWS CloudWatch, with alerts configured to automatically notify when thresholds are reached, allowing us to investigate and prevent service incidents. A summary of key capacity and performance metrics are also produced at the end of each month, allowing trend analysis to be performed and any required improvements to be identified. </w:t>
      </w:r>
    </w:p>
    <w:p w14:paraId="6F1A4EB5" w14:textId="77777777" w:rsidR="00B746AB" w:rsidRPr="004B70B3" w:rsidRDefault="00B746AB" w:rsidP="00B746AB">
      <w:pPr>
        <w:pStyle w:val="Heading3"/>
        <w:rPr>
          <w:i/>
          <w:iCs/>
          <w:sz w:val="22"/>
          <w:szCs w:val="22"/>
        </w:rPr>
      </w:pPr>
      <w:r w:rsidRPr="004B70B3">
        <w:rPr>
          <w:i/>
          <w:iCs/>
          <w:sz w:val="22"/>
          <w:szCs w:val="22"/>
        </w:rPr>
        <w:lastRenderedPageBreak/>
        <w:t>10)</w:t>
      </w:r>
      <w:r w:rsidRPr="004B70B3">
        <w:rPr>
          <w:i/>
          <w:iCs/>
          <w:sz w:val="22"/>
          <w:szCs w:val="22"/>
        </w:rPr>
        <w:tab/>
        <w:t>Can you provide some examples where you have managed support and maintenance, enhanced the service by introducing new features and how they went about this?</w:t>
      </w:r>
    </w:p>
    <w:p w14:paraId="5F4A67CB"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As mentioned earlier, CGI currently provide support and maintenance of BEIS’s Subsidy Transparency Database, including the on-going enhancement of the application. </w:t>
      </w:r>
    </w:p>
    <w:p w14:paraId="447CC245" w14:textId="5E2C2C32" w:rsidR="00B746AB" w:rsidRPr="00C944BD" w:rsidRDefault="00B746AB" w:rsidP="00B746AB">
      <w:pPr>
        <w:pStyle w:val="BodyText"/>
        <w:rPr>
          <w:rFonts w:ascii="Arial" w:hAnsi="Arial" w:cs="Arial"/>
          <w:sz w:val="22"/>
        </w:rPr>
      </w:pPr>
      <w:r w:rsidRPr="00C944BD">
        <w:rPr>
          <w:rFonts w:ascii="Arial" w:hAnsi="Arial" w:cs="Arial"/>
          <w:sz w:val="22"/>
        </w:rPr>
        <w:t xml:space="preserve">A similar service has been provided to </w:t>
      </w:r>
      <w:r w:rsidR="001428AA">
        <w:t>[Redacted]</w:t>
      </w:r>
      <w:r w:rsidRPr="00C944BD">
        <w:rPr>
          <w:rFonts w:ascii="Arial" w:hAnsi="Arial" w:cs="Arial"/>
          <w:sz w:val="22"/>
        </w:rPr>
        <w:t>since 2018, where several applications have been supported alongside the delivery of a modern cloud-based solution replacing their legacy timber management application.</w:t>
      </w:r>
    </w:p>
    <w:p w14:paraId="01359DA6" w14:textId="77777777" w:rsidR="00B746AB" w:rsidRPr="00C944BD" w:rsidRDefault="00B746AB" w:rsidP="00B746AB">
      <w:pPr>
        <w:pStyle w:val="BodyText"/>
        <w:rPr>
          <w:rFonts w:ascii="Arial" w:hAnsi="Arial" w:cs="Arial"/>
          <w:sz w:val="22"/>
        </w:rPr>
      </w:pPr>
      <w:r w:rsidRPr="00C944BD">
        <w:rPr>
          <w:rFonts w:ascii="Arial" w:hAnsi="Arial" w:cs="Arial"/>
          <w:sz w:val="22"/>
        </w:rPr>
        <w:t xml:space="preserve">In both cases, delivery of the service is based on DevOps product management principles with a single team responsible for both development and support of the application. </w:t>
      </w:r>
    </w:p>
    <w:p w14:paraId="00ED8ED9" w14:textId="77777777" w:rsidR="00B746AB" w:rsidRPr="00C944BD" w:rsidRDefault="00B746AB" w:rsidP="00B746AB">
      <w:pPr>
        <w:pStyle w:val="BodyText"/>
        <w:rPr>
          <w:rFonts w:ascii="Arial" w:hAnsi="Arial" w:cs="Arial"/>
          <w:sz w:val="22"/>
        </w:rPr>
      </w:pPr>
      <w:r w:rsidRPr="00C944BD">
        <w:rPr>
          <w:rFonts w:ascii="Arial" w:hAnsi="Arial" w:cs="Arial"/>
          <w:sz w:val="22"/>
        </w:rPr>
        <w:t>A Product Backlog is maintained, including new requirements requested by the customer, plus improvements identified by CGI as part of Continuous Service Improvement, and any underlying defects found during support of the service.</w:t>
      </w:r>
    </w:p>
    <w:p w14:paraId="348DCE63" w14:textId="77777777" w:rsidR="00B746AB" w:rsidRPr="00C944BD" w:rsidRDefault="00B746AB" w:rsidP="00B746AB">
      <w:pPr>
        <w:pStyle w:val="BodyText"/>
        <w:rPr>
          <w:rFonts w:ascii="Arial" w:hAnsi="Arial" w:cs="Arial"/>
          <w:sz w:val="22"/>
        </w:rPr>
      </w:pPr>
      <w:r w:rsidRPr="00C944BD">
        <w:rPr>
          <w:rFonts w:ascii="Arial" w:hAnsi="Arial" w:cs="Arial"/>
          <w:sz w:val="22"/>
        </w:rPr>
        <w:t>Work packages are then agreed to deliver enhancements as prioritised by the customer. An Agile Kanban / Scrum approach ensures that the customer’s Product Owner is closely involved with requirement definition, solution refinement, reviews, retrospectives and demonstrations at the end of each delivery ‘sprint’, creating a continuous feedback loop which ensures delivery will meet expectations.</w:t>
      </w:r>
    </w:p>
    <w:p w14:paraId="29F34035" w14:textId="7EF922AD" w:rsidR="4F710A92" w:rsidRPr="00B746AB" w:rsidRDefault="4F710A92" w:rsidP="4F710A92">
      <w:pPr>
        <w:pStyle w:val="Heading2"/>
      </w:pPr>
    </w:p>
    <w:p w14:paraId="07E9501F" w14:textId="77777777" w:rsidR="00B848AA" w:rsidRDefault="000A0EC2">
      <w:pPr>
        <w:pStyle w:val="Heading2"/>
        <w:pageBreakBefore/>
      </w:pPr>
      <w:bookmarkStart w:id="76" w:name="_Toc69399442"/>
      <w:bookmarkStart w:id="77" w:name="_Toc71109851"/>
      <w:r>
        <w:lastRenderedPageBreak/>
        <w:t>Schedule 2: Call-Off Contract charges</w:t>
      </w:r>
      <w:bookmarkEnd w:id="75"/>
      <w:bookmarkEnd w:id="76"/>
      <w:bookmarkEnd w:id="77"/>
    </w:p>
    <w:p w14:paraId="1CB36AFD" w14:textId="77777777" w:rsidR="00B848AA" w:rsidRDefault="000A0EC2">
      <w:pPr>
        <w:spacing w:before="240"/>
      </w:pPr>
      <w:r>
        <w:t>The detailed Charges breakdown for the provision of Services during the Term will include:</w:t>
      </w:r>
    </w:p>
    <w:p w14:paraId="2A1C2874" w14:textId="77777777" w:rsidR="00B848AA" w:rsidRDefault="00B848AA">
      <w:pPr>
        <w:pStyle w:val="BodyText"/>
      </w:pPr>
    </w:p>
    <w:p w14:paraId="1548BAFE" w14:textId="733BFBEC" w:rsidR="00B848AA" w:rsidRDefault="000A0EC2">
      <w:pPr>
        <w:pStyle w:val="BodyText"/>
        <w:rPr>
          <w:rFonts w:ascii="Arial" w:hAnsi="Arial" w:cs="Arial"/>
          <w:b/>
          <w:bCs/>
          <w:sz w:val="22"/>
        </w:rPr>
      </w:pPr>
      <w:r>
        <w:rPr>
          <w:rFonts w:ascii="Arial" w:hAnsi="Arial" w:cs="Arial"/>
          <w:b/>
          <w:bCs/>
          <w:sz w:val="22"/>
        </w:rPr>
        <w:t xml:space="preserve">Initial Transition to </w:t>
      </w:r>
      <w:r w:rsidR="00A350EF">
        <w:rPr>
          <w:rFonts w:ascii="Arial" w:hAnsi="Arial" w:cs="Arial"/>
          <w:b/>
          <w:bCs/>
          <w:sz w:val="22"/>
        </w:rPr>
        <w:t xml:space="preserve">Supplier </w:t>
      </w:r>
      <w:r>
        <w:rPr>
          <w:rFonts w:ascii="Arial" w:hAnsi="Arial" w:cs="Arial"/>
          <w:b/>
          <w:bCs/>
          <w:sz w:val="22"/>
        </w:rPr>
        <w:t>Support</w:t>
      </w:r>
      <w:r w:rsidR="00441527">
        <w:rPr>
          <w:rFonts w:ascii="Arial" w:hAnsi="Arial" w:cs="Arial"/>
          <w:b/>
          <w:bCs/>
          <w:sz w:val="22"/>
        </w:rPr>
        <w:t xml:space="preserve"> </w:t>
      </w:r>
    </w:p>
    <w:p w14:paraId="5F3C7CAD" w14:textId="7562D666" w:rsidR="00FC6665" w:rsidRDefault="00FC6665">
      <w:pPr>
        <w:pStyle w:val="BodyText"/>
        <w:rPr>
          <w:rFonts w:ascii="Arial" w:hAnsi="Arial" w:cs="Arial"/>
          <w:b/>
          <w:bCs/>
          <w:sz w:val="22"/>
        </w:rPr>
      </w:pPr>
      <w:r>
        <w:t>[</w:t>
      </w:r>
      <w:r w:rsidR="006961B5">
        <w:t>Table R</w:t>
      </w:r>
      <w:r>
        <w:t>edacted]</w:t>
      </w:r>
    </w:p>
    <w:p w14:paraId="18E503B5" w14:textId="77979F68" w:rsidR="00B848AA" w:rsidRDefault="009E021F">
      <w:pPr>
        <w:pStyle w:val="Heading2"/>
        <w:rPr>
          <w:sz w:val="22"/>
          <w:szCs w:val="22"/>
        </w:rPr>
      </w:pPr>
      <w:bookmarkStart w:id="78" w:name="_Toc69399443"/>
      <w:bookmarkStart w:id="79" w:name="_Toc71109852"/>
      <w:bookmarkStart w:id="80" w:name="_Toc67066692"/>
      <w:bookmarkStart w:id="81" w:name="_Toc67466452"/>
      <w:r>
        <w:rPr>
          <w:sz w:val="22"/>
          <w:szCs w:val="22"/>
        </w:rPr>
        <w:t xml:space="preserve">The Transition will be charge by the Supplier under a </w:t>
      </w:r>
      <w:r w:rsidR="00795708">
        <w:rPr>
          <w:sz w:val="22"/>
          <w:szCs w:val="22"/>
        </w:rPr>
        <w:t>Fixed Capacity, Fixed Budget basis using the rate card outlined above</w:t>
      </w:r>
      <w:r>
        <w:rPr>
          <w:sz w:val="22"/>
          <w:szCs w:val="22"/>
        </w:rPr>
        <w:t>.</w:t>
      </w:r>
      <w:r w:rsidR="00151D54">
        <w:rPr>
          <w:sz w:val="22"/>
          <w:szCs w:val="22"/>
        </w:rPr>
        <w:t xml:space="preserve"> This amount will therefore not be exceeded.</w:t>
      </w:r>
      <w:r>
        <w:rPr>
          <w:sz w:val="22"/>
          <w:szCs w:val="22"/>
        </w:rPr>
        <w:t xml:space="preserve"> </w:t>
      </w:r>
      <w:bookmarkEnd w:id="78"/>
      <w:bookmarkEnd w:id="79"/>
      <w:r w:rsidR="00795708">
        <w:rPr>
          <w:sz w:val="22"/>
          <w:szCs w:val="22"/>
        </w:rPr>
        <w:t xml:space="preserve">During Transition, a </w:t>
      </w:r>
      <w:r w:rsidR="00AB6193">
        <w:rPr>
          <w:sz w:val="22"/>
          <w:szCs w:val="22"/>
        </w:rPr>
        <w:t>R</w:t>
      </w:r>
      <w:r w:rsidR="00795708">
        <w:rPr>
          <w:sz w:val="22"/>
          <w:szCs w:val="22"/>
        </w:rPr>
        <w:t xml:space="preserve">emedial </w:t>
      </w:r>
      <w:r w:rsidR="00AB6193">
        <w:rPr>
          <w:sz w:val="22"/>
          <w:szCs w:val="22"/>
        </w:rPr>
        <w:t>A</w:t>
      </w:r>
      <w:r w:rsidR="00795708">
        <w:rPr>
          <w:sz w:val="22"/>
          <w:szCs w:val="22"/>
        </w:rPr>
        <w:t xml:space="preserve">ction </w:t>
      </w:r>
      <w:r w:rsidR="00AB6193">
        <w:rPr>
          <w:sz w:val="22"/>
          <w:szCs w:val="22"/>
        </w:rPr>
        <w:t>P</w:t>
      </w:r>
      <w:r w:rsidR="00795708">
        <w:rPr>
          <w:sz w:val="22"/>
          <w:szCs w:val="22"/>
        </w:rPr>
        <w:t xml:space="preserve">lan will be developed identifying any items that must be completed before the service being taken on can be confirmed to align with the specification in Schedule </w:t>
      </w:r>
      <w:r w:rsidR="00CC35EB">
        <w:rPr>
          <w:sz w:val="22"/>
          <w:szCs w:val="22"/>
        </w:rPr>
        <w:t>1</w:t>
      </w:r>
      <w:r w:rsidR="004E3AFC">
        <w:rPr>
          <w:sz w:val="22"/>
          <w:szCs w:val="22"/>
        </w:rPr>
        <w:t xml:space="preserve"> (“Service Acceptance”)</w:t>
      </w:r>
      <w:r w:rsidR="00795708">
        <w:rPr>
          <w:sz w:val="22"/>
          <w:szCs w:val="22"/>
        </w:rPr>
        <w:t xml:space="preserve">. Items on the </w:t>
      </w:r>
      <w:r w:rsidR="00AB6193">
        <w:rPr>
          <w:sz w:val="22"/>
          <w:szCs w:val="22"/>
        </w:rPr>
        <w:t>R</w:t>
      </w:r>
      <w:r w:rsidR="00795708">
        <w:rPr>
          <w:sz w:val="22"/>
          <w:szCs w:val="22"/>
        </w:rPr>
        <w:t xml:space="preserve">emedial </w:t>
      </w:r>
      <w:r w:rsidR="00AB6193">
        <w:rPr>
          <w:sz w:val="22"/>
          <w:szCs w:val="22"/>
        </w:rPr>
        <w:t>A</w:t>
      </w:r>
      <w:r w:rsidR="00795708">
        <w:rPr>
          <w:sz w:val="22"/>
          <w:szCs w:val="22"/>
        </w:rPr>
        <w:t xml:space="preserve">ction </w:t>
      </w:r>
      <w:r w:rsidR="00AB6193">
        <w:rPr>
          <w:sz w:val="22"/>
          <w:szCs w:val="22"/>
        </w:rPr>
        <w:t>P</w:t>
      </w:r>
      <w:r w:rsidR="00795708">
        <w:rPr>
          <w:sz w:val="22"/>
          <w:szCs w:val="22"/>
        </w:rPr>
        <w:t xml:space="preserve">lan will be added to the product backlog and completed as part of the enhancements process. </w:t>
      </w:r>
      <w:r w:rsidR="00666D80">
        <w:rPr>
          <w:sz w:val="22"/>
          <w:szCs w:val="22"/>
        </w:rPr>
        <w:t xml:space="preserve">The </w:t>
      </w:r>
      <w:r w:rsidR="00666D80" w:rsidRPr="00666D80">
        <w:rPr>
          <w:sz w:val="22"/>
          <w:szCs w:val="22"/>
        </w:rPr>
        <w:t xml:space="preserve">Service may commence on a reasonable endeavours basis prior to </w:t>
      </w:r>
      <w:r w:rsidR="00666D80">
        <w:rPr>
          <w:sz w:val="22"/>
          <w:szCs w:val="22"/>
        </w:rPr>
        <w:t>S</w:t>
      </w:r>
      <w:r w:rsidR="00666D80" w:rsidRPr="00666D80">
        <w:rPr>
          <w:sz w:val="22"/>
          <w:szCs w:val="22"/>
        </w:rPr>
        <w:t xml:space="preserve">ervice </w:t>
      </w:r>
      <w:r w:rsidR="00666D80">
        <w:rPr>
          <w:sz w:val="22"/>
          <w:szCs w:val="22"/>
        </w:rPr>
        <w:t>A</w:t>
      </w:r>
      <w:r w:rsidR="00666D80" w:rsidRPr="00666D80">
        <w:rPr>
          <w:sz w:val="22"/>
          <w:szCs w:val="22"/>
        </w:rPr>
        <w:t>cceptance.</w:t>
      </w:r>
    </w:p>
    <w:p w14:paraId="58485028" w14:textId="2683F6F0" w:rsidR="00666D80" w:rsidRPr="00666D80" w:rsidRDefault="00666D80" w:rsidP="005C654D">
      <w:r w:rsidRPr="00666D80">
        <w:t>Other items</w:t>
      </w:r>
      <w:r>
        <w:t xml:space="preserve">, </w:t>
      </w:r>
      <w:r w:rsidRPr="00666D80">
        <w:t xml:space="preserve">that do not impact the immediate delivery or cost of the </w:t>
      </w:r>
      <w:r w:rsidR="00AB6193">
        <w:t>S</w:t>
      </w:r>
      <w:r w:rsidRPr="00666D80">
        <w:t xml:space="preserve">ervice, will be </w:t>
      </w:r>
      <w:r>
        <w:t xml:space="preserve">raised as risks and </w:t>
      </w:r>
      <w:r w:rsidRPr="00666D80">
        <w:t>presented to the B</w:t>
      </w:r>
      <w:r w:rsidR="00AB6193">
        <w:t>EIS</w:t>
      </w:r>
      <w:r w:rsidRPr="00666D80">
        <w:t xml:space="preserve"> for decision as to remediate </w:t>
      </w:r>
      <w:r>
        <w:t>as product backlog enhancements,</w:t>
      </w:r>
      <w:r w:rsidRPr="00666D80">
        <w:t xml:space="preserve"> under time and materials, or accept as known risks.</w:t>
      </w:r>
    </w:p>
    <w:p w14:paraId="24CBFA1E" w14:textId="2FA525D0" w:rsidR="001A481A" w:rsidRDefault="000A0EC2">
      <w:pPr>
        <w:pStyle w:val="Heading2"/>
        <w:rPr>
          <w:sz w:val="22"/>
          <w:szCs w:val="22"/>
        </w:rPr>
      </w:pPr>
      <w:bookmarkStart w:id="82" w:name="_Toc71109853"/>
      <w:bookmarkStart w:id="83" w:name="_Toc69399444"/>
      <w:r>
        <w:rPr>
          <w:sz w:val="22"/>
          <w:szCs w:val="22"/>
        </w:rPr>
        <w:t xml:space="preserve">Transition </w:t>
      </w:r>
      <w:r w:rsidR="001A481A">
        <w:rPr>
          <w:sz w:val="22"/>
          <w:szCs w:val="22"/>
        </w:rPr>
        <w:t xml:space="preserve">effort will be </w:t>
      </w:r>
      <w:r w:rsidR="001A481A" w:rsidRPr="001A481A">
        <w:rPr>
          <w:sz w:val="22"/>
          <w:szCs w:val="22"/>
        </w:rPr>
        <w:t>invoice</w:t>
      </w:r>
      <w:r w:rsidR="001A481A">
        <w:rPr>
          <w:sz w:val="22"/>
          <w:szCs w:val="22"/>
        </w:rPr>
        <w:t>d</w:t>
      </w:r>
      <w:r w:rsidR="001A481A" w:rsidRPr="001A481A">
        <w:rPr>
          <w:sz w:val="22"/>
          <w:szCs w:val="22"/>
        </w:rPr>
        <w:t xml:space="preserve"> monthly</w:t>
      </w:r>
      <w:r w:rsidR="001A481A">
        <w:rPr>
          <w:sz w:val="22"/>
          <w:szCs w:val="22"/>
        </w:rPr>
        <w:t>,</w:t>
      </w:r>
      <w:r w:rsidR="001A481A" w:rsidRPr="001A481A">
        <w:rPr>
          <w:sz w:val="22"/>
          <w:szCs w:val="22"/>
        </w:rPr>
        <w:t xml:space="preserve"> against actual effort expended within the month</w:t>
      </w:r>
      <w:bookmarkEnd w:id="82"/>
      <w:r w:rsidR="00151D54">
        <w:rPr>
          <w:sz w:val="22"/>
          <w:szCs w:val="22"/>
        </w:rPr>
        <w:t xml:space="preserve">, until the transition </w:t>
      </w:r>
      <w:r w:rsidR="00795708">
        <w:rPr>
          <w:sz w:val="22"/>
          <w:szCs w:val="22"/>
        </w:rPr>
        <w:t xml:space="preserve">fixed capacity has been </w:t>
      </w:r>
      <w:r w:rsidR="00151D54">
        <w:rPr>
          <w:sz w:val="22"/>
          <w:szCs w:val="22"/>
        </w:rPr>
        <w:t>complete</w:t>
      </w:r>
      <w:r w:rsidR="00795708">
        <w:rPr>
          <w:sz w:val="22"/>
          <w:szCs w:val="22"/>
        </w:rPr>
        <w:t>d</w:t>
      </w:r>
      <w:r w:rsidR="00151D54">
        <w:rPr>
          <w:sz w:val="22"/>
          <w:szCs w:val="22"/>
        </w:rPr>
        <w:t>, all the while being capped at the total amount in the table above.</w:t>
      </w:r>
    </w:p>
    <w:p w14:paraId="0131B506" w14:textId="5F19D084" w:rsidR="00B848AA" w:rsidRPr="00151D54" w:rsidRDefault="000A0EC2">
      <w:pPr>
        <w:pStyle w:val="Heading2"/>
        <w:rPr>
          <w:sz w:val="22"/>
          <w:szCs w:val="22"/>
        </w:rPr>
      </w:pPr>
      <w:bookmarkStart w:id="84" w:name="_Toc69399445"/>
      <w:bookmarkStart w:id="85" w:name="_Toc71109855"/>
      <w:bookmarkEnd w:id="83"/>
      <w:r>
        <w:rPr>
          <w:b/>
          <w:bCs/>
          <w:sz w:val="22"/>
          <w:szCs w:val="22"/>
        </w:rPr>
        <w:t>Support Service</w:t>
      </w:r>
      <w:bookmarkEnd w:id="80"/>
      <w:r>
        <w:rPr>
          <w:b/>
          <w:bCs/>
          <w:sz w:val="22"/>
          <w:szCs w:val="22"/>
        </w:rPr>
        <w:t xml:space="preserve"> Fixed Price</w:t>
      </w:r>
      <w:bookmarkEnd w:id="81"/>
      <w:bookmarkEnd w:id="84"/>
      <w:bookmarkEnd w:id="85"/>
    </w:p>
    <w:p w14:paraId="6AFA51BD" w14:textId="08AACF99" w:rsidR="00B848AA" w:rsidRDefault="000A0EC2">
      <w:pPr>
        <w:pStyle w:val="BodyText"/>
        <w:rPr>
          <w:rFonts w:ascii="Arial" w:hAnsi="Arial" w:cs="Arial"/>
          <w:sz w:val="22"/>
        </w:rPr>
      </w:pPr>
      <w:r>
        <w:rPr>
          <w:rFonts w:ascii="Arial" w:hAnsi="Arial" w:cs="Arial"/>
          <w:sz w:val="22"/>
        </w:rPr>
        <w:t xml:space="preserve">The Supplier shall charge for </w:t>
      </w:r>
      <w:r w:rsidR="00B04CAE">
        <w:rPr>
          <w:rFonts w:ascii="Arial" w:hAnsi="Arial" w:cs="Arial"/>
          <w:sz w:val="22"/>
        </w:rPr>
        <w:t xml:space="preserve">the on-going Service </w:t>
      </w:r>
      <w:r>
        <w:rPr>
          <w:rFonts w:ascii="Arial" w:hAnsi="Arial" w:cs="Arial"/>
          <w:sz w:val="22"/>
        </w:rPr>
        <w:t xml:space="preserve">at a </w:t>
      </w:r>
      <w:r w:rsidR="0020426A">
        <w:rPr>
          <w:rFonts w:ascii="Arial" w:hAnsi="Arial" w:cs="Arial"/>
          <w:sz w:val="22"/>
        </w:rPr>
        <w:t>Support Service F</w:t>
      </w:r>
      <w:r>
        <w:rPr>
          <w:rFonts w:ascii="Arial" w:hAnsi="Arial" w:cs="Arial"/>
          <w:sz w:val="22"/>
        </w:rPr>
        <w:t xml:space="preserve">ixed </w:t>
      </w:r>
      <w:r w:rsidR="0020426A">
        <w:rPr>
          <w:rFonts w:ascii="Arial" w:hAnsi="Arial" w:cs="Arial"/>
          <w:sz w:val="22"/>
        </w:rPr>
        <w:t>P</w:t>
      </w:r>
      <w:r>
        <w:rPr>
          <w:rFonts w:ascii="Arial" w:hAnsi="Arial" w:cs="Arial"/>
          <w:sz w:val="22"/>
        </w:rPr>
        <w:t xml:space="preserve">rice </w:t>
      </w:r>
      <w:r w:rsidRPr="00655543">
        <w:rPr>
          <w:rFonts w:ascii="Arial" w:hAnsi="Arial" w:cs="Arial"/>
          <w:sz w:val="22"/>
        </w:rPr>
        <w:t xml:space="preserve">of </w:t>
      </w:r>
      <w:r w:rsidR="00FC6665" w:rsidRPr="00655543">
        <w:rPr>
          <w:rFonts w:ascii="Arial" w:hAnsi="Arial" w:cs="Arial"/>
          <w:sz w:val="22"/>
        </w:rPr>
        <w:t>[Redacted]</w:t>
      </w:r>
      <w:r w:rsidR="006961B5">
        <w:t xml:space="preserve"> </w:t>
      </w:r>
      <w:r>
        <w:rPr>
          <w:rFonts w:ascii="Arial" w:hAnsi="Arial" w:cs="Arial"/>
          <w:b/>
          <w:bCs/>
          <w:sz w:val="22"/>
        </w:rPr>
        <w:t>per month</w:t>
      </w:r>
      <w:r>
        <w:rPr>
          <w:rFonts w:ascii="Arial" w:hAnsi="Arial" w:cs="Arial"/>
          <w:sz w:val="22"/>
        </w:rPr>
        <w:t xml:space="preserve"> </w:t>
      </w:r>
      <w:r w:rsidR="00524F2D">
        <w:rPr>
          <w:rFonts w:ascii="Arial" w:hAnsi="Arial" w:cs="Arial"/>
          <w:sz w:val="22"/>
        </w:rPr>
        <w:t xml:space="preserve">(running from the </w:t>
      </w:r>
      <w:r w:rsidR="005C654D">
        <w:rPr>
          <w:rFonts w:ascii="Arial" w:hAnsi="Arial" w:cs="Arial"/>
          <w:sz w:val="22"/>
        </w:rPr>
        <w:t>23rd</w:t>
      </w:r>
      <w:r w:rsidR="00524F2D">
        <w:rPr>
          <w:rFonts w:ascii="Arial" w:hAnsi="Arial" w:cs="Arial"/>
          <w:sz w:val="22"/>
        </w:rPr>
        <w:t xml:space="preserve"> of every calendar month</w:t>
      </w:r>
      <w:r w:rsidR="0020426A">
        <w:rPr>
          <w:rFonts w:ascii="Arial" w:hAnsi="Arial" w:cs="Arial"/>
          <w:sz w:val="22"/>
        </w:rPr>
        <w:t xml:space="preserve"> starting </w:t>
      </w:r>
      <w:r w:rsidR="005C654D">
        <w:rPr>
          <w:rFonts w:ascii="Arial" w:hAnsi="Arial" w:cs="Arial"/>
          <w:sz w:val="22"/>
        </w:rPr>
        <w:t>on the first 23</w:t>
      </w:r>
      <w:r w:rsidR="005C654D" w:rsidRPr="005C654D">
        <w:rPr>
          <w:rFonts w:ascii="Arial" w:hAnsi="Arial" w:cs="Arial"/>
          <w:sz w:val="22"/>
          <w:vertAlign w:val="superscript"/>
        </w:rPr>
        <w:t>rd</w:t>
      </w:r>
      <w:r w:rsidR="005C654D">
        <w:rPr>
          <w:rFonts w:ascii="Arial" w:hAnsi="Arial" w:cs="Arial"/>
          <w:sz w:val="22"/>
        </w:rPr>
        <w:t xml:space="preserve"> date after Service Acceptance</w:t>
      </w:r>
      <w:r w:rsidR="00524F2D">
        <w:rPr>
          <w:rFonts w:ascii="Arial" w:hAnsi="Arial" w:cs="Arial"/>
          <w:sz w:val="22"/>
        </w:rPr>
        <w:t xml:space="preserve">) </w:t>
      </w:r>
      <w:r>
        <w:rPr>
          <w:rFonts w:ascii="Arial" w:hAnsi="Arial" w:cs="Arial"/>
          <w:sz w:val="22"/>
        </w:rPr>
        <w:t>in accordance with the assumptions and parameters as set-out in Schedule 1. Th</w:t>
      </w:r>
      <w:r w:rsidR="0020426A">
        <w:rPr>
          <w:rFonts w:ascii="Arial" w:hAnsi="Arial" w:cs="Arial"/>
          <w:sz w:val="22"/>
        </w:rPr>
        <w:t>e</w:t>
      </w:r>
      <w:r w:rsidR="00E41856">
        <w:rPr>
          <w:rFonts w:ascii="Arial" w:hAnsi="Arial" w:cs="Arial"/>
          <w:sz w:val="22"/>
        </w:rPr>
        <w:t xml:space="preserve"> </w:t>
      </w:r>
      <w:r w:rsidR="0020426A">
        <w:rPr>
          <w:rFonts w:ascii="Arial" w:hAnsi="Arial" w:cs="Arial"/>
          <w:sz w:val="22"/>
        </w:rPr>
        <w:t>Support Service Fixed Price</w:t>
      </w:r>
      <w:r>
        <w:rPr>
          <w:rFonts w:ascii="Arial" w:hAnsi="Arial" w:cs="Arial"/>
          <w:sz w:val="22"/>
        </w:rPr>
        <w:t xml:space="preserve"> will be invoiced monthly in arrears. The Service will commence </w:t>
      </w:r>
      <w:r w:rsidR="005C654D">
        <w:rPr>
          <w:rFonts w:ascii="Arial" w:hAnsi="Arial" w:cs="Arial"/>
          <w:sz w:val="22"/>
        </w:rPr>
        <w:t>post-Initial Transition completion</w:t>
      </w:r>
      <w:r w:rsidR="00E41856">
        <w:rPr>
          <w:rFonts w:ascii="Arial" w:hAnsi="Arial" w:cs="Arial"/>
          <w:sz w:val="22"/>
        </w:rPr>
        <w:t xml:space="preserve"> </w:t>
      </w:r>
      <w:r w:rsidR="0022385A">
        <w:rPr>
          <w:rFonts w:ascii="Arial" w:hAnsi="Arial" w:cs="Arial"/>
          <w:sz w:val="22"/>
        </w:rPr>
        <w:t xml:space="preserve">and will be undertaken on a reasonable endeavour basis until </w:t>
      </w:r>
      <w:r>
        <w:rPr>
          <w:rFonts w:ascii="Arial" w:hAnsi="Arial" w:cs="Arial"/>
          <w:sz w:val="22"/>
        </w:rPr>
        <w:t xml:space="preserve">completion of </w:t>
      </w:r>
      <w:r w:rsidR="00AB6193">
        <w:rPr>
          <w:rFonts w:ascii="Arial" w:hAnsi="Arial" w:cs="Arial"/>
          <w:sz w:val="22"/>
        </w:rPr>
        <w:t>Service Acceptance</w:t>
      </w:r>
      <w:r w:rsidR="00290AA5">
        <w:rPr>
          <w:rFonts w:ascii="Arial" w:hAnsi="Arial" w:cs="Arial"/>
          <w:sz w:val="22"/>
        </w:rPr>
        <w:t>.</w:t>
      </w:r>
      <w:r w:rsidR="00524F2D">
        <w:rPr>
          <w:rFonts w:ascii="Arial" w:hAnsi="Arial" w:cs="Arial"/>
          <w:sz w:val="22"/>
        </w:rPr>
        <w:t xml:space="preserve"> </w:t>
      </w:r>
      <w:r w:rsidRPr="00237BEF">
        <w:rPr>
          <w:rFonts w:ascii="Arial" w:hAnsi="Arial"/>
          <w:sz w:val="22"/>
        </w:rPr>
        <w:t>Th</w:t>
      </w:r>
      <w:r w:rsidR="00363F5E">
        <w:rPr>
          <w:rFonts w:ascii="Arial" w:hAnsi="Arial"/>
          <w:sz w:val="22"/>
        </w:rPr>
        <w:t xml:space="preserve">e </w:t>
      </w:r>
      <w:r w:rsidR="00363F5E">
        <w:rPr>
          <w:rFonts w:ascii="Arial" w:hAnsi="Arial" w:cs="Arial"/>
          <w:sz w:val="22"/>
        </w:rPr>
        <w:t xml:space="preserve">Support Service </w:t>
      </w:r>
      <w:r w:rsidR="00363F5E">
        <w:rPr>
          <w:rFonts w:ascii="Arial" w:hAnsi="Arial"/>
          <w:sz w:val="22"/>
        </w:rPr>
        <w:t>F</w:t>
      </w:r>
      <w:r w:rsidRPr="00237BEF">
        <w:rPr>
          <w:rFonts w:ascii="Arial" w:hAnsi="Arial"/>
          <w:sz w:val="22"/>
        </w:rPr>
        <w:t xml:space="preserve">ixed </w:t>
      </w:r>
      <w:r w:rsidR="00363F5E">
        <w:rPr>
          <w:rFonts w:ascii="Arial" w:hAnsi="Arial"/>
          <w:sz w:val="22"/>
        </w:rPr>
        <w:t>P</w:t>
      </w:r>
      <w:r w:rsidRPr="00237BEF">
        <w:rPr>
          <w:rFonts w:ascii="Arial" w:hAnsi="Arial"/>
          <w:sz w:val="22"/>
        </w:rPr>
        <w:t>rice includes the escalation process as set out in Schedule 1</w:t>
      </w:r>
      <w:r w:rsidR="00237BEF">
        <w:rPr>
          <w:rFonts w:ascii="Arial" w:hAnsi="Arial"/>
          <w:sz w:val="22"/>
        </w:rPr>
        <w:t>.</w:t>
      </w:r>
      <w:r>
        <w:rPr>
          <w:rFonts w:ascii="Arial" w:hAnsi="Arial" w:cs="Arial"/>
          <w:sz w:val="22"/>
        </w:rPr>
        <w:t xml:space="preserve"> </w:t>
      </w:r>
    </w:p>
    <w:p w14:paraId="201EA019" w14:textId="77777777" w:rsidR="00B848AA" w:rsidRDefault="000A0EC2">
      <w:pPr>
        <w:pStyle w:val="Heading2"/>
        <w:rPr>
          <w:b/>
          <w:bCs/>
          <w:sz w:val="22"/>
          <w:szCs w:val="22"/>
        </w:rPr>
      </w:pPr>
      <w:bookmarkStart w:id="86" w:name="_Toc67466453"/>
      <w:bookmarkStart w:id="87" w:name="_Toc69399446"/>
      <w:bookmarkStart w:id="88" w:name="_Toc71109856"/>
      <w:r>
        <w:rPr>
          <w:b/>
          <w:bCs/>
          <w:sz w:val="22"/>
          <w:szCs w:val="22"/>
        </w:rPr>
        <w:t>Rate Card</w:t>
      </w:r>
      <w:bookmarkEnd w:id="86"/>
      <w:bookmarkEnd w:id="87"/>
      <w:bookmarkEnd w:id="88"/>
    </w:p>
    <w:p w14:paraId="51F09567" w14:textId="449622C8" w:rsidR="00B848AA" w:rsidRDefault="000A0EC2">
      <w:pPr>
        <w:pStyle w:val="BodyText"/>
        <w:rPr>
          <w:rFonts w:ascii="Arial" w:hAnsi="Arial" w:cs="Arial"/>
          <w:sz w:val="22"/>
        </w:rPr>
      </w:pPr>
      <w:r>
        <w:rPr>
          <w:rFonts w:ascii="Arial" w:hAnsi="Arial" w:cs="Arial"/>
          <w:sz w:val="22"/>
        </w:rPr>
        <w:t xml:space="preserve">Any additional T&amp;M activities </w:t>
      </w:r>
      <w:r w:rsidR="00B04CAE">
        <w:rPr>
          <w:rFonts w:ascii="Arial" w:hAnsi="Arial" w:cs="Arial"/>
          <w:sz w:val="22"/>
        </w:rPr>
        <w:t xml:space="preserve">including development work </w:t>
      </w:r>
      <w:r>
        <w:rPr>
          <w:rFonts w:ascii="Arial" w:hAnsi="Arial" w:cs="Arial"/>
          <w:sz w:val="22"/>
        </w:rPr>
        <w:t xml:space="preserve">will be based on the following Rate Card, taken from the </w:t>
      </w:r>
      <w:r w:rsidR="00A350EF">
        <w:rPr>
          <w:rFonts w:ascii="Arial" w:hAnsi="Arial" w:cs="Arial"/>
          <w:sz w:val="22"/>
        </w:rPr>
        <w:t xml:space="preserve">Supplier </w:t>
      </w:r>
      <w:r>
        <w:rPr>
          <w:rFonts w:ascii="Arial" w:hAnsi="Arial" w:cs="Arial"/>
          <w:sz w:val="22"/>
        </w:rPr>
        <w:t xml:space="preserve">G Cloud SFIA Rate Card.  Overtime rates will be charged at 1.5 x Day Rate for weekdays and x2 for weekend and Public Holidays. Any overtime will be subject to prior </w:t>
      </w:r>
      <w:r w:rsidR="00B04CAE">
        <w:rPr>
          <w:rFonts w:ascii="Arial" w:hAnsi="Arial" w:cs="Arial"/>
          <w:sz w:val="22"/>
        </w:rPr>
        <w:t xml:space="preserve">written </w:t>
      </w:r>
      <w:r>
        <w:rPr>
          <w:rFonts w:ascii="Arial" w:hAnsi="Arial" w:cs="Arial"/>
          <w:sz w:val="22"/>
        </w:rPr>
        <w:t>approval from the Buyer.</w:t>
      </w:r>
      <w:r w:rsidR="000964EF">
        <w:rPr>
          <w:rFonts w:ascii="Arial" w:hAnsi="Arial" w:cs="Arial"/>
          <w:sz w:val="22"/>
        </w:rPr>
        <w:t xml:space="preserve"> </w:t>
      </w:r>
    </w:p>
    <w:p w14:paraId="25562594" w14:textId="77777777" w:rsidR="00987DF3" w:rsidRDefault="00987DF3">
      <w:pPr>
        <w:pStyle w:val="BodyText"/>
        <w:rPr>
          <w:rFonts w:ascii="Arial" w:hAnsi="Arial" w:cs="Arial"/>
          <w:sz w:val="22"/>
        </w:rPr>
      </w:pPr>
    </w:p>
    <w:p w14:paraId="2D071910" w14:textId="77777777" w:rsidR="00987DF3" w:rsidRDefault="00987DF3">
      <w:pPr>
        <w:pStyle w:val="BodyText"/>
        <w:rPr>
          <w:rFonts w:ascii="Arial" w:hAnsi="Arial" w:cs="Arial"/>
          <w:sz w:val="22"/>
        </w:rPr>
      </w:pPr>
    </w:p>
    <w:p w14:paraId="6F317D72" w14:textId="77777777" w:rsidR="00987DF3" w:rsidRDefault="00987DF3">
      <w:pPr>
        <w:pStyle w:val="BodyText"/>
        <w:rPr>
          <w:rFonts w:ascii="Arial" w:hAnsi="Arial" w:cs="Arial"/>
          <w:sz w:val="22"/>
        </w:rPr>
      </w:pPr>
    </w:p>
    <w:p w14:paraId="03632708" w14:textId="77777777" w:rsidR="00987DF3" w:rsidRDefault="00987DF3">
      <w:pPr>
        <w:pStyle w:val="BodyText"/>
        <w:rPr>
          <w:rFonts w:ascii="Arial" w:hAnsi="Arial" w:cs="Arial"/>
          <w:sz w:val="22"/>
        </w:rPr>
      </w:pPr>
    </w:p>
    <w:p w14:paraId="458B43E6" w14:textId="77777777" w:rsidR="00DC3806" w:rsidRDefault="00DC3806">
      <w:pPr>
        <w:pStyle w:val="BodyText"/>
        <w:rPr>
          <w:rFonts w:ascii="Arial" w:hAnsi="Arial" w:cs="Arial"/>
          <w:sz w:val="22"/>
        </w:rPr>
      </w:pPr>
    </w:p>
    <w:p w14:paraId="6AE4480F" w14:textId="77777777" w:rsidR="00DC3806" w:rsidRDefault="00DC3806">
      <w:pPr>
        <w:pStyle w:val="BodyText"/>
        <w:rPr>
          <w:rFonts w:ascii="Arial" w:hAnsi="Arial" w:cs="Arial"/>
          <w:sz w:val="22"/>
        </w:rPr>
      </w:pPr>
    </w:p>
    <w:p w14:paraId="2C63C0AC" w14:textId="77777777" w:rsidR="00655543" w:rsidRDefault="00655543" w:rsidP="00DC3806">
      <w:pPr>
        <w:suppressAutoHyphens w:val="0"/>
        <w:autoSpaceDN/>
        <w:spacing w:line="240" w:lineRule="auto"/>
        <w:textAlignment w:val="auto"/>
        <w:rPr>
          <w:rFonts w:eastAsia="Times New Roman"/>
          <w:b/>
          <w:bCs/>
          <w:color w:val="000000"/>
        </w:rPr>
      </w:pPr>
    </w:p>
    <w:p w14:paraId="4BC90F9B" w14:textId="18F28EFA" w:rsidR="00DC3806" w:rsidRDefault="00DC3806" w:rsidP="00DC3806">
      <w:pPr>
        <w:suppressAutoHyphens w:val="0"/>
        <w:autoSpaceDN/>
        <w:spacing w:line="240" w:lineRule="auto"/>
        <w:textAlignment w:val="auto"/>
        <w:rPr>
          <w:rFonts w:eastAsia="Times New Roman"/>
          <w:b/>
          <w:bCs/>
          <w:color w:val="000000"/>
        </w:rPr>
      </w:pPr>
      <w:r w:rsidRPr="00DC3806">
        <w:rPr>
          <w:rFonts w:eastAsia="Times New Roman"/>
          <w:b/>
          <w:bCs/>
          <w:color w:val="000000"/>
        </w:rPr>
        <w:lastRenderedPageBreak/>
        <w:t xml:space="preserve">Skills for the Information Age (SFIA) </w:t>
      </w:r>
      <w:r w:rsidR="000E2313">
        <w:rPr>
          <w:rFonts w:eastAsia="Times New Roman"/>
          <w:b/>
          <w:bCs/>
          <w:color w:val="000000"/>
        </w:rPr>
        <w:t>Daily R</w:t>
      </w:r>
      <w:r w:rsidRPr="00DC3806">
        <w:rPr>
          <w:rFonts w:eastAsia="Times New Roman"/>
          <w:b/>
          <w:bCs/>
          <w:color w:val="000000"/>
        </w:rPr>
        <w:t xml:space="preserve">ate </w:t>
      </w:r>
      <w:r w:rsidR="000E2313">
        <w:rPr>
          <w:rFonts w:eastAsia="Times New Roman"/>
          <w:b/>
          <w:bCs/>
          <w:color w:val="000000"/>
        </w:rPr>
        <w:t>C</w:t>
      </w:r>
      <w:r w:rsidRPr="00DC3806">
        <w:rPr>
          <w:rFonts w:eastAsia="Times New Roman"/>
          <w:b/>
          <w:bCs/>
          <w:color w:val="000000"/>
        </w:rPr>
        <w:t xml:space="preserve">ard </w:t>
      </w:r>
    </w:p>
    <w:p w14:paraId="4078DD9B" w14:textId="77777777" w:rsidR="006961B5" w:rsidRDefault="006961B5" w:rsidP="00DC3806">
      <w:pPr>
        <w:suppressAutoHyphens w:val="0"/>
        <w:autoSpaceDN/>
        <w:spacing w:line="240" w:lineRule="auto"/>
        <w:textAlignment w:val="auto"/>
      </w:pPr>
    </w:p>
    <w:p w14:paraId="24BAFF8C" w14:textId="4A2A9DFB" w:rsidR="00FC6665" w:rsidRPr="00800821" w:rsidRDefault="00FC6665" w:rsidP="00367FB9">
      <w:pPr>
        <w:shd w:val="clear" w:color="auto" w:fill="FFFFFF" w:themeFill="background1"/>
        <w:suppressAutoHyphens w:val="0"/>
        <w:autoSpaceDN/>
        <w:spacing w:line="240" w:lineRule="auto"/>
        <w:textAlignment w:val="auto"/>
        <w:rPr>
          <w:rFonts w:eastAsia="Times New Roman"/>
          <w:b/>
          <w:bCs/>
          <w:color w:val="000000"/>
        </w:rPr>
      </w:pPr>
      <w:r>
        <w:t>[</w:t>
      </w:r>
      <w:r w:rsidR="006961B5">
        <w:t xml:space="preserve">Table </w:t>
      </w:r>
      <w:r>
        <w:t>Redacted]</w:t>
      </w:r>
    </w:p>
    <w:p w14:paraId="5C639D8E" w14:textId="77777777" w:rsidR="00DC3806" w:rsidRDefault="00DC3806">
      <w:pPr>
        <w:pStyle w:val="BodyText"/>
        <w:rPr>
          <w:rFonts w:ascii="Arial" w:hAnsi="Arial" w:cs="Arial"/>
          <w:sz w:val="22"/>
        </w:rPr>
      </w:pPr>
    </w:p>
    <w:p w14:paraId="42E3E29A" w14:textId="77777777" w:rsidR="00DC3806" w:rsidRDefault="00DC3806">
      <w:pPr>
        <w:pStyle w:val="BodyText"/>
        <w:rPr>
          <w:rFonts w:ascii="Arial" w:hAnsi="Arial" w:cs="Arial"/>
          <w:sz w:val="22"/>
        </w:rPr>
      </w:pPr>
    </w:p>
    <w:p w14:paraId="64F728BF" w14:textId="77777777" w:rsidR="00987DF3" w:rsidRDefault="00987DF3" w:rsidP="00E41856">
      <w:pPr>
        <w:pStyle w:val="BodyText"/>
        <w:rPr>
          <w:rFonts w:ascii="Arial" w:hAnsi="Arial" w:cs="Arial"/>
          <w:sz w:val="22"/>
        </w:rPr>
      </w:pPr>
    </w:p>
    <w:p w14:paraId="50A860CB" w14:textId="7BD596C2" w:rsidR="00B848AA" w:rsidRDefault="000A0EC2" w:rsidP="00E41856">
      <w:pPr>
        <w:pStyle w:val="BodyText"/>
        <w:rPr>
          <w:rFonts w:ascii="Arial" w:hAnsi="Arial" w:cs="Arial"/>
          <w:sz w:val="22"/>
        </w:rPr>
      </w:pPr>
      <w:r>
        <w:rPr>
          <w:rFonts w:ascii="Arial" w:hAnsi="Arial" w:cs="Arial"/>
          <w:sz w:val="22"/>
        </w:rPr>
        <w:t>All Charges are exclusive of expenses, VAT and other applicable taxes, which will be charged at the prevailing rate.</w:t>
      </w:r>
      <w:r w:rsidR="006316EC">
        <w:rPr>
          <w:rFonts w:ascii="Arial" w:hAnsi="Arial" w:cs="Arial"/>
          <w:sz w:val="22"/>
        </w:rPr>
        <w:t xml:space="preserve"> </w:t>
      </w:r>
    </w:p>
    <w:p w14:paraId="195F9BFD" w14:textId="77777777" w:rsidR="00E41856" w:rsidRPr="00E41856" w:rsidRDefault="00E41856" w:rsidP="00E41856">
      <w:pPr>
        <w:pStyle w:val="BodyText"/>
        <w:rPr>
          <w:rFonts w:ascii="Arial" w:hAnsi="Arial" w:cs="Arial"/>
          <w:sz w:val="22"/>
        </w:rPr>
      </w:pPr>
    </w:p>
    <w:p w14:paraId="4F0F5C1A" w14:textId="77777777" w:rsidR="00B848AA" w:rsidRDefault="000A0EC2">
      <w:pPr>
        <w:pStyle w:val="Heading2"/>
        <w:pageBreakBefore/>
      </w:pPr>
      <w:bookmarkStart w:id="89" w:name="_Toc33176235"/>
      <w:bookmarkStart w:id="90" w:name="_Toc69399447"/>
      <w:bookmarkStart w:id="91" w:name="_Toc71109857"/>
      <w:r>
        <w:lastRenderedPageBreak/>
        <w:t>Part B: Terms and conditions</w:t>
      </w:r>
      <w:bookmarkEnd w:id="89"/>
      <w:bookmarkEnd w:id="90"/>
      <w:bookmarkEnd w:id="91"/>
    </w:p>
    <w:p w14:paraId="1B4D34F4" w14:textId="77777777" w:rsidR="00B848AA" w:rsidRDefault="000A0EC2">
      <w:pPr>
        <w:pStyle w:val="Heading3"/>
        <w:spacing w:after="100"/>
      </w:pPr>
      <w:r>
        <w:t>1.</w:t>
      </w:r>
      <w:r>
        <w:tab/>
        <w:t>Call-Off Contract Start date and length</w:t>
      </w:r>
    </w:p>
    <w:p w14:paraId="7BF53081" w14:textId="77777777" w:rsidR="00B848AA" w:rsidRDefault="000A0EC2">
      <w:r>
        <w:t>1.1</w:t>
      </w:r>
      <w:r>
        <w:tab/>
        <w:t>The Supplier must start providing the Services on the date specified in the Order Form.</w:t>
      </w:r>
    </w:p>
    <w:p w14:paraId="0852CA17" w14:textId="77777777" w:rsidR="00B848AA" w:rsidRDefault="00B848AA">
      <w:pPr>
        <w:ind w:firstLine="720"/>
      </w:pPr>
    </w:p>
    <w:p w14:paraId="6B1F8655" w14:textId="77777777" w:rsidR="00B848AA" w:rsidRDefault="000A0EC2">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3714AA3" w14:textId="77777777" w:rsidR="00B848AA" w:rsidRDefault="00B848AA">
      <w:pPr>
        <w:ind w:left="720"/>
      </w:pPr>
    </w:p>
    <w:p w14:paraId="1C492E74" w14:textId="77777777" w:rsidR="00B848AA" w:rsidRDefault="000A0EC2">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87C672" w14:textId="77777777" w:rsidR="00B848AA" w:rsidRDefault="00B848AA">
      <w:pPr>
        <w:ind w:left="720"/>
      </w:pPr>
    </w:p>
    <w:p w14:paraId="79D4E6FE" w14:textId="77777777" w:rsidR="00B848AA" w:rsidRDefault="000A0EC2">
      <w:pPr>
        <w:ind w:left="720" w:hanging="720"/>
      </w:pPr>
      <w:r>
        <w:t>1.4</w:t>
      </w:r>
      <w:r>
        <w:tab/>
        <w:t>The Parties must comply with the requirements under clauses 21.3 to 21.8 if the Buyer reserves the right in the Order Form to extend the contract beyond 24 months.</w:t>
      </w:r>
    </w:p>
    <w:p w14:paraId="77AE8778" w14:textId="77777777" w:rsidR="00B848AA" w:rsidRDefault="00B848AA">
      <w:pPr>
        <w:spacing w:before="240" w:after="240"/>
      </w:pPr>
    </w:p>
    <w:p w14:paraId="7D9007B1" w14:textId="77777777" w:rsidR="00B848AA" w:rsidRDefault="000A0EC2">
      <w:pPr>
        <w:pStyle w:val="Heading3"/>
        <w:spacing w:after="100"/>
      </w:pPr>
      <w:r>
        <w:t>2.</w:t>
      </w:r>
      <w:r>
        <w:tab/>
        <w:t>Incorporation of terms</w:t>
      </w:r>
    </w:p>
    <w:p w14:paraId="1984104F" w14:textId="77777777" w:rsidR="00B848AA" w:rsidRDefault="000A0EC2">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A7255AD" w14:textId="77777777" w:rsidR="00B848AA" w:rsidRDefault="000A0EC2" w:rsidP="005C3AE7">
      <w:pPr>
        <w:pStyle w:val="ListParagraph"/>
        <w:numPr>
          <w:ilvl w:val="0"/>
          <w:numId w:val="5"/>
        </w:numPr>
      </w:pPr>
      <w:r>
        <w:rPr>
          <w:sz w:val="14"/>
          <w:szCs w:val="14"/>
        </w:rPr>
        <w:t xml:space="preserve"> </w:t>
      </w:r>
      <w:r>
        <w:t>4.1 (Warranties and representations)</w:t>
      </w:r>
    </w:p>
    <w:p w14:paraId="0F4DC9C8" w14:textId="77777777" w:rsidR="00B848AA" w:rsidRDefault="000A0EC2" w:rsidP="005C3AE7">
      <w:pPr>
        <w:pStyle w:val="ListParagraph"/>
        <w:numPr>
          <w:ilvl w:val="0"/>
          <w:numId w:val="5"/>
        </w:numPr>
      </w:pPr>
      <w:r>
        <w:t>4.2 to 4.7 (Liability)</w:t>
      </w:r>
    </w:p>
    <w:p w14:paraId="3642C1EB" w14:textId="77777777" w:rsidR="00B848AA" w:rsidRDefault="000A0EC2" w:rsidP="005C3AE7">
      <w:pPr>
        <w:pStyle w:val="ListParagraph"/>
        <w:numPr>
          <w:ilvl w:val="0"/>
          <w:numId w:val="5"/>
        </w:numPr>
      </w:pPr>
      <w:r>
        <w:t>4.11 to 4.12 (IR35)</w:t>
      </w:r>
    </w:p>
    <w:p w14:paraId="3A161A0E" w14:textId="77777777" w:rsidR="00B848AA" w:rsidRDefault="000A0EC2" w:rsidP="005C3AE7">
      <w:pPr>
        <w:pStyle w:val="ListParagraph"/>
        <w:numPr>
          <w:ilvl w:val="0"/>
          <w:numId w:val="5"/>
        </w:numPr>
      </w:pPr>
      <w:r>
        <w:t>5.4 to 5.5 (Force majeure)</w:t>
      </w:r>
    </w:p>
    <w:p w14:paraId="7CF26213" w14:textId="77777777" w:rsidR="00B848AA" w:rsidRDefault="000A0EC2" w:rsidP="005C3AE7">
      <w:pPr>
        <w:pStyle w:val="ListParagraph"/>
        <w:numPr>
          <w:ilvl w:val="0"/>
          <w:numId w:val="5"/>
        </w:numPr>
      </w:pPr>
      <w:r>
        <w:t>5.8 (Continuing rights)</w:t>
      </w:r>
    </w:p>
    <w:p w14:paraId="79A96EAE" w14:textId="77777777" w:rsidR="00B848AA" w:rsidRDefault="000A0EC2" w:rsidP="005C3AE7">
      <w:pPr>
        <w:pStyle w:val="ListParagraph"/>
        <w:numPr>
          <w:ilvl w:val="0"/>
          <w:numId w:val="5"/>
        </w:numPr>
      </w:pPr>
      <w:r>
        <w:t>5.9 to 5.11 (Change of control)</w:t>
      </w:r>
    </w:p>
    <w:p w14:paraId="74080C1C" w14:textId="77777777" w:rsidR="00B848AA" w:rsidRDefault="000A0EC2" w:rsidP="005C3AE7">
      <w:pPr>
        <w:pStyle w:val="ListParagraph"/>
        <w:numPr>
          <w:ilvl w:val="0"/>
          <w:numId w:val="5"/>
        </w:numPr>
      </w:pPr>
      <w:r>
        <w:t>5.12 (Fraud)</w:t>
      </w:r>
    </w:p>
    <w:p w14:paraId="73C57499" w14:textId="77777777" w:rsidR="00B848AA" w:rsidRDefault="000A0EC2" w:rsidP="005C3AE7">
      <w:pPr>
        <w:pStyle w:val="ListParagraph"/>
        <w:numPr>
          <w:ilvl w:val="0"/>
          <w:numId w:val="5"/>
        </w:numPr>
      </w:pPr>
      <w:r>
        <w:t>5.13 (Notice of fraud)</w:t>
      </w:r>
    </w:p>
    <w:p w14:paraId="7916F71B" w14:textId="77777777" w:rsidR="00B848AA" w:rsidRDefault="000A0EC2" w:rsidP="005C3AE7">
      <w:pPr>
        <w:pStyle w:val="ListParagraph"/>
        <w:numPr>
          <w:ilvl w:val="0"/>
          <w:numId w:val="5"/>
        </w:numPr>
      </w:pPr>
      <w:r>
        <w:t>7.1 to 7.2 (Transparency)</w:t>
      </w:r>
    </w:p>
    <w:p w14:paraId="0112CBCF" w14:textId="77777777" w:rsidR="00B848AA" w:rsidRDefault="000A0EC2" w:rsidP="005C3AE7">
      <w:pPr>
        <w:pStyle w:val="ListParagraph"/>
        <w:numPr>
          <w:ilvl w:val="0"/>
          <w:numId w:val="5"/>
        </w:numPr>
      </w:pPr>
      <w:r>
        <w:t>8.3 (Order of precedence)</w:t>
      </w:r>
    </w:p>
    <w:p w14:paraId="4921878F" w14:textId="77777777" w:rsidR="00B848AA" w:rsidRDefault="000A0EC2" w:rsidP="005C3AE7">
      <w:pPr>
        <w:pStyle w:val="ListParagraph"/>
        <w:numPr>
          <w:ilvl w:val="0"/>
          <w:numId w:val="5"/>
        </w:numPr>
      </w:pPr>
      <w:r>
        <w:t>8.6 (Relationship)</w:t>
      </w:r>
    </w:p>
    <w:p w14:paraId="265A5E1B" w14:textId="77777777" w:rsidR="00B848AA" w:rsidRDefault="000A0EC2" w:rsidP="005C3AE7">
      <w:pPr>
        <w:pStyle w:val="ListParagraph"/>
        <w:numPr>
          <w:ilvl w:val="0"/>
          <w:numId w:val="5"/>
        </w:numPr>
      </w:pPr>
      <w:r>
        <w:t>8.9 to 8.11 (Entire agreement)</w:t>
      </w:r>
    </w:p>
    <w:p w14:paraId="73D8F8FD" w14:textId="77777777" w:rsidR="00B848AA" w:rsidRDefault="000A0EC2" w:rsidP="005C3AE7">
      <w:pPr>
        <w:pStyle w:val="ListParagraph"/>
        <w:numPr>
          <w:ilvl w:val="0"/>
          <w:numId w:val="5"/>
        </w:numPr>
      </w:pPr>
      <w:r>
        <w:t>8.12 (Law and jurisdiction)</w:t>
      </w:r>
    </w:p>
    <w:p w14:paraId="65D4F12D" w14:textId="77777777" w:rsidR="00B848AA" w:rsidRDefault="000A0EC2" w:rsidP="005C3AE7">
      <w:pPr>
        <w:pStyle w:val="ListParagraph"/>
        <w:numPr>
          <w:ilvl w:val="0"/>
          <w:numId w:val="5"/>
        </w:numPr>
      </w:pPr>
      <w:r>
        <w:t>8.13 to 8.14 (Legislative change)</w:t>
      </w:r>
    </w:p>
    <w:p w14:paraId="35354183" w14:textId="77777777" w:rsidR="00B848AA" w:rsidRDefault="000A0EC2" w:rsidP="005C3AE7">
      <w:pPr>
        <w:pStyle w:val="ListParagraph"/>
        <w:numPr>
          <w:ilvl w:val="0"/>
          <w:numId w:val="5"/>
        </w:numPr>
      </w:pPr>
      <w:r>
        <w:t>8.15 to 8.19 (Bribery and corruption)</w:t>
      </w:r>
    </w:p>
    <w:p w14:paraId="571F0339" w14:textId="77777777" w:rsidR="00B848AA" w:rsidRDefault="000A0EC2" w:rsidP="005C3AE7">
      <w:pPr>
        <w:pStyle w:val="ListParagraph"/>
        <w:numPr>
          <w:ilvl w:val="0"/>
          <w:numId w:val="5"/>
        </w:numPr>
      </w:pPr>
      <w:r>
        <w:t>8.20 to 8.29 (Freedom of Information Act)</w:t>
      </w:r>
    </w:p>
    <w:p w14:paraId="5BCB8A3B" w14:textId="77777777" w:rsidR="00B848AA" w:rsidRDefault="000A0EC2" w:rsidP="005C3AE7">
      <w:pPr>
        <w:pStyle w:val="ListParagraph"/>
        <w:numPr>
          <w:ilvl w:val="0"/>
          <w:numId w:val="5"/>
        </w:numPr>
      </w:pPr>
      <w:r>
        <w:t>8.30 to 8.31 (Promoting tax compliance)</w:t>
      </w:r>
    </w:p>
    <w:p w14:paraId="2A82E22F" w14:textId="77777777" w:rsidR="00B848AA" w:rsidRDefault="000A0EC2" w:rsidP="005C3AE7">
      <w:pPr>
        <w:pStyle w:val="ListParagraph"/>
        <w:numPr>
          <w:ilvl w:val="0"/>
          <w:numId w:val="5"/>
        </w:numPr>
      </w:pPr>
      <w:r>
        <w:t>8.32 to 8.33 (Official Secrets Act)</w:t>
      </w:r>
    </w:p>
    <w:p w14:paraId="7A2BFC5D" w14:textId="77777777" w:rsidR="00B848AA" w:rsidRDefault="000A0EC2" w:rsidP="005C3AE7">
      <w:pPr>
        <w:pStyle w:val="ListParagraph"/>
        <w:numPr>
          <w:ilvl w:val="0"/>
          <w:numId w:val="5"/>
        </w:numPr>
      </w:pPr>
      <w:r>
        <w:t>8.34 to 8.37 (Transfer and subcontracting)</w:t>
      </w:r>
    </w:p>
    <w:p w14:paraId="047D6D15" w14:textId="77777777" w:rsidR="00B848AA" w:rsidRDefault="000A0EC2" w:rsidP="005C3AE7">
      <w:pPr>
        <w:pStyle w:val="ListParagraph"/>
        <w:numPr>
          <w:ilvl w:val="0"/>
          <w:numId w:val="5"/>
        </w:numPr>
      </w:pPr>
      <w:r>
        <w:t>8.40 to 8.43 (Complaints handling and resolution)</w:t>
      </w:r>
    </w:p>
    <w:p w14:paraId="5ACE6451" w14:textId="77777777" w:rsidR="00B848AA" w:rsidRDefault="000A0EC2" w:rsidP="005C3AE7">
      <w:pPr>
        <w:pStyle w:val="ListParagraph"/>
        <w:numPr>
          <w:ilvl w:val="0"/>
          <w:numId w:val="5"/>
        </w:numPr>
      </w:pPr>
      <w:r>
        <w:t>8.44 to 8.50 (Conflicts of interest and ethical walls)</w:t>
      </w:r>
    </w:p>
    <w:p w14:paraId="3AEB5F47" w14:textId="77777777" w:rsidR="00B848AA" w:rsidRDefault="000A0EC2" w:rsidP="005C3AE7">
      <w:pPr>
        <w:pStyle w:val="ListParagraph"/>
        <w:numPr>
          <w:ilvl w:val="0"/>
          <w:numId w:val="5"/>
        </w:numPr>
      </w:pPr>
      <w:r>
        <w:t>8.51 to 8.53 (Publicity and branding)</w:t>
      </w:r>
    </w:p>
    <w:p w14:paraId="72B2F730" w14:textId="77777777" w:rsidR="00B848AA" w:rsidRDefault="000A0EC2" w:rsidP="005C3AE7">
      <w:pPr>
        <w:pStyle w:val="ListParagraph"/>
        <w:numPr>
          <w:ilvl w:val="0"/>
          <w:numId w:val="5"/>
        </w:numPr>
      </w:pPr>
      <w:r>
        <w:t>8.54 to 8.56 (Equality and diversity)</w:t>
      </w:r>
    </w:p>
    <w:p w14:paraId="56C1E8D1" w14:textId="77777777" w:rsidR="00B848AA" w:rsidRDefault="000A0EC2" w:rsidP="005C3AE7">
      <w:pPr>
        <w:pStyle w:val="ListParagraph"/>
        <w:numPr>
          <w:ilvl w:val="0"/>
          <w:numId w:val="5"/>
        </w:numPr>
      </w:pPr>
      <w:r>
        <w:t>8.59 to 8.60 (Data protection</w:t>
      </w:r>
    </w:p>
    <w:p w14:paraId="680D87D8" w14:textId="77777777" w:rsidR="00B848AA" w:rsidRDefault="000A0EC2" w:rsidP="005C3AE7">
      <w:pPr>
        <w:pStyle w:val="ListParagraph"/>
        <w:numPr>
          <w:ilvl w:val="0"/>
          <w:numId w:val="5"/>
        </w:numPr>
      </w:pPr>
      <w:r>
        <w:lastRenderedPageBreak/>
        <w:t>8.64 to 8.65 (Severability)</w:t>
      </w:r>
    </w:p>
    <w:p w14:paraId="6A215537" w14:textId="77777777" w:rsidR="00B848AA" w:rsidRDefault="000A0EC2" w:rsidP="005C3AE7">
      <w:pPr>
        <w:pStyle w:val="ListParagraph"/>
        <w:numPr>
          <w:ilvl w:val="0"/>
          <w:numId w:val="5"/>
        </w:numPr>
      </w:pPr>
      <w:r>
        <w:t>8.66 to 8.69 (Managing disputes and Mediation)</w:t>
      </w:r>
    </w:p>
    <w:p w14:paraId="1BCF0077" w14:textId="77777777" w:rsidR="00B848AA" w:rsidRDefault="000A0EC2" w:rsidP="005C3AE7">
      <w:pPr>
        <w:pStyle w:val="ListParagraph"/>
        <w:numPr>
          <w:ilvl w:val="0"/>
          <w:numId w:val="5"/>
        </w:numPr>
      </w:pPr>
      <w:r>
        <w:t>8.80 to 8.88 (Confidentiality)</w:t>
      </w:r>
    </w:p>
    <w:p w14:paraId="6F5194C4" w14:textId="77777777" w:rsidR="00B848AA" w:rsidRDefault="000A0EC2" w:rsidP="005C3AE7">
      <w:pPr>
        <w:pStyle w:val="ListParagraph"/>
        <w:numPr>
          <w:ilvl w:val="0"/>
          <w:numId w:val="5"/>
        </w:numPr>
      </w:pPr>
      <w:r>
        <w:t>8.89 to 8.90 (Waiver and cumulative remedies)</w:t>
      </w:r>
    </w:p>
    <w:p w14:paraId="27C5249B" w14:textId="77777777" w:rsidR="00B848AA" w:rsidRDefault="000A0EC2" w:rsidP="005C3AE7">
      <w:pPr>
        <w:pStyle w:val="ListParagraph"/>
        <w:numPr>
          <w:ilvl w:val="0"/>
          <w:numId w:val="5"/>
        </w:numPr>
      </w:pPr>
      <w:r>
        <w:t>8.91 to 8.101 (Corporate Social Responsibility)</w:t>
      </w:r>
    </w:p>
    <w:p w14:paraId="511A1C75" w14:textId="77777777" w:rsidR="00B848AA" w:rsidRDefault="000A0EC2" w:rsidP="005C3AE7">
      <w:pPr>
        <w:pStyle w:val="ListParagraph"/>
        <w:numPr>
          <w:ilvl w:val="0"/>
          <w:numId w:val="5"/>
        </w:numPr>
      </w:pPr>
      <w:r>
        <w:t>paragraphs 1 to 10 of the Framework Agreement glossary and interpretation</w:t>
      </w:r>
    </w:p>
    <w:p w14:paraId="71C29FA6" w14:textId="77777777" w:rsidR="00B848AA" w:rsidRDefault="000A0EC2" w:rsidP="005C3AE7">
      <w:pPr>
        <w:pStyle w:val="ListParagraph"/>
        <w:numPr>
          <w:ilvl w:val="0"/>
          <w:numId w:val="6"/>
        </w:numPr>
      </w:pPr>
      <w:r>
        <w:t>any audit provisions from the Framework Agreement set out by the Buyer in the Order Form</w:t>
      </w:r>
    </w:p>
    <w:p w14:paraId="527399C4" w14:textId="77777777" w:rsidR="00B848AA" w:rsidRDefault="000A0EC2">
      <w:pPr>
        <w:ind w:left="720"/>
      </w:pPr>
      <w:r>
        <w:t xml:space="preserve"> </w:t>
      </w:r>
    </w:p>
    <w:p w14:paraId="37DED4C9" w14:textId="77777777" w:rsidR="00B848AA" w:rsidRDefault="000A0EC2">
      <w:pPr>
        <w:spacing w:after="240"/>
      </w:pPr>
      <w:r>
        <w:t>2.2</w:t>
      </w:r>
      <w:r>
        <w:tab/>
        <w:t xml:space="preserve">The Framework Agreement provisions in clause 2.1 will be modified as follows: </w:t>
      </w:r>
    </w:p>
    <w:p w14:paraId="7A960206" w14:textId="77777777" w:rsidR="00B848AA" w:rsidRDefault="000A0EC2">
      <w:pPr>
        <w:ind w:left="1440" w:hanging="720"/>
      </w:pPr>
      <w:r>
        <w:t>2.2.1</w:t>
      </w:r>
      <w:r>
        <w:tab/>
        <w:t>a reference to the ‘Framework Agreement’ will be a reference to the ‘Call-Off Contract’</w:t>
      </w:r>
    </w:p>
    <w:p w14:paraId="67D8ACAB" w14:textId="77777777" w:rsidR="00B848AA" w:rsidRDefault="000A0EC2">
      <w:pPr>
        <w:ind w:firstLine="720"/>
      </w:pPr>
      <w:r>
        <w:t>2.2.2</w:t>
      </w:r>
      <w:r>
        <w:tab/>
        <w:t>a reference to ‘CCS’ will be a reference to ‘the Buyer’</w:t>
      </w:r>
    </w:p>
    <w:p w14:paraId="7E650C23" w14:textId="77777777" w:rsidR="00B848AA" w:rsidRDefault="000A0EC2">
      <w:pPr>
        <w:ind w:left="1440" w:hanging="720"/>
      </w:pPr>
      <w:r>
        <w:t>2.2.3</w:t>
      </w:r>
      <w:r>
        <w:tab/>
        <w:t>a reference to the ‘Parties’ and a ‘Party’ will be a reference to the Buyer and Supplier as Parties under this Call-Off Contract</w:t>
      </w:r>
    </w:p>
    <w:p w14:paraId="058F89C3" w14:textId="77777777" w:rsidR="00B848AA" w:rsidRDefault="00B848AA"/>
    <w:p w14:paraId="6EA4B8CE" w14:textId="77777777" w:rsidR="00B848AA" w:rsidRDefault="000A0EC2">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052B52A" w14:textId="77777777" w:rsidR="00B848AA" w:rsidRDefault="00B848AA">
      <w:pPr>
        <w:ind w:left="720"/>
      </w:pPr>
    </w:p>
    <w:p w14:paraId="3FFCEFB0" w14:textId="77777777" w:rsidR="00B848AA" w:rsidRDefault="000A0EC2">
      <w:pPr>
        <w:ind w:left="720" w:hanging="720"/>
      </w:pPr>
      <w:r>
        <w:t>2.4</w:t>
      </w:r>
      <w:r>
        <w:tab/>
        <w:t>The Framework Agreement incorporated clauses will be referred to as incorporated Framework clause ‘XX’, where ‘XX’ is the Framework Agreement clause number.</w:t>
      </w:r>
    </w:p>
    <w:p w14:paraId="65840E33" w14:textId="77777777" w:rsidR="00B848AA" w:rsidRDefault="00B848AA">
      <w:pPr>
        <w:ind w:firstLine="720"/>
      </w:pPr>
    </w:p>
    <w:p w14:paraId="16219D83" w14:textId="77777777" w:rsidR="00B848AA" w:rsidRDefault="000A0EC2">
      <w:pPr>
        <w:ind w:left="720" w:hanging="720"/>
      </w:pPr>
      <w:r>
        <w:t>2.5</w:t>
      </w:r>
      <w:r>
        <w:tab/>
        <w:t>When an Order Form is signed, the terms and conditions agreed in it will be incorporated into this Call-Off Contract.</w:t>
      </w:r>
    </w:p>
    <w:p w14:paraId="22A45C0B" w14:textId="77777777" w:rsidR="00B848AA" w:rsidRDefault="00B848AA"/>
    <w:p w14:paraId="166BE758" w14:textId="77777777" w:rsidR="00B848AA" w:rsidRDefault="000A0EC2">
      <w:pPr>
        <w:pStyle w:val="Heading3"/>
        <w:spacing w:after="100"/>
      </w:pPr>
      <w:r>
        <w:t>3.</w:t>
      </w:r>
      <w:r>
        <w:tab/>
        <w:t>Supply of services</w:t>
      </w:r>
    </w:p>
    <w:p w14:paraId="4496CA2C" w14:textId="77777777" w:rsidR="00B848AA" w:rsidRDefault="000A0EC2">
      <w:pPr>
        <w:spacing w:before="240" w:after="240"/>
        <w:ind w:left="720" w:hanging="720"/>
      </w:pPr>
      <w:r>
        <w:t>3.1</w:t>
      </w:r>
      <w:r>
        <w:tab/>
        <w:t>The Supplier agrees to supply the G-Cloud Services and any Additional Services under the terms of the Call-Off Contract and the Supplier’s Application.</w:t>
      </w:r>
    </w:p>
    <w:p w14:paraId="67D6E475" w14:textId="77777777" w:rsidR="00B848AA" w:rsidRDefault="000A0EC2">
      <w:pPr>
        <w:ind w:left="720" w:hanging="720"/>
      </w:pPr>
      <w:r>
        <w:t>3.2</w:t>
      </w:r>
      <w:r>
        <w:tab/>
        <w:t>The Supplier undertakes that each G-Cloud Service will meet the Buyer’s acceptance criteria, as defined in the Order Form.</w:t>
      </w:r>
    </w:p>
    <w:p w14:paraId="3A073A9D" w14:textId="77777777" w:rsidR="00B848AA" w:rsidRDefault="00B848AA"/>
    <w:p w14:paraId="42607845" w14:textId="77777777" w:rsidR="00B848AA" w:rsidRDefault="000A0EC2">
      <w:pPr>
        <w:pStyle w:val="Heading3"/>
        <w:spacing w:after="100"/>
      </w:pPr>
      <w:r>
        <w:t>4.</w:t>
      </w:r>
      <w:r>
        <w:tab/>
        <w:t>Supplier staff</w:t>
      </w:r>
    </w:p>
    <w:p w14:paraId="09F2C3BD" w14:textId="77777777" w:rsidR="00B848AA" w:rsidRDefault="000A0EC2">
      <w:pPr>
        <w:spacing w:before="240" w:after="240"/>
      </w:pPr>
      <w:r>
        <w:t>4.1</w:t>
      </w:r>
      <w:r>
        <w:tab/>
        <w:t xml:space="preserve">The Supplier Staff must: </w:t>
      </w:r>
    </w:p>
    <w:p w14:paraId="414BE6E0" w14:textId="77777777" w:rsidR="00B848AA" w:rsidRDefault="000A0EC2">
      <w:pPr>
        <w:ind w:firstLine="720"/>
      </w:pPr>
      <w:r>
        <w:t>4.1.1</w:t>
      </w:r>
      <w:r>
        <w:tab/>
        <w:t>be appropriately experienced, qualified and trained to supply the Services</w:t>
      </w:r>
    </w:p>
    <w:p w14:paraId="17E50894" w14:textId="77777777" w:rsidR="00B848AA" w:rsidRDefault="00B848AA"/>
    <w:p w14:paraId="4886CA24" w14:textId="77777777" w:rsidR="00B848AA" w:rsidRDefault="000A0EC2">
      <w:pPr>
        <w:ind w:firstLine="720"/>
      </w:pPr>
      <w:r>
        <w:t>4.1.2</w:t>
      </w:r>
      <w:r>
        <w:tab/>
        <w:t>apply all due skill, care and diligence in faithfully performing those duties</w:t>
      </w:r>
    </w:p>
    <w:p w14:paraId="76059FA4" w14:textId="77777777" w:rsidR="00B848AA" w:rsidRDefault="00B848AA"/>
    <w:p w14:paraId="50CA4B3E" w14:textId="77777777" w:rsidR="00B848AA" w:rsidRDefault="000A0EC2">
      <w:pPr>
        <w:ind w:left="720"/>
      </w:pPr>
      <w:r>
        <w:t>4.1.3</w:t>
      </w:r>
      <w:r>
        <w:tab/>
        <w:t>obey all lawful instructions and reasonable directions of the Buyer and provide the Services to the reasonable satisfaction of the Buyer</w:t>
      </w:r>
    </w:p>
    <w:p w14:paraId="7BB55C51" w14:textId="77777777" w:rsidR="00B848AA" w:rsidRDefault="00B848AA"/>
    <w:p w14:paraId="77A3849C" w14:textId="77777777" w:rsidR="00B848AA" w:rsidRDefault="000A0EC2">
      <w:pPr>
        <w:ind w:firstLine="720"/>
      </w:pPr>
      <w:r>
        <w:lastRenderedPageBreak/>
        <w:t>4.1.4</w:t>
      </w:r>
      <w:r>
        <w:tab/>
        <w:t>respond to any enquiries about the Services as soon as reasonably possible</w:t>
      </w:r>
    </w:p>
    <w:p w14:paraId="5723582C" w14:textId="77777777" w:rsidR="00B848AA" w:rsidRDefault="00B848AA"/>
    <w:p w14:paraId="01FA616F" w14:textId="77777777" w:rsidR="00B848AA" w:rsidRDefault="000A0EC2">
      <w:pPr>
        <w:ind w:firstLine="720"/>
      </w:pPr>
      <w:r>
        <w:t>4.1.5</w:t>
      </w:r>
      <w:r>
        <w:tab/>
        <w:t>complete any necessary Supplier Staff vetting as specified by the Buyer</w:t>
      </w:r>
    </w:p>
    <w:p w14:paraId="7D78A3CE" w14:textId="77777777" w:rsidR="00B848AA" w:rsidRDefault="00B848AA"/>
    <w:p w14:paraId="183116CB" w14:textId="77777777" w:rsidR="00B848AA" w:rsidRDefault="000A0EC2">
      <w:pPr>
        <w:ind w:left="720" w:hanging="720"/>
      </w:pPr>
      <w:r>
        <w:t>4.2</w:t>
      </w:r>
      <w:r>
        <w:tab/>
        <w:t>The Supplier must retain overall control of the Supplier Staff so that they are not considered to be employees, workers, agents or contractors of the Buyer.</w:t>
      </w:r>
    </w:p>
    <w:p w14:paraId="2E442504" w14:textId="77777777" w:rsidR="00B848AA" w:rsidRDefault="00B848AA">
      <w:pPr>
        <w:ind w:firstLine="720"/>
      </w:pPr>
    </w:p>
    <w:p w14:paraId="074CD7EF" w14:textId="77777777" w:rsidR="00B848AA" w:rsidRDefault="000A0EC2">
      <w:pPr>
        <w:ind w:left="720" w:hanging="720"/>
      </w:pPr>
      <w:r>
        <w:t>4.3</w:t>
      </w:r>
      <w:r>
        <w:tab/>
        <w:t>The Supplier may substitute any Supplier Staff as long as they have the equivalent experience and qualifications to the substituted staff member.</w:t>
      </w:r>
    </w:p>
    <w:p w14:paraId="2A049842" w14:textId="77777777" w:rsidR="00B848AA" w:rsidRDefault="00B848AA">
      <w:pPr>
        <w:ind w:firstLine="720"/>
      </w:pPr>
    </w:p>
    <w:p w14:paraId="0D51EACE" w14:textId="77777777" w:rsidR="00B848AA" w:rsidRDefault="000A0EC2">
      <w:pPr>
        <w:ind w:left="720" w:hanging="720"/>
      </w:pPr>
      <w:r>
        <w:t>4.4</w:t>
      </w:r>
      <w:r>
        <w:tab/>
        <w:t>The Buyer may conduct IR35 Assessments using the ESI tool to assess whether the Supplier’s engagement under the Call-Off Contract is Inside or Outside IR35.</w:t>
      </w:r>
    </w:p>
    <w:p w14:paraId="1AA9979C" w14:textId="77777777" w:rsidR="00B848AA" w:rsidRDefault="00B848AA">
      <w:pPr>
        <w:ind w:firstLine="720"/>
      </w:pPr>
    </w:p>
    <w:p w14:paraId="772A0D0A" w14:textId="77777777" w:rsidR="00B848AA" w:rsidRDefault="000A0EC2">
      <w:pPr>
        <w:ind w:left="720" w:hanging="720"/>
      </w:pPr>
      <w:r>
        <w:t>4.5</w:t>
      </w:r>
      <w:r>
        <w:tab/>
        <w:t>The Buyer may End this Call-Off Contract for Material Breach as per clause 18.5 hereunder if the Supplier is delivering the Services Inside IR35.</w:t>
      </w:r>
    </w:p>
    <w:p w14:paraId="234342E1" w14:textId="77777777" w:rsidR="00B848AA" w:rsidRDefault="00B848AA">
      <w:pPr>
        <w:ind w:firstLine="720"/>
      </w:pPr>
    </w:p>
    <w:p w14:paraId="66696A28" w14:textId="77777777" w:rsidR="00B848AA" w:rsidRDefault="000A0EC2">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51A781D" w14:textId="77777777" w:rsidR="00B848AA" w:rsidRDefault="00B848AA">
      <w:pPr>
        <w:ind w:left="720"/>
      </w:pPr>
    </w:p>
    <w:p w14:paraId="137EECD8" w14:textId="77777777" w:rsidR="00B848AA" w:rsidRDefault="000A0EC2">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750DB23" w14:textId="77777777" w:rsidR="00B848AA" w:rsidRDefault="00B848AA">
      <w:pPr>
        <w:ind w:left="720"/>
      </w:pPr>
    </w:p>
    <w:p w14:paraId="43F377D3" w14:textId="77777777" w:rsidR="00B848AA" w:rsidRDefault="000A0EC2">
      <w:pPr>
        <w:ind w:left="720" w:hanging="720"/>
      </w:pPr>
      <w:r>
        <w:t>4.8</w:t>
      </w:r>
      <w:r>
        <w:tab/>
        <w:t>If it is determined by the Buyer that the Supplier is Outside IR35, the Buyer will provide the ESI reference number and a copy of the PDF to the Supplier.</w:t>
      </w:r>
    </w:p>
    <w:p w14:paraId="6E48B6A3" w14:textId="77777777" w:rsidR="00B848AA" w:rsidRDefault="00B848AA">
      <w:pPr>
        <w:spacing w:before="240" w:after="240"/>
        <w:ind w:left="720"/>
      </w:pPr>
    </w:p>
    <w:p w14:paraId="76937503" w14:textId="77777777" w:rsidR="00B848AA" w:rsidRDefault="000A0EC2">
      <w:pPr>
        <w:pStyle w:val="Heading3"/>
        <w:spacing w:after="100"/>
      </w:pPr>
      <w:r>
        <w:t>5.</w:t>
      </w:r>
      <w:r>
        <w:tab/>
        <w:t>Due diligence</w:t>
      </w:r>
    </w:p>
    <w:p w14:paraId="11FCE037" w14:textId="77777777" w:rsidR="00B848AA" w:rsidRDefault="000A0EC2">
      <w:pPr>
        <w:spacing w:before="240" w:after="120"/>
      </w:pPr>
      <w:r>
        <w:t xml:space="preserve"> 5.1</w:t>
      </w:r>
      <w:r>
        <w:tab/>
        <w:t>Both Parties agree that when entering into a Call-Off Contract they:</w:t>
      </w:r>
    </w:p>
    <w:p w14:paraId="2D3255A7" w14:textId="77777777" w:rsidR="00B848AA" w:rsidRDefault="000A0EC2">
      <w:pPr>
        <w:spacing w:after="120"/>
        <w:ind w:left="1440" w:hanging="720"/>
      </w:pPr>
      <w:r>
        <w:t>5.1.1</w:t>
      </w:r>
      <w:r>
        <w:tab/>
        <w:t>have made their own enquiries and are satisfied by the accuracy of any information supplied by the other Party</w:t>
      </w:r>
    </w:p>
    <w:p w14:paraId="7F0CBFEE" w14:textId="77777777" w:rsidR="00B848AA" w:rsidRDefault="000A0EC2">
      <w:pPr>
        <w:spacing w:after="120"/>
        <w:ind w:left="1440" w:hanging="720"/>
      </w:pPr>
      <w:r>
        <w:t>5.1.2</w:t>
      </w:r>
      <w:r>
        <w:tab/>
        <w:t>are confident that they can fulfil their obligations according to the Call-Off Contract terms</w:t>
      </w:r>
    </w:p>
    <w:p w14:paraId="272C0C9E" w14:textId="77777777" w:rsidR="00B848AA" w:rsidRDefault="000A0EC2">
      <w:pPr>
        <w:spacing w:after="120"/>
        <w:ind w:firstLine="720"/>
      </w:pPr>
      <w:r>
        <w:t>5.1.3</w:t>
      </w:r>
      <w:r>
        <w:tab/>
        <w:t>have raised all due diligence questions before signing the Call-Off Contract</w:t>
      </w:r>
    </w:p>
    <w:p w14:paraId="5FECC650" w14:textId="77777777" w:rsidR="00B848AA" w:rsidRDefault="000A0EC2">
      <w:pPr>
        <w:ind w:firstLine="720"/>
      </w:pPr>
      <w:r>
        <w:t>5.1.4</w:t>
      </w:r>
      <w:r>
        <w:tab/>
        <w:t>have entered into the Call-Off Contract relying on its own due diligence</w:t>
      </w:r>
    </w:p>
    <w:p w14:paraId="1980DEC1" w14:textId="77777777" w:rsidR="00B848AA" w:rsidRDefault="00B848AA">
      <w:pPr>
        <w:spacing w:before="240"/>
      </w:pPr>
    </w:p>
    <w:p w14:paraId="7FEE56F8" w14:textId="77777777" w:rsidR="00B848AA" w:rsidRDefault="000A0EC2">
      <w:pPr>
        <w:pStyle w:val="Heading3"/>
        <w:spacing w:after="100"/>
      </w:pPr>
      <w:r>
        <w:t xml:space="preserve">6. </w:t>
      </w:r>
      <w:r>
        <w:tab/>
        <w:t>Business continuity and disaster recovery</w:t>
      </w:r>
    </w:p>
    <w:p w14:paraId="758B6585" w14:textId="77777777" w:rsidR="00B848AA" w:rsidRDefault="000A0EC2">
      <w:pPr>
        <w:ind w:left="720" w:hanging="720"/>
      </w:pPr>
      <w:r>
        <w:t>6.1</w:t>
      </w:r>
      <w:r>
        <w:tab/>
      </w:r>
      <w:r w:rsidRPr="00E41855">
        <w:t>The Supplier will have a clear business continuity and disaster recovery plan in their service descriptions.</w:t>
      </w:r>
    </w:p>
    <w:p w14:paraId="7FC2A236" w14:textId="77777777" w:rsidR="00B848AA" w:rsidRDefault="00B848AA"/>
    <w:p w14:paraId="68D5FE68" w14:textId="77777777" w:rsidR="00B848AA" w:rsidRDefault="000A0EC2">
      <w:pPr>
        <w:ind w:left="720" w:hanging="720"/>
      </w:pPr>
      <w:r>
        <w:t>6.2</w:t>
      </w:r>
      <w:r>
        <w:tab/>
      </w:r>
      <w:r w:rsidRPr="00E41855">
        <w:t>The Supplier’s business continuity and disaster recovery services are part of the Services and will be performed by the Supplier when required.</w:t>
      </w:r>
    </w:p>
    <w:p w14:paraId="748DC14E" w14:textId="77777777" w:rsidR="00B848AA" w:rsidRDefault="000A0EC2">
      <w:pPr>
        <w:ind w:left="720" w:hanging="720"/>
      </w:pPr>
      <w:r>
        <w:t>6.3</w:t>
      </w:r>
      <w:r>
        <w:tab/>
        <w:t>If requested by the Buyer prior to entering into this Call-Off Contract, the Supplier must ensure that its business continuity and disaster recovery plan is consistent with the Buyer’s own plans.</w:t>
      </w:r>
    </w:p>
    <w:p w14:paraId="7D3DD241" w14:textId="77777777" w:rsidR="00B848AA" w:rsidRDefault="00B848AA"/>
    <w:p w14:paraId="47B810CF" w14:textId="77777777" w:rsidR="00B848AA" w:rsidRDefault="000A0EC2">
      <w:pPr>
        <w:pStyle w:val="Heading3"/>
        <w:spacing w:after="100"/>
      </w:pPr>
      <w:r>
        <w:t>7.</w:t>
      </w:r>
      <w:r>
        <w:tab/>
        <w:t>Payment, VAT and Call-Off Contract charges</w:t>
      </w:r>
    </w:p>
    <w:p w14:paraId="7B699F26" w14:textId="77777777" w:rsidR="00B848AA" w:rsidRDefault="000A0EC2">
      <w:pPr>
        <w:spacing w:after="120"/>
        <w:ind w:left="720" w:hanging="720"/>
      </w:pPr>
      <w:r>
        <w:t>7.1</w:t>
      </w:r>
      <w:r>
        <w:tab/>
        <w:t>The Buyer must pay the Charges following clauses 7.2 to 7.11 for the Supplier’s delivery of the Services.</w:t>
      </w:r>
    </w:p>
    <w:p w14:paraId="1E0B7FB9" w14:textId="77777777" w:rsidR="00B848AA" w:rsidRDefault="000A0EC2">
      <w:pPr>
        <w:ind w:left="720" w:hanging="720"/>
      </w:pPr>
      <w:r>
        <w:t>7.2</w:t>
      </w:r>
      <w:r>
        <w:tab/>
        <w:t>The Buyer will pay the Supplier within the number of days specified in the Order Form on receipt of a valid invoice.</w:t>
      </w:r>
    </w:p>
    <w:p w14:paraId="3A2FAD0E" w14:textId="77777777" w:rsidR="00B848AA" w:rsidRDefault="000A0EC2">
      <w:pPr>
        <w:spacing w:after="120"/>
        <w:ind w:left="720" w:hanging="720"/>
      </w:pPr>
      <w:r>
        <w:t>7.3</w:t>
      </w:r>
      <w:r>
        <w:tab/>
        <w:t>The Call-Off Contract Charges include all Charges for payment Processing. All invoices submitted to the Buyer for the Services will be exclusive of any Management Charge.</w:t>
      </w:r>
    </w:p>
    <w:p w14:paraId="520ECB8D" w14:textId="77777777" w:rsidR="00B848AA" w:rsidRDefault="000A0EC2">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CA3B56B" w14:textId="77777777" w:rsidR="00B848AA" w:rsidRDefault="000A0EC2">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F739180" w14:textId="77777777" w:rsidR="00B848AA" w:rsidRDefault="000A0EC2">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1FA1CE38" w14:textId="77777777" w:rsidR="00B848AA" w:rsidRDefault="000A0EC2">
      <w:pPr>
        <w:spacing w:after="120"/>
      </w:pPr>
      <w:r>
        <w:t>7.7</w:t>
      </w:r>
      <w:r>
        <w:tab/>
        <w:t>All Charges payable by the Buyer to the Supplier will include VAT at the appropriate Rate.</w:t>
      </w:r>
    </w:p>
    <w:p w14:paraId="1D70F158" w14:textId="77777777" w:rsidR="00B848AA" w:rsidRDefault="000A0EC2">
      <w:pPr>
        <w:spacing w:after="120"/>
        <w:ind w:left="720" w:hanging="720"/>
      </w:pPr>
      <w:r>
        <w:t>7.8</w:t>
      </w:r>
      <w:r>
        <w:tab/>
        <w:t>The Supplier must add VAT to the Charges at the appropriate rate with visibility of the amount as a separate line item.</w:t>
      </w:r>
    </w:p>
    <w:p w14:paraId="10E77CE3" w14:textId="77777777" w:rsidR="00B848AA" w:rsidRDefault="000A0EC2">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BAEC19F" w14:textId="77777777" w:rsidR="00B848AA" w:rsidRDefault="000A0EC2">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A46AA3C" w14:textId="77777777" w:rsidR="00B848AA" w:rsidRDefault="000A0EC2">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3FD7F7D" w14:textId="77777777" w:rsidR="00B848AA" w:rsidRDefault="000A0EC2">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F10A105" w14:textId="77777777" w:rsidR="00B848AA" w:rsidRDefault="00B848AA">
      <w:pPr>
        <w:ind w:left="720"/>
      </w:pPr>
    </w:p>
    <w:p w14:paraId="4BFE2903" w14:textId="77777777" w:rsidR="00B848AA" w:rsidRDefault="000A0EC2">
      <w:pPr>
        <w:pStyle w:val="Heading3"/>
      </w:pPr>
      <w:r>
        <w:t>8.</w:t>
      </w:r>
      <w:r>
        <w:tab/>
        <w:t>Recovery of sums due and right of set-off</w:t>
      </w:r>
    </w:p>
    <w:p w14:paraId="70783D04" w14:textId="77777777" w:rsidR="00B848AA" w:rsidRDefault="000A0EC2">
      <w:pPr>
        <w:spacing w:before="240" w:after="240"/>
        <w:ind w:left="720" w:hanging="720"/>
      </w:pPr>
      <w:r>
        <w:t>8.1</w:t>
      </w:r>
      <w:r>
        <w:tab/>
        <w:t>If a Supplier owes money to the Buyer, the Buyer may deduct that sum from the Call-Off Contract Charges.</w:t>
      </w:r>
    </w:p>
    <w:p w14:paraId="4FC9B5FE" w14:textId="77777777" w:rsidR="00B848AA" w:rsidRDefault="00B848AA">
      <w:pPr>
        <w:spacing w:before="240" w:after="240"/>
        <w:ind w:left="720" w:hanging="720"/>
      </w:pPr>
    </w:p>
    <w:p w14:paraId="0857AEB6" w14:textId="77777777" w:rsidR="00B848AA" w:rsidRDefault="000A0EC2">
      <w:pPr>
        <w:pStyle w:val="Heading3"/>
      </w:pPr>
      <w:r>
        <w:t>9.</w:t>
      </w:r>
      <w:r>
        <w:tab/>
        <w:t>Insurance</w:t>
      </w:r>
    </w:p>
    <w:p w14:paraId="26D64300" w14:textId="77777777" w:rsidR="00B848AA" w:rsidRDefault="000A0EC2">
      <w:pPr>
        <w:spacing w:before="240" w:after="240"/>
        <w:ind w:left="660" w:hanging="660"/>
      </w:pPr>
      <w:r>
        <w:t>9.1</w:t>
      </w:r>
      <w:r>
        <w:tab/>
        <w:t>The Supplier will maintain the insurances required by the Buyer including those in this clause.</w:t>
      </w:r>
    </w:p>
    <w:p w14:paraId="04D52A66" w14:textId="77777777" w:rsidR="00B848AA" w:rsidRDefault="000A0EC2">
      <w:r>
        <w:t>9.2</w:t>
      </w:r>
      <w:r>
        <w:tab/>
        <w:t>The Supplier will ensure that:</w:t>
      </w:r>
    </w:p>
    <w:p w14:paraId="00C844E7" w14:textId="77777777" w:rsidR="00B848AA" w:rsidRDefault="00B848AA"/>
    <w:p w14:paraId="1E080E16" w14:textId="589B3F1B" w:rsidR="00B848AA" w:rsidRDefault="000A0EC2">
      <w:pPr>
        <w:ind w:left="1440" w:hanging="720"/>
      </w:pPr>
      <w:r>
        <w:t>9.2.1</w:t>
      </w:r>
      <w:r>
        <w:tab/>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r w:rsidR="00FC6665">
        <w:t>[Redacted]</w:t>
      </w:r>
    </w:p>
    <w:p w14:paraId="3611365D" w14:textId="77777777" w:rsidR="00B848AA" w:rsidRDefault="00B848AA">
      <w:pPr>
        <w:ind w:firstLine="720"/>
      </w:pPr>
    </w:p>
    <w:p w14:paraId="4D5F60FE" w14:textId="77777777" w:rsidR="00B848AA" w:rsidRDefault="000A0EC2">
      <w:pPr>
        <w:ind w:left="1440" w:hanging="720"/>
      </w:pPr>
      <w:r>
        <w:t>9.2.2</w:t>
      </w:r>
      <w:r>
        <w:tab/>
        <w:t>the third-party public and products liability insurance contains an ‘indemnity to principals’ clause for the Buyer’s benefit</w:t>
      </w:r>
    </w:p>
    <w:p w14:paraId="5F18D247" w14:textId="77777777" w:rsidR="00B848AA" w:rsidRDefault="00B848AA">
      <w:pPr>
        <w:ind w:firstLine="720"/>
      </w:pPr>
    </w:p>
    <w:p w14:paraId="5647DE1C" w14:textId="2AF02D60" w:rsidR="00B848AA" w:rsidRDefault="000A0EC2">
      <w:pPr>
        <w:ind w:left="1440" w:hanging="720"/>
      </w:pPr>
      <w:r>
        <w:t>9.2.3</w:t>
      </w:r>
      <w:r>
        <w:tab/>
        <w:t xml:space="preserve">all agents and professional consultants involved in the Services hold professional indemnity insurance to a minimum indemnity of </w:t>
      </w:r>
      <w:r w:rsidR="00FC6665">
        <w:t>[Redacted]</w:t>
      </w:r>
      <w:r w:rsidR="006961B5">
        <w:t xml:space="preserve"> </w:t>
      </w:r>
      <w:r>
        <w:t>for each individual claim during the Call-Off Contract, and for 6 years after the End or Expiry Date</w:t>
      </w:r>
    </w:p>
    <w:p w14:paraId="1E20BCBA" w14:textId="77777777" w:rsidR="00B848AA" w:rsidRDefault="00B848AA">
      <w:pPr>
        <w:ind w:firstLine="720"/>
      </w:pPr>
    </w:p>
    <w:p w14:paraId="68F4FC44" w14:textId="695E8501" w:rsidR="00B848AA" w:rsidRDefault="000A0EC2">
      <w:pPr>
        <w:ind w:left="1440" w:hanging="720"/>
      </w:pPr>
      <w:r>
        <w:t>9.2.4</w:t>
      </w:r>
      <w:r>
        <w:tab/>
        <w:t xml:space="preserve">all agents and professional consultants involved in the Services hold employers liability insurance (except where exempt under Law) to a minimum indemnity of </w:t>
      </w:r>
      <w:r w:rsidR="00FC6665">
        <w:t>[Redacted]</w:t>
      </w:r>
      <w:r w:rsidR="006961B5">
        <w:t xml:space="preserve"> </w:t>
      </w:r>
      <w:r>
        <w:t>for each individual claim during the Call-Off Contract, and for 6 years after the End or Expiry Date</w:t>
      </w:r>
    </w:p>
    <w:p w14:paraId="197EAE99" w14:textId="77777777" w:rsidR="00B848AA" w:rsidRDefault="00B848AA">
      <w:pPr>
        <w:ind w:left="720"/>
      </w:pPr>
    </w:p>
    <w:p w14:paraId="2BFCDAA8" w14:textId="77777777" w:rsidR="00B848AA" w:rsidRDefault="000A0EC2">
      <w:pPr>
        <w:ind w:left="720" w:hanging="720"/>
      </w:pPr>
      <w:r>
        <w:t>9.3</w:t>
      </w:r>
      <w:r>
        <w:tab/>
        <w:t>If requested by the Buyer, the Supplier will obtain additional insurance policies, or extend existing policies bought under the Framework Agreement.</w:t>
      </w:r>
    </w:p>
    <w:p w14:paraId="1E5D25EA" w14:textId="77777777" w:rsidR="00B848AA" w:rsidRDefault="00B848AA">
      <w:pPr>
        <w:ind w:left="720" w:firstLine="720"/>
      </w:pPr>
    </w:p>
    <w:p w14:paraId="76845566" w14:textId="77777777" w:rsidR="00B848AA" w:rsidRDefault="000A0EC2">
      <w:pPr>
        <w:ind w:left="720" w:hanging="720"/>
      </w:pPr>
      <w:r>
        <w:t>9.4</w:t>
      </w:r>
      <w:r>
        <w:tab/>
        <w:t>If requested by the Buyer, the Supplier will provide the following to show compliance with this clause:</w:t>
      </w:r>
    </w:p>
    <w:p w14:paraId="4DCD30A0" w14:textId="77777777" w:rsidR="00B848AA" w:rsidRDefault="00B848AA">
      <w:pPr>
        <w:ind w:firstLine="720"/>
      </w:pPr>
    </w:p>
    <w:p w14:paraId="53CF4CA8" w14:textId="77777777" w:rsidR="00B848AA" w:rsidRDefault="000A0EC2">
      <w:pPr>
        <w:ind w:firstLine="720"/>
      </w:pPr>
      <w:r>
        <w:t>9.4.1</w:t>
      </w:r>
      <w:r>
        <w:tab/>
        <w:t>a broker's verification of insurance</w:t>
      </w:r>
    </w:p>
    <w:p w14:paraId="52BC9D66" w14:textId="77777777" w:rsidR="00B848AA" w:rsidRDefault="00B848AA">
      <w:pPr>
        <w:ind w:firstLine="720"/>
      </w:pPr>
    </w:p>
    <w:p w14:paraId="28EF4020" w14:textId="77777777" w:rsidR="00B848AA" w:rsidRDefault="000A0EC2">
      <w:pPr>
        <w:ind w:firstLine="720"/>
      </w:pPr>
      <w:r>
        <w:t>9.4.2</w:t>
      </w:r>
      <w:r>
        <w:tab/>
        <w:t>receipts for the insurance premium</w:t>
      </w:r>
    </w:p>
    <w:p w14:paraId="7D7BDEF1" w14:textId="77777777" w:rsidR="00B848AA" w:rsidRDefault="00B848AA">
      <w:pPr>
        <w:ind w:firstLine="720"/>
      </w:pPr>
    </w:p>
    <w:p w14:paraId="1424C328" w14:textId="77777777" w:rsidR="00B848AA" w:rsidRDefault="000A0EC2">
      <w:pPr>
        <w:ind w:firstLine="720"/>
      </w:pPr>
      <w:r>
        <w:t>9.4.3</w:t>
      </w:r>
      <w:r>
        <w:tab/>
        <w:t>evidence of payment of the latest premiums due</w:t>
      </w:r>
    </w:p>
    <w:p w14:paraId="615F95E5" w14:textId="77777777" w:rsidR="00B848AA" w:rsidRDefault="00B848AA">
      <w:pPr>
        <w:ind w:firstLine="720"/>
      </w:pPr>
    </w:p>
    <w:p w14:paraId="2B064D28" w14:textId="77777777" w:rsidR="00B848AA" w:rsidRDefault="000A0EC2">
      <w:pPr>
        <w:ind w:left="720" w:hanging="720"/>
      </w:pPr>
      <w:r>
        <w:t>9.5</w:t>
      </w:r>
      <w:r>
        <w:tab/>
        <w:t>Insurance will not relieve the Supplier of any liabilities under the Framework Agreement or this Call-Off Contract and the Supplier will:</w:t>
      </w:r>
    </w:p>
    <w:p w14:paraId="2BCABEA4" w14:textId="77777777" w:rsidR="00B848AA" w:rsidRDefault="00B848AA">
      <w:pPr>
        <w:ind w:firstLine="720"/>
      </w:pPr>
    </w:p>
    <w:p w14:paraId="1C005B84" w14:textId="77777777" w:rsidR="00B848AA" w:rsidRDefault="000A0EC2">
      <w:pPr>
        <w:ind w:left="1440" w:hanging="720"/>
      </w:pPr>
      <w:r>
        <w:t>9.5.1</w:t>
      </w:r>
      <w:r>
        <w:tab/>
        <w:t>take all risk control measures using Good Industry Practice, including the investigation and reports of claims to insurers</w:t>
      </w:r>
    </w:p>
    <w:p w14:paraId="54C3AACC" w14:textId="77777777" w:rsidR="00B848AA" w:rsidRDefault="00B848AA">
      <w:pPr>
        <w:ind w:left="720" w:firstLine="720"/>
      </w:pPr>
    </w:p>
    <w:p w14:paraId="717C37C3" w14:textId="77777777" w:rsidR="00B848AA" w:rsidRDefault="000A0EC2">
      <w:pPr>
        <w:ind w:left="1440" w:hanging="720"/>
      </w:pPr>
      <w:r>
        <w:t>9.5.2</w:t>
      </w:r>
      <w:r>
        <w:tab/>
        <w:t>promptly notify the insurers in writing of any relevant material fact under any Insurances</w:t>
      </w:r>
    </w:p>
    <w:p w14:paraId="45742402" w14:textId="77777777" w:rsidR="00B848AA" w:rsidRDefault="00B848AA">
      <w:pPr>
        <w:ind w:firstLine="720"/>
      </w:pPr>
    </w:p>
    <w:p w14:paraId="1396376C" w14:textId="77777777" w:rsidR="00B848AA" w:rsidRDefault="000A0EC2">
      <w:pPr>
        <w:ind w:left="1440" w:hanging="720"/>
      </w:pPr>
      <w:r>
        <w:t>9.5.3</w:t>
      </w:r>
      <w:r>
        <w:tab/>
        <w:t>hold all insurance policies and require any broker arranging the insurance to hold any insurance slips and other evidence of insurance</w:t>
      </w:r>
    </w:p>
    <w:p w14:paraId="04D8E3C9" w14:textId="77777777" w:rsidR="00B848AA" w:rsidRDefault="000A0EC2">
      <w:r>
        <w:t xml:space="preserve"> </w:t>
      </w:r>
    </w:p>
    <w:p w14:paraId="0FA73651" w14:textId="77777777" w:rsidR="00B848AA" w:rsidRDefault="000A0EC2">
      <w:pPr>
        <w:ind w:left="720" w:hanging="720"/>
      </w:pPr>
      <w:r>
        <w:t>9.6</w:t>
      </w:r>
      <w:r>
        <w:tab/>
        <w:t>The Supplier will not do or omit to do anything, which would destroy or impair the legal validity of the insurance.</w:t>
      </w:r>
    </w:p>
    <w:p w14:paraId="1CDB7FEB" w14:textId="77777777" w:rsidR="00B848AA" w:rsidRDefault="00B848AA">
      <w:pPr>
        <w:ind w:firstLine="720"/>
      </w:pPr>
    </w:p>
    <w:p w14:paraId="2BC72095" w14:textId="77777777" w:rsidR="00B848AA" w:rsidRDefault="000A0EC2">
      <w:pPr>
        <w:ind w:left="720" w:hanging="720"/>
      </w:pPr>
      <w:r>
        <w:t>9.7</w:t>
      </w:r>
      <w:r>
        <w:tab/>
        <w:t>The Supplier will notify CCS and the Buyer as soon as possible if any insurance policies have been, or are due to be, cancelled, suspended, Ended or not renewed.</w:t>
      </w:r>
    </w:p>
    <w:p w14:paraId="1139AF2D" w14:textId="77777777" w:rsidR="00B848AA" w:rsidRDefault="00B848AA">
      <w:pPr>
        <w:ind w:firstLine="720"/>
      </w:pPr>
    </w:p>
    <w:p w14:paraId="6D0209EB" w14:textId="77777777" w:rsidR="00B848AA" w:rsidRDefault="000A0EC2">
      <w:r>
        <w:t>9.8</w:t>
      </w:r>
      <w:r>
        <w:tab/>
        <w:t>The Supplier will be liable for the payment of any:</w:t>
      </w:r>
    </w:p>
    <w:p w14:paraId="02435B89" w14:textId="77777777" w:rsidR="00B848AA" w:rsidRDefault="00B848AA"/>
    <w:p w14:paraId="6D1B3E41" w14:textId="77777777" w:rsidR="00B848AA" w:rsidRDefault="000A0EC2">
      <w:pPr>
        <w:ind w:firstLine="720"/>
      </w:pPr>
      <w:r>
        <w:t>9.8.1</w:t>
      </w:r>
      <w:r>
        <w:tab/>
        <w:t>premiums, which it will pay promptly</w:t>
      </w:r>
    </w:p>
    <w:p w14:paraId="49303941" w14:textId="77777777" w:rsidR="00B848AA" w:rsidRDefault="000A0EC2">
      <w:pPr>
        <w:ind w:firstLine="720"/>
      </w:pPr>
      <w:r>
        <w:t>9.8.2</w:t>
      </w:r>
      <w:r>
        <w:tab/>
        <w:t>excess or deductibles and will not be entitled to recover this from the Buyer</w:t>
      </w:r>
    </w:p>
    <w:p w14:paraId="5A1143E9" w14:textId="77777777" w:rsidR="00B848AA" w:rsidRDefault="00B848AA">
      <w:pPr>
        <w:ind w:firstLine="720"/>
      </w:pPr>
    </w:p>
    <w:p w14:paraId="63671E8E" w14:textId="77777777" w:rsidR="00B848AA" w:rsidRDefault="000A0EC2">
      <w:pPr>
        <w:pStyle w:val="Heading3"/>
        <w:spacing w:after="100"/>
      </w:pPr>
      <w:r>
        <w:t>10.</w:t>
      </w:r>
      <w:r>
        <w:tab/>
        <w:t>Confidentiality</w:t>
      </w:r>
    </w:p>
    <w:p w14:paraId="060C106C" w14:textId="77777777" w:rsidR="00B848AA" w:rsidRDefault="000A0EC2">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7DEA2C1" w14:textId="77777777" w:rsidR="00B848AA" w:rsidRDefault="00B848AA">
      <w:pPr>
        <w:ind w:left="720" w:hanging="720"/>
      </w:pPr>
    </w:p>
    <w:p w14:paraId="53167D56" w14:textId="77777777" w:rsidR="00B848AA" w:rsidRDefault="000A0EC2">
      <w:pPr>
        <w:pStyle w:val="Heading3"/>
        <w:spacing w:after="100"/>
      </w:pPr>
      <w:r>
        <w:t>11.</w:t>
      </w:r>
      <w:r>
        <w:tab/>
        <w:t>Intellectual Property Rights</w:t>
      </w:r>
    </w:p>
    <w:p w14:paraId="20D32110" w14:textId="77777777" w:rsidR="00B848AA" w:rsidRDefault="000A0EC2">
      <w:pPr>
        <w:ind w:left="720" w:hanging="720"/>
      </w:pPr>
      <w:r>
        <w:t>11.1</w:t>
      </w:r>
      <w:r>
        <w:tab/>
        <w:t>Unless otherwise specified in this Call-Off Contract, a Party will not acquire any right, title or interest in or to the Intellectual Property Rights (IPRs) of the other Party or its Licensors.</w:t>
      </w:r>
    </w:p>
    <w:p w14:paraId="5EA82DF7" w14:textId="77777777" w:rsidR="00B848AA" w:rsidRDefault="00B848AA">
      <w:pPr>
        <w:ind w:left="720"/>
      </w:pPr>
    </w:p>
    <w:p w14:paraId="74F83DAF" w14:textId="77777777" w:rsidR="00B848AA" w:rsidRDefault="000A0EC2">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263646C" w14:textId="77777777" w:rsidR="00B848AA" w:rsidRDefault="00B848AA">
      <w:pPr>
        <w:ind w:left="720"/>
      </w:pPr>
    </w:p>
    <w:p w14:paraId="6A107B31" w14:textId="77777777" w:rsidR="00B848AA" w:rsidRDefault="000A0EC2">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552FFAA" w14:textId="77777777" w:rsidR="00B848AA" w:rsidRDefault="00B848AA">
      <w:pPr>
        <w:ind w:left="720"/>
      </w:pPr>
    </w:p>
    <w:p w14:paraId="2C26CFB6" w14:textId="77777777" w:rsidR="00B848AA" w:rsidRDefault="000A0EC2">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7FB405F" w14:textId="77777777" w:rsidR="00B848AA" w:rsidRDefault="00B848AA">
      <w:pPr>
        <w:ind w:left="720"/>
      </w:pPr>
    </w:p>
    <w:p w14:paraId="2CE172C0" w14:textId="77777777" w:rsidR="00B848AA" w:rsidRDefault="000A0EC2">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FFBFB5A" w14:textId="77777777" w:rsidR="00B848AA" w:rsidRDefault="00B848AA">
      <w:pPr>
        <w:ind w:firstLine="720"/>
      </w:pPr>
    </w:p>
    <w:p w14:paraId="60E69019" w14:textId="77777777" w:rsidR="00B848AA" w:rsidRDefault="000A0EC2">
      <w:pPr>
        <w:ind w:firstLine="720"/>
      </w:pPr>
      <w:r>
        <w:lastRenderedPageBreak/>
        <w:t>11.5.1</w:t>
      </w:r>
      <w:r>
        <w:tab/>
        <w:t>rights granted to the Buyer under this Call-Off Contract</w:t>
      </w:r>
    </w:p>
    <w:p w14:paraId="0832F836" w14:textId="77777777" w:rsidR="00B848AA" w:rsidRDefault="00B848AA"/>
    <w:p w14:paraId="2668DD07" w14:textId="77777777" w:rsidR="00B848AA" w:rsidRDefault="000A0EC2">
      <w:pPr>
        <w:ind w:firstLine="720"/>
      </w:pPr>
      <w:r>
        <w:t>11.5.2</w:t>
      </w:r>
      <w:r>
        <w:tab/>
        <w:t>Supplier’s performance of the Services</w:t>
      </w:r>
    </w:p>
    <w:p w14:paraId="1FF40BDE" w14:textId="77777777" w:rsidR="00B848AA" w:rsidRDefault="00B848AA">
      <w:pPr>
        <w:ind w:firstLine="720"/>
      </w:pPr>
    </w:p>
    <w:p w14:paraId="70781192" w14:textId="77777777" w:rsidR="00B848AA" w:rsidRDefault="000A0EC2">
      <w:pPr>
        <w:ind w:firstLine="720"/>
      </w:pPr>
      <w:r>
        <w:t>11.5.3</w:t>
      </w:r>
      <w:r>
        <w:tab/>
        <w:t>use by the Buyer of the Services</w:t>
      </w:r>
    </w:p>
    <w:p w14:paraId="49470AA5" w14:textId="77777777" w:rsidR="00B848AA" w:rsidRDefault="00B848AA">
      <w:pPr>
        <w:ind w:firstLine="720"/>
      </w:pPr>
    </w:p>
    <w:p w14:paraId="4570387A" w14:textId="77777777" w:rsidR="00B848AA" w:rsidRDefault="000A0EC2">
      <w:pPr>
        <w:ind w:left="720" w:hanging="720"/>
      </w:pPr>
      <w:r>
        <w:t>11.6</w:t>
      </w:r>
      <w:r>
        <w:tab/>
        <w:t>If an IPR Claim is made, or is likely to be made, the Supplier will immediately notify the Buyer in writing and must at its own expense after written approval from the Buyer, either:</w:t>
      </w:r>
    </w:p>
    <w:p w14:paraId="7D3386AB" w14:textId="77777777" w:rsidR="00B848AA" w:rsidRDefault="00B848AA">
      <w:pPr>
        <w:ind w:firstLine="720"/>
      </w:pPr>
    </w:p>
    <w:p w14:paraId="3CC252F8" w14:textId="77777777" w:rsidR="00B848AA" w:rsidRDefault="000A0EC2">
      <w:pPr>
        <w:ind w:left="1440" w:hanging="720"/>
      </w:pPr>
      <w:r>
        <w:t>11.6.1</w:t>
      </w:r>
      <w:r>
        <w:tab/>
        <w:t>modify the relevant part of the Services without reducing its functionality or performance</w:t>
      </w:r>
    </w:p>
    <w:p w14:paraId="05F5CFE3" w14:textId="77777777" w:rsidR="00B848AA" w:rsidRDefault="00B848AA">
      <w:pPr>
        <w:ind w:left="720" w:firstLine="720"/>
      </w:pPr>
    </w:p>
    <w:p w14:paraId="4234D822" w14:textId="77777777" w:rsidR="00B848AA" w:rsidRDefault="000A0EC2">
      <w:pPr>
        <w:ind w:left="1440" w:hanging="720"/>
      </w:pPr>
      <w:r>
        <w:t>11.6.2</w:t>
      </w:r>
      <w:r>
        <w:tab/>
        <w:t>substitute Services of equivalent functionality and performance, to avoid the infringement or the alleged infringement, as long as there is no additional cost or burden to the Buyer</w:t>
      </w:r>
    </w:p>
    <w:p w14:paraId="005471B0" w14:textId="77777777" w:rsidR="00B848AA" w:rsidRDefault="00B848AA">
      <w:pPr>
        <w:ind w:left="1440"/>
      </w:pPr>
    </w:p>
    <w:p w14:paraId="429A1E8A" w14:textId="77777777" w:rsidR="00B848AA" w:rsidRDefault="000A0EC2">
      <w:pPr>
        <w:ind w:left="1440" w:hanging="720"/>
      </w:pPr>
      <w:r>
        <w:t>11.6.3</w:t>
      </w:r>
      <w:r>
        <w:tab/>
        <w:t>buy a licence to use and supply the Services which are the subject of the alleged infringement, on terms acceptable to the Buyer</w:t>
      </w:r>
    </w:p>
    <w:p w14:paraId="2D92776A" w14:textId="77777777" w:rsidR="00B848AA" w:rsidRDefault="00B848AA">
      <w:pPr>
        <w:ind w:left="720" w:firstLine="720"/>
      </w:pPr>
    </w:p>
    <w:p w14:paraId="66FBF938" w14:textId="77777777" w:rsidR="00B848AA" w:rsidRDefault="000A0EC2">
      <w:r>
        <w:t>11.7</w:t>
      </w:r>
      <w:r>
        <w:tab/>
        <w:t>Clause 11.5 will not apply if the IPR Claim is from:</w:t>
      </w:r>
    </w:p>
    <w:p w14:paraId="6B94BFC5" w14:textId="77777777" w:rsidR="00B848AA" w:rsidRDefault="00B848AA"/>
    <w:p w14:paraId="448DCE05" w14:textId="77777777" w:rsidR="00B848AA" w:rsidRDefault="000A0EC2">
      <w:pPr>
        <w:ind w:left="1440" w:hanging="720"/>
      </w:pPr>
      <w:r>
        <w:t>11.7.2</w:t>
      </w:r>
      <w:r>
        <w:tab/>
        <w:t>the use of data supplied by the Buyer which the Supplier isn’t required to verify under this Call-Off Contract</w:t>
      </w:r>
    </w:p>
    <w:p w14:paraId="0F256D90" w14:textId="77777777" w:rsidR="00B848AA" w:rsidRDefault="00B848AA">
      <w:pPr>
        <w:ind w:left="720" w:firstLine="720"/>
      </w:pPr>
    </w:p>
    <w:p w14:paraId="29E8D553" w14:textId="77777777" w:rsidR="00B848AA" w:rsidRDefault="000A0EC2">
      <w:pPr>
        <w:ind w:firstLine="720"/>
      </w:pPr>
      <w:r>
        <w:t>11.7.3</w:t>
      </w:r>
      <w:r>
        <w:tab/>
        <w:t>other material provided by the Buyer necessary for the Services</w:t>
      </w:r>
    </w:p>
    <w:p w14:paraId="644CAAD7" w14:textId="77777777" w:rsidR="00B848AA" w:rsidRDefault="00B848AA">
      <w:pPr>
        <w:ind w:firstLine="720"/>
      </w:pPr>
    </w:p>
    <w:p w14:paraId="6C42E434" w14:textId="77777777" w:rsidR="00B848AA" w:rsidRDefault="000A0EC2">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D398085" w14:textId="77777777" w:rsidR="00B848AA" w:rsidRDefault="00B848AA">
      <w:pPr>
        <w:ind w:left="720" w:hanging="720"/>
      </w:pPr>
    </w:p>
    <w:p w14:paraId="0204623C" w14:textId="77777777" w:rsidR="00B848AA" w:rsidRDefault="000A0EC2">
      <w:pPr>
        <w:pStyle w:val="Heading3"/>
      </w:pPr>
      <w:r>
        <w:t>12.</w:t>
      </w:r>
      <w:r>
        <w:tab/>
        <w:t>Protection of information</w:t>
      </w:r>
    </w:p>
    <w:p w14:paraId="7D394B32" w14:textId="77777777" w:rsidR="00B848AA" w:rsidRDefault="000A0EC2">
      <w:pPr>
        <w:spacing w:before="240" w:after="240"/>
      </w:pPr>
      <w:r>
        <w:t>12.1</w:t>
      </w:r>
      <w:r>
        <w:tab/>
        <w:t>The Supplier must:</w:t>
      </w:r>
    </w:p>
    <w:p w14:paraId="1A06AE3C" w14:textId="77777777" w:rsidR="00B848AA" w:rsidRDefault="000A0EC2">
      <w:pPr>
        <w:ind w:left="1440" w:hanging="720"/>
      </w:pPr>
      <w:r>
        <w:t>12.1.1</w:t>
      </w:r>
      <w:r>
        <w:tab/>
        <w:t>comply with the Buyer’s written instructions and this Call-Off Contract when Processing Buyer Personal Data</w:t>
      </w:r>
    </w:p>
    <w:p w14:paraId="0D5701F3" w14:textId="77777777" w:rsidR="00B848AA" w:rsidRDefault="00B848AA">
      <w:pPr>
        <w:ind w:left="720" w:firstLine="720"/>
      </w:pPr>
    </w:p>
    <w:p w14:paraId="5DF28C0F" w14:textId="77777777" w:rsidR="00B848AA" w:rsidRDefault="000A0EC2">
      <w:pPr>
        <w:ind w:left="1440" w:hanging="720"/>
      </w:pPr>
      <w:r>
        <w:t>12.1.2</w:t>
      </w:r>
      <w:r>
        <w:tab/>
        <w:t>only Process the Buyer Personal Data as necessary for the provision of the G-Cloud Services or as required by Law or any Regulatory Body</w:t>
      </w:r>
    </w:p>
    <w:p w14:paraId="3CF411E9" w14:textId="77777777" w:rsidR="00B848AA" w:rsidRDefault="00B848AA">
      <w:pPr>
        <w:ind w:left="720" w:firstLine="720"/>
      </w:pPr>
    </w:p>
    <w:p w14:paraId="7A5FF826" w14:textId="77777777" w:rsidR="00B848AA" w:rsidRDefault="000A0EC2">
      <w:pPr>
        <w:ind w:left="1440" w:hanging="720"/>
      </w:pPr>
      <w:r>
        <w:t>12.1.3</w:t>
      </w:r>
      <w:r>
        <w:tab/>
        <w:t>take reasonable steps to ensure that any Supplier Staff who have access to Buyer Personal Data act in compliance with Supplier's security processes</w:t>
      </w:r>
    </w:p>
    <w:p w14:paraId="4EBFC835" w14:textId="77777777" w:rsidR="00B848AA" w:rsidRDefault="00B848AA">
      <w:pPr>
        <w:ind w:left="720" w:firstLine="720"/>
      </w:pPr>
    </w:p>
    <w:p w14:paraId="2E708394" w14:textId="77777777" w:rsidR="00B848AA" w:rsidRDefault="000A0EC2">
      <w:pPr>
        <w:ind w:left="720" w:hanging="720"/>
      </w:pPr>
      <w:r>
        <w:t>12.2</w:t>
      </w:r>
      <w:r>
        <w:tab/>
        <w:t>The Supplier must fully assist with any complaint or request for Buyer Personal Data including by:</w:t>
      </w:r>
    </w:p>
    <w:p w14:paraId="2D7494F1" w14:textId="77777777" w:rsidR="00B848AA" w:rsidRDefault="00B848AA">
      <w:pPr>
        <w:ind w:firstLine="720"/>
      </w:pPr>
    </w:p>
    <w:p w14:paraId="6C82A2A9" w14:textId="77777777" w:rsidR="00B848AA" w:rsidRDefault="000A0EC2">
      <w:pPr>
        <w:ind w:firstLine="720"/>
      </w:pPr>
      <w:r>
        <w:t>12.2.1</w:t>
      </w:r>
      <w:r>
        <w:tab/>
        <w:t>providing the Buyer with full details of the complaint or request</w:t>
      </w:r>
    </w:p>
    <w:p w14:paraId="6AA727AD" w14:textId="77777777" w:rsidR="00B848AA" w:rsidRDefault="00B848AA">
      <w:pPr>
        <w:ind w:firstLine="720"/>
      </w:pPr>
    </w:p>
    <w:p w14:paraId="29AA0279" w14:textId="77777777" w:rsidR="00B848AA" w:rsidRDefault="000A0EC2">
      <w:pPr>
        <w:ind w:left="1440" w:hanging="720"/>
      </w:pPr>
      <w:r>
        <w:lastRenderedPageBreak/>
        <w:t>12.2.2</w:t>
      </w:r>
      <w:r>
        <w:tab/>
        <w:t>complying with a data access request within the timescales in the Data Protection Legislation and following the Buyer’s instructions</w:t>
      </w:r>
    </w:p>
    <w:p w14:paraId="7A2DA1A3" w14:textId="77777777" w:rsidR="00B848AA" w:rsidRDefault="00B848AA"/>
    <w:p w14:paraId="439EE792" w14:textId="77777777" w:rsidR="00B848AA" w:rsidRDefault="000A0EC2">
      <w:pPr>
        <w:ind w:left="1440" w:hanging="720"/>
      </w:pPr>
      <w:r>
        <w:t>12.2.3</w:t>
      </w:r>
      <w:r>
        <w:tab/>
        <w:t>providing the Buyer with any Buyer Personal Data it holds about a Data Subject (within the timescales required by the Buyer)</w:t>
      </w:r>
    </w:p>
    <w:p w14:paraId="4226A188" w14:textId="77777777" w:rsidR="00B848AA" w:rsidRDefault="00B848AA">
      <w:pPr>
        <w:ind w:left="720" w:firstLine="720"/>
      </w:pPr>
    </w:p>
    <w:p w14:paraId="5F0FC1E9" w14:textId="77777777" w:rsidR="00B848AA" w:rsidRDefault="000A0EC2">
      <w:pPr>
        <w:ind w:firstLine="720"/>
      </w:pPr>
      <w:r>
        <w:t>12.2.4</w:t>
      </w:r>
      <w:r>
        <w:tab/>
        <w:t>providing the Buyer with any information requested by the Data Subject</w:t>
      </w:r>
    </w:p>
    <w:p w14:paraId="7A8EE9DF" w14:textId="77777777" w:rsidR="00B848AA" w:rsidRDefault="00B848AA">
      <w:pPr>
        <w:ind w:firstLine="720"/>
      </w:pPr>
    </w:p>
    <w:p w14:paraId="57AF153C" w14:textId="77777777" w:rsidR="00B848AA" w:rsidRDefault="000A0EC2">
      <w:pPr>
        <w:ind w:left="720" w:hanging="720"/>
      </w:pPr>
      <w:r>
        <w:t>12.3</w:t>
      </w:r>
      <w:r>
        <w:tab/>
        <w:t>The Supplier must get prior written consent from the Buyer to transfer Buyer Personal Data to any other person (including any Subcontractors) for the provision of the G-Cloud Services.</w:t>
      </w:r>
    </w:p>
    <w:p w14:paraId="72CE7722" w14:textId="77777777" w:rsidR="00B848AA" w:rsidRDefault="00B848AA">
      <w:pPr>
        <w:ind w:left="720" w:hanging="720"/>
      </w:pPr>
    </w:p>
    <w:p w14:paraId="75BD5978" w14:textId="77777777" w:rsidR="00B848AA" w:rsidRDefault="000A0EC2">
      <w:pPr>
        <w:pStyle w:val="Heading3"/>
      </w:pPr>
      <w:r>
        <w:t>13.</w:t>
      </w:r>
      <w:r>
        <w:tab/>
        <w:t>Buyer data</w:t>
      </w:r>
    </w:p>
    <w:p w14:paraId="7C1E5630" w14:textId="77777777" w:rsidR="00B848AA" w:rsidRDefault="000A0EC2">
      <w:pPr>
        <w:spacing w:before="240" w:after="240"/>
      </w:pPr>
      <w:r>
        <w:t>13.1</w:t>
      </w:r>
      <w:r>
        <w:tab/>
        <w:t>The Supplier must not remove any proprietary notices in the Buyer Data.</w:t>
      </w:r>
    </w:p>
    <w:p w14:paraId="32DD6A8C" w14:textId="77777777" w:rsidR="00B848AA" w:rsidRDefault="000A0EC2">
      <w:r>
        <w:t>13.2</w:t>
      </w:r>
      <w:r>
        <w:tab/>
        <w:t xml:space="preserve">The Supplier will not store or use Buyer Data except if necessary to fulfil its </w:t>
      </w:r>
    </w:p>
    <w:p w14:paraId="734D411E" w14:textId="77777777" w:rsidR="00B848AA" w:rsidRDefault="000A0EC2">
      <w:pPr>
        <w:ind w:firstLine="720"/>
      </w:pPr>
      <w:r>
        <w:t>obligations.</w:t>
      </w:r>
    </w:p>
    <w:p w14:paraId="75C807F1" w14:textId="77777777" w:rsidR="00B848AA" w:rsidRDefault="00B848AA"/>
    <w:p w14:paraId="15E5A60F" w14:textId="77777777" w:rsidR="00B848AA" w:rsidRDefault="000A0EC2">
      <w:pPr>
        <w:ind w:left="720" w:hanging="720"/>
      </w:pPr>
      <w:r>
        <w:t>13.3</w:t>
      </w:r>
      <w:r>
        <w:tab/>
        <w:t>If Buyer Data is processed by the Supplier, the Supplier will supply the data to the Buyer as requested.</w:t>
      </w:r>
    </w:p>
    <w:p w14:paraId="26204A85" w14:textId="77777777" w:rsidR="00B848AA" w:rsidRDefault="00B848AA"/>
    <w:p w14:paraId="3FD78537" w14:textId="77777777" w:rsidR="00B848AA" w:rsidRDefault="000A0EC2">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A1E71F6" w14:textId="77777777" w:rsidR="00B848AA" w:rsidRDefault="00B848AA">
      <w:pPr>
        <w:ind w:left="720"/>
      </w:pPr>
    </w:p>
    <w:p w14:paraId="0D06C230" w14:textId="77777777" w:rsidR="00B848AA" w:rsidRDefault="000A0EC2">
      <w:pPr>
        <w:ind w:left="720" w:hanging="720"/>
      </w:pPr>
      <w:r>
        <w:t>13.5</w:t>
      </w:r>
      <w:r>
        <w:tab/>
        <w:t>The Supplier will preserve the integrity of Buyer Data processed by the Supplier and prevent its corruption and loss.</w:t>
      </w:r>
    </w:p>
    <w:p w14:paraId="57545A6B" w14:textId="77777777" w:rsidR="00B848AA" w:rsidRDefault="00B848AA">
      <w:pPr>
        <w:ind w:firstLine="720"/>
      </w:pPr>
    </w:p>
    <w:p w14:paraId="5A1D9070" w14:textId="77777777" w:rsidR="00B848AA" w:rsidRDefault="000A0EC2">
      <w:pPr>
        <w:ind w:left="720" w:hanging="720"/>
      </w:pPr>
      <w:r>
        <w:t>13.6</w:t>
      </w:r>
      <w:r>
        <w:tab/>
        <w:t>The Supplier will ensure that any Supplier system which holds any protectively marked Buyer Data or other government data will comply with:</w:t>
      </w:r>
    </w:p>
    <w:p w14:paraId="3B3B0329" w14:textId="77777777" w:rsidR="00B848AA" w:rsidRDefault="00B848AA">
      <w:pPr>
        <w:ind w:firstLine="720"/>
      </w:pPr>
    </w:p>
    <w:p w14:paraId="61F51A01" w14:textId="5793B3ED" w:rsidR="00B848AA" w:rsidRDefault="000A0EC2">
      <w:pPr>
        <w:ind w:firstLine="720"/>
      </w:pPr>
      <w:r>
        <w:t>13.6.1</w:t>
      </w:r>
      <w:r>
        <w:tab/>
        <w:t>the principles in the Security Policy Framework:</w:t>
      </w:r>
      <w:hyperlink r:id="rId22" w:history="1">
        <w:r>
          <w:t xml:space="preserve"> </w:t>
        </w:r>
      </w:hyperlink>
    </w:p>
    <w:p w14:paraId="12F3779A" w14:textId="586A7F89" w:rsidR="00B848AA" w:rsidRDefault="006B2F1E">
      <w:pPr>
        <w:ind w:left="1440"/>
      </w:pPr>
      <w:hyperlink r:id="rId23" w:history="1">
        <w:r w:rsidR="000A0EC2">
          <w:rPr>
            <w:rStyle w:val="Hyperlink"/>
          </w:rPr>
          <w:t>https://www.gov.uk/government/publications/security-policy-framework</w:t>
        </w:r>
      </w:hyperlink>
      <w:r w:rsidR="000A0EC2">
        <w:rPr>
          <w:rStyle w:val="Hyperlink"/>
        </w:rPr>
        <w:t xml:space="preserve"> and</w:t>
      </w:r>
    </w:p>
    <w:p w14:paraId="213FFD41" w14:textId="77777777" w:rsidR="00B848AA" w:rsidRDefault="000A0EC2">
      <w:pPr>
        <w:ind w:left="1440"/>
      </w:pPr>
      <w:r>
        <w:t>the Government Security Classification policy</w:t>
      </w:r>
      <w:r>
        <w:rPr>
          <w:color w:val="1155CC"/>
          <w:u w:val="single"/>
        </w:rPr>
        <w:t>: https:/www.gov.uk/government/publications/government-security-classifications</w:t>
      </w:r>
    </w:p>
    <w:p w14:paraId="2EE363D5" w14:textId="77777777" w:rsidR="00B848AA" w:rsidRDefault="00B848AA">
      <w:pPr>
        <w:ind w:left="1440"/>
      </w:pPr>
    </w:p>
    <w:p w14:paraId="6479A537" w14:textId="77777777" w:rsidR="00B848AA" w:rsidRDefault="000A0EC2">
      <w:pPr>
        <w:ind w:firstLine="720"/>
      </w:pPr>
      <w:r>
        <w:t>13.6.2</w:t>
      </w:r>
      <w:r>
        <w:tab/>
        <w:t xml:space="preserve">guidance issued by the Centre for Protection of National Infrastructure on </w:t>
      </w:r>
    </w:p>
    <w:p w14:paraId="29C409B8" w14:textId="08AB8EF4" w:rsidR="00B848AA" w:rsidRDefault="000A0EC2">
      <w:pPr>
        <w:ind w:left="720" w:firstLine="720"/>
      </w:pPr>
      <w:r>
        <w:t>Risk Management</w:t>
      </w:r>
      <w:hyperlink r:id="rId24" w:history="1">
        <w:r>
          <w:t>:</w:t>
        </w:r>
      </w:hyperlink>
    </w:p>
    <w:p w14:paraId="60B5B068" w14:textId="3897D47F" w:rsidR="00B848AA" w:rsidRDefault="006B2F1E">
      <w:pPr>
        <w:ind w:left="720" w:firstLine="720"/>
      </w:pPr>
      <w:hyperlink r:id="rId25" w:history="1">
        <w:r w:rsidR="000A0EC2">
          <w:rPr>
            <w:color w:val="1155CC"/>
            <w:u w:val="single"/>
          </w:rPr>
          <w:t>https://www.cpni.gov.uk/content/adopt-risk-management-approach</w:t>
        </w:r>
      </w:hyperlink>
      <w:r w:rsidR="000A0EC2">
        <w:t xml:space="preserve"> and</w:t>
      </w:r>
    </w:p>
    <w:p w14:paraId="353D7A72" w14:textId="33BFEC45" w:rsidR="00B848AA" w:rsidRDefault="000A0EC2">
      <w:pPr>
        <w:ind w:left="720" w:firstLine="720"/>
      </w:pPr>
      <w:r>
        <w:t>Protection of Sensitive Information and Assets:</w:t>
      </w:r>
      <w:hyperlink r:id="rId26" w:history="1">
        <w:r>
          <w:t xml:space="preserve"> </w:t>
        </w:r>
      </w:hyperlink>
    </w:p>
    <w:p w14:paraId="128F3A23" w14:textId="64D7EEA0" w:rsidR="00B848AA" w:rsidRDefault="006B2F1E">
      <w:pPr>
        <w:ind w:left="720" w:firstLine="720"/>
      </w:pPr>
      <w:hyperlink r:id="rId27" w:history="1">
        <w:r w:rsidR="000A0EC2">
          <w:rPr>
            <w:color w:val="1155CC"/>
            <w:u w:val="single"/>
          </w:rPr>
          <w:t>https://www.cpni.gov.uk/protection-sensitive-information-and-assets</w:t>
        </w:r>
      </w:hyperlink>
    </w:p>
    <w:p w14:paraId="1BB61893" w14:textId="77777777" w:rsidR="00B848AA" w:rsidRDefault="00B848AA">
      <w:pPr>
        <w:ind w:left="720" w:firstLine="720"/>
      </w:pPr>
    </w:p>
    <w:p w14:paraId="33D97A4C" w14:textId="77777777" w:rsidR="00B848AA" w:rsidRDefault="000A0EC2">
      <w:pPr>
        <w:ind w:left="1440" w:hanging="720"/>
      </w:pPr>
      <w:r>
        <w:t>13.6.3</w:t>
      </w:r>
      <w:r>
        <w:tab/>
        <w:t>the National Cyber Security Centre’s (NCSC) information risk management guidance:</w:t>
      </w:r>
    </w:p>
    <w:p w14:paraId="3935869C" w14:textId="4AEA6EFA" w:rsidR="00B848AA" w:rsidRDefault="006B2F1E">
      <w:pPr>
        <w:ind w:left="720" w:firstLine="720"/>
      </w:pPr>
      <w:hyperlink r:id="rId28" w:history="1">
        <w:r w:rsidR="000A0EC2">
          <w:rPr>
            <w:color w:val="1155CC"/>
            <w:u w:val="single"/>
          </w:rPr>
          <w:t>https://www.ncsc.gov.uk/collection/risk-management-collection</w:t>
        </w:r>
      </w:hyperlink>
    </w:p>
    <w:p w14:paraId="5579CFB5" w14:textId="77777777" w:rsidR="00B848AA" w:rsidRDefault="00B848AA"/>
    <w:p w14:paraId="3D224612" w14:textId="77777777" w:rsidR="00B848AA" w:rsidRDefault="000A0EC2">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66E6E8EB" w14:textId="1EB05A85" w:rsidR="00B848AA" w:rsidRDefault="006B2F1E">
      <w:pPr>
        <w:ind w:left="1440"/>
      </w:pPr>
      <w:hyperlink r:id="rId29" w:history="1">
        <w:r w:rsidR="000A0EC2">
          <w:rPr>
            <w:rStyle w:val="Hyperlink"/>
          </w:rPr>
          <w:t>https://www.gov.uk/government/publications/technology-code-of-practice/technology-code-of-practice</w:t>
        </w:r>
      </w:hyperlink>
    </w:p>
    <w:p w14:paraId="43826B0B" w14:textId="77777777" w:rsidR="00B848AA" w:rsidRDefault="00B848AA">
      <w:pPr>
        <w:ind w:left="1440"/>
      </w:pPr>
    </w:p>
    <w:p w14:paraId="7D515F82" w14:textId="6E8D50CB" w:rsidR="00B848AA" w:rsidRDefault="000A0EC2">
      <w:pPr>
        <w:ind w:left="1440" w:hanging="720"/>
      </w:pPr>
      <w:r>
        <w:t>13.6.5</w:t>
      </w:r>
      <w:r>
        <w:tab/>
        <w:t>the security requirements of cloud services using the NCSC Cloud Security Principles and accompanying guidance:</w:t>
      </w:r>
      <w:hyperlink r:id="rId30" w:history="1">
        <w:r>
          <w:t xml:space="preserve"> </w:t>
        </w:r>
      </w:hyperlink>
    </w:p>
    <w:p w14:paraId="35C9E840" w14:textId="3E616997" w:rsidR="00B848AA" w:rsidRDefault="006B2F1E">
      <w:pPr>
        <w:ind w:left="720" w:firstLine="720"/>
      </w:pPr>
      <w:hyperlink r:id="rId31" w:history="1">
        <w:r w:rsidR="000A0EC2">
          <w:rPr>
            <w:rStyle w:val="Hyperlink"/>
          </w:rPr>
          <w:t>https://www.ncsc.gov.uk/guidance/implementing-cloud-security-principles</w:t>
        </w:r>
      </w:hyperlink>
    </w:p>
    <w:p w14:paraId="1DDFB9FE" w14:textId="77777777" w:rsidR="00B848AA" w:rsidRDefault="00B848AA"/>
    <w:p w14:paraId="2AEEF77A" w14:textId="77777777" w:rsidR="00B848AA" w:rsidRDefault="000A0EC2">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2C98D19F" w14:textId="77777777" w:rsidR="00B848AA" w:rsidRDefault="00B848AA"/>
    <w:p w14:paraId="7DAE937B" w14:textId="77777777" w:rsidR="00B848AA" w:rsidRDefault="000A0EC2">
      <w:r>
        <w:t>13.7</w:t>
      </w:r>
      <w:r>
        <w:tab/>
        <w:t>The Buyer will specify any security requirements for this project in the Order Form.</w:t>
      </w:r>
    </w:p>
    <w:p w14:paraId="2D5CC3E8" w14:textId="77777777" w:rsidR="00B848AA" w:rsidRDefault="00B848AA"/>
    <w:p w14:paraId="5AD45640" w14:textId="77777777" w:rsidR="00B848AA" w:rsidRDefault="000A0EC2">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EFDAD38" w14:textId="77777777" w:rsidR="00B848AA" w:rsidRDefault="00B848AA">
      <w:pPr>
        <w:ind w:left="720"/>
      </w:pPr>
    </w:p>
    <w:p w14:paraId="04EAFA44" w14:textId="77777777" w:rsidR="00B848AA" w:rsidRDefault="000A0EC2">
      <w:pPr>
        <w:ind w:left="720" w:hanging="720"/>
      </w:pPr>
      <w:r>
        <w:t>13.9</w:t>
      </w:r>
      <w:r>
        <w:tab/>
        <w:t>The Supplier agrees to use the appropriate organisational, operational and technological processes to keep the Buyer Data safe from unauthorised use or access, loss, destruction, theft or disclosure.</w:t>
      </w:r>
    </w:p>
    <w:p w14:paraId="458FA9AA" w14:textId="77777777" w:rsidR="00B848AA" w:rsidRDefault="00B848AA">
      <w:pPr>
        <w:ind w:left="720"/>
      </w:pPr>
    </w:p>
    <w:p w14:paraId="336CC9FB" w14:textId="77777777" w:rsidR="00B848AA" w:rsidRDefault="000A0EC2">
      <w:pPr>
        <w:ind w:left="720" w:hanging="720"/>
      </w:pPr>
      <w:r>
        <w:t>13.10</w:t>
      </w:r>
      <w:r>
        <w:tab/>
        <w:t>The provisions of this clause 13 will apply during the term of this Call-Off Contract and for as long as the Supplier holds the Buyer’s Data.</w:t>
      </w:r>
    </w:p>
    <w:p w14:paraId="6F8D793F" w14:textId="77777777" w:rsidR="00B848AA" w:rsidRDefault="00B848AA">
      <w:pPr>
        <w:spacing w:before="240" w:after="240"/>
      </w:pPr>
    </w:p>
    <w:p w14:paraId="217168A4" w14:textId="77777777" w:rsidR="00B848AA" w:rsidRDefault="000A0EC2">
      <w:pPr>
        <w:pStyle w:val="Heading3"/>
      </w:pPr>
      <w:r>
        <w:t>14.</w:t>
      </w:r>
      <w:r>
        <w:tab/>
        <w:t>Standards and quality</w:t>
      </w:r>
    </w:p>
    <w:p w14:paraId="16C80DB5" w14:textId="77777777" w:rsidR="00B848AA" w:rsidRDefault="000A0EC2">
      <w:pPr>
        <w:ind w:left="720" w:hanging="720"/>
      </w:pPr>
      <w:r>
        <w:t>14.1</w:t>
      </w:r>
      <w:r>
        <w:tab/>
        <w:t>The Supplier will comply with any standards in this Call-Off Contract, the Order Form and the Framework Agreement.</w:t>
      </w:r>
    </w:p>
    <w:p w14:paraId="13C2A017" w14:textId="77777777" w:rsidR="00B848AA" w:rsidRDefault="00B848AA">
      <w:pPr>
        <w:ind w:firstLine="720"/>
      </w:pPr>
    </w:p>
    <w:p w14:paraId="2C8442D6" w14:textId="3A1CAAC9" w:rsidR="00B848AA" w:rsidRDefault="000A0EC2">
      <w:pPr>
        <w:ind w:left="720" w:hanging="720"/>
      </w:pPr>
      <w:r>
        <w:t>14.2</w:t>
      </w:r>
      <w:r>
        <w:tab/>
        <w:t>The Supplier will deliver the Services in a way that enables the Buyer to comply with its obligations under the Technology Code of Practice, which is at:</w:t>
      </w:r>
      <w:hyperlink r:id="rId32" w:history="1">
        <w:r>
          <w:t xml:space="preserve"> </w:t>
        </w:r>
      </w:hyperlink>
    </w:p>
    <w:p w14:paraId="6904D339" w14:textId="78D0AE31" w:rsidR="00B848AA" w:rsidRDefault="006B2F1E">
      <w:pPr>
        <w:ind w:left="720"/>
      </w:pPr>
      <w:hyperlink r:id="rId33" w:history="1">
        <w:r w:rsidR="000A0EC2">
          <w:rPr>
            <w:color w:val="1155CC"/>
            <w:u w:val="single"/>
          </w:rPr>
          <w:t>https://www.gov.uk/government/publications/technology-code-of-practice/technology-code-of-practice</w:t>
        </w:r>
      </w:hyperlink>
    </w:p>
    <w:p w14:paraId="7928167B" w14:textId="77777777" w:rsidR="00B848AA" w:rsidRDefault="00B848AA">
      <w:pPr>
        <w:ind w:left="720" w:hanging="720"/>
      </w:pPr>
    </w:p>
    <w:p w14:paraId="11F378A7" w14:textId="77777777" w:rsidR="00B848AA" w:rsidRDefault="000A0EC2">
      <w:pPr>
        <w:ind w:left="720" w:hanging="720"/>
      </w:pPr>
      <w:r>
        <w:t>14.3</w:t>
      </w:r>
      <w:r>
        <w:tab/>
        <w:t>If requested by the Buyer, the Supplier must, at its own cost, ensure that the G-Cloud Services comply with the requirements in the PSN Code of Practice.</w:t>
      </w:r>
    </w:p>
    <w:p w14:paraId="44685DD5" w14:textId="77777777" w:rsidR="00B848AA" w:rsidRDefault="00B848AA">
      <w:pPr>
        <w:ind w:firstLine="720"/>
      </w:pPr>
    </w:p>
    <w:p w14:paraId="72E492F0" w14:textId="77777777" w:rsidR="00B848AA" w:rsidRDefault="000A0EC2">
      <w:pPr>
        <w:ind w:left="720" w:hanging="720"/>
      </w:pPr>
      <w:r>
        <w:t>14.4</w:t>
      </w:r>
      <w:r>
        <w:tab/>
        <w:t>If any PSN Services are Subcontracted by the Supplier, the Supplier must ensure that the services have the relevant PSN compliance certification.</w:t>
      </w:r>
    </w:p>
    <w:p w14:paraId="45E5E3DE" w14:textId="77777777" w:rsidR="00B848AA" w:rsidRDefault="00B848AA">
      <w:pPr>
        <w:ind w:firstLine="720"/>
      </w:pPr>
    </w:p>
    <w:p w14:paraId="1F639E08" w14:textId="78B79172" w:rsidR="00B848AA" w:rsidRDefault="000A0EC2">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4" w:history="1">
        <w:r>
          <w:t>.</w:t>
        </w:r>
      </w:hyperlink>
    </w:p>
    <w:p w14:paraId="4BB25F57" w14:textId="77777777" w:rsidR="00B848AA" w:rsidRDefault="000A0EC2">
      <w:r>
        <w:t xml:space="preserve"> </w:t>
      </w:r>
    </w:p>
    <w:p w14:paraId="15005C8F" w14:textId="77777777" w:rsidR="00B848AA" w:rsidRDefault="000A0EC2">
      <w:pPr>
        <w:pStyle w:val="Heading3"/>
      </w:pPr>
      <w:r>
        <w:lastRenderedPageBreak/>
        <w:t>15.</w:t>
      </w:r>
      <w:r>
        <w:tab/>
        <w:t>Open source</w:t>
      </w:r>
    </w:p>
    <w:p w14:paraId="49EB8628" w14:textId="77777777" w:rsidR="00B848AA" w:rsidRDefault="000A0EC2">
      <w:pPr>
        <w:ind w:left="720" w:hanging="720"/>
      </w:pPr>
      <w:r>
        <w:t>15.1</w:t>
      </w:r>
      <w:r>
        <w:tab/>
        <w:t>All software created for the Buyer must be suitable for publication as open source, unless otherwise agreed by the Buyer.</w:t>
      </w:r>
    </w:p>
    <w:p w14:paraId="6B868CD0" w14:textId="77777777" w:rsidR="00B848AA" w:rsidRDefault="00B848AA">
      <w:pPr>
        <w:ind w:firstLine="720"/>
      </w:pPr>
    </w:p>
    <w:p w14:paraId="23D4F110" w14:textId="77777777" w:rsidR="00B848AA" w:rsidRDefault="000A0EC2">
      <w:pPr>
        <w:ind w:left="720" w:hanging="720"/>
      </w:pPr>
      <w:r>
        <w:t>15.2</w:t>
      </w:r>
      <w:r>
        <w:tab/>
        <w:t>If software needs to be converted before publication as open source, the Supplier must also provide the converted format unless otherwise agreed by the Buyer.</w:t>
      </w:r>
    </w:p>
    <w:p w14:paraId="3B30C310" w14:textId="77777777" w:rsidR="00B848AA" w:rsidRDefault="000A0EC2">
      <w:pPr>
        <w:spacing w:before="240" w:after="240"/>
        <w:ind w:left="720"/>
      </w:pPr>
      <w:r>
        <w:t xml:space="preserve"> </w:t>
      </w:r>
    </w:p>
    <w:p w14:paraId="58B804E4" w14:textId="77777777" w:rsidR="00B848AA" w:rsidRDefault="000A0EC2">
      <w:pPr>
        <w:pStyle w:val="Heading3"/>
      </w:pPr>
      <w:r>
        <w:t>16.</w:t>
      </w:r>
      <w:r>
        <w:tab/>
        <w:t>Security</w:t>
      </w:r>
    </w:p>
    <w:p w14:paraId="26A094FE" w14:textId="77777777" w:rsidR="00B848AA" w:rsidRDefault="000A0EC2">
      <w:pPr>
        <w:ind w:left="720" w:hanging="720"/>
      </w:pPr>
      <w:r>
        <w:t>16.1</w:t>
      </w:r>
      <w:r>
        <w:tab/>
      </w:r>
      <w:r w:rsidRPr="00E41855">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w:t>
      </w:r>
      <w:r>
        <w:t xml:space="preserve">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98098E8" w14:textId="77777777" w:rsidR="00B848AA" w:rsidRDefault="00B848AA">
      <w:pPr>
        <w:ind w:left="720"/>
      </w:pPr>
    </w:p>
    <w:p w14:paraId="5576E4CE" w14:textId="77777777" w:rsidR="00B848AA" w:rsidRDefault="000A0EC2">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D349BA9" w14:textId="77777777" w:rsidR="00B848AA" w:rsidRDefault="00B848AA">
      <w:pPr>
        <w:ind w:left="720"/>
      </w:pPr>
    </w:p>
    <w:p w14:paraId="764480A7" w14:textId="77777777" w:rsidR="00B848AA" w:rsidRDefault="000A0EC2">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D0873D7" w14:textId="77777777" w:rsidR="00B848AA" w:rsidRDefault="00B848AA">
      <w:pPr>
        <w:ind w:firstLine="720"/>
      </w:pPr>
    </w:p>
    <w:p w14:paraId="0850CB9C" w14:textId="77777777" w:rsidR="00B848AA" w:rsidRDefault="000A0EC2">
      <w:r>
        <w:t>16.4</w:t>
      </w:r>
      <w:r>
        <w:tab/>
        <w:t>Responsibility for costs will be at the:</w:t>
      </w:r>
    </w:p>
    <w:p w14:paraId="1E9FE49C" w14:textId="77777777" w:rsidR="00B848AA" w:rsidRDefault="000A0EC2">
      <w:r>
        <w:tab/>
      </w:r>
    </w:p>
    <w:p w14:paraId="7711EC57" w14:textId="77777777" w:rsidR="00B848AA" w:rsidRDefault="000A0EC2">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5A4C43D" w14:textId="77777777" w:rsidR="00B848AA" w:rsidRDefault="00B848AA">
      <w:pPr>
        <w:ind w:left="1440"/>
      </w:pPr>
    </w:p>
    <w:p w14:paraId="1D090ABD" w14:textId="77777777" w:rsidR="00B848AA" w:rsidRDefault="000A0EC2">
      <w:pPr>
        <w:ind w:left="1440" w:hanging="720"/>
      </w:pPr>
      <w:r>
        <w:t>16.4.2</w:t>
      </w:r>
      <w:r>
        <w:tab/>
        <w:t>Buyer’s expense if the Malicious Software originates from the Buyer software or the Service Data, while the Service Data was under the Buyer’s control</w:t>
      </w:r>
    </w:p>
    <w:p w14:paraId="7EEDBF6F" w14:textId="77777777" w:rsidR="00B848AA" w:rsidRDefault="00B848AA">
      <w:pPr>
        <w:ind w:left="720" w:firstLine="720"/>
      </w:pPr>
    </w:p>
    <w:p w14:paraId="01D6102C" w14:textId="77777777" w:rsidR="00B848AA" w:rsidRDefault="000A0EC2">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C370B6E" w14:textId="77777777" w:rsidR="00B848AA" w:rsidRDefault="00B848AA">
      <w:pPr>
        <w:ind w:left="720"/>
      </w:pPr>
    </w:p>
    <w:p w14:paraId="36BE2B38" w14:textId="3553C829" w:rsidR="00B848AA" w:rsidRDefault="000A0EC2">
      <w:pPr>
        <w:ind w:left="720" w:hanging="720"/>
      </w:pPr>
      <w:r>
        <w:t>16.6</w:t>
      </w:r>
      <w:r>
        <w:tab/>
        <w:t>Any system development by the Supplier should also comply with the government’s ‘10 Steps to Cyber Security’ guidance:</w:t>
      </w:r>
      <w:hyperlink r:id="rId35" w:history="1">
        <w:r>
          <w:t xml:space="preserve"> </w:t>
        </w:r>
      </w:hyperlink>
    </w:p>
    <w:p w14:paraId="388CCCEA" w14:textId="6A32AF93" w:rsidR="00B848AA" w:rsidRDefault="006B2F1E">
      <w:pPr>
        <w:ind w:left="720"/>
      </w:pPr>
      <w:hyperlink r:id="rId36" w:history="1">
        <w:r w:rsidR="000A0EC2">
          <w:rPr>
            <w:color w:val="1155CC"/>
            <w:u w:val="single"/>
          </w:rPr>
          <w:t>https://www.ncsc.gov.uk/guidance/10-steps-cyber-security</w:t>
        </w:r>
      </w:hyperlink>
    </w:p>
    <w:p w14:paraId="0C9E05CD" w14:textId="77777777" w:rsidR="00B848AA" w:rsidRDefault="00B848AA">
      <w:pPr>
        <w:ind w:left="720"/>
      </w:pPr>
    </w:p>
    <w:p w14:paraId="25514651" w14:textId="77777777" w:rsidR="00B848AA" w:rsidRDefault="000A0EC2">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A0357C9" w14:textId="77777777" w:rsidR="00B848AA" w:rsidRDefault="000A0EC2">
      <w:r>
        <w:t xml:space="preserve"> </w:t>
      </w:r>
    </w:p>
    <w:p w14:paraId="2D4B8300" w14:textId="77777777" w:rsidR="00B848AA" w:rsidRDefault="000A0EC2">
      <w:pPr>
        <w:pStyle w:val="Heading3"/>
      </w:pPr>
      <w:r>
        <w:lastRenderedPageBreak/>
        <w:t>17.</w:t>
      </w:r>
      <w:r>
        <w:tab/>
        <w:t>Guarantee</w:t>
      </w:r>
    </w:p>
    <w:p w14:paraId="44ED6DB1" w14:textId="77777777" w:rsidR="00B848AA" w:rsidRDefault="000A0EC2">
      <w:pPr>
        <w:ind w:left="720" w:hanging="720"/>
      </w:pPr>
      <w:r>
        <w:t>17.1</w:t>
      </w:r>
      <w:r>
        <w:tab/>
        <w:t>If this Call-Off Contract is conditional on receipt of a Guarantee that is acceptable to the Buyer, the Supplier must give the Buyer on or before the Start date:</w:t>
      </w:r>
    </w:p>
    <w:p w14:paraId="6395FF35" w14:textId="77777777" w:rsidR="00B848AA" w:rsidRDefault="00B848AA">
      <w:pPr>
        <w:ind w:firstLine="720"/>
      </w:pPr>
    </w:p>
    <w:p w14:paraId="0C6C8147" w14:textId="77777777" w:rsidR="00B848AA" w:rsidRDefault="000A0EC2">
      <w:pPr>
        <w:ind w:firstLine="720"/>
      </w:pPr>
      <w:r>
        <w:t>17.1.1</w:t>
      </w:r>
      <w:r>
        <w:tab/>
        <w:t>an executed Guarantee in the form at Schedule 5</w:t>
      </w:r>
    </w:p>
    <w:p w14:paraId="39A83F49" w14:textId="77777777" w:rsidR="00B848AA" w:rsidRDefault="00B848AA"/>
    <w:p w14:paraId="069099BB" w14:textId="77777777" w:rsidR="00B848AA" w:rsidRDefault="000A0EC2">
      <w:pPr>
        <w:ind w:left="1440" w:hanging="720"/>
      </w:pPr>
      <w:r>
        <w:t>17.1.2</w:t>
      </w:r>
      <w:r>
        <w:tab/>
        <w:t>a certified copy of the passed resolution or board minutes of the guarantor approving the execution of the Guarantee</w:t>
      </w:r>
    </w:p>
    <w:p w14:paraId="746655F9" w14:textId="77777777" w:rsidR="00B848AA" w:rsidRDefault="00B848AA">
      <w:pPr>
        <w:ind w:left="720" w:firstLine="720"/>
      </w:pPr>
    </w:p>
    <w:p w14:paraId="14FD36C2" w14:textId="77777777" w:rsidR="00B848AA" w:rsidRDefault="000A0EC2">
      <w:pPr>
        <w:pStyle w:val="Heading3"/>
      </w:pPr>
      <w:r>
        <w:t>18.</w:t>
      </w:r>
      <w:r>
        <w:tab/>
        <w:t>Ending the Call-Off Contract</w:t>
      </w:r>
    </w:p>
    <w:p w14:paraId="512A6959" w14:textId="77777777" w:rsidR="00B848AA" w:rsidRDefault="000A0EC2">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3185000" w14:textId="77777777" w:rsidR="00B848AA" w:rsidRDefault="00B848AA">
      <w:pPr>
        <w:ind w:left="720"/>
      </w:pPr>
    </w:p>
    <w:p w14:paraId="36C1F395" w14:textId="77777777" w:rsidR="00B848AA" w:rsidRDefault="000A0EC2">
      <w:r>
        <w:t>18.2</w:t>
      </w:r>
      <w:r>
        <w:tab/>
        <w:t>The Parties agree that the:</w:t>
      </w:r>
    </w:p>
    <w:p w14:paraId="49AA5DF7" w14:textId="77777777" w:rsidR="00B848AA" w:rsidRDefault="00B848AA"/>
    <w:p w14:paraId="27E3A778" w14:textId="77777777" w:rsidR="00B848AA" w:rsidRDefault="000A0EC2">
      <w:pPr>
        <w:ind w:left="1440" w:hanging="720"/>
      </w:pPr>
      <w:r>
        <w:t>18.2.1</w:t>
      </w:r>
      <w:r>
        <w:tab/>
        <w:t>Buyer’s right to End the Call-Off Contract under clause 18.1 is reasonable considering the type of cloud Service being provided</w:t>
      </w:r>
    </w:p>
    <w:p w14:paraId="639C7F28" w14:textId="77777777" w:rsidR="00B848AA" w:rsidRDefault="00B848AA">
      <w:pPr>
        <w:ind w:left="720"/>
      </w:pPr>
    </w:p>
    <w:p w14:paraId="05C71633" w14:textId="77777777" w:rsidR="00B848AA" w:rsidRDefault="000A0EC2">
      <w:pPr>
        <w:ind w:left="1440" w:hanging="720"/>
      </w:pPr>
      <w:r>
        <w:t>18.2.2</w:t>
      </w:r>
      <w:r>
        <w:tab/>
        <w:t>Call-Off Contract Charges paid during the notice period is reasonable compensation and covers all the Supplier’s avoidable costs or Losses</w:t>
      </w:r>
    </w:p>
    <w:p w14:paraId="41AB4EE3" w14:textId="77777777" w:rsidR="00B848AA" w:rsidRDefault="00B848AA">
      <w:pPr>
        <w:ind w:left="720" w:firstLine="720"/>
      </w:pPr>
    </w:p>
    <w:p w14:paraId="63FE2252" w14:textId="77777777" w:rsidR="00B848AA" w:rsidRDefault="000A0EC2">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777850C" w14:textId="77777777" w:rsidR="00B848AA" w:rsidRDefault="00B848AA">
      <w:pPr>
        <w:ind w:left="720"/>
      </w:pPr>
    </w:p>
    <w:p w14:paraId="2F37EE5C" w14:textId="77777777" w:rsidR="00B848AA" w:rsidRDefault="000A0EC2">
      <w:pPr>
        <w:ind w:left="720" w:hanging="720"/>
      </w:pPr>
      <w:r>
        <w:t>18.4</w:t>
      </w:r>
      <w:r>
        <w:tab/>
        <w:t>The Buyer will have the right to End this Call-Off Contract at any time with immediate effect by written notice to the Supplier if either the Supplier commits:</w:t>
      </w:r>
    </w:p>
    <w:p w14:paraId="0FC00077" w14:textId="77777777" w:rsidR="00B848AA" w:rsidRDefault="00B848AA">
      <w:pPr>
        <w:ind w:firstLine="720"/>
      </w:pPr>
    </w:p>
    <w:p w14:paraId="53DE7BD1" w14:textId="77777777" w:rsidR="00B848AA" w:rsidRDefault="000A0EC2">
      <w:pPr>
        <w:ind w:left="1440" w:hanging="720"/>
      </w:pPr>
      <w:r>
        <w:t>18.4.1</w:t>
      </w:r>
      <w:r>
        <w:tab/>
        <w:t>a Supplier Default and if the Supplier Default cannot, in the reasonable opinion of the Buyer, be remedied</w:t>
      </w:r>
    </w:p>
    <w:p w14:paraId="1940EFAC" w14:textId="77777777" w:rsidR="00B848AA" w:rsidRDefault="00B848AA">
      <w:pPr>
        <w:ind w:left="720" w:firstLine="720"/>
      </w:pPr>
    </w:p>
    <w:p w14:paraId="6B375ECA" w14:textId="77777777" w:rsidR="00B848AA" w:rsidRDefault="000A0EC2">
      <w:pPr>
        <w:ind w:firstLine="720"/>
      </w:pPr>
      <w:r>
        <w:t>18.4.2</w:t>
      </w:r>
      <w:r>
        <w:tab/>
        <w:t>any fraud</w:t>
      </w:r>
    </w:p>
    <w:p w14:paraId="463C6C42" w14:textId="77777777" w:rsidR="00B848AA" w:rsidRDefault="00B848AA">
      <w:pPr>
        <w:ind w:firstLine="720"/>
      </w:pPr>
    </w:p>
    <w:p w14:paraId="17120A01" w14:textId="77777777" w:rsidR="00B848AA" w:rsidRDefault="000A0EC2">
      <w:r>
        <w:t>18.5</w:t>
      </w:r>
      <w:r>
        <w:tab/>
        <w:t>A Party can End this Call-Off Contract at any time with immediate effect by written notice if:</w:t>
      </w:r>
    </w:p>
    <w:p w14:paraId="2A167CAA" w14:textId="77777777" w:rsidR="00B848AA" w:rsidRDefault="00B848AA">
      <w:pPr>
        <w:ind w:firstLine="720"/>
      </w:pPr>
    </w:p>
    <w:p w14:paraId="3BB9575B" w14:textId="77777777" w:rsidR="00B848AA" w:rsidRDefault="000A0EC2">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059107B" w14:textId="77777777" w:rsidR="00B848AA" w:rsidRDefault="00B848AA">
      <w:pPr>
        <w:ind w:left="1440"/>
      </w:pPr>
    </w:p>
    <w:p w14:paraId="03DA1109" w14:textId="77777777" w:rsidR="00B848AA" w:rsidRDefault="000A0EC2">
      <w:pPr>
        <w:ind w:firstLine="720"/>
      </w:pPr>
      <w:r>
        <w:t>18.5.2</w:t>
      </w:r>
      <w:r>
        <w:tab/>
        <w:t>an Insolvency Event of the other Party happens</w:t>
      </w:r>
    </w:p>
    <w:p w14:paraId="5FCC2B48" w14:textId="77777777" w:rsidR="00B848AA" w:rsidRDefault="00B848AA">
      <w:pPr>
        <w:ind w:firstLine="720"/>
      </w:pPr>
    </w:p>
    <w:p w14:paraId="36A55F05" w14:textId="77777777" w:rsidR="00B848AA" w:rsidRDefault="000A0EC2">
      <w:pPr>
        <w:ind w:left="1440" w:hanging="720"/>
      </w:pPr>
      <w:r>
        <w:t>18.5.3</w:t>
      </w:r>
      <w:r>
        <w:tab/>
        <w:t>the other Party ceases or threatens to cease to carry on the whole or any material part of its business</w:t>
      </w:r>
    </w:p>
    <w:p w14:paraId="013B11F2" w14:textId="77777777" w:rsidR="00B848AA" w:rsidRDefault="00B848AA">
      <w:pPr>
        <w:ind w:left="720" w:firstLine="720"/>
      </w:pPr>
    </w:p>
    <w:p w14:paraId="522C1D32" w14:textId="77777777" w:rsidR="00B848AA" w:rsidRDefault="000A0EC2">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168EE6C" w14:textId="77777777" w:rsidR="00B848AA" w:rsidRDefault="00B848AA">
      <w:pPr>
        <w:ind w:left="720"/>
      </w:pPr>
    </w:p>
    <w:p w14:paraId="318F495A" w14:textId="77777777" w:rsidR="00B848AA" w:rsidRDefault="000A0EC2">
      <w:pPr>
        <w:ind w:left="720" w:hanging="720"/>
      </w:pPr>
      <w:r>
        <w:t>18.7</w:t>
      </w:r>
      <w:r>
        <w:tab/>
        <w:t>A Party who isn’t relying on a Force Majeure event will have the right to End this Call-Off Contract if clause 23.1 applies.</w:t>
      </w:r>
    </w:p>
    <w:p w14:paraId="60FDCA4D" w14:textId="77777777" w:rsidR="00B848AA" w:rsidRDefault="000A0EC2">
      <w:pPr>
        <w:ind w:left="720" w:hanging="720"/>
      </w:pPr>
      <w:r>
        <w:t xml:space="preserve"> </w:t>
      </w:r>
    </w:p>
    <w:p w14:paraId="0346D1B1" w14:textId="77777777" w:rsidR="00B848AA" w:rsidRDefault="000A0EC2">
      <w:pPr>
        <w:pStyle w:val="Heading3"/>
      </w:pPr>
      <w:r>
        <w:t>19.</w:t>
      </w:r>
      <w:r>
        <w:tab/>
        <w:t>Consequences of suspension, ending and expiry</w:t>
      </w:r>
    </w:p>
    <w:p w14:paraId="4EE729B3" w14:textId="77777777" w:rsidR="00B848AA" w:rsidRDefault="000A0EC2">
      <w:pPr>
        <w:ind w:left="720" w:hanging="720"/>
      </w:pPr>
      <w:r>
        <w:t>19.1</w:t>
      </w:r>
      <w:r>
        <w:tab/>
        <w:t>If a Buyer has the right to End a Call-Off Contract, it may elect to suspend this Call-Off Contract or any part of it.</w:t>
      </w:r>
    </w:p>
    <w:p w14:paraId="15378CED" w14:textId="77777777" w:rsidR="00B848AA" w:rsidRDefault="00B848AA"/>
    <w:p w14:paraId="0F2622DD" w14:textId="77777777" w:rsidR="00B848AA" w:rsidRDefault="000A0EC2">
      <w:pPr>
        <w:ind w:left="720" w:hanging="720"/>
      </w:pPr>
      <w:r>
        <w:t>19.2</w:t>
      </w:r>
      <w:r>
        <w:tab/>
        <w:t>Even if a notice has been served to End this Call-Off Contract or any part of it, the Supplier must continue to provide the Ordered G-Cloud Services until the dates set out in the notice.</w:t>
      </w:r>
    </w:p>
    <w:p w14:paraId="451425B1" w14:textId="77777777" w:rsidR="00B848AA" w:rsidRDefault="00B848AA">
      <w:pPr>
        <w:ind w:left="720" w:hanging="720"/>
      </w:pPr>
    </w:p>
    <w:p w14:paraId="30F6D3FD" w14:textId="77777777" w:rsidR="00B848AA" w:rsidRDefault="000A0EC2">
      <w:pPr>
        <w:ind w:left="720" w:hanging="720"/>
      </w:pPr>
      <w:r>
        <w:t>19.3</w:t>
      </w:r>
      <w:r>
        <w:tab/>
        <w:t>The rights and obligations of the Parties will cease on the Expiry Date or End Date whichever applies) of this Call-Off Contract, except those continuing provisions described in clause 19.4.</w:t>
      </w:r>
    </w:p>
    <w:p w14:paraId="082F5ED7" w14:textId="77777777" w:rsidR="00B848AA" w:rsidRDefault="00B848AA"/>
    <w:p w14:paraId="1C560DFD" w14:textId="77777777" w:rsidR="00B848AA" w:rsidRDefault="000A0EC2">
      <w:r>
        <w:t>19.4</w:t>
      </w:r>
      <w:r>
        <w:tab/>
        <w:t>Ending or expiry of this Call-Off Contract will not affect:</w:t>
      </w:r>
    </w:p>
    <w:p w14:paraId="2C635903" w14:textId="77777777" w:rsidR="00B848AA" w:rsidRDefault="00B848AA"/>
    <w:p w14:paraId="7A5A811B" w14:textId="77777777" w:rsidR="00B848AA" w:rsidRDefault="000A0EC2">
      <w:pPr>
        <w:ind w:firstLine="720"/>
      </w:pPr>
      <w:r>
        <w:t>19.4.1</w:t>
      </w:r>
      <w:r>
        <w:tab/>
        <w:t>any rights, remedies or obligations accrued before its Ending or expiration</w:t>
      </w:r>
    </w:p>
    <w:p w14:paraId="7D17F1C6" w14:textId="77777777" w:rsidR="00B848AA" w:rsidRDefault="00B848AA"/>
    <w:p w14:paraId="1AA33AA2" w14:textId="77777777" w:rsidR="00B848AA" w:rsidRDefault="000A0EC2">
      <w:pPr>
        <w:ind w:left="1440" w:hanging="720"/>
      </w:pPr>
      <w:r>
        <w:t>19.4.2</w:t>
      </w:r>
      <w:r>
        <w:tab/>
        <w:t>the right of either Party to recover any amount outstanding at the time of Ending or expiry</w:t>
      </w:r>
    </w:p>
    <w:p w14:paraId="030D1C84" w14:textId="77777777" w:rsidR="00B848AA" w:rsidRDefault="00B848AA"/>
    <w:p w14:paraId="290BA841" w14:textId="77777777" w:rsidR="00B848AA" w:rsidRDefault="000A0EC2">
      <w:pPr>
        <w:ind w:left="1440" w:hanging="720"/>
      </w:pPr>
      <w:r>
        <w:t>19.4.3</w:t>
      </w:r>
      <w:r>
        <w:tab/>
        <w:t>the continuing rights, remedies or obligations of the Buyer or the Supplier under clauses</w:t>
      </w:r>
    </w:p>
    <w:p w14:paraId="3F429737" w14:textId="77777777" w:rsidR="00B848AA" w:rsidRDefault="000A0EC2" w:rsidP="005C3AE7">
      <w:pPr>
        <w:pStyle w:val="ListParagraph"/>
        <w:numPr>
          <w:ilvl w:val="1"/>
          <w:numId w:val="6"/>
        </w:numPr>
      </w:pPr>
      <w:r>
        <w:t>7 (Payment, VAT and Call-Off Contract charges)</w:t>
      </w:r>
    </w:p>
    <w:p w14:paraId="78AFDC0A" w14:textId="77777777" w:rsidR="00B848AA" w:rsidRDefault="000A0EC2" w:rsidP="005C3AE7">
      <w:pPr>
        <w:pStyle w:val="ListParagraph"/>
        <w:numPr>
          <w:ilvl w:val="1"/>
          <w:numId w:val="6"/>
        </w:numPr>
      </w:pPr>
      <w:r>
        <w:t>8 (Recovery of sums due and right of set-off)</w:t>
      </w:r>
    </w:p>
    <w:p w14:paraId="0D995B48" w14:textId="77777777" w:rsidR="00B848AA" w:rsidRDefault="000A0EC2" w:rsidP="005C3AE7">
      <w:pPr>
        <w:pStyle w:val="ListParagraph"/>
        <w:numPr>
          <w:ilvl w:val="1"/>
          <w:numId w:val="6"/>
        </w:numPr>
      </w:pPr>
      <w:r>
        <w:t>9 (Insurance)</w:t>
      </w:r>
    </w:p>
    <w:p w14:paraId="4F4F7F25" w14:textId="77777777" w:rsidR="00B848AA" w:rsidRDefault="000A0EC2" w:rsidP="005C3AE7">
      <w:pPr>
        <w:pStyle w:val="ListParagraph"/>
        <w:numPr>
          <w:ilvl w:val="1"/>
          <w:numId w:val="6"/>
        </w:numPr>
      </w:pPr>
      <w:r>
        <w:t>10 (Confidentiality)</w:t>
      </w:r>
    </w:p>
    <w:p w14:paraId="37CD8BCE" w14:textId="77777777" w:rsidR="00B848AA" w:rsidRDefault="000A0EC2" w:rsidP="005C3AE7">
      <w:pPr>
        <w:pStyle w:val="ListParagraph"/>
        <w:numPr>
          <w:ilvl w:val="1"/>
          <w:numId w:val="6"/>
        </w:numPr>
      </w:pPr>
      <w:r>
        <w:t>11 (Intellectual property rights)</w:t>
      </w:r>
    </w:p>
    <w:p w14:paraId="63791DBF" w14:textId="77777777" w:rsidR="00B848AA" w:rsidRDefault="000A0EC2" w:rsidP="005C3AE7">
      <w:pPr>
        <w:pStyle w:val="ListParagraph"/>
        <w:numPr>
          <w:ilvl w:val="1"/>
          <w:numId w:val="6"/>
        </w:numPr>
      </w:pPr>
      <w:r>
        <w:t>12 (Protection of information)</w:t>
      </w:r>
    </w:p>
    <w:p w14:paraId="38772644" w14:textId="77777777" w:rsidR="00B848AA" w:rsidRDefault="000A0EC2" w:rsidP="005C3AE7">
      <w:pPr>
        <w:pStyle w:val="ListParagraph"/>
        <w:numPr>
          <w:ilvl w:val="1"/>
          <w:numId w:val="6"/>
        </w:numPr>
      </w:pPr>
      <w:r>
        <w:t>13 (Buyer data)</w:t>
      </w:r>
    </w:p>
    <w:p w14:paraId="4E03DE89" w14:textId="77777777" w:rsidR="00B848AA" w:rsidRDefault="000A0EC2" w:rsidP="005C3AE7">
      <w:pPr>
        <w:pStyle w:val="ListParagraph"/>
        <w:numPr>
          <w:ilvl w:val="1"/>
          <w:numId w:val="6"/>
        </w:numPr>
      </w:pPr>
      <w:r>
        <w:t>19 (Consequences of suspension, ending and expiry)</w:t>
      </w:r>
    </w:p>
    <w:p w14:paraId="057D13D3" w14:textId="77777777" w:rsidR="00B848AA" w:rsidRDefault="000A0EC2" w:rsidP="005C3AE7">
      <w:pPr>
        <w:pStyle w:val="ListParagraph"/>
        <w:numPr>
          <w:ilvl w:val="1"/>
          <w:numId w:val="6"/>
        </w:numPr>
      </w:pPr>
      <w:r>
        <w:t>24 (Liability); incorporated Framework Agreement clauses: 4.2 to 4.7 (Liability)</w:t>
      </w:r>
    </w:p>
    <w:p w14:paraId="2A6E4844" w14:textId="77777777" w:rsidR="00B848AA" w:rsidRDefault="000A0EC2" w:rsidP="005C3AE7">
      <w:pPr>
        <w:pStyle w:val="ListParagraph"/>
        <w:numPr>
          <w:ilvl w:val="1"/>
          <w:numId w:val="6"/>
        </w:numPr>
      </w:pPr>
      <w:r>
        <w:t>8.44 to 8.50 (Conflicts of interest and ethical walls)</w:t>
      </w:r>
    </w:p>
    <w:p w14:paraId="63D71E89" w14:textId="77777777" w:rsidR="00B848AA" w:rsidRDefault="000A0EC2" w:rsidP="005C3AE7">
      <w:pPr>
        <w:pStyle w:val="ListParagraph"/>
        <w:numPr>
          <w:ilvl w:val="1"/>
          <w:numId w:val="6"/>
        </w:numPr>
      </w:pPr>
      <w:r>
        <w:t>8.89 to 8.90 (Waiver and cumulative remedies)</w:t>
      </w:r>
    </w:p>
    <w:p w14:paraId="4EBB52B3" w14:textId="77777777" w:rsidR="00B848AA" w:rsidRDefault="00B848AA">
      <w:pPr>
        <w:ind w:firstLine="720"/>
      </w:pPr>
    </w:p>
    <w:p w14:paraId="03606A35" w14:textId="77777777" w:rsidR="00B848AA" w:rsidRDefault="000A0EC2">
      <w:pPr>
        <w:ind w:left="1440" w:hanging="720"/>
      </w:pPr>
      <w:r>
        <w:t>19.4.4</w:t>
      </w:r>
      <w:r>
        <w:tab/>
        <w:t>any other provision of the Framework Agreement or this Call-Off Contract which expressly or by implication is in force even if it Ends or expires</w:t>
      </w:r>
    </w:p>
    <w:p w14:paraId="24D72A2E" w14:textId="77777777" w:rsidR="00B848AA" w:rsidRDefault="000A0EC2">
      <w:r>
        <w:t xml:space="preserve"> </w:t>
      </w:r>
    </w:p>
    <w:p w14:paraId="6D79DFA7" w14:textId="77777777" w:rsidR="00B848AA" w:rsidRDefault="000A0EC2">
      <w:r>
        <w:t>19.5</w:t>
      </w:r>
      <w:r>
        <w:tab/>
        <w:t>At the end of the Call-Off Contract Term, the Supplier must promptly:</w:t>
      </w:r>
    </w:p>
    <w:p w14:paraId="77860BAA" w14:textId="77777777" w:rsidR="00B848AA" w:rsidRDefault="00B848AA"/>
    <w:p w14:paraId="6C7A7EA7" w14:textId="77777777" w:rsidR="00B848AA" w:rsidRDefault="000A0EC2">
      <w:pPr>
        <w:ind w:left="1440" w:hanging="720"/>
      </w:pPr>
      <w:r>
        <w:t>19.5.1</w:t>
      </w:r>
      <w:r>
        <w:tab/>
        <w:t>return all Buyer Data including all copies of Buyer software, code and any other software licensed by the Buyer to the Supplier under it</w:t>
      </w:r>
    </w:p>
    <w:p w14:paraId="3259BD49" w14:textId="77777777" w:rsidR="00B848AA" w:rsidRDefault="00B848AA">
      <w:pPr>
        <w:ind w:firstLine="720"/>
      </w:pPr>
    </w:p>
    <w:p w14:paraId="37BF73A9" w14:textId="77777777" w:rsidR="00B848AA" w:rsidRDefault="000A0EC2">
      <w:pPr>
        <w:ind w:left="1440" w:hanging="720"/>
      </w:pPr>
      <w:r>
        <w:t>19.5.2</w:t>
      </w:r>
      <w:r>
        <w:tab/>
        <w:t>return any materials created by the Supplier under this Call-Off Contract if the IPRs are owned by the Buyer</w:t>
      </w:r>
    </w:p>
    <w:p w14:paraId="46C4E194" w14:textId="77777777" w:rsidR="00B848AA" w:rsidRDefault="00B848AA">
      <w:pPr>
        <w:ind w:firstLine="720"/>
      </w:pPr>
    </w:p>
    <w:p w14:paraId="0A0EB3AD" w14:textId="77777777" w:rsidR="00B848AA" w:rsidRDefault="000A0EC2">
      <w:pPr>
        <w:ind w:left="1440" w:hanging="720"/>
      </w:pPr>
      <w:r>
        <w:t>19.5.3</w:t>
      </w:r>
      <w:r>
        <w:tab/>
        <w:t>stop using the Buyer Data and, at the direction of the Buyer, provide the Buyer with a complete and uncorrupted version in electronic form in the formats and on media agreed with the Buyer</w:t>
      </w:r>
    </w:p>
    <w:p w14:paraId="710F9D35" w14:textId="77777777" w:rsidR="00B848AA" w:rsidRDefault="00B848AA">
      <w:pPr>
        <w:ind w:firstLine="720"/>
      </w:pPr>
    </w:p>
    <w:p w14:paraId="7F0EDE48" w14:textId="77777777" w:rsidR="00B848AA" w:rsidRDefault="000A0EC2">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8725CE0" w14:textId="77777777" w:rsidR="00B848AA" w:rsidRDefault="00B848AA">
      <w:pPr>
        <w:ind w:left="720"/>
      </w:pPr>
    </w:p>
    <w:p w14:paraId="5661ECCB" w14:textId="77777777" w:rsidR="00B848AA" w:rsidRDefault="000A0EC2">
      <w:pPr>
        <w:ind w:firstLine="720"/>
      </w:pPr>
      <w:r>
        <w:t>19.5.5</w:t>
      </w:r>
      <w:r>
        <w:tab/>
        <w:t>work with the Buyer on any ongoing work</w:t>
      </w:r>
    </w:p>
    <w:p w14:paraId="05C6057C" w14:textId="77777777" w:rsidR="00B848AA" w:rsidRDefault="00B848AA"/>
    <w:p w14:paraId="18CD2271" w14:textId="77777777" w:rsidR="00B848AA" w:rsidRDefault="000A0EC2">
      <w:pPr>
        <w:ind w:left="1440" w:hanging="720"/>
      </w:pPr>
      <w:r>
        <w:t>19.5.6</w:t>
      </w:r>
      <w:r>
        <w:tab/>
        <w:t>return any sums prepaid for Services which have not been delivered to the Buyer, within 10 Working Days of the End or Expiry Date</w:t>
      </w:r>
    </w:p>
    <w:p w14:paraId="10AF0BF7" w14:textId="77777777" w:rsidR="00B848AA" w:rsidRDefault="00B848AA">
      <w:pPr>
        <w:ind w:firstLine="720"/>
      </w:pPr>
    </w:p>
    <w:p w14:paraId="266ABE13" w14:textId="77777777" w:rsidR="00B848AA" w:rsidRDefault="00B848AA"/>
    <w:p w14:paraId="680AB358" w14:textId="77777777" w:rsidR="00B848AA" w:rsidRDefault="000A0EC2">
      <w:pPr>
        <w:ind w:left="720" w:hanging="720"/>
      </w:pPr>
      <w:r>
        <w:t>19.6</w:t>
      </w:r>
      <w:r>
        <w:tab/>
        <w:t>Each Party will return all of the other Party’s Confidential Information and confirm this has been done, unless there is a legal requirement to keep it or this Call-Off Contract states otherwise.</w:t>
      </w:r>
    </w:p>
    <w:p w14:paraId="7D8F2C01" w14:textId="77777777" w:rsidR="00B848AA" w:rsidRDefault="00B848AA">
      <w:pPr>
        <w:ind w:left="720"/>
      </w:pPr>
    </w:p>
    <w:p w14:paraId="789817EC" w14:textId="77777777" w:rsidR="00B848AA" w:rsidRDefault="000A0EC2">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DDAB8C9" w14:textId="77777777" w:rsidR="00B848AA" w:rsidRDefault="00B848AA"/>
    <w:p w14:paraId="4AEFE131" w14:textId="77777777" w:rsidR="00B848AA" w:rsidRDefault="000A0EC2">
      <w:pPr>
        <w:pStyle w:val="Heading3"/>
      </w:pPr>
      <w:r>
        <w:t>20.</w:t>
      </w:r>
      <w:r>
        <w:tab/>
        <w:t>Notices</w:t>
      </w:r>
    </w:p>
    <w:p w14:paraId="6F9EFD79" w14:textId="77777777" w:rsidR="00B848AA" w:rsidRDefault="000A0EC2">
      <w:pPr>
        <w:ind w:left="720" w:hanging="720"/>
      </w:pPr>
      <w:r>
        <w:t>20.1</w:t>
      </w:r>
      <w:r>
        <w:tab/>
        <w:t>Any notices sent must be in writing. For the purpose of this clause, an email is accepted as being 'in writing'.</w:t>
      </w:r>
    </w:p>
    <w:p w14:paraId="416F01A5" w14:textId="77777777" w:rsidR="00B848AA" w:rsidRDefault="00B848AA">
      <w:pPr>
        <w:ind w:left="720" w:hanging="720"/>
      </w:pPr>
    </w:p>
    <w:p w14:paraId="5A9EE5FD" w14:textId="77777777" w:rsidR="00B848AA" w:rsidRDefault="000A0EC2" w:rsidP="005C3AE7">
      <w:pPr>
        <w:pStyle w:val="ListParagraph"/>
        <w:numPr>
          <w:ilvl w:val="0"/>
          <w:numId w:val="7"/>
        </w:numPr>
        <w:spacing w:after="120" w:line="360" w:lineRule="auto"/>
      </w:pPr>
      <w:r>
        <w:t>Manner of delivery: email</w:t>
      </w:r>
    </w:p>
    <w:p w14:paraId="1CEA0CF4" w14:textId="77777777" w:rsidR="00B848AA" w:rsidRDefault="000A0EC2" w:rsidP="005C3AE7">
      <w:pPr>
        <w:pStyle w:val="ListParagraph"/>
        <w:numPr>
          <w:ilvl w:val="0"/>
          <w:numId w:val="7"/>
        </w:numPr>
        <w:spacing w:line="360" w:lineRule="auto"/>
      </w:pPr>
      <w:r>
        <w:t>Deemed time of delivery: 9am on the first Working Day after sending</w:t>
      </w:r>
    </w:p>
    <w:p w14:paraId="59FFB1A6" w14:textId="77777777" w:rsidR="00B848AA" w:rsidRDefault="000A0EC2" w:rsidP="005C3AE7">
      <w:pPr>
        <w:pStyle w:val="ListParagraph"/>
        <w:numPr>
          <w:ilvl w:val="0"/>
          <w:numId w:val="7"/>
        </w:numPr>
      </w:pPr>
      <w:r>
        <w:t>Proof of service: Sent in an emailed letter in PDF format to the correct email address without any error message</w:t>
      </w:r>
    </w:p>
    <w:p w14:paraId="414F124F" w14:textId="77777777" w:rsidR="00B848AA" w:rsidRDefault="00B848AA"/>
    <w:p w14:paraId="117E34D9" w14:textId="77777777" w:rsidR="00B848AA" w:rsidRDefault="000A0EC2">
      <w:pPr>
        <w:ind w:left="720" w:hanging="720"/>
      </w:pPr>
      <w:r>
        <w:t>20.2</w:t>
      </w:r>
      <w:r>
        <w:tab/>
        <w:t>This clause does not apply to any legal action or other method of dispute resolution which should be sent to the addresses in the Order Form (other than a dispute notice under this Call-Off Contract).</w:t>
      </w:r>
    </w:p>
    <w:p w14:paraId="31BE1BA2" w14:textId="77777777" w:rsidR="00B848AA" w:rsidRDefault="00B848AA">
      <w:pPr>
        <w:spacing w:before="240" w:after="240"/>
        <w:ind w:left="720"/>
      </w:pPr>
    </w:p>
    <w:p w14:paraId="6536F588" w14:textId="77777777" w:rsidR="00B848AA" w:rsidRDefault="000A0EC2">
      <w:pPr>
        <w:pStyle w:val="Heading3"/>
      </w:pPr>
      <w:r>
        <w:t>21.</w:t>
      </w:r>
      <w:r>
        <w:tab/>
        <w:t>Exit plan</w:t>
      </w:r>
    </w:p>
    <w:p w14:paraId="087660E4" w14:textId="77777777" w:rsidR="00B848AA" w:rsidRDefault="000A0EC2">
      <w:pPr>
        <w:ind w:left="720" w:hanging="720"/>
      </w:pPr>
      <w:r>
        <w:t>21.1</w:t>
      </w:r>
      <w:r>
        <w:tab/>
        <w:t>The Supplier must provide an exit plan in its Application which ensures continuity of service and the Supplier will follow it.</w:t>
      </w:r>
    </w:p>
    <w:p w14:paraId="406FAF52" w14:textId="77777777" w:rsidR="00B848AA" w:rsidRDefault="00B848AA">
      <w:pPr>
        <w:ind w:firstLine="720"/>
      </w:pPr>
    </w:p>
    <w:p w14:paraId="17A5A1E0" w14:textId="77777777" w:rsidR="00B848AA" w:rsidRDefault="000A0EC2">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83FD3FC" w14:textId="77777777" w:rsidR="00B848AA" w:rsidRDefault="00B848AA">
      <w:pPr>
        <w:ind w:left="720"/>
      </w:pPr>
    </w:p>
    <w:p w14:paraId="53B43A92" w14:textId="77777777" w:rsidR="00B848AA" w:rsidRDefault="000A0EC2">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437CC94" w14:textId="77777777" w:rsidR="00B848AA" w:rsidRDefault="00B848AA">
      <w:pPr>
        <w:ind w:left="720"/>
      </w:pPr>
    </w:p>
    <w:p w14:paraId="2BB025EE" w14:textId="77777777" w:rsidR="00B848AA" w:rsidRDefault="000A0EC2">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FABDEF9" w14:textId="77777777" w:rsidR="00B848AA" w:rsidRDefault="00B848AA">
      <w:pPr>
        <w:ind w:left="720"/>
      </w:pPr>
    </w:p>
    <w:p w14:paraId="1F95C330" w14:textId="77777777" w:rsidR="00B848AA" w:rsidRDefault="000A0EC2">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6DBBEA" w14:textId="77777777" w:rsidR="00B848AA" w:rsidRDefault="00B848AA">
      <w:pPr>
        <w:ind w:left="720"/>
      </w:pPr>
    </w:p>
    <w:p w14:paraId="3FCED1AE" w14:textId="77777777" w:rsidR="00B848AA" w:rsidRDefault="000A0EC2">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C4ED999" w14:textId="77777777" w:rsidR="00B848AA" w:rsidRDefault="00B848AA">
      <w:pPr>
        <w:ind w:left="720"/>
      </w:pPr>
    </w:p>
    <w:p w14:paraId="77FEB72B" w14:textId="77777777" w:rsidR="00B848AA" w:rsidRDefault="000A0EC2">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1C5DEBE" w14:textId="77777777" w:rsidR="00B848AA" w:rsidRDefault="00B848AA"/>
    <w:p w14:paraId="1EFEC4B7" w14:textId="77777777" w:rsidR="00B848AA" w:rsidRDefault="000A0EC2">
      <w:pPr>
        <w:ind w:firstLine="720"/>
      </w:pPr>
      <w:r>
        <w:t>21.6.2</w:t>
      </w:r>
      <w:r>
        <w:tab/>
        <w:t>there will be no adverse impact on service continuity</w:t>
      </w:r>
    </w:p>
    <w:p w14:paraId="2ECD61F9" w14:textId="77777777" w:rsidR="00B848AA" w:rsidRDefault="00B848AA">
      <w:pPr>
        <w:ind w:firstLine="720"/>
      </w:pPr>
    </w:p>
    <w:p w14:paraId="18344E7F" w14:textId="77777777" w:rsidR="00B848AA" w:rsidRDefault="000A0EC2">
      <w:pPr>
        <w:ind w:firstLine="720"/>
      </w:pPr>
      <w:r>
        <w:t>21.6.3</w:t>
      </w:r>
      <w:r>
        <w:tab/>
        <w:t>there is no vendor lock-in to the Supplier’s Service at exit</w:t>
      </w:r>
    </w:p>
    <w:p w14:paraId="29B42B17" w14:textId="77777777" w:rsidR="00B848AA" w:rsidRDefault="00B848AA"/>
    <w:p w14:paraId="7FE5D9BC" w14:textId="77777777" w:rsidR="00B848AA" w:rsidRDefault="000A0EC2">
      <w:pPr>
        <w:ind w:firstLine="720"/>
      </w:pPr>
      <w:r>
        <w:t>21.6.4</w:t>
      </w:r>
      <w:r>
        <w:tab/>
        <w:t>it enables the Buyer to meet its obligations under the Technology Code Of Practice</w:t>
      </w:r>
    </w:p>
    <w:p w14:paraId="2FDEECF8" w14:textId="77777777" w:rsidR="00B848AA" w:rsidRDefault="00B848AA">
      <w:pPr>
        <w:ind w:left="720" w:firstLine="720"/>
      </w:pPr>
    </w:p>
    <w:p w14:paraId="1635C0AF" w14:textId="77777777" w:rsidR="00B848AA" w:rsidRDefault="000A0EC2">
      <w:pPr>
        <w:ind w:left="720" w:hanging="720"/>
      </w:pPr>
      <w:r>
        <w:t>21.7</w:t>
      </w:r>
      <w:r>
        <w:tab/>
        <w:t>If approval is obtained by the Buyer to extend the Term, then the Supplier will comply with its obligations in the additional exit plan.</w:t>
      </w:r>
    </w:p>
    <w:p w14:paraId="272DC434" w14:textId="77777777" w:rsidR="00B848AA" w:rsidRDefault="00B848AA">
      <w:pPr>
        <w:ind w:firstLine="720"/>
      </w:pPr>
    </w:p>
    <w:p w14:paraId="21CCD56F" w14:textId="77777777" w:rsidR="00B848AA" w:rsidRDefault="000A0EC2">
      <w:pPr>
        <w:ind w:left="720" w:hanging="720"/>
      </w:pPr>
      <w:r>
        <w:t>21.8</w:t>
      </w:r>
      <w:r>
        <w:tab/>
        <w:t>The additional exit plan must set out full details of timescales, activities and roles and responsibilities of the Parties for:</w:t>
      </w:r>
    </w:p>
    <w:p w14:paraId="4A24D54C" w14:textId="77777777" w:rsidR="00B848AA" w:rsidRDefault="00B848AA">
      <w:pPr>
        <w:ind w:firstLine="720"/>
      </w:pPr>
    </w:p>
    <w:p w14:paraId="02179383" w14:textId="77777777" w:rsidR="00B848AA" w:rsidRDefault="000A0EC2">
      <w:pPr>
        <w:ind w:left="1440" w:hanging="720"/>
      </w:pPr>
      <w:r>
        <w:t>21.8.1</w:t>
      </w:r>
      <w:r>
        <w:tab/>
        <w:t>the transfer to the Buyer of any technical information, instructions, manuals and code reasonably required by the Buyer to enable a smooth migration from the Supplier</w:t>
      </w:r>
    </w:p>
    <w:p w14:paraId="5D82C654" w14:textId="77777777" w:rsidR="00B848AA" w:rsidRDefault="00B848AA">
      <w:pPr>
        <w:ind w:left="1440"/>
      </w:pPr>
    </w:p>
    <w:p w14:paraId="7CFF7821" w14:textId="77777777" w:rsidR="00B848AA" w:rsidRDefault="000A0EC2">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FB0853E" w14:textId="77777777" w:rsidR="00B848AA" w:rsidRDefault="00B848AA">
      <w:pPr>
        <w:ind w:left="1440"/>
      </w:pPr>
    </w:p>
    <w:p w14:paraId="61F49415" w14:textId="77777777" w:rsidR="00B848AA" w:rsidRDefault="000A0EC2">
      <w:pPr>
        <w:ind w:left="1440" w:hanging="720"/>
      </w:pPr>
      <w:r>
        <w:t>21.8.3</w:t>
      </w:r>
      <w:r>
        <w:tab/>
        <w:t>the transfer of Project Specific IPR items and other Buyer customisations, configurations and databases to the Buyer or a replacement supplier</w:t>
      </w:r>
    </w:p>
    <w:p w14:paraId="7EE1CD81" w14:textId="77777777" w:rsidR="00B848AA" w:rsidRDefault="00B848AA">
      <w:pPr>
        <w:ind w:left="720" w:firstLine="720"/>
      </w:pPr>
    </w:p>
    <w:p w14:paraId="3795D2F0" w14:textId="77777777" w:rsidR="00B848AA" w:rsidRDefault="000A0EC2">
      <w:pPr>
        <w:ind w:firstLine="720"/>
      </w:pPr>
      <w:r>
        <w:lastRenderedPageBreak/>
        <w:t>21.8.4</w:t>
      </w:r>
      <w:r>
        <w:tab/>
        <w:t>the testing and assurance strategy for exported Buyer Data</w:t>
      </w:r>
    </w:p>
    <w:p w14:paraId="09CA0B72" w14:textId="77777777" w:rsidR="00B848AA" w:rsidRDefault="00B848AA">
      <w:pPr>
        <w:ind w:firstLine="720"/>
      </w:pPr>
    </w:p>
    <w:p w14:paraId="2725C81E" w14:textId="77777777" w:rsidR="00B848AA" w:rsidRDefault="000A0EC2">
      <w:pPr>
        <w:ind w:firstLine="720"/>
      </w:pPr>
      <w:r>
        <w:t>21.8.5</w:t>
      </w:r>
      <w:r>
        <w:tab/>
        <w:t>if relevant, TUPE-related activity to comply with the TUPE regulations</w:t>
      </w:r>
    </w:p>
    <w:p w14:paraId="6F7AE71C" w14:textId="77777777" w:rsidR="00B848AA" w:rsidRDefault="00B848AA">
      <w:pPr>
        <w:ind w:firstLine="720"/>
      </w:pPr>
    </w:p>
    <w:p w14:paraId="5901108F" w14:textId="77777777" w:rsidR="00B848AA" w:rsidRDefault="000A0EC2">
      <w:pPr>
        <w:ind w:left="1440" w:hanging="720"/>
      </w:pPr>
      <w:r>
        <w:t>21.8.6</w:t>
      </w:r>
      <w:r>
        <w:tab/>
        <w:t>any other activities and information which is reasonably required to ensure continuity of Service during the exit period and an orderly transition</w:t>
      </w:r>
    </w:p>
    <w:p w14:paraId="18E533AA" w14:textId="77777777" w:rsidR="00B848AA" w:rsidRDefault="00B848AA"/>
    <w:p w14:paraId="2BFBC1F2" w14:textId="77777777" w:rsidR="00B848AA" w:rsidRDefault="000A0EC2">
      <w:pPr>
        <w:pStyle w:val="Heading3"/>
      </w:pPr>
      <w:r>
        <w:t>22.</w:t>
      </w:r>
      <w:r>
        <w:tab/>
        <w:t>Handover to replacement supplier</w:t>
      </w:r>
    </w:p>
    <w:p w14:paraId="744C3BCD" w14:textId="77777777" w:rsidR="00B848AA" w:rsidRDefault="000A0EC2">
      <w:pPr>
        <w:ind w:left="720" w:hanging="720"/>
      </w:pPr>
      <w:r>
        <w:t>22.1</w:t>
      </w:r>
      <w:r>
        <w:tab/>
        <w:t>At least 10 Working Days before the Expiry Date or End Date, the Supplier must provide any:</w:t>
      </w:r>
    </w:p>
    <w:p w14:paraId="2B9F0DFA" w14:textId="77777777" w:rsidR="00B848AA" w:rsidRDefault="00B848AA">
      <w:pPr>
        <w:ind w:firstLine="720"/>
      </w:pPr>
    </w:p>
    <w:p w14:paraId="0FE7F5E2" w14:textId="77777777" w:rsidR="00B848AA" w:rsidRDefault="000A0EC2">
      <w:pPr>
        <w:ind w:left="1440" w:hanging="720"/>
      </w:pPr>
      <w:r>
        <w:t>22.1.1</w:t>
      </w:r>
      <w:r>
        <w:tab/>
        <w:t>data (including Buyer Data), Buyer Personal Data and Buyer Confidential Information in the Supplier’s possession, power or control</w:t>
      </w:r>
    </w:p>
    <w:p w14:paraId="50D08C35" w14:textId="77777777" w:rsidR="00B848AA" w:rsidRDefault="00B848AA">
      <w:pPr>
        <w:ind w:left="720" w:firstLine="720"/>
      </w:pPr>
    </w:p>
    <w:p w14:paraId="6B9FB46E" w14:textId="77777777" w:rsidR="00B848AA" w:rsidRDefault="000A0EC2">
      <w:pPr>
        <w:ind w:firstLine="720"/>
      </w:pPr>
      <w:r>
        <w:t>22.1.2</w:t>
      </w:r>
      <w:r>
        <w:tab/>
        <w:t>other information reasonably requested by the Buyer</w:t>
      </w:r>
    </w:p>
    <w:p w14:paraId="68D9BE5E" w14:textId="77777777" w:rsidR="00B848AA" w:rsidRDefault="00B848AA">
      <w:pPr>
        <w:ind w:firstLine="720"/>
      </w:pPr>
    </w:p>
    <w:p w14:paraId="04691742" w14:textId="77777777" w:rsidR="00B848AA" w:rsidRDefault="000A0EC2">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EAE0329" w14:textId="77777777" w:rsidR="00B848AA" w:rsidRDefault="00B848AA">
      <w:pPr>
        <w:ind w:left="720"/>
      </w:pPr>
    </w:p>
    <w:p w14:paraId="04BC20FA" w14:textId="77777777" w:rsidR="00B848AA" w:rsidRDefault="000A0EC2">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049CB92" w14:textId="77777777" w:rsidR="00B848AA" w:rsidRDefault="00B848AA">
      <w:pPr>
        <w:ind w:left="720"/>
      </w:pPr>
    </w:p>
    <w:p w14:paraId="6A137515" w14:textId="77777777" w:rsidR="00B848AA" w:rsidRDefault="000A0EC2">
      <w:pPr>
        <w:pStyle w:val="Heading3"/>
      </w:pPr>
      <w:r>
        <w:t>23.</w:t>
      </w:r>
      <w:r>
        <w:tab/>
        <w:t>Force majeure</w:t>
      </w:r>
    </w:p>
    <w:p w14:paraId="077F86B1" w14:textId="77777777" w:rsidR="00B848AA" w:rsidRDefault="000A0EC2">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25EE288" w14:textId="77777777" w:rsidR="00B848AA" w:rsidRDefault="00B848AA">
      <w:pPr>
        <w:ind w:left="720" w:hanging="720"/>
      </w:pPr>
    </w:p>
    <w:p w14:paraId="4D255804" w14:textId="77777777" w:rsidR="00B848AA" w:rsidRDefault="000A0EC2">
      <w:pPr>
        <w:pStyle w:val="Heading3"/>
      </w:pPr>
      <w:r>
        <w:t>24.</w:t>
      </w:r>
      <w:r>
        <w:tab/>
        <w:t>Liability</w:t>
      </w:r>
    </w:p>
    <w:p w14:paraId="2CAE7EC6" w14:textId="77777777" w:rsidR="00B848AA" w:rsidRDefault="000A0EC2">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D424C4B" w14:textId="77777777" w:rsidR="00B848AA" w:rsidRDefault="00B848AA">
      <w:pPr>
        <w:ind w:left="720"/>
      </w:pPr>
    </w:p>
    <w:p w14:paraId="3375B556" w14:textId="77777777" w:rsidR="00B848AA" w:rsidRDefault="000A0EC2">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5BA60C9" w14:textId="77777777" w:rsidR="00B848AA" w:rsidRDefault="00B848AA">
      <w:pPr>
        <w:ind w:left="1440"/>
      </w:pPr>
    </w:p>
    <w:p w14:paraId="1A1FCFDF" w14:textId="77777777" w:rsidR="00B848AA" w:rsidRDefault="000A0EC2">
      <w:pPr>
        <w:ind w:left="1440" w:hanging="720"/>
      </w:pPr>
      <w:r>
        <w:t>24.1.2</w:t>
      </w:r>
      <w:r>
        <w:tab/>
        <w:t>Buyer Data: for all Defaults by the Supplier resulting in direct loss, destruction, corruption, degradation or damage to any Buyer Data, will not exceed the amount in the Order Form</w:t>
      </w:r>
    </w:p>
    <w:p w14:paraId="5176511D" w14:textId="77777777" w:rsidR="00B848AA" w:rsidRDefault="00B848AA">
      <w:pPr>
        <w:ind w:left="1440"/>
      </w:pPr>
    </w:p>
    <w:p w14:paraId="43129ABB" w14:textId="77777777" w:rsidR="00B848AA" w:rsidRDefault="000A0EC2">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BC6BF91" w14:textId="77777777" w:rsidR="00B848AA" w:rsidRDefault="00B848AA">
      <w:pPr>
        <w:spacing w:before="240" w:after="240"/>
      </w:pPr>
    </w:p>
    <w:p w14:paraId="52AFEA07" w14:textId="77777777" w:rsidR="00B848AA" w:rsidRDefault="000A0EC2">
      <w:pPr>
        <w:pStyle w:val="Heading3"/>
      </w:pPr>
      <w:r>
        <w:t>25.</w:t>
      </w:r>
      <w:r>
        <w:tab/>
        <w:t>Premises</w:t>
      </w:r>
    </w:p>
    <w:p w14:paraId="41B1EBE7" w14:textId="77777777" w:rsidR="00B848AA" w:rsidRDefault="000A0EC2">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1B3E331" w14:textId="77777777" w:rsidR="00B848AA" w:rsidRDefault="00B848AA">
      <w:pPr>
        <w:ind w:left="720"/>
      </w:pPr>
    </w:p>
    <w:p w14:paraId="4D1FCCAE" w14:textId="77777777" w:rsidR="00B848AA" w:rsidRDefault="000A0EC2">
      <w:pPr>
        <w:ind w:left="720" w:hanging="720"/>
      </w:pPr>
      <w:r>
        <w:t>25.2</w:t>
      </w:r>
      <w:r>
        <w:tab/>
        <w:t>The Supplier will use the Buyer’s premises solely for the performance of its obligations under this Call-Off Contract.</w:t>
      </w:r>
    </w:p>
    <w:p w14:paraId="57FC0F0B" w14:textId="77777777" w:rsidR="00B848AA" w:rsidRDefault="00B848AA">
      <w:pPr>
        <w:ind w:firstLine="720"/>
      </w:pPr>
    </w:p>
    <w:p w14:paraId="7BD9FF0C" w14:textId="77777777" w:rsidR="00B848AA" w:rsidRDefault="000A0EC2">
      <w:r>
        <w:t>25.3</w:t>
      </w:r>
      <w:r>
        <w:tab/>
        <w:t>The Supplier will vacate the Buyer’s premises when the Call-Off Contract Ends or expires.</w:t>
      </w:r>
    </w:p>
    <w:p w14:paraId="751A5855" w14:textId="77777777" w:rsidR="00B848AA" w:rsidRDefault="00B848AA">
      <w:pPr>
        <w:ind w:firstLine="720"/>
      </w:pPr>
    </w:p>
    <w:p w14:paraId="0EBBA127" w14:textId="77777777" w:rsidR="00B848AA" w:rsidRDefault="000A0EC2">
      <w:r>
        <w:t>25.4</w:t>
      </w:r>
      <w:r>
        <w:tab/>
        <w:t>This clause does not create a tenancy or exclusive right of occupation.</w:t>
      </w:r>
    </w:p>
    <w:p w14:paraId="4F221AC7" w14:textId="77777777" w:rsidR="00B848AA" w:rsidRDefault="00B848AA"/>
    <w:p w14:paraId="6A6A1450" w14:textId="77777777" w:rsidR="00B848AA" w:rsidRDefault="000A0EC2">
      <w:r>
        <w:t>25.5</w:t>
      </w:r>
      <w:r>
        <w:tab/>
        <w:t>While on the Buyer’s premises, the Supplier will:</w:t>
      </w:r>
    </w:p>
    <w:p w14:paraId="029A40F8" w14:textId="77777777" w:rsidR="00B848AA" w:rsidRDefault="00B848AA"/>
    <w:p w14:paraId="72BB1FE4" w14:textId="77777777" w:rsidR="00B848AA" w:rsidRDefault="000A0EC2">
      <w:pPr>
        <w:ind w:left="1440" w:hanging="720"/>
      </w:pPr>
      <w:r>
        <w:t>25.5.1</w:t>
      </w:r>
      <w:r>
        <w:tab/>
        <w:t>comply with any security requirements at the premises and not do anything to weaken the security of the premises</w:t>
      </w:r>
    </w:p>
    <w:p w14:paraId="0FC357B5" w14:textId="77777777" w:rsidR="00B848AA" w:rsidRDefault="00B848AA">
      <w:pPr>
        <w:ind w:left="720"/>
      </w:pPr>
    </w:p>
    <w:p w14:paraId="5408781F" w14:textId="77777777" w:rsidR="00B848AA" w:rsidRDefault="000A0EC2">
      <w:pPr>
        <w:ind w:firstLine="720"/>
      </w:pPr>
      <w:r>
        <w:t>25.5.2</w:t>
      </w:r>
      <w:r>
        <w:tab/>
        <w:t>comply with Buyer requirements for the conduct of personnel</w:t>
      </w:r>
    </w:p>
    <w:p w14:paraId="63F50E08" w14:textId="77777777" w:rsidR="00B848AA" w:rsidRDefault="00B848AA">
      <w:pPr>
        <w:ind w:firstLine="720"/>
      </w:pPr>
    </w:p>
    <w:p w14:paraId="4B2841C4" w14:textId="77777777" w:rsidR="00B848AA" w:rsidRDefault="000A0EC2">
      <w:pPr>
        <w:ind w:firstLine="720"/>
      </w:pPr>
      <w:r>
        <w:t>25.5.3</w:t>
      </w:r>
      <w:r>
        <w:tab/>
        <w:t>comply with any health and safety measures implemented by the Buyer</w:t>
      </w:r>
    </w:p>
    <w:p w14:paraId="626FD584" w14:textId="77777777" w:rsidR="00B848AA" w:rsidRDefault="00B848AA">
      <w:pPr>
        <w:ind w:firstLine="720"/>
      </w:pPr>
    </w:p>
    <w:p w14:paraId="775F1692" w14:textId="77777777" w:rsidR="00B848AA" w:rsidRDefault="000A0EC2">
      <w:pPr>
        <w:ind w:left="1440" w:hanging="720"/>
      </w:pPr>
      <w:r>
        <w:t>25.5.4</w:t>
      </w:r>
      <w:r>
        <w:tab/>
        <w:t>immediately notify the Buyer of any incident on the premises that causes any damage to Property which could cause personal injury</w:t>
      </w:r>
    </w:p>
    <w:p w14:paraId="15F1D547" w14:textId="77777777" w:rsidR="00B848AA" w:rsidRDefault="00B848AA">
      <w:pPr>
        <w:ind w:left="720" w:firstLine="720"/>
      </w:pPr>
    </w:p>
    <w:p w14:paraId="798FD08B" w14:textId="77777777" w:rsidR="00B848AA" w:rsidRDefault="000A0EC2">
      <w:pPr>
        <w:ind w:left="720" w:hanging="720"/>
      </w:pPr>
      <w:r>
        <w:t>25.6</w:t>
      </w:r>
      <w:r>
        <w:tab/>
        <w:t>The Supplier will ensure that its health and safety policy statement (as required by the Health and Safety at Work etc Act 1974) is made available to the Buyer on request.</w:t>
      </w:r>
    </w:p>
    <w:p w14:paraId="1D4056D7" w14:textId="77777777" w:rsidR="00B848AA" w:rsidRDefault="00B848AA">
      <w:pPr>
        <w:ind w:left="720" w:hanging="720"/>
      </w:pPr>
    </w:p>
    <w:p w14:paraId="485030C6" w14:textId="77777777" w:rsidR="00B848AA" w:rsidRDefault="000A0EC2">
      <w:pPr>
        <w:pStyle w:val="Heading3"/>
      </w:pPr>
      <w:r>
        <w:t>26.</w:t>
      </w:r>
      <w:r>
        <w:tab/>
        <w:t>Equipment</w:t>
      </w:r>
    </w:p>
    <w:p w14:paraId="476BFE63" w14:textId="77777777" w:rsidR="00B848AA" w:rsidRDefault="000A0EC2">
      <w:pPr>
        <w:spacing w:before="240" w:after="240"/>
      </w:pPr>
      <w:r>
        <w:t>26.1</w:t>
      </w:r>
      <w:r>
        <w:tab/>
        <w:t>The Supplier is responsible for providing any Equipment which the Supplier requires to provide the Services.</w:t>
      </w:r>
    </w:p>
    <w:p w14:paraId="150AE95E" w14:textId="77777777" w:rsidR="00B848AA" w:rsidRDefault="00B848AA">
      <w:pPr>
        <w:ind w:firstLine="720"/>
      </w:pPr>
    </w:p>
    <w:p w14:paraId="5EA786F9" w14:textId="77777777" w:rsidR="00B848AA" w:rsidRDefault="000A0EC2">
      <w:pPr>
        <w:ind w:left="720" w:hanging="720"/>
      </w:pPr>
      <w:r>
        <w:t>26.2</w:t>
      </w:r>
      <w:r>
        <w:tab/>
        <w:t>Any Equipment brought onto the premises will be at the Supplier's own risk and the Buyer will have no liability for any loss of, or damage to, any Equipment.</w:t>
      </w:r>
    </w:p>
    <w:p w14:paraId="5BF1F7C4" w14:textId="77777777" w:rsidR="00B848AA" w:rsidRDefault="00B848AA">
      <w:pPr>
        <w:ind w:firstLine="720"/>
      </w:pPr>
    </w:p>
    <w:p w14:paraId="6CBAF6F6" w14:textId="77777777" w:rsidR="00B848AA" w:rsidRDefault="000A0EC2">
      <w:pPr>
        <w:ind w:left="720" w:hanging="720"/>
      </w:pPr>
      <w:r>
        <w:t>26.3</w:t>
      </w:r>
      <w:r>
        <w:tab/>
        <w:t>When the Call-Off Contract Ends or expires, the Supplier will remove the Equipment and any other materials leaving the premises in a safe and clean condition.</w:t>
      </w:r>
    </w:p>
    <w:p w14:paraId="5BA1369F" w14:textId="77777777" w:rsidR="00B848AA" w:rsidRDefault="00B848AA">
      <w:pPr>
        <w:ind w:left="720" w:hanging="720"/>
      </w:pPr>
    </w:p>
    <w:p w14:paraId="52B96A52" w14:textId="77777777" w:rsidR="00B848AA" w:rsidRDefault="000A0EC2">
      <w:pPr>
        <w:pStyle w:val="Heading3"/>
      </w:pPr>
      <w:r>
        <w:lastRenderedPageBreak/>
        <w:t>27.</w:t>
      </w:r>
      <w:r>
        <w:tab/>
        <w:t>The Contracts (Rights of Third Parties) Act 1999</w:t>
      </w:r>
    </w:p>
    <w:p w14:paraId="2E30AF98" w14:textId="77777777" w:rsidR="00B848AA" w:rsidRDefault="00B848AA"/>
    <w:p w14:paraId="1CCD31F6" w14:textId="77777777" w:rsidR="00B848AA" w:rsidRDefault="000A0EC2">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70278BF" w14:textId="77777777" w:rsidR="00B848AA" w:rsidRDefault="00B848AA">
      <w:pPr>
        <w:ind w:left="720" w:hanging="720"/>
      </w:pPr>
    </w:p>
    <w:p w14:paraId="04DEEAB7" w14:textId="77777777" w:rsidR="00B848AA" w:rsidRDefault="000A0EC2">
      <w:pPr>
        <w:pStyle w:val="Heading3"/>
      </w:pPr>
      <w:r>
        <w:t>28.</w:t>
      </w:r>
      <w:r>
        <w:tab/>
        <w:t>Environmental requirements</w:t>
      </w:r>
    </w:p>
    <w:p w14:paraId="76DF3236" w14:textId="77777777" w:rsidR="00B848AA" w:rsidRDefault="000A0EC2">
      <w:pPr>
        <w:ind w:left="720" w:hanging="720"/>
      </w:pPr>
      <w:r>
        <w:t>28.1</w:t>
      </w:r>
      <w:r>
        <w:tab/>
        <w:t>The Buyer will provide a copy of its environmental policy to the Supplier on request, which the Supplier will comply with.</w:t>
      </w:r>
    </w:p>
    <w:p w14:paraId="6B96499C" w14:textId="77777777" w:rsidR="00B848AA" w:rsidRDefault="00B848AA">
      <w:pPr>
        <w:ind w:firstLine="720"/>
      </w:pPr>
    </w:p>
    <w:p w14:paraId="7F92D995" w14:textId="77777777" w:rsidR="00B848AA" w:rsidRDefault="000A0EC2">
      <w:pPr>
        <w:ind w:left="720" w:hanging="720"/>
      </w:pPr>
      <w:r>
        <w:t>28.2</w:t>
      </w:r>
      <w:r>
        <w:tab/>
        <w:t>The Supplier must provide reasonable support to enable Buyers to work in an environmentally friendly way, for example by helping them recycle or lower their carbon footprint.</w:t>
      </w:r>
    </w:p>
    <w:p w14:paraId="3FB22955" w14:textId="77777777" w:rsidR="00B848AA" w:rsidRDefault="00B848AA">
      <w:pPr>
        <w:ind w:left="720" w:hanging="720"/>
      </w:pPr>
    </w:p>
    <w:p w14:paraId="30E873A0" w14:textId="77777777" w:rsidR="00B848AA" w:rsidRDefault="000A0EC2">
      <w:pPr>
        <w:pStyle w:val="Heading3"/>
      </w:pPr>
      <w:r>
        <w:t>29.</w:t>
      </w:r>
      <w:r>
        <w:tab/>
        <w:t>The Employment Regulations (TUPE)</w:t>
      </w:r>
    </w:p>
    <w:p w14:paraId="60A8A17B" w14:textId="77777777" w:rsidR="00B848AA" w:rsidRDefault="000A0EC2">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047DC27" w14:textId="77777777" w:rsidR="00B848AA" w:rsidRDefault="00B848AA">
      <w:pPr>
        <w:ind w:left="720"/>
      </w:pPr>
    </w:p>
    <w:p w14:paraId="1FD5904C" w14:textId="77777777" w:rsidR="00B848AA" w:rsidRDefault="000A0EC2">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F0D7C10" w14:textId="77777777" w:rsidR="00B848AA" w:rsidRDefault="00B848AA">
      <w:pPr>
        <w:ind w:left="720"/>
      </w:pPr>
    </w:p>
    <w:p w14:paraId="235D6474" w14:textId="77777777" w:rsidR="00B848AA" w:rsidRDefault="000A0EC2">
      <w:pPr>
        <w:ind w:firstLine="720"/>
      </w:pPr>
      <w:r>
        <w:t>29.2.1</w:t>
      </w:r>
      <w:r>
        <w:tab/>
      </w:r>
      <w:r>
        <w:tab/>
        <w:t>the activities they perform</w:t>
      </w:r>
    </w:p>
    <w:p w14:paraId="50E38C88" w14:textId="77777777" w:rsidR="00B848AA" w:rsidRDefault="000A0EC2">
      <w:pPr>
        <w:ind w:firstLine="720"/>
      </w:pPr>
      <w:r>
        <w:t>29.2.2</w:t>
      </w:r>
      <w:r>
        <w:tab/>
      </w:r>
      <w:r>
        <w:tab/>
        <w:t>age</w:t>
      </w:r>
    </w:p>
    <w:p w14:paraId="449327CE" w14:textId="77777777" w:rsidR="00B848AA" w:rsidRDefault="000A0EC2">
      <w:pPr>
        <w:ind w:firstLine="720"/>
      </w:pPr>
      <w:r>
        <w:t>29.2.3</w:t>
      </w:r>
      <w:r>
        <w:tab/>
      </w:r>
      <w:r>
        <w:tab/>
        <w:t>start date</w:t>
      </w:r>
    </w:p>
    <w:p w14:paraId="5C6AE0FA" w14:textId="77777777" w:rsidR="00B848AA" w:rsidRDefault="000A0EC2">
      <w:pPr>
        <w:ind w:firstLine="720"/>
      </w:pPr>
      <w:r>
        <w:t>29.2.4</w:t>
      </w:r>
      <w:r>
        <w:tab/>
      </w:r>
      <w:r>
        <w:tab/>
        <w:t>place of work</w:t>
      </w:r>
    </w:p>
    <w:p w14:paraId="0B45BA2E" w14:textId="77777777" w:rsidR="00B848AA" w:rsidRDefault="000A0EC2">
      <w:pPr>
        <w:ind w:firstLine="720"/>
      </w:pPr>
      <w:r>
        <w:t>29.2.5</w:t>
      </w:r>
      <w:r>
        <w:tab/>
      </w:r>
      <w:r>
        <w:tab/>
        <w:t>notice period</w:t>
      </w:r>
    </w:p>
    <w:p w14:paraId="0D0424A5" w14:textId="77777777" w:rsidR="00B848AA" w:rsidRDefault="000A0EC2">
      <w:pPr>
        <w:ind w:firstLine="720"/>
      </w:pPr>
      <w:r>
        <w:t>29.2.6</w:t>
      </w:r>
      <w:r>
        <w:tab/>
      </w:r>
      <w:r>
        <w:tab/>
        <w:t>redundancy payment entitlement</w:t>
      </w:r>
    </w:p>
    <w:p w14:paraId="72FE8EAD" w14:textId="77777777" w:rsidR="00B848AA" w:rsidRDefault="000A0EC2">
      <w:pPr>
        <w:ind w:firstLine="720"/>
      </w:pPr>
      <w:r>
        <w:t>29.2.7</w:t>
      </w:r>
      <w:r>
        <w:tab/>
      </w:r>
      <w:r>
        <w:tab/>
        <w:t>salary, benefits and pension entitlements</w:t>
      </w:r>
    </w:p>
    <w:p w14:paraId="2AB480A7" w14:textId="77777777" w:rsidR="00B848AA" w:rsidRDefault="000A0EC2">
      <w:pPr>
        <w:ind w:firstLine="720"/>
      </w:pPr>
      <w:r>
        <w:t>29.2.8</w:t>
      </w:r>
      <w:r>
        <w:tab/>
      </w:r>
      <w:r>
        <w:tab/>
        <w:t>employment status</w:t>
      </w:r>
    </w:p>
    <w:p w14:paraId="69B85F9B" w14:textId="77777777" w:rsidR="00B848AA" w:rsidRDefault="000A0EC2">
      <w:pPr>
        <w:ind w:firstLine="720"/>
      </w:pPr>
      <w:r>
        <w:t>29.2.9</w:t>
      </w:r>
      <w:r>
        <w:tab/>
      </w:r>
      <w:r>
        <w:tab/>
        <w:t>identity of employer</w:t>
      </w:r>
    </w:p>
    <w:p w14:paraId="6138AE73" w14:textId="77777777" w:rsidR="00B848AA" w:rsidRDefault="000A0EC2">
      <w:pPr>
        <w:ind w:firstLine="720"/>
      </w:pPr>
      <w:r>
        <w:t>29.2.10</w:t>
      </w:r>
      <w:r>
        <w:tab/>
        <w:t>working arrangements</w:t>
      </w:r>
    </w:p>
    <w:p w14:paraId="56895641" w14:textId="77777777" w:rsidR="00B848AA" w:rsidRDefault="000A0EC2">
      <w:pPr>
        <w:ind w:firstLine="720"/>
      </w:pPr>
      <w:r>
        <w:t>29.2.11</w:t>
      </w:r>
      <w:r>
        <w:tab/>
        <w:t>outstanding liabilities</w:t>
      </w:r>
    </w:p>
    <w:p w14:paraId="6DBEEBB4" w14:textId="77777777" w:rsidR="00B848AA" w:rsidRDefault="000A0EC2">
      <w:pPr>
        <w:ind w:firstLine="720"/>
      </w:pPr>
      <w:r>
        <w:t>29.2.12</w:t>
      </w:r>
      <w:r>
        <w:tab/>
        <w:t>sickness absence</w:t>
      </w:r>
    </w:p>
    <w:p w14:paraId="50654E67" w14:textId="77777777" w:rsidR="00B848AA" w:rsidRDefault="000A0EC2">
      <w:pPr>
        <w:ind w:firstLine="720"/>
      </w:pPr>
      <w:r>
        <w:t>29.2.13</w:t>
      </w:r>
      <w:r>
        <w:tab/>
        <w:t>copies of all relevant employment contracts and related documents</w:t>
      </w:r>
    </w:p>
    <w:p w14:paraId="597DA28D" w14:textId="77777777" w:rsidR="00B848AA" w:rsidRDefault="000A0EC2">
      <w:pPr>
        <w:ind w:firstLine="720"/>
      </w:pPr>
      <w:r>
        <w:t>29.2.14</w:t>
      </w:r>
      <w:r>
        <w:tab/>
        <w:t xml:space="preserve">all information required under regulation 11 of TUPE or as reasonably </w:t>
      </w:r>
    </w:p>
    <w:p w14:paraId="43D1F2F5" w14:textId="77777777" w:rsidR="00B848AA" w:rsidRDefault="000A0EC2">
      <w:pPr>
        <w:ind w:left="1440" w:firstLine="720"/>
      </w:pPr>
      <w:r>
        <w:t>requested by the Buyer</w:t>
      </w:r>
    </w:p>
    <w:p w14:paraId="686284E2" w14:textId="77777777" w:rsidR="00B848AA" w:rsidRDefault="00B848AA">
      <w:pPr>
        <w:ind w:left="720" w:firstLine="720"/>
      </w:pPr>
    </w:p>
    <w:p w14:paraId="2690B0D0" w14:textId="77777777" w:rsidR="00B848AA" w:rsidRDefault="000A0EC2">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DBE5D2" w14:textId="77777777" w:rsidR="00B848AA" w:rsidRDefault="00B848AA">
      <w:pPr>
        <w:ind w:left="720"/>
      </w:pPr>
    </w:p>
    <w:p w14:paraId="6A0C5CFD" w14:textId="77777777" w:rsidR="00B848AA" w:rsidRDefault="000A0EC2">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7583C7C" w14:textId="77777777" w:rsidR="00B848AA" w:rsidRDefault="00B848AA">
      <w:pPr>
        <w:ind w:left="720"/>
      </w:pPr>
    </w:p>
    <w:p w14:paraId="0F155471" w14:textId="77777777" w:rsidR="00B848AA" w:rsidRDefault="000A0EC2">
      <w:pPr>
        <w:ind w:left="720" w:hanging="720"/>
      </w:pPr>
      <w:r>
        <w:t>29.5</w:t>
      </w:r>
      <w:r>
        <w:tab/>
        <w:t>The Supplier will co-operate with the re-tendering of this Call-Off Contract by allowing the Replacement Supplier to communicate with and meet the affected employees or their representatives.</w:t>
      </w:r>
    </w:p>
    <w:p w14:paraId="40551C09" w14:textId="77777777" w:rsidR="00B848AA" w:rsidRDefault="00B848AA">
      <w:pPr>
        <w:ind w:left="720"/>
      </w:pPr>
    </w:p>
    <w:p w14:paraId="1C216CD3" w14:textId="77777777" w:rsidR="00B848AA" w:rsidRDefault="000A0EC2">
      <w:pPr>
        <w:ind w:left="720" w:hanging="720"/>
      </w:pPr>
      <w:r>
        <w:t>29.6</w:t>
      </w:r>
      <w:r>
        <w:tab/>
        <w:t>The Supplier will indemnify the Buyer or any Replacement Supplier for all Loss arising from both:</w:t>
      </w:r>
    </w:p>
    <w:p w14:paraId="49588F2D" w14:textId="77777777" w:rsidR="00B848AA" w:rsidRDefault="00B848AA">
      <w:pPr>
        <w:ind w:firstLine="720"/>
      </w:pPr>
    </w:p>
    <w:p w14:paraId="657997D9" w14:textId="77777777" w:rsidR="00B848AA" w:rsidRDefault="000A0EC2">
      <w:pPr>
        <w:ind w:firstLine="720"/>
      </w:pPr>
      <w:r>
        <w:t>29.6.1</w:t>
      </w:r>
      <w:r>
        <w:tab/>
        <w:t>its failure to comply with the provisions of this clause</w:t>
      </w:r>
    </w:p>
    <w:p w14:paraId="04C34C42" w14:textId="77777777" w:rsidR="00B848AA" w:rsidRDefault="00B848AA">
      <w:pPr>
        <w:ind w:firstLine="720"/>
      </w:pPr>
    </w:p>
    <w:p w14:paraId="53512D15" w14:textId="77777777" w:rsidR="00B848AA" w:rsidRDefault="000A0EC2">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C3B65CE" w14:textId="77777777" w:rsidR="00B848AA" w:rsidRDefault="00B848AA">
      <w:pPr>
        <w:ind w:left="1440"/>
      </w:pPr>
    </w:p>
    <w:p w14:paraId="3DBD6E3F" w14:textId="77777777" w:rsidR="00B848AA" w:rsidRDefault="000A0EC2">
      <w:pPr>
        <w:ind w:left="720" w:hanging="720"/>
      </w:pPr>
      <w:r>
        <w:t>29.7</w:t>
      </w:r>
      <w:r>
        <w:tab/>
        <w:t>The provisions of this clause apply during the Term of this Call-Off Contract and indefinitely after it Ends or expires.</w:t>
      </w:r>
    </w:p>
    <w:p w14:paraId="273B3BA2" w14:textId="77777777" w:rsidR="00B848AA" w:rsidRDefault="00B848AA">
      <w:pPr>
        <w:ind w:firstLine="720"/>
      </w:pPr>
    </w:p>
    <w:p w14:paraId="266B7A0A" w14:textId="77777777" w:rsidR="00B848AA" w:rsidRDefault="000A0EC2">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35905A" w14:textId="77777777" w:rsidR="00B848AA" w:rsidRDefault="00B848AA">
      <w:pPr>
        <w:ind w:left="720" w:hanging="720"/>
      </w:pPr>
    </w:p>
    <w:p w14:paraId="15EF8173" w14:textId="77777777" w:rsidR="00B848AA" w:rsidRDefault="000A0EC2">
      <w:pPr>
        <w:pStyle w:val="Heading3"/>
      </w:pPr>
      <w:r>
        <w:t>30.</w:t>
      </w:r>
      <w:r>
        <w:tab/>
        <w:t>Additional G-Cloud services</w:t>
      </w:r>
    </w:p>
    <w:p w14:paraId="2045C776" w14:textId="77777777" w:rsidR="00B848AA" w:rsidRDefault="000A0EC2">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001B390" w14:textId="77777777" w:rsidR="00B848AA" w:rsidRDefault="00B848AA">
      <w:pPr>
        <w:ind w:left="720"/>
      </w:pPr>
    </w:p>
    <w:p w14:paraId="4C526FE8" w14:textId="77777777" w:rsidR="00B848AA" w:rsidRDefault="000A0EC2">
      <w:pPr>
        <w:ind w:left="720" w:hanging="720"/>
      </w:pPr>
      <w:r>
        <w:t>30.2</w:t>
      </w:r>
      <w:r>
        <w:tab/>
        <w:t>If reasonably requested to do so by the Buyer in the Order Form, the Supplier must provide and monitor performance of the Additional Services using an Implementation Plan.</w:t>
      </w:r>
    </w:p>
    <w:p w14:paraId="119BF3E5" w14:textId="77777777" w:rsidR="00B848AA" w:rsidRDefault="00B848AA">
      <w:pPr>
        <w:ind w:left="720" w:hanging="720"/>
      </w:pPr>
    </w:p>
    <w:p w14:paraId="26E85F26" w14:textId="77777777" w:rsidR="00B848AA" w:rsidRDefault="000A0EC2">
      <w:pPr>
        <w:pStyle w:val="Heading3"/>
      </w:pPr>
      <w:r>
        <w:t>31.</w:t>
      </w:r>
      <w:r>
        <w:tab/>
        <w:t>Collaboration</w:t>
      </w:r>
    </w:p>
    <w:p w14:paraId="3B970F2B" w14:textId="77777777" w:rsidR="00B848AA" w:rsidRDefault="000A0EC2">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D2DC0B6" w14:textId="77777777" w:rsidR="00B848AA" w:rsidRDefault="00B848AA">
      <w:pPr>
        <w:ind w:left="720"/>
      </w:pPr>
    </w:p>
    <w:p w14:paraId="4F46C2A9" w14:textId="77777777" w:rsidR="00B848AA" w:rsidRDefault="000A0EC2">
      <w:r>
        <w:t>31.2</w:t>
      </w:r>
      <w:r>
        <w:tab/>
        <w:t>In addition to any obligations under the Collaboration Agreement, the Supplier must:</w:t>
      </w:r>
    </w:p>
    <w:p w14:paraId="68A69E3D" w14:textId="77777777" w:rsidR="00B848AA" w:rsidRDefault="00B848AA"/>
    <w:p w14:paraId="5B1189FD" w14:textId="77777777" w:rsidR="00B848AA" w:rsidRDefault="000A0EC2">
      <w:pPr>
        <w:ind w:firstLine="720"/>
      </w:pPr>
      <w:r>
        <w:t>31.2.1</w:t>
      </w:r>
      <w:r>
        <w:tab/>
        <w:t>work proactively and in good faith with each of the Buyer’s contractors</w:t>
      </w:r>
    </w:p>
    <w:p w14:paraId="4AE7841A" w14:textId="77777777" w:rsidR="00B848AA" w:rsidRDefault="00B848AA">
      <w:pPr>
        <w:ind w:firstLine="720"/>
      </w:pPr>
    </w:p>
    <w:p w14:paraId="2EC3C771" w14:textId="77777777" w:rsidR="00B848AA" w:rsidRDefault="000A0EC2">
      <w:pPr>
        <w:ind w:left="1440" w:hanging="720"/>
      </w:pPr>
      <w:r>
        <w:t>31.2.2</w:t>
      </w:r>
      <w:r>
        <w:tab/>
        <w:t>co-operate and share information with the Buyer’s contractors to enable the efficient operation of the Buyer’s ICT services and G-Cloud Services</w:t>
      </w:r>
    </w:p>
    <w:p w14:paraId="27C70668" w14:textId="77777777" w:rsidR="00B848AA" w:rsidRDefault="00B848AA">
      <w:pPr>
        <w:ind w:left="1440" w:hanging="720"/>
      </w:pPr>
    </w:p>
    <w:p w14:paraId="194D7AC8" w14:textId="77777777" w:rsidR="00B848AA" w:rsidRDefault="000A0EC2">
      <w:pPr>
        <w:pStyle w:val="Heading3"/>
      </w:pPr>
      <w:r>
        <w:lastRenderedPageBreak/>
        <w:t>32.</w:t>
      </w:r>
      <w:r>
        <w:tab/>
        <w:t>Variation process</w:t>
      </w:r>
    </w:p>
    <w:p w14:paraId="4C6C0A92" w14:textId="77777777" w:rsidR="00B848AA" w:rsidRDefault="000A0EC2">
      <w:pPr>
        <w:ind w:left="720" w:hanging="720"/>
      </w:pPr>
      <w:r>
        <w:t>32.1</w:t>
      </w:r>
      <w:r>
        <w:tab/>
        <w:t>The Buyer can request in writing a change to this Call-Off Contract if it isn’t a material change to the Framework Agreement/or this Call-Off Contract. Once implemented, it is called a Variation.</w:t>
      </w:r>
    </w:p>
    <w:p w14:paraId="67DE5A8E" w14:textId="77777777" w:rsidR="00B848AA" w:rsidRDefault="00B848AA">
      <w:pPr>
        <w:ind w:left="720"/>
      </w:pPr>
    </w:p>
    <w:p w14:paraId="5844D96B" w14:textId="77777777" w:rsidR="00B848AA" w:rsidRDefault="000A0EC2">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455C3EC" w14:textId="77777777" w:rsidR="00B848AA" w:rsidRDefault="00B848AA"/>
    <w:p w14:paraId="494A1DB5" w14:textId="77777777" w:rsidR="00B848AA" w:rsidRDefault="000A0EC2">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B6294F3" w14:textId="77777777" w:rsidR="00B848AA" w:rsidRDefault="00B848AA">
      <w:pPr>
        <w:ind w:left="720" w:hanging="720"/>
      </w:pPr>
    </w:p>
    <w:p w14:paraId="4FF91335" w14:textId="77777777" w:rsidR="00B848AA" w:rsidRDefault="000A0EC2">
      <w:pPr>
        <w:pStyle w:val="Heading3"/>
      </w:pPr>
      <w:r>
        <w:t>33.</w:t>
      </w:r>
      <w:r>
        <w:tab/>
        <w:t>Data Protection Legislation (GDPR)</w:t>
      </w:r>
    </w:p>
    <w:p w14:paraId="2162A56F" w14:textId="77777777" w:rsidR="00B848AA" w:rsidRDefault="000A0EC2">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0714A3F" w14:textId="77777777" w:rsidR="00B848AA" w:rsidRDefault="00B848AA"/>
    <w:p w14:paraId="753A3231" w14:textId="77777777" w:rsidR="00B848AA" w:rsidRDefault="00B848AA">
      <w:pPr>
        <w:pageBreakBefore/>
        <w:rPr>
          <w:b/>
        </w:rPr>
      </w:pPr>
    </w:p>
    <w:p w14:paraId="54A483CD" w14:textId="2A05BDCC" w:rsidR="00B848AA" w:rsidRDefault="000A0EC2">
      <w:pPr>
        <w:pStyle w:val="Heading2"/>
      </w:pPr>
      <w:bookmarkStart w:id="92" w:name="_Toc33176236"/>
      <w:bookmarkStart w:id="93" w:name="_Toc69399448"/>
      <w:bookmarkStart w:id="94" w:name="_Toc71109858"/>
      <w:r>
        <w:t>Schedule 3: Collaboration agreement</w:t>
      </w:r>
      <w:bookmarkEnd w:id="92"/>
      <w:bookmarkEnd w:id="93"/>
      <w:r w:rsidR="00B97406">
        <w:t xml:space="preserve"> -</w:t>
      </w:r>
      <w:r w:rsidR="00297D27">
        <w:t xml:space="preserve"> </w:t>
      </w:r>
      <w:r w:rsidR="00B97406">
        <w:t>Not Applicable</w:t>
      </w:r>
      <w:bookmarkEnd w:id="94"/>
    </w:p>
    <w:p w14:paraId="46612F02" w14:textId="77777777" w:rsidR="00B848AA" w:rsidRDefault="000A0EC2">
      <w:r>
        <w:t>This agreement is made on [enter date]</w:t>
      </w:r>
    </w:p>
    <w:p w14:paraId="195529E9" w14:textId="77777777" w:rsidR="00B848AA" w:rsidRDefault="00B848AA"/>
    <w:p w14:paraId="73357C60" w14:textId="77777777" w:rsidR="00B848AA" w:rsidRDefault="000A0EC2">
      <w:r>
        <w:t>between:</w:t>
      </w:r>
    </w:p>
    <w:p w14:paraId="65F15992" w14:textId="77777777" w:rsidR="00B848AA" w:rsidRDefault="00B848AA"/>
    <w:p w14:paraId="7706290D" w14:textId="77777777" w:rsidR="00B848AA" w:rsidRDefault="000A0EC2">
      <w:r>
        <w:t>1)</w:t>
      </w:r>
      <w:r>
        <w:tab/>
        <w:t>[Buyer name] of [Buyer address] (the Buyer)</w:t>
      </w:r>
    </w:p>
    <w:p w14:paraId="4261D0F5" w14:textId="77777777" w:rsidR="00B848AA" w:rsidRDefault="00B848AA"/>
    <w:p w14:paraId="3D9A1CF2" w14:textId="77777777" w:rsidR="00B848AA" w:rsidRDefault="000A0EC2">
      <w:pPr>
        <w:ind w:left="720" w:hanging="720"/>
      </w:pPr>
      <w:r>
        <w:t>2)</w:t>
      </w:r>
      <w:r>
        <w:tab/>
        <w:t>[Company name] a company incorporated in [company address] under [registration number], whose registered office is at [registered address]</w:t>
      </w:r>
    </w:p>
    <w:p w14:paraId="5C5556DD" w14:textId="77777777" w:rsidR="00B848AA" w:rsidRDefault="00B848AA"/>
    <w:p w14:paraId="50F24C27" w14:textId="77777777" w:rsidR="00B848AA" w:rsidRDefault="000A0EC2">
      <w:pPr>
        <w:ind w:left="720" w:hanging="720"/>
      </w:pPr>
      <w:r>
        <w:t>3)</w:t>
      </w:r>
      <w:r>
        <w:tab/>
        <w:t>[Company name] a company incorporated in [company address] under [registration number], whose registered office is at [registered address]</w:t>
      </w:r>
    </w:p>
    <w:p w14:paraId="7A605546" w14:textId="77777777" w:rsidR="00B848AA" w:rsidRDefault="00B848AA"/>
    <w:p w14:paraId="5CB447DA" w14:textId="77777777" w:rsidR="00B848AA" w:rsidRDefault="000A0EC2">
      <w:pPr>
        <w:ind w:left="720" w:hanging="720"/>
      </w:pPr>
      <w:r>
        <w:t>4)</w:t>
      </w:r>
      <w:r>
        <w:tab/>
        <w:t>[Company name] a company incorporated in [company address] under [registration number], whose registered office is at [registered address]</w:t>
      </w:r>
    </w:p>
    <w:p w14:paraId="0B3565EB" w14:textId="77777777" w:rsidR="00B848AA" w:rsidRDefault="00B848AA"/>
    <w:p w14:paraId="1A93952E" w14:textId="77777777" w:rsidR="00B848AA" w:rsidRDefault="000A0EC2">
      <w:pPr>
        <w:ind w:left="720" w:hanging="720"/>
      </w:pPr>
      <w:r>
        <w:t>5)</w:t>
      </w:r>
      <w:r>
        <w:tab/>
        <w:t>[Company name] a company incorporated in [company address] under [registration number], whose registered office is at [registered address]</w:t>
      </w:r>
    </w:p>
    <w:p w14:paraId="2ACED104" w14:textId="77777777" w:rsidR="00B848AA" w:rsidRDefault="00B848AA">
      <w:pPr>
        <w:ind w:firstLine="720"/>
      </w:pPr>
    </w:p>
    <w:p w14:paraId="5B354EFB" w14:textId="77777777" w:rsidR="00B848AA" w:rsidRDefault="000A0EC2">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2723ECCB" w14:textId="77777777" w:rsidR="00B848AA" w:rsidRDefault="00B848AA"/>
    <w:p w14:paraId="283FFA05" w14:textId="77777777" w:rsidR="00B848AA" w:rsidRDefault="000A0EC2">
      <w:pPr>
        <w:spacing w:after="120"/>
      </w:pPr>
      <w:r>
        <w:t>Whereas the:</w:t>
      </w:r>
    </w:p>
    <w:p w14:paraId="3967563A" w14:textId="77777777" w:rsidR="00B848AA" w:rsidRDefault="000A0EC2" w:rsidP="005C3AE7">
      <w:pPr>
        <w:numPr>
          <w:ilvl w:val="0"/>
          <w:numId w:val="8"/>
        </w:numPr>
      </w:pPr>
      <w:r>
        <w:t>Buyer and the Collaboration Suppliers have entered into the Call-Off Contracts (defined below) for the provision of various IT and telecommunications (ICT) services</w:t>
      </w:r>
    </w:p>
    <w:p w14:paraId="4C63C2B1" w14:textId="77777777" w:rsidR="00B848AA" w:rsidRDefault="000A0EC2" w:rsidP="005C3AE7">
      <w:pPr>
        <w:numPr>
          <w:ilvl w:val="0"/>
          <w:numId w:val="8"/>
        </w:numPr>
      </w:pPr>
      <w:r>
        <w:t>Collaboration Suppliers now wish to provide for the ongoing cooperation of the Collaboration Suppliers in the provision of services under their respective Call-Off Contract to the Buyer</w:t>
      </w:r>
    </w:p>
    <w:p w14:paraId="2A30CF0D" w14:textId="77777777" w:rsidR="00B848AA" w:rsidRDefault="00B848AA">
      <w:pPr>
        <w:ind w:left="720"/>
      </w:pPr>
    </w:p>
    <w:p w14:paraId="2D83FBE4" w14:textId="77777777" w:rsidR="00B848AA" w:rsidRDefault="000A0EC2">
      <w:r>
        <w:t>In consideration of the mutual covenants contained in the Call-Off Contracts and this Agreement and intending to be legally bound, the parties agree as follows:</w:t>
      </w:r>
    </w:p>
    <w:p w14:paraId="3B632F52" w14:textId="77777777" w:rsidR="00B848AA" w:rsidRDefault="000A0EC2">
      <w:pPr>
        <w:pStyle w:val="Heading3"/>
      </w:pPr>
      <w:r>
        <w:t>1.</w:t>
      </w:r>
      <w:r>
        <w:tab/>
        <w:t>Definitions and interpretation</w:t>
      </w:r>
    </w:p>
    <w:p w14:paraId="671B404B" w14:textId="77777777" w:rsidR="00B848AA" w:rsidRDefault="000A0EC2">
      <w:pPr>
        <w:ind w:left="720" w:hanging="720"/>
      </w:pPr>
      <w:r>
        <w:t>1.1</w:t>
      </w:r>
      <w:r>
        <w:tab/>
        <w:t>As used in this Agreement, the capitalised expressions will have the following meanings unless the context requires otherwise:</w:t>
      </w:r>
    </w:p>
    <w:p w14:paraId="1B7E5F7B" w14:textId="77777777" w:rsidR="00B848AA" w:rsidRDefault="00B848AA">
      <w:pPr>
        <w:ind w:firstLine="720"/>
      </w:pPr>
    </w:p>
    <w:p w14:paraId="5A21AA2E" w14:textId="77777777" w:rsidR="00B848AA" w:rsidRDefault="000A0EC2">
      <w:pPr>
        <w:ind w:left="1440" w:hanging="720"/>
      </w:pPr>
      <w:r>
        <w:t>1.1.1</w:t>
      </w:r>
      <w:r>
        <w:tab/>
        <w:t>“Agreement” means this collaboration agreement, containing the Clauses and Schedules</w:t>
      </w:r>
    </w:p>
    <w:p w14:paraId="588A7EE6" w14:textId="77777777" w:rsidR="00B848AA" w:rsidRDefault="00B848AA">
      <w:pPr>
        <w:ind w:left="720" w:firstLine="720"/>
      </w:pPr>
    </w:p>
    <w:p w14:paraId="543335BD" w14:textId="77777777" w:rsidR="00B848AA" w:rsidRDefault="000A0EC2">
      <w:pPr>
        <w:ind w:left="1440" w:hanging="720"/>
      </w:pPr>
      <w:r>
        <w:t>1.1.2</w:t>
      </w:r>
      <w:r>
        <w:tab/>
        <w:t>“Call-Off Contract” means each contract that is let by the Buyer to one of the Collaboration Suppliers</w:t>
      </w:r>
    </w:p>
    <w:p w14:paraId="4BA17AFC" w14:textId="77777777" w:rsidR="00B848AA" w:rsidRDefault="000A0EC2">
      <w:pPr>
        <w:ind w:left="1440" w:hanging="720"/>
      </w:pPr>
      <w:r>
        <w:t>1.1.3</w:t>
      </w:r>
      <w:r>
        <w:tab/>
        <w:t>“Contractor’s Confidential Information” has the meaning set out in the Call-Off Contracts</w:t>
      </w:r>
    </w:p>
    <w:p w14:paraId="0CF801E6" w14:textId="77777777" w:rsidR="00B848AA" w:rsidRDefault="00B848AA">
      <w:pPr>
        <w:ind w:left="720" w:firstLine="720"/>
      </w:pPr>
    </w:p>
    <w:p w14:paraId="216D7AB2" w14:textId="77777777" w:rsidR="00B848AA" w:rsidRDefault="000A0EC2">
      <w:pPr>
        <w:ind w:left="1440" w:hanging="720"/>
      </w:pPr>
      <w:r>
        <w:lastRenderedPageBreak/>
        <w:t>1.1.4</w:t>
      </w:r>
      <w:r>
        <w:tab/>
        <w:t>“Confidential Information” means the Buyer Confidential Information or any Collaboration Supplier's Confidential Information</w:t>
      </w:r>
    </w:p>
    <w:p w14:paraId="0008C39A" w14:textId="77777777" w:rsidR="00B848AA" w:rsidRDefault="00B848AA">
      <w:pPr>
        <w:ind w:left="720" w:firstLine="720"/>
      </w:pPr>
    </w:p>
    <w:p w14:paraId="6B44A29D" w14:textId="77777777" w:rsidR="00B848AA" w:rsidRDefault="000A0EC2">
      <w:pPr>
        <w:ind w:firstLine="720"/>
      </w:pPr>
      <w:r>
        <w:t>1.1.5</w:t>
      </w:r>
      <w:r>
        <w:tab/>
        <w:t>“Collaboration Activities” means the activities set out in this Agreement</w:t>
      </w:r>
    </w:p>
    <w:p w14:paraId="431F5FAA" w14:textId="77777777" w:rsidR="00B848AA" w:rsidRDefault="00B848AA">
      <w:pPr>
        <w:ind w:firstLine="720"/>
      </w:pPr>
    </w:p>
    <w:p w14:paraId="25A5E356" w14:textId="77777777" w:rsidR="00B848AA" w:rsidRDefault="000A0EC2">
      <w:pPr>
        <w:ind w:firstLine="720"/>
      </w:pPr>
      <w:r>
        <w:t>1.1.6</w:t>
      </w:r>
      <w:r>
        <w:tab/>
        <w:t>“Buyer Confidential Information” has the meaning set out in the Call-Off Contract</w:t>
      </w:r>
    </w:p>
    <w:p w14:paraId="680F2744" w14:textId="77777777" w:rsidR="00B848AA" w:rsidRDefault="00B848AA">
      <w:pPr>
        <w:ind w:left="720" w:firstLine="720"/>
      </w:pPr>
    </w:p>
    <w:p w14:paraId="2862516B" w14:textId="77777777" w:rsidR="00B848AA" w:rsidRDefault="000A0EC2">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EDA370F" w14:textId="77777777" w:rsidR="00B848AA" w:rsidRDefault="00B848AA">
      <w:pPr>
        <w:ind w:left="1440"/>
      </w:pPr>
    </w:p>
    <w:p w14:paraId="747F1556" w14:textId="77777777" w:rsidR="00B848AA" w:rsidRDefault="000A0EC2">
      <w:pPr>
        <w:ind w:firstLine="720"/>
      </w:pPr>
      <w:r>
        <w:t>1.1.8</w:t>
      </w:r>
      <w:r>
        <w:tab/>
        <w:t>“Detailed Collaboration Plan” has the meaning given in clause 3.2</w:t>
      </w:r>
    </w:p>
    <w:p w14:paraId="4A626ABE" w14:textId="77777777" w:rsidR="00B848AA" w:rsidRDefault="00B848AA">
      <w:pPr>
        <w:ind w:firstLine="720"/>
      </w:pPr>
    </w:p>
    <w:p w14:paraId="3CA5E772" w14:textId="77777777" w:rsidR="00B848AA" w:rsidRDefault="000A0EC2">
      <w:pPr>
        <w:ind w:firstLine="720"/>
      </w:pPr>
      <w:r>
        <w:t>1.1.9</w:t>
      </w:r>
      <w:r>
        <w:tab/>
        <w:t>“Dispute Resolution Process” means the process described in clause 9</w:t>
      </w:r>
    </w:p>
    <w:p w14:paraId="43ACD3E2" w14:textId="77777777" w:rsidR="00B848AA" w:rsidRDefault="00B848AA">
      <w:pPr>
        <w:ind w:firstLine="720"/>
      </w:pPr>
    </w:p>
    <w:p w14:paraId="58496C47" w14:textId="77777777" w:rsidR="00B848AA" w:rsidRDefault="000A0EC2">
      <w:pPr>
        <w:ind w:firstLine="720"/>
      </w:pPr>
      <w:r>
        <w:t>1.1.10</w:t>
      </w:r>
      <w:r>
        <w:tab/>
        <w:t>“Effective Date” means [insert date]</w:t>
      </w:r>
    </w:p>
    <w:p w14:paraId="13CBBE35" w14:textId="77777777" w:rsidR="00B848AA" w:rsidRDefault="00B848AA">
      <w:pPr>
        <w:ind w:firstLine="720"/>
      </w:pPr>
    </w:p>
    <w:p w14:paraId="0A4CA5A3" w14:textId="77777777" w:rsidR="00B848AA" w:rsidRDefault="000A0EC2">
      <w:pPr>
        <w:ind w:firstLine="720"/>
      </w:pPr>
      <w:r>
        <w:t>1.1.11</w:t>
      </w:r>
      <w:r>
        <w:tab/>
        <w:t>“Force Majeure Event” has the meaning given in clause 11.1.1</w:t>
      </w:r>
    </w:p>
    <w:p w14:paraId="397B2266" w14:textId="77777777" w:rsidR="00B848AA" w:rsidRDefault="00B848AA"/>
    <w:p w14:paraId="43E38822" w14:textId="77777777" w:rsidR="00B848AA" w:rsidRDefault="000A0EC2">
      <w:pPr>
        <w:ind w:firstLine="720"/>
      </w:pPr>
      <w:r>
        <w:t>1.1.12</w:t>
      </w:r>
      <w:r>
        <w:tab/>
        <w:t>“Mediator” has the meaning given to it in clause 9.3.1</w:t>
      </w:r>
    </w:p>
    <w:p w14:paraId="0AEA5B78" w14:textId="77777777" w:rsidR="00B848AA" w:rsidRDefault="00B848AA">
      <w:pPr>
        <w:ind w:firstLine="720"/>
      </w:pPr>
    </w:p>
    <w:p w14:paraId="5BC3B946" w14:textId="77777777" w:rsidR="00B848AA" w:rsidRDefault="000A0EC2">
      <w:pPr>
        <w:ind w:firstLine="720"/>
      </w:pPr>
      <w:r>
        <w:t>1.1.13</w:t>
      </w:r>
      <w:r>
        <w:tab/>
        <w:t>“Outline Collaboration Plan” has the meaning given to it in clause 3.1</w:t>
      </w:r>
    </w:p>
    <w:p w14:paraId="7EA7927C" w14:textId="77777777" w:rsidR="00B848AA" w:rsidRDefault="00B848AA">
      <w:pPr>
        <w:ind w:firstLine="720"/>
      </w:pPr>
    </w:p>
    <w:p w14:paraId="7DAB9A00" w14:textId="77777777" w:rsidR="00B848AA" w:rsidRDefault="000A0EC2">
      <w:pPr>
        <w:ind w:firstLine="720"/>
      </w:pPr>
      <w:r>
        <w:t>1.1.14</w:t>
      </w:r>
      <w:r>
        <w:tab/>
        <w:t>“Term” has the meaning given to it in clause 2.1</w:t>
      </w:r>
    </w:p>
    <w:p w14:paraId="3B3FF50D" w14:textId="77777777" w:rsidR="00B848AA" w:rsidRDefault="00B848AA">
      <w:pPr>
        <w:ind w:firstLine="720"/>
      </w:pPr>
    </w:p>
    <w:p w14:paraId="1FA8C1BA" w14:textId="77777777" w:rsidR="00B848AA" w:rsidRDefault="000A0EC2">
      <w:pPr>
        <w:ind w:left="1440" w:hanging="720"/>
      </w:pPr>
      <w:r>
        <w:t>1.1.15</w:t>
      </w:r>
      <w:r>
        <w:tab/>
        <w:t>"Working Day" means any day other than a Saturday, Sunday or public holiday in England and Wales</w:t>
      </w:r>
    </w:p>
    <w:p w14:paraId="281CB36B" w14:textId="77777777" w:rsidR="00B848AA" w:rsidRDefault="00B848AA">
      <w:pPr>
        <w:ind w:left="720" w:firstLine="720"/>
      </w:pPr>
    </w:p>
    <w:p w14:paraId="701BE835" w14:textId="77777777" w:rsidR="00B848AA" w:rsidRDefault="00B848AA"/>
    <w:p w14:paraId="79A83F5F" w14:textId="77777777" w:rsidR="00B848AA" w:rsidRDefault="000A0EC2">
      <w:pPr>
        <w:spacing w:after="120"/>
      </w:pPr>
      <w:r>
        <w:t>1.2</w:t>
      </w:r>
      <w:r>
        <w:tab/>
        <w:t>General</w:t>
      </w:r>
    </w:p>
    <w:p w14:paraId="4694251C" w14:textId="77777777" w:rsidR="00B848AA" w:rsidRDefault="000A0EC2">
      <w:pPr>
        <w:ind w:firstLine="720"/>
      </w:pPr>
      <w:r>
        <w:t>1.2.1</w:t>
      </w:r>
      <w:r>
        <w:tab/>
        <w:t>As used in this Agreement the:</w:t>
      </w:r>
    </w:p>
    <w:p w14:paraId="3C6077EB" w14:textId="77777777" w:rsidR="00B848AA" w:rsidRDefault="00B848AA">
      <w:pPr>
        <w:ind w:firstLine="720"/>
      </w:pPr>
    </w:p>
    <w:p w14:paraId="5BE5368E" w14:textId="77777777" w:rsidR="00B848AA" w:rsidRDefault="000A0EC2">
      <w:pPr>
        <w:ind w:left="720" w:firstLine="720"/>
      </w:pPr>
      <w:r>
        <w:t>1.2.1.1</w:t>
      </w:r>
      <w:r>
        <w:tab/>
        <w:t>masculine includes the feminine and the neuter</w:t>
      </w:r>
    </w:p>
    <w:p w14:paraId="036ACAAB" w14:textId="77777777" w:rsidR="00B848AA" w:rsidRDefault="00B848AA">
      <w:pPr>
        <w:ind w:left="720" w:firstLine="720"/>
      </w:pPr>
    </w:p>
    <w:p w14:paraId="32EDB6DF" w14:textId="77777777" w:rsidR="00B848AA" w:rsidRDefault="000A0EC2">
      <w:pPr>
        <w:ind w:left="720" w:firstLine="720"/>
      </w:pPr>
      <w:r>
        <w:t>1.2.1.2</w:t>
      </w:r>
      <w:r>
        <w:tab/>
        <w:t>singular includes the plural and the other way round</w:t>
      </w:r>
    </w:p>
    <w:p w14:paraId="648D5E0E" w14:textId="77777777" w:rsidR="00B848AA" w:rsidRDefault="00B848AA">
      <w:pPr>
        <w:ind w:firstLine="720"/>
      </w:pPr>
    </w:p>
    <w:p w14:paraId="1E5E1F25" w14:textId="77777777" w:rsidR="00B848AA" w:rsidRDefault="000A0EC2">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BDDA30A" w14:textId="77777777" w:rsidR="00B848AA" w:rsidRDefault="00B848AA">
      <w:pPr>
        <w:ind w:left="2160"/>
      </w:pPr>
    </w:p>
    <w:p w14:paraId="20C46CE2" w14:textId="77777777" w:rsidR="00B848AA" w:rsidRDefault="000A0EC2">
      <w:pPr>
        <w:ind w:left="1440" w:hanging="720"/>
      </w:pPr>
      <w:r>
        <w:t>1.2.2</w:t>
      </w:r>
      <w:r>
        <w:tab/>
        <w:t>Headings are included in this Agreement for ease of reference only and will not affect the interpretation or construction of this Agreement.</w:t>
      </w:r>
    </w:p>
    <w:p w14:paraId="2A91E10F" w14:textId="77777777" w:rsidR="00B848AA" w:rsidRDefault="00B848AA">
      <w:pPr>
        <w:ind w:left="720" w:firstLine="720"/>
      </w:pPr>
    </w:p>
    <w:p w14:paraId="3973D6D0" w14:textId="77777777" w:rsidR="00B848AA" w:rsidRDefault="000A0EC2">
      <w:pPr>
        <w:ind w:left="1440" w:hanging="720"/>
      </w:pPr>
      <w:r>
        <w:t>1.2.3</w:t>
      </w:r>
      <w:r>
        <w:tab/>
        <w:t>References to Clauses and Schedules are, unless otherwise provided, references to clauses of and schedules to this Agreement.</w:t>
      </w:r>
    </w:p>
    <w:p w14:paraId="2C04C5A7" w14:textId="77777777" w:rsidR="00B848AA" w:rsidRDefault="00B848AA">
      <w:pPr>
        <w:ind w:left="720" w:firstLine="720"/>
      </w:pPr>
    </w:p>
    <w:p w14:paraId="4E1F5436" w14:textId="77777777" w:rsidR="00B848AA" w:rsidRDefault="000A0EC2">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2EE6C78" w14:textId="77777777" w:rsidR="00B848AA" w:rsidRDefault="00B848AA">
      <w:pPr>
        <w:ind w:left="1440"/>
      </w:pPr>
    </w:p>
    <w:p w14:paraId="2FC3EAB2" w14:textId="77777777" w:rsidR="00B848AA" w:rsidRDefault="000A0EC2">
      <w:pPr>
        <w:ind w:left="1440" w:hanging="720"/>
      </w:pPr>
      <w:r>
        <w:t>1.2.5</w:t>
      </w:r>
      <w:r>
        <w:tab/>
        <w:t>The party receiving the benefit of an indemnity under this Agreement will use its reasonable endeavours to mitigate its loss covered by the indemnity.</w:t>
      </w:r>
    </w:p>
    <w:p w14:paraId="0A0F83DC" w14:textId="77777777" w:rsidR="00B848AA" w:rsidRDefault="00B848AA">
      <w:pPr>
        <w:ind w:left="1440" w:hanging="720"/>
      </w:pPr>
    </w:p>
    <w:p w14:paraId="1042568E" w14:textId="77777777" w:rsidR="00B848AA" w:rsidRDefault="000A0EC2">
      <w:pPr>
        <w:pStyle w:val="Heading3"/>
      </w:pPr>
      <w:r>
        <w:t>2.</w:t>
      </w:r>
      <w:r>
        <w:tab/>
        <w:t>Term of the agreement</w:t>
      </w:r>
    </w:p>
    <w:p w14:paraId="5BFF51F0" w14:textId="77777777" w:rsidR="00B848AA" w:rsidRDefault="000A0EC2">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CF7418C" w14:textId="77777777" w:rsidR="00B848AA" w:rsidRDefault="00B848AA">
      <w:pPr>
        <w:ind w:left="720"/>
      </w:pPr>
    </w:p>
    <w:p w14:paraId="649A7E22" w14:textId="77777777" w:rsidR="00B848AA" w:rsidRDefault="000A0EC2">
      <w:pPr>
        <w:ind w:left="720" w:hanging="720"/>
      </w:pPr>
      <w:r>
        <w:t>2.2</w:t>
      </w:r>
      <w:r>
        <w:tab/>
        <w:t>A Collaboration Supplier’s duty to perform the Collaboration Activities will continue until the end of the exit period of its last relevant Call-Off Contract.</w:t>
      </w:r>
    </w:p>
    <w:p w14:paraId="15E5DC4F" w14:textId="77777777" w:rsidR="00B848AA" w:rsidRDefault="00B848AA">
      <w:pPr>
        <w:spacing w:after="200"/>
      </w:pPr>
    </w:p>
    <w:p w14:paraId="2E418324" w14:textId="77777777" w:rsidR="00B848AA" w:rsidRDefault="000A0EC2">
      <w:pPr>
        <w:pStyle w:val="Heading3"/>
      </w:pPr>
      <w:r>
        <w:t>3.</w:t>
      </w:r>
      <w:r>
        <w:tab/>
        <w:t>Provision of the collaboration plan</w:t>
      </w:r>
    </w:p>
    <w:p w14:paraId="2250B7A6" w14:textId="77777777" w:rsidR="00B848AA" w:rsidRDefault="000A0EC2">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DA21E4B" w14:textId="77777777" w:rsidR="00B848AA" w:rsidRDefault="00B848AA">
      <w:pPr>
        <w:ind w:left="720"/>
      </w:pPr>
    </w:p>
    <w:p w14:paraId="1F70E58F" w14:textId="77777777" w:rsidR="00B848AA" w:rsidRDefault="000A0EC2">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9236F46" w14:textId="77777777" w:rsidR="00B848AA" w:rsidRDefault="00B848AA">
      <w:pPr>
        <w:ind w:left="720"/>
      </w:pPr>
    </w:p>
    <w:p w14:paraId="6F709F7A" w14:textId="77777777" w:rsidR="00B848AA" w:rsidRDefault="000A0EC2">
      <w:pPr>
        <w:ind w:left="720" w:hanging="720"/>
      </w:pPr>
      <w:r>
        <w:t>3.3</w:t>
      </w:r>
      <w:r>
        <w:tab/>
        <w:t>The Collaboration Suppliers will provide the help the Buyer needs to prepare the Detailed Collaboration Plan.</w:t>
      </w:r>
    </w:p>
    <w:p w14:paraId="4EA2FD5C" w14:textId="77777777" w:rsidR="00B848AA" w:rsidRDefault="00B848AA">
      <w:pPr>
        <w:ind w:firstLine="720"/>
      </w:pPr>
    </w:p>
    <w:p w14:paraId="5DDE9DF1" w14:textId="77777777" w:rsidR="00B848AA" w:rsidRDefault="000A0EC2">
      <w:pPr>
        <w:ind w:left="720" w:hanging="720"/>
      </w:pPr>
      <w:r>
        <w:t>3.4</w:t>
      </w:r>
      <w:r>
        <w:tab/>
        <w:t>The Collaboration Suppliers will, within 10 Working Days of receipt of the Detailed Collaboration Plan, either:</w:t>
      </w:r>
    </w:p>
    <w:p w14:paraId="405E197E" w14:textId="77777777" w:rsidR="00B848AA" w:rsidRDefault="00B848AA">
      <w:pPr>
        <w:ind w:firstLine="720"/>
      </w:pPr>
    </w:p>
    <w:p w14:paraId="7504C2AC" w14:textId="77777777" w:rsidR="00B848AA" w:rsidRDefault="000A0EC2">
      <w:pPr>
        <w:ind w:firstLine="720"/>
      </w:pPr>
      <w:r>
        <w:t>3.4.1</w:t>
      </w:r>
      <w:r>
        <w:tab/>
        <w:t>approve the Detailed Collaboration Plan</w:t>
      </w:r>
    </w:p>
    <w:p w14:paraId="52AD40C3" w14:textId="77777777" w:rsidR="00B848AA" w:rsidRDefault="000A0EC2">
      <w:pPr>
        <w:ind w:firstLine="720"/>
      </w:pPr>
      <w:r>
        <w:t>3.4.2</w:t>
      </w:r>
      <w:r>
        <w:tab/>
        <w:t>reject the Detailed Collaboration Plan, giving reasons for the rejection</w:t>
      </w:r>
    </w:p>
    <w:p w14:paraId="5B9A517B" w14:textId="77777777" w:rsidR="00B848AA" w:rsidRDefault="00B848AA"/>
    <w:p w14:paraId="4A34B0F4" w14:textId="77777777" w:rsidR="00B848AA" w:rsidRDefault="000A0EC2">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2754F3D" w14:textId="77777777" w:rsidR="00B848AA" w:rsidRDefault="00B848AA">
      <w:pPr>
        <w:ind w:left="720"/>
      </w:pPr>
    </w:p>
    <w:p w14:paraId="496DC5C1" w14:textId="77777777" w:rsidR="00B848AA" w:rsidRDefault="000A0EC2">
      <w:pPr>
        <w:ind w:left="720" w:hanging="720"/>
      </w:pPr>
      <w:r>
        <w:t>3.6</w:t>
      </w:r>
      <w:r>
        <w:tab/>
        <w:t>If the parties fail to agree the Detailed Collaboration Plan under clause 3.4, the dispute will be resolved using the Dispute Resolution Process.</w:t>
      </w:r>
    </w:p>
    <w:p w14:paraId="13485ADA" w14:textId="77777777" w:rsidR="00B848AA" w:rsidRDefault="00B848AA">
      <w:pPr>
        <w:ind w:firstLine="720"/>
      </w:pPr>
    </w:p>
    <w:p w14:paraId="59D21996" w14:textId="77777777" w:rsidR="00B848AA" w:rsidRDefault="000A0EC2">
      <w:pPr>
        <w:pStyle w:val="Heading3"/>
      </w:pPr>
      <w:r>
        <w:t>4.</w:t>
      </w:r>
      <w:r>
        <w:tab/>
        <w:t>Collaboration activities</w:t>
      </w:r>
    </w:p>
    <w:p w14:paraId="6C2C78C4" w14:textId="77777777" w:rsidR="00B848AA" w:rsidRDefault="000A0EC2">
      <w:pPr>
        <w:ind w:left="720" w:hanging="720"/>
      </w:pPr>
      <w:r>
        <w:t>4.1</w:t>
      </w:r>
      <w:r>
        <w:tab/>
        <w:t xml:space="preserve">The Collaboration Suppliers will perform the Collaboration Activities and all other obligations of this Agreement in accordance with the Detailed Collaboration Plan. </w:t>
      </w:r>
    </w:p>
    <w:p w14:paraId="0121D8EA" w14:textId="77777777" w:rsidR="00B848AA" w:rsidRDefault="00B848AA">
      <w:pPr>
        <w:ind w:firstLine="720"/>
      </w:pPr>
    </w:p>
    <w:p w14:paraId="0A8B3718" w14:textId="77777777" w:rsidR="00B848AA" w:rsidRDefault="000A0EC2">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9CD3C09" w14:textId="77777777" w:rsidR="00B848AA" w:rsidRDefault="00B848AA">
      <w:pPr>
        <w:ind w:left="720"/>
      </w:pPr>
    </w:p>
    <w:p w14:paraId="7184D99B" w14:textId="77777777" w:rsidR="00B848AA" w:rsidRDefault="000A0EC2">
      <w:pPr>
        <w:ind w:left="720" w:hanging="720"/>
      </w:pPr>
      <w:r>
        <w:t>4.3</w:t>
      </w:r>
      <w:r>
        <w:tab/>
        <w:t>The Collaboration Suppliers will ensure that their respective subcontractors provide all co-operation and assistance as set out in the Detailed Collaboration Plan.</w:t>
      </w:r>
    </w:p>
    <w:p w14:paraId="109CF793" w14:textId="77777777" w:rsidR="00B848AA" w:rsidRDefault="00B848AA">
      <w:pPr>
        <w:ind w:firstLine="720"/>
      </w:pPr>
    </w:p>
    <w:p w14:paraId="70D27F9E" w14:textId="77777777" w:rsidR="00B848AA" w:rsidRDefault="000A0EC2">
      <w:pPr>
        <w:pStyle w:val="Heading3"/>
      </w:pPr>
      <w:r>
        <w:t>5.</w:t>
      </w:r>
      <w:r>
        <w:tab/>
        <w:t>Invoicing</w:t>
      </w:r>
    </w:p>
    <w:p w14:paraId="5676B999" w14:textId="77777777" w:rsidR="00B848AA" w:rsidRDefault="000A0EC2">
      <w:pPr>
        <w:ind w:left="720" w:hanging="720"/>
      </w:pPr>
      <w:r>
        <w:t>5.1</w:t>
      </w:r>
      <w:r>
        <w:tab/>
        <w:t>If any sums are due under this Agreement, the Collaboration Supplier responsible for paying the sum will pay within 30 Working Days of receipt of a valid invoice.</w:t>
      </w:r>
    </w:p>
    <w:p w14:paraId="23BAFD52" w14:textId="77777777" w:rsidR="00B848AA" w:rsidRDefault="00B848AA">
      <w:pPr>
        <w:ind w:firstLine="720"/>
      </w:pPr>
    </w:p>
    <w:p w14:paraId="57950B5A" w14:textId="77777777" w:rsidR="00B848AA" w:rsidRDefault="000A0EC2">
      <w:pPr>
        <w:ind w:left="720" w:hanging="720"/>
      </w:pPr>
      <w:r>
        <w:t>5.2</w:t>
      </w:r>
      <w:r>
        <w:tab/>
        <w:t>Interest will be payable on any late payments under this Agreement under the Late Payment of Commercial Debts (Interest) Act 1998, as amended.</w:t>
      </w:r>
    </w:p>
    <w:p w14:paraId="0BE1705D" w14:textId="77777777" w:rsidR="00B848AA" w:rsidRDefault="00B848AA">
      <w:pPr>
        <w:ind w:firstLine="720"/>
      </w:pPr>
    </w:p>
    <w:p w14:paraId="62A04C24" w14:textId="77777777" w:rsidR="00B848AA" w:rsidRDefault="000A0EC2">
      <w:pPr>
        <w:pStyle w:val="Heading3"/>
      </w:pPr>
      <w:r>
        <w:t>6.</w:t>
      </w:r>
      <w:r>
        <w:tab/>
        <w:t>Confidentiality</w:t>
      </w:r>
    </w:p>
    <w:p w14:paraId="3A95EF4C" w14:textId="77777777" w:rsidR="00B848AA" w:rsidRDefault="000A0EC2">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50A17DE" w14:textId="77777777" w:rsidR="00B848AA" w:rsidRDefault="000A0EC2">
      <w:r>
        <w:t>6.2</w:t>
      </w:r>
      <w:r>
        <w:tab/>
        <w:t>Each Collaboration Supplier warrants that:</w:t>
      </w:r>
    </w:p>
    <w:p w14:paraId="0F4270A6" w14:textId="77777777" w:rsidR="00B848AA" w:rsidRDefault="00B848AA"/>
    <w:p w14:paraId="02E85159" w14:textId="77777777" w:rsidR="00B848AA" w:rsidRDefault="000A0EC2">
      <w:pPr>
        <w:ind w:left="1440" w:hanging="720"/>
      </w:pPr>
      <w:r>
        <w:t>6.2.1</w:t>
      </w:r>
      <w:r>
        <w:tab/>
        <w:t>any person employed or engaged by it (in connection with this Agreement in the course of such employment or engagement) will only use Confidential Information for the purposes of this Agreement</w:t>
      </w:r>
    </w:p>
    <w:p w14:paraId="258569EC" w14:textId="77777777" w:rsidR="00B848AA" w:rsidRDefault="00B848AA">
      <w:pPr>
        <w:ind w:left="1440"/>
      </w:pPr>
    </w:p>
    <w:p w14:paraId="0A3D4B1F" w14:textId="77777777" w:rsidR="00B848AA" w:rsidRDefault="000A0EC2">
      <w:pPr>
        <w:ind w:left="1440" w:hanging="720"/>
      </w:pPr>
      <w:r>
        <w:t>6.2.2</w:t>
      </w:r>
      <w:r>
        <w:tab/>
        <w:t>any person employed or engaged by it (in connection with this Agreement) will not disclose any Confidential Information to any third party without the prior written consent of the other party</w:t>
      </w:r>
    </w:p>
    <w:p w14:paraId="6C779A35" w14:textId="77777777" w:rsidR="00B848AA" w:rsidRDefault="00B848AA">
      <w:pPr>
        <w:ind w:left="1440"/>
      </w:pPr>
    </w:p>
    <w:p w14:paraId="4363DB10" w14:textId="77777777" w:rsidR="00B848AA" w:rsidRDefault="000A0EC2">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8D7DFBC" w14:textId="77777777" w:rsidR="00B848AA" w:rsidRDefault="00B848AA">
      <w:pPr>
        <w:ind w:left="720" w:firstLine="720"/>
      </w:pPr>
    </w:p>
    <w:p w14:paraId="3CAF10DB" w14:textId="77777777" w:rsidR="00B848AA" w:rsidRDefault="000A0EC2">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3266811" w14:textId="77777777" w:rsidR="00B848AA" w:rsidRDefault="00B848AA">
      <w:pPr>
        <w:ind w:left="1440"/>
      </w:pPr>
    </w:p>
    <w:p w14:paraId="13732B18" w14:textId="77777777" w:rsidR="00B848AA" w:rsidRDefault="000A0EC2">
      <w:r>
        <w:t>6.3</w:t>
      </w:r>
      <w:r>
        <w:tab/>
        <w:t>The provisions of clauses 6.1 and 6.2 will not apply to any information which is:</w:t>
      </w:r>
    </w:p>
    <w:p w14:paraId="4449062B" w14:textId="77777777" w:rsidR="00B848AA" w:rsidRDefault="00B848AA"/>
    <w:p w14:paraId="407E8047" w14:textId="77777777" w:rsidR="00B848AA" w:rsidRDefault="000A0EC2">
      <w:pPr>
        <w:ind w:firstLine="720"/>
      </w:pPr>
      <w:r>
        <w:lastRenderedPageBreak/>
        <w:t>6.3.1</w:t>
      </w:r>
      <w:r>
        <w:tab/>
        <w:t>or becomes public knowledge other than by breach of this clause 6</w:t>
      </w:r>
    </w:p>
    <w:p w14:paraId="500C09C5" w14:textId="77777777" w:rsidR="00B848AA" w:rsidRDefault="00B848AA"/>
    <w:p w14:paraId="78DFAC92" w14:textId="77777777" w:rsidR="00B848AA" w:rsidRDefault="000A0EC2">
      <w:pPr>
        <w:ind w:left="1440" w:hanging="720"/>
      </w:pPr>
      <w:r>
        <w:t>6.3.2</w:t>
      </w:r>
      <w:r>
        <w:tab/>
        <w:t>in the possession of the receiving party without restriction in relation to disclosure before the date of receipt from the disclosing party</w:t>
      </w:r>
    </w:p>
    <w:p w14:paraId="37EC4D5B" w14:textId="77777777" w:rsidR="00B848AA" w:rsidRDefault="00B848AA">
      <w:pPr>
        <w:ind w:left="720" w:firstLine="720"/>
      </w:pPr>
    </w:p>
    <w:p w14:paraId="7F6080AF" w14:textId="77777777" w:rsidR="00B848AA" w:rsidRDefault="000A0EC2">
      <w:pPr>
        <w:ind w:left="1440" w:hanging="720"/>
      </w:pPr>
      <w:r>
        <w:t>6.3.3</w:t>
      </w:r>
      <w:r>
        <w:tab/>
        <w:t>received from a third party who lawfully acquired it and who is under no obligation restricting its disclosure</w:t>
      </w:r>
    </w:p>
    <w:p w14:paraId="3435B79B" w14:textId="77777777" w:rsidR="00B848AA" w:rsidRDefault="00B848AA">
      <w:pPr>
        <w:ind w:left="720" w:firstLine="720"/>
      </w:pPr>
    </w:p>
    <w:p w14:paraId="0BD17CDE" w14:textId="77777777" w:rsidR="00B848AA" w:rsidRDefault="000A0EC2">
      <w:pPr>
        <w:ind w:firstLine="720"/>
      </w:pPr>
      <w:r>
        <w:t>6.3.4</w:t>
      </w:r>
      <w:r>
        <w:tab/>
        <w:t>independently developed without access to the Confidential Information</w:t>
      </w:r>
    </w:p>
    <w:p w14:paraId="7EB01607" w14:textId="77777777" w:rsidR="00B848AA" w:rsidRDefault="00B848AA">
      <w:pPr>
        <w:ind w:firstLine="720"/>
      </w:pPr>
    </w:p>
    <w:p w14:paraId="444A1263" w14:textId="77777777" w:rsidR="00B848AA" w:rsidRDefault="000A0EC2">
      <w:pPr>
        <w:ind w:left="1440" w:hanging="720"/>
      </w:pPr>
      <w:r>
        <w:t>6.3.5</w:t>
      </w:r>
      <w:r>
        <w:tab/>
        <w:t>required to be disclosed by law or by any judicial, arbitral, regulatory or other authority of competent jurisdiction</w:t>
      </w:r>
    </w:p>
    <w:p w14:paraId="68B045F1" w14:textId="77777777" w:rsidR="00B848AA" w:rsidRDefault="00B848AA">
      <w:pPr>
        <w:ind w:left="720" w:firstLine="720"/>
      </w:pPr>
    </w:p>
    <w:p w14:paraId="4D78108E" w14:textId="77777777" w:rsidR="00B848AA" w:rsidRDefault="000A0EC2">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22007E8" w14:textId="77777777" w:rsidR="00B848AA" w:rsidRDefault="00B848AA">
      <w:pPr>
        <w:ind w:left="720" w:hanging="720"/>
      </w:pPr>
    </w:p>
    <w:p w14:paraId="71DC0D78" w14:textId="77777777" w:rsidR="00B848AA" w:rsidRDefault="000A0EC2">
      <w:pPr>
        <w:pStyle w:val="Heading3"/>
      </w:pPr>
      <w:r>
        <w:t>7.</w:t>
      </w:r>
      <w:r>
        <w:tab/>
        <w:t>Warranties</w:t>
      </w:r>
    </w:p>
    <w:p w14:paraId="21FDABA8" w14:textId="77777777" w:rsidR="00B848AA" w:rsidRDefault="000A0EC2">
      <w:r>
        <w:t>7.1</w:t>
      </w:r>
      <w:r>
        <w:tab/>
        <w:t>Each Collaboration Supplier warrant and represent that:</w:t>
      </w:r>
    </w:p>
    <w:p w14:paraId="1BAF17A3" w14:textId="77777777" w:rsidR="00B848AA" w:rsidRDefault="000A0EC2">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72A8642" w14:textId="77777777" w:rsidR="00B848AA" w:rsidRDefault="00B848AA"/>
    <w:p w14:paraId="256D54BD" w14:textId="77777777" w:rsidR="00B848AA" w:rsidRDefault="000A0EC2">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E58AA6D" w14:textId="77777777" w:rsidR="00B848AA" w:rsidRDefault="00B848AA">
      <w:pPr>
        <w:ind w:left="1440"/>
      </w:pPr>
    </w:p>
    <w:p w14:paraId="5A8F1AA5" w14:textId="77777777" w:rsidR="00B848AA" w:rsidRDefault="000A0EC2">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EFE204E" w14:textId="77777777" w:rsidR="00B848AA" w:rsidRDefault="00B848AA">
      <w:pPr>
        <w:ind w:left="720" w:hanging="720"/>
      </w:pPr>
    </w:p>
    <w:p w14:paraId="362A2D8C" w14:textId="77777777" w:rsidR="00B848AA" w:rsidRDefault="000A0EC2">
      <w:pPr>
        <w:pStyle w:val="Heading3"/>
      </w:pPr>
      <w:r>
        <w:t>8.</w:t>
      </w:r>
      <w:r>
        <w:tab/>
        <w:t>Limitation of liability</w:t>
      </w:r>
    </w:p>
    <w:p w14:paraId="0B222C34" w14:textId="77777777" w:rsidR="00B848AA" w:rsidRDefault="000A0EC2">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9068049" w14:textId="77777777" w:rsidR="00B848AA" w:rsidRDefault="00B848AA">
      <w:pPr>
        <w:ind w:left="720"/>
      </w:pPr>
    </w:p>
    <w:p w14:paraId="49744F9A" w14:textId="77777777" w:rsidR="00B848AA" w:rsidRDefault="000A0EC2">
      <w:pPr>
        <w:ind w:left="720" w:hanging="720"/>
      </w:pPr>
      <w:r>
        <w:t>8.2</w:t>
      </w:r>
      <w:r>
        <w:tab/>
        <w:t>Nothing in this Agreement will exclude or limit the liability of any party for fraud or fraudulent misrepresentation.</w:t>
      </w:r>
    </w:p>
    <w:p w14:paraId="0E1EB40B" w14:textId="77777777" w:rsidR="00B848AA" w:rsidRDefault="00B848AA">
      <w:pPr>
        <w:ind w:firstLine="720"/>
      </w:pPr>
    </w:p>
    <w:p w14:paraId="4AEDCF74" w14:textId="77777777" w:rsidR="00B848AA" w:rsidRDefault="000A0EC2">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203C7D98" w14:textId="77777777" w:rsidR="00B848AA" w:rsidRDefault="00B848AA">
      <w:pPr>
        <w:ind w:left="720"/>
      </w:pPr>
    </w:p>
    <w:p w14:paraId="4BAAEBA3" w14:textId="77777777" w:rsidR="00B848AA" w:rsidRDefault="000A0EC2">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71EA7A0" w14:textId="77777777" w:rsidR="00B848AA" w:rsidRDefault="00B848AA">
      <w:pPr>
        <w:ind w:left="720"/>
      </w:pPr>
    </w:p>
    <w:p w14:paraId="6E11960A" w14:textId="77777777" w:rsidR="00B848AA" w:rsidRDefault="000A0EC2">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3B5F3A5" w14:textId="77777777" w:rsidR="00B848AA" w:rsidRDefault="00B848AA">
      <w:pPr>
        <w:ind w:left="720"/>
      </w:pPr>
    </w:p>
    <w:p w14:paraId="6650DE13" w14:textId="77777777" w:rsidR="00B848AA" w:rsidRDefault="000A0EC2">
      <w:pPr>
        <w:ind w:firstLine="720"/>
      </w:pPr>
      <w:r>
        <w:t>8.5.1</w:t>
      </w:r>
      <w:r>
        <w:tab/>
        <w:t>indirect loss or damage</w:t>
      </w:r>
    </w:p>
    <w:p w14:paraId="476476A3" w14:textId="77777777" w:rsidR="00B848AA" w:rsidRDefault="000A0EC2">
      <w:pPr>
        <w:ind w:firstLine="720"/>
      </w:pPr>
      <w:r>
        <w:t>8.5.2</w:t>
      </w:r>
      <w:r>
        <w:tab/>
        <w:t>special loss or damage</w:t>
      </w:r>
    </w:p>
    <w:p w14:paraId="74282F17" w14:textId="77777777" w:rsidR="00B848AA" w:rsidRDefault="000A0EC2">
      <w:pPr>
        <w:ind w:firstLine="720"/>
      </w:pPr>
      <w:r>
        <w:t>8.5.3</w:t>
      </w:r>
      <w:r>
        <w:tab/>
        <w:t>consequential loss or damage</w:t>
      </w:r>
    </w:p>
    <w:p w14:paraId="44A38A6E" w14:textId="77777777" w:rsidR="00B848AA" w:rsidRDefault="000A0EC2">
      <w:pPr>
        <w:ind w:firstLine="720"/>
      </w:pPr>
      <w:r>
        <w:t>8.5.4</w:t>
      </w:r>
      <w:r>
        <w:tab/>
        <w:t>loss of profits (whether direct or indirect)</w:t>
      </w:r>
    </w:p>
    <w:p w14:paraId="51026837" w14:textId="77777777" w:rsidR="00B848AA" w:rsidRDefault="000A0EC2">
      <w:pPr>
        <w:ind w:firstLine="720"/>
      </w:pPr>
      <w:r>
        <w:t>8.5.5</w:t>
      </w:r>
      <w:r>
        <w:tab/>
        <w:t>loss of turnover (whether direct or indirect)</w:t>
      </w:r>
    </w:p>
    <w:p w14:paraId="6464E00B" w14:textId="77777777" w:rsidR="00B848AA" w:rsidRDefault="000A0EC2">
      <w:pPr>
        <w:ind w:firstLine="720"/>
      </w:pPr>
      <w:r>
        <w:t>8.5.6</w:t>
      </w:r>
      <w:r>
        <w:tab/>
        <w:t>loss of business opportunities (whether direct or indirect)</w:t>
      </w:r>
    </w:p>
    <w:p w14:paraId="0CF3EC94" w14:textId="77777777" w:rsidR="00B848AA" w:rsidRDefault="000A0EC2">
      <w:pPr>
        <w:ind w:firstLine="720"/>
      </w:pPr>
      <w:r>
        <w:t>8.5.7</w:t>
      </w:r>
      <w:r>
        <w:tab/>
        <w:t>damage to goodwill (whether direct or indirect)</w:t>
      </w:r>
    </w:p>
    <w:p w14:paraId="04C7906F" w14:textId="77777777" w:rsidR="00B848AA" w:rsidRDefault="00B848AA"/>
    <w:p w14:paraId="76FC9B4F" w14:textId="77777777" w:rsidR="00B848AA" w:rsidRDefault="000A0EC2">
      <w:pPr>
        <w:ind w:left="720" w:hanging="720"/>
      </w:pPr>
      <w:r>
        <w:t>8.6</w:t>
      </w:r>
      <w:r>
        <w:tab/>
        <w:t>Subject always to clauses 8.1 and 8.2, the provisions of clause 8.5 will not be taken as limiting the right of the Buyer to among other things, recover as a direct loss any:</w:t>
      </w:r>
    </w:p>
    <w:p w14:paraId="53DF0D40" w14:textId="77777777" w:rsidR="00B848AA" w:rsidRDefault="00B848AA"/>
    <w:p w14:paraId="2F0C2B4A" w14:textId="77777777" w:rsidR="00B848AA" w:rsidRDefault="000A0EC2">
      <w:pPr>
        <w:ind w:left="1440" w:hanging="720"/>
      </w:pPr>
      <w:r>
        <w:t>8.6.1</w:t>
      </w:r>
      <w:r>
        <w:tab/>
        <w:t>additional operational or administrative costs and expenses arising from a Collaboration Supplier’s Default</w:t>
      </w:r>
    </w:p>
    <w:p w14:paraId="00E583F6" w14:textId="77777777" w:rsidR="00B848AA" w:rsidRDefault="00B848AA">
      <w:pPr>
        <w:ind w:left="720" w:firstLine="720"/>
      </w:pPr>
    </w:p>
    <w:p w14:paraId="00043230" w14:textId="77777777" w:rsidR="00B848AA" w:rsidRDefault="000A0EC2">
      <w:pPr>
        <w:ind w:left="1440" w:hanging="720"/>
      </w:pPr>
      <w:r>
        <w:t>8.6.2</w:t>
      </w:r>
      <w:r>
        <w:tab/>
        <w:t>wasted expenditure or charges rendered unnecessary or incurred by the Buyer arising from a Collaboration Supplier's Default</w:t>
      </w:r>
    </w:p>
    <w:p w14:paraId="3C06094C" w14:textId="77777777" w:rsidR="00B848AA" w:rsidRDefault="00B848AA">
      <w:pPr>
        <w:ind w:left="1440" w:hanging="720"/>
      </w:pPr>
    </w:p>
    <w:p w14:paraId="4E9F6DE1" w14:textId="77777777" w:rsidR="00B848AA" w:rsidRDefault="000A0EC2">
      <w:pPr>
        <w:pStyle w:val="Heading3"/>
      </w:pPr>
      <w:r>
        <w:t>9.</w:t>
      </w:r>
      <w:r>
        <w:tab/>
        <w:t>Dispute resolution process</w:t>
      </w:r>
    </w:p>
    <w:p w14:paraId="5547264E" w14:textId="77777777" w:rsidR="00B848AA" w:rsidRDefault="000A0EC2">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59568D0" w14:textId="77777777" w:rsidR="00B848AA" w:rsidRDefault="00B848AA">
      <w:pPr>
        <w:ind w:firstLine="720"/>
      </w:pPr>
    </w:p>
    <w:p w14:paraId="6FE2AB4E" w14:textId="77777777" w:rsidR="00B848AA" w:rsidRDefault="000A0EC2">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5D2D4EE" w14:textId="77777777" w:rsidR="00B848AA" w:rsidRDefault="00B848AA">
      <w:pPr>
        <w:ind w:left="720"/>
      </w:pPr>
    </w:p>
    <w:p w14:paraId="643FA991" w14:textId="77777777" w:rsidR="00B848AA" w:rsidRDefault="000A0EC2">
      <w:pPr>
        <w:spacing w:after="120"/>
      </w:pPr>
      <w:r>
        <w:t>9.3</w:t>
      </w:r>
      <w:r>
        <w:tab/>
        <w:t>The process for mediation and consequential provisions for mediation are:</w:t>
      </w:r>
    </w:p>
    <w:p w14:paraId="79590A38" w14:textId="77777777" w:rsidR="00B848AA" w:rsidRDefault="000A0EC2">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67EA11C8" w14:textId="77777777" w:rsidR="00B848AA" w:rsidRDefault="00B848AA">
      <w:pPr>
        <w:ind w:left="1440"/>
      </w:pPr>
    </w:p>
    <w:p w14:paraId="19B92736" w14:textId="77777777" w:rsidR="00B848AA" w:rsidRDefault="000A0EC2">
      <w:pPr>
        <w:ind w:left="1440" w:hanging="720"/>
      </w:pPr>
      <w:r>
        <w:t>9.3.2</w:t>
      </w:r>
      <w:r>
        <w:tab/>
        <w:t>the parties will within 10 Working Days of the appointment of the Mediator meet to agree a programme for the exchange of all relevant information and the structure of the negotiations</w:t>
      </w:r>
    </w:p>
    <w:p w14:paraId="6F21F843" w14:textId="77777777" w:rsidR="00B848AA" w:rsidRDefault="00B848AA"/>
    <w:p w14:paraId="053E24A5" w14:textId="77777777" w:rsidR="00B848AA" w:rsidRDefault="000A0EC2">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C107C9F" w14:textId="77777777" w:rsidR="00B848AA" w:rsidRDefault="00B848AA"/>
    <w:p w14:paraId="5F89BFD1" w14:textId="77777777" w:rsidR="00B848AA" w:rsidRDefault="000A0EC2">
      <w:pPr>
        <w:ind w:left="1440" w:hanging="720"/>
      </w:pPr>
      <w:r>
        <w:t>9.3.4</w:t>
      </w:r>
      <w:r>
        <w:tab/>
        <w:t>if the parties reach agreement on the resolution of the dispute, the agreement will be put in writing and will be binding on the parties once it is signed by their authorised representatives</w:t>
      </w:r>
    </w:p>
    <w:p w14:paraId="4290AFE2" w14:textId="77777777" w:rsidR="00B848AA" w:rsidRDefault="00B848AA"/>
    <w:p w14:paraId="43B84DB7" w14:textId="77777777" w:rsidR="00B848AA" w:rsidRDefault="000A0EC2">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08A2C71" w14:textId="77777777" w:rsidR="00B848AA" w:rsidRDefault="00B848AA">
      <w:pPr>
        <w:ind w:left="1440"/>
      </w:pPr>
    </w:p>
    <w:p w14:paraId="1FD79F0E" w14:textId="77777777" w:rsidR="00B848AA" w:rsidRDefault="000A0EC2">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DFD91D0" w14:textId="77777777" w:rsidR="00B848AA" w:rsidRDefault="00B848AA"/>
    <w:p w14:paraId="73CF951A" w14:textId="77777777" w:rsidR="00B848AA" w:rsidRDefault="000A0EC2">
      <w:pPr>
        <w:ind w:left="720" w:hanging="720"/>
      </w:pPr>
      <w:r>
        <w:t>9.4</w:t>
      </w:r>
      <w:r>
        <w:tab/>
        <w:t>The parties must continue to perform their respective obligations under this Agreement and under their respective Contracts pending the resolution of a dispute.</w:t>
      </w:r>
    </w:p>
    <w:p w14:paraId="7D97FDA7" w14:textId="77777777" w:rsidR="00B848AA" w:rsidRDefault="00B848AA">
      <w:pPr>
        <w:ind w:left="720" w:hanging="720"/>
      </w:pPr>
    </w:p>
    <w:p w14:paraId="4AEAEF92" w14:textId="77777777" w:rsidR="00B848AA" w:rsidRDefault="000A0EC2">
      <w:pPr>
        <w:pStyle w:val="Heading3"/>
      </w:pPr>
      <w:r>
        <w:t>10. Termination and consequences of termination</w:t>
      </w:r>
    </w:p>
    <w:p w14:paraId="31F59047" w14:textId="77777777" w:rsidR="00B848AA" w:rsidRDefault="000A0EC2">
      <w:pPr>
        <w:pStyle w:val="Heading4"/>
        <w:spacing w:after="120"/>
      </w:pPr>
      <w:r>
        <w:t>10.1</w:t>
      </w:r>
      <w:r>
        <w:tab/>
        <w:t>Termination</w:t>
      </w:r>
    </w:p>
    <w:p w14:paraId="34ACBE46" w14:textId="77777777" w:rsidR="00B848AA" w:rsidRDefault="000A0EC2">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20C4C09" w14:textId="77777777" w:rsidR="00B848AA" w:rsidRDefault="00B848AA">
      <w:pPr>
        <w:ind w:left="1440"/>
      </w:pPr>
    </w:p>
    <w:p w14:paraId="0CCDCF7D" w14:textId="77777777" w:rsidR="00B848AA" w:rsidRDefault="000A0EC2">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E9D9632" w14:textId="77777777" w:rsidR="00B848AA" w:rsidRDefault="000A0EC2">
      <w:pPr>
        <w:pStyle w:val="Heading4"/>
        <w:spacing w:after="120"/>
      </w:pPr>
      <w:r>
        <w:t>10.2</w:t>
      </w:r>
      <w:r>
        <w:tab/>
        <w:t>Consequences of termination</w:t>
      </w:r>
    </w:p>
    <w:p w14:paraId="0E97E751" w14:textId="77777777" w:rsidR="00B848AA" w:rsidRDefault="000A0EC2">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491B828" w14:textId="77777777" w:rsidR="00B848AA" w:rsidRDefault="00B848AA"/>
    <w:p w14:paraId="1552DD68" w14:textId="77777777" w:rsidR="00B848AA" w:rsidRDefault="000A0EC2">
      <w:pPr>
        <w:ind w:left="1440" w:hanging="720"/>
      </w:pPr>
      <w:r>
        <w:lastRenderedPageBreak/>
        <w:t>10.2.2</w:t>
      </w:r>
      <w:r>
        <w:tab/>
        <w:t>Except as expressly provided in this Agreement, termination of this Agreement will be without prejudice to any accrued rights and obligations under this Agreement.</w:t>
      </w:r>
    </w:p>
    <w:p w14:paraId="27049076" w14:textId="77777777" w:rsidR="00B848AA" w:rsidRDefault="00B848AA"/>
    <w:p w14:paraId="7526C2C0" w14:textId="77777777" w:rsidR="00B848AA" w:rsidRDefault="000A0EC2">
      <w:pPr>
        <w:pStyle w:val="Heading3"/>
      </w:pPr>
      <w:r>
        <w:t>11. General provisions</w:t>
      </w:r>
    </w:p>
    <w:p w14:paraId="6B0A2F51" w14:textId="77777777" w:rsidR="00B848AA" w:rsidRDefault="000A0EC2">
      <w:pPr>
        <w:pStyle w:val="Heading4"/>
      </w:pPr>
      <w:r>
        <w:t>11.1</w:t>
      </w:r>
      <w:r>
        <w:tab/>
        <w:t>Force majeure</w:t>
      </w:r>
    </w:p>
    <w:p w14:paraId="00C6221A" w14:textId="77777777" w:rsidR="00B848AA" w:rsidRDefault="000A0EC2">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C16F3AC" w14:textId="77777777" w:rsidR="00B848AA" w:rsidRDefault="00B848AA">
      <w:pPr>
        <w:ind w:left="1440"/>
      </w:pPr>
    </w:p>
    <w:p w14:paraId="278ED81E" w14:textId="77777777" w:rsidR="00B848AA" w:rsidRDefault="000A0EC2">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E05B28B" w14:textId="77777777" w:rsidR="00B848AA" w:rsidRDefault="00B848AA">
      <w:pPr>
        <w:ind w:left="720" w:firstLine="720"/>
      </w:pPr>
    </w:p>
    <w:p w14:paraId="2B9F4874" w14:textId="77777777" w:rsidR="00B848AA" w:rsidRDefault="000A0EC2">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18AB4855" w14:textId="77777777" w:rsidR="00B848AA" w:rsidRDefault="00B848AA">
      <w:pPr>
        <w:ind w:left="1440"/>
      </w:pPr>
    </w:p>
    <w:p w14:paraId="7E02B593" w14:textId="77777777" w:rsidR="00B848AA" w:rsidRDefault="000A0EC2">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8FCBA4B" w14:textId="77777777" w:rsidR="00B848AA" w:rsidRDefault="00B848AA"/>
    <w:p w14:paraId="2283ACAF" w14:textId="77777777" w:rsidR="00B848AA" w:rsidRDefault="000A0EC2">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0847C75" w14:textId="77777777" w:rsidR="00B848AA" w:rsidRDefault="00B848AA">
      <w:pPr>
        <w:ind w:left="720"/>
      </w:pPr>
    </w:p>
    <w:p w14:paraId="65A767E6" w14:textId="77777777" w:rsidR="00B848AA" w:rsidRDefault="000A0EC2">
      <w:pPr>
        <w:pStyle w:val="Heading4"/>
      </w:pPr>
      <w:r>
        <w:t>11.2</w:t>
      </w:r>
      <w:r>
        <w:tab/>
        <w:t>Assignment and subcontracting</w:t>
      </w:r>
    </w:p>
    <w:p w14:paraId="6249C2C3" w14:textId="77777777" w:rsidR="00B848AA" w:rsidRDefault="000A0EC2">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2C1955F" w14:textId="77777777" w:rsidR="00B848AA" w:rsidRDefault="00B848AA">
      <w:pPr>
        <w:ind w:left="720"/>
      </w:pPr>
    </w:p>
    <w:p w14:paraId="178C31E2" w14:textId="77777777" w:rsidR="00B848AA" w:rsidRDefault="000A0EC2">
      <w:pPr>
        <w:ind w:left="1440" w:hanging="720"/>
      </w:pPr>
      <w:r>
        <w:t>11.2.2</w:t>
      </w:r>
      <w:r>
        <w:tab/>
        <w:t>Any subcontractors identified in the Detailed Collaboration Plan can perform those elements identified in the Detailed Collaboration Plan to be performed by the Subcontractors.</w:t>
      </w:r>
    </w:p>
    <w:p w14:paraId="786272CE" w14:textId="77777777" w:rsidR="00B848AA" w:rsidRDefault="00B848AA">
      <w:pPr>
        <w:ind w:left="720"/>
      </w:pPr>
    </w:p>
    <w:p w14:paraId="73DB4284" w14:textId="77777777" w:rsidR="00B848AA" w:rsidRDefault="000A0EC2">
      <w:pPr>
        <w:pStyle w:val="Heading4"/>
      </w:pPr>
      <w:r>
        <w:lastRenderedPageBreak/>
        <w:t>11.3</w:t>
      </w:r>
      <w:r>
        <w:tab/>
        <w:t>Notices</w:t>
      </w:r>
    </w:p>
    <w:p w14:paraId="3D93C18E" w14:textId="77777777" w:rsidR="00B848AA" w:rsidRDefault="000A0EC2">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8754B4F" w14:textId="77777777" w:rsidR="00B848AA" w:rsidRDefault="00B848AA"/>
    <w:p w14:paraId="76D71706" w14:textId="77777777" w:rsidR="00B848AA" w:rsidRDefault="000A0EC2">
      <w:pPr>
        <w:ind w:left="1440" w:hanging="720"/>
      </w:pPr>
      <w:r>
        <w:t>11.3.2</w:t>
      </w:r>
      <w:r>
        <w:tab/>
        <w:t>For the purposes of clause 11.3.1, the address of each of the parties are those in the Detailed Collaboration Plan.</w:t>
      </w:r>
    </w:p>
    <w:p w14:paraId="349B2EA7" w14:textId="77777777" w:rsidR="00B848AA" w:rsidRDefault="00B848AA">
      <w:pPr>
        <w:ind w:left="720" w:firstLine="720"/>
      </w:pPr>
    </w:p>
    <w:p w14:paraId="40597EAE" w14:textId="77777777" w:rsidR="00B848AA" w:rsidRDefault="000A0EC2">
      <w:pPr>
        <w:pStyle w:val="Heading4"/>
      </w:pPr>
      <w:r>
        <w:t>11.4</w:t>
      </w:r>
      <w:r>
        <w:tab/>
        <w:t>Entire agreement</w:t>
      </w:r>
    </w:p>
    <w:p w14:paraId="445DB406" w14:textId="77777777" w:rsidR="00B848AA" w:rsidRDefault="000A0EC2">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9D029B6" w14:textId="77777777" w:rsidR="00B848AA" w:rsidRDefault="00B848AA">
      <w:pPr>
        <w:ind w:firstLine="720"/>
      </w:pPr>
    </w:p>
    <w:p w14:paraId="21DD1BA9" w14:textId="77777777" w:rsidR="00B848AA" w:rsidRDefault="000A0EC2">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A7AF57E" w14:textId="77777777" w:rsidR="00B848AA" w:rsidRDefault="00B848AA">
      <w:pPr>
        <w:ind w:left="1440"/>
      </w:pPr>
    </w:p>
    <w:p w14:paraId="1A28A71C" w14:textId="77777777" w:rsidR="00B848AA" w:rsidRDefault="000A0EC2">
      <w:pPr>
        <w:ind w:firstLine="720"/>
      </w:pPr>
      <w:r>
        <w:t>11.4.3 Nothing in this clause 11.4 will exclude any liability for fraud.</w:t>
      </w:r>
    </w:p>
    <w:p w14:paraId="249FA9D3" w14:textId="77777777" w:rsidR="00B848AA" w:rsidRDefault="00B848AA"/>
    <w:p w14:paraId="1C42D687" w14:textId="77777777" w:rsidR="00B848AA" w:rsidRDefault="000A0EC2">
      <w:pPr>
        <w:pStyle w:val="Heading4"/>
      </w:pPr>
      <w:r>
        <w:t>11.5</w:t>
      </w:r>
      <w:r>
        <w:tab/>
        <w:t>Rights of third parties</w:t>
      </w:r>
    </w:p>
    <w:p w14:paraId="4B2CA879" w14:textId="77777777" w:rsidR="00B848AA" w:rsidRDefault="000A0EC2">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B4802FA" w14:textId="77777777" w:rsidR="00B848AA" w:rsidRDefault="00B848AA">
      <w:pPr>
        <w:ind w:left="720"/>
      </w:pPr>
    </w:p>
    <w:p w14:paraId="64A6DC34" w14:textId="77777777" w:rsidR="00B848AA" w:rsidRDefault="000A0EC2">
      <w:pPr>
        <w:pStyle w:val="Heading4"/>
      </w:pPr>
      <w:r>
        <w:t>11.6</w:t>
      </w:r>
      <w:r>
        <w:tab/>
        <w:t>Severability</w:t>
      </w:r>
    </w:p>
    <w:p w14:paraId="705A973F" w14:textId="77777777" w:rsidR="00B848AA" w:rsidRDefault="000A0EC2">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E693C5A" w14:textId="77777777" w:rsidR="00B848AA" w:rsidRDefault="00B848AA"/>
    <w:p w14:paraId="063D3B44" w14:textId="77777777" w:rsidR="00B848AA" w:rsidRDefault="000A0EC2">
      <w:pPr>
        <w:pStyle w:val="Heading4"/>
      </w:pPr>
      <w:r>
        <w:t>11.7</w:t>
      </w:r>
      <w:r>
        <w:tab/>
        <w:t>Variations</w:t>
      </w:r>
    </w:p>
    <w:p w14:paraId="761748C3" w14:textId="77777777" w:rsidR="00B848AA" w:rsidRDefault="000A0EC2">
      <w:pPr>
        <w:ind w:left="720"/>
      </w:pPr>
      <w:r>
        <w:t>No purported amendment or variation of this Agreement or any provision of this Agreement will be effective unless it is made in writing by the parties.</w:t>
      </w:r>
    </w:p>
    <w:p w14:paraId="764F4F5B" w14:textId="77777777" w:rsidR="00B848AA" w:rsidRDefault="00B848AA"/>
    <w:p w14:paraId="5BA45343" w14:textId="77777777" w:rsidR="00B848AA" w:rsidRDefault="000A0EC2">
      <w:pPr>
        <w:pStyle w:val="Heading4"/>
      </w:pPr>
      <w:r>
        <w:lastRenderedPageBreak/>
        <w:t>11.8</w:t>
      </w:r>
      <w:r>
        <w:tab/>
        <w:t>No waiver</w:t>
      </w:r>
    </w:p>
    <w:p w14:paraId="4A1B1F42" w14:textId="77777777" w:rsidR="00B848AA" w:rsidRDefault="000A0EC2">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D8B12BA" w14:textId="77777777" w:rsidR="00B848AA" w:rsidRDefault="00B848AA"/>
    <w:p w14:paraId="2B5A24B1" w14:textId="77777777" w:rsidR="00B848AA" w:rsidRDefault="000A0EC2">
      <w:pPr>
        <w:pStyle w:val="Heading4"/>
      </w:pPr>
      <w:r>
        <w:t>11.9</w:t>
      </w:r>
      <w:r>
        <w:tab/>
        <w:t>Governing law and jurisdiction</w:t>
      </w:r>
    </w:p>
    <w:p w14:paraId="3C3E59D7" w14:textId="77777777" w:rsidR="00B848AA" w:rsidRDefault="000A0EC2">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F096825" w14:textId="77777777" w:rsidR="00B848AA" w:rsidRDefault="00B848AA"/>
    <w:p w14:paraId="66ED2184" w14:textId="77777777" w:rsidR="00B848AA" w:rsidRDefault="000A0EC2">
      <w:pPr>
        <w:ind w:left="720"/>
      </w:pPr>
      <w:r>
        <w:t>Executed and delivered as an agreement by the parties or their duly authorised attorneys the day and year first above written.</w:t>
      </w:r>
    </w:p>
    <w:p w14:paraId="322BA922" w14:textId="77777777" w:rsidR="00B848AA" w:rsidRDefault="000A0EC2">
      <w:pPr>
        <w:spacing w:before="240" w:after="240"/>
      </w:pPr>
      <w:r>
        <w:rPr>
          <w:b/>
          <w:sz w:val="20"/>
          <w:szCs w:val="20"/>
        </w:rPr>
        <w:t xml:space="preserve"> </w:t>
      </w:r>
    </w:p>
    <w:p w14:paraId="50045192" w14:textId="77777777" w:rsidR="00B848AA" w:rsidRDefault="000A0EC2">
      <w:pPr>
        <w:rPr>
          <w:b/>
        </w:rPr>
      </w:pPr>
      <w:r>
        <w:rPr>
          <w:b/>
        </w:rPr>
        <w:t>For and on behalf of the Buyer</w:t>
      </w:r>
    </w:p>
    <w:p w14:paraId="50BA2E2C" w14:textId="77777777" w:rsidR="00B848AA" w:rsidRDefault="00B848AA">
      <w:pPr>
        <w:rPr>
          <w:b/>
        </w:rPr>
      </w:pPr>
    </w:p>
    <w:p w14:paraId="118A298D" w14:textId="77777777" w:rsidR="00B848AA" w:rsidRDefault="000A0EC2">
      <w:pPr>
        <w:spacing w:line="480" w:lineRule="auto"/>
      </w:pPr>
      <w:r>
        <w:t>Signed by:</w:t>
      </w:r>
    </w:p>
    <w:p w14:paraId="7C68B859" w14:textId="77777777" w:rsidR="00B848AA" w:rsidRDefault="000A0EC2">
      <w:r>
        <w:t>Full name (capitals):</w:t>
      </w:r>
    </w:p>
    <w:p w14:paraId="58751C07" w14:textId="77777777" w:rsidR="00B848AA" w:rsidRDefault="000A0EC2">
      <w:r>
        <w:t>Position:</w:t>
      </w:r>
    </w:p>
    <w:p w14:paraId="1FC10F63" w14:textId="77777777" w:rsidR="00B848AA" w:rsidRDefault="000A0EC2">
      <w:r>
        <w:t>Date:</w:t>
      </w:r>
    </w:p>
    <w:p w14:paraId="4C781072" w14:textId="77777777" w:rsidR="00B848AA" w:rsidRDefault="000A0EC2">
      <w:r>
        <w:t xml:space="preserve"> </w:t>
      </w:r>
    </w:p>
    <w:p w14:paraId="351BCA32" w14:textId="77777777" w:rsidR="00B848AA" w:rsidRDefault="000A0EC2">
      <w:pPr>
        <w:spacing w:line="480" w:lineRule="auto"/>
        <w:rPr>
          <w:b/>
        </w:rPr>
      </w:pPr>
      <w:r>
        <w:rPr>
          <w:b/>
        </w:rPr>
        <w:t>For and on behalf of the [Company name]</w:t>
      </w:r>
    </w:p>
    <w:p w14:paraId="06289F68" w14:textId="77777777" w:rsidR="00B848AA" w:rsidRDefault="000A0EC2">
      <w:pPr>
        <w:spacing w:line="480" w:lineRule="auto"/>
      </w:pPr>
      <w:r>
        <w:t>Signed by:</w:t>
      </w:r>
    </w:p>
    <w:p w14:paraId="5F7817F2" w14:textId="77777777" w:rsidR="00B848AA" w:rsidRDefault="000A0EC2">
      <w:r>
        <w:t>Full name (capitals):</w:t>
      </w:r>
    </w:p>
    <w:p w14:paraId="1D3B7D7A" w14:textId="77777777" w:rsidR="00B848AA" w:rsidRDefault="000A0EC2">
      <w:r>
        <w:t>Position:</w:t>
      </w:r>
    </w:p>
    <w:p w14:paraId="0E496DA4" w14:textId="77777777" w:rsidR="00B848AA" w:rsidRDefault="000A0EC2">
      <w:r>
        <w:t>Date:</w:t>
      </w:r>
    </w:p>
    <w:p w14:paraId="31FFE886" w14:textId="77777777" w:rsidR="00B848AA" w:rsidRDefault="000A0EC2">
      <w:r>
        <w:t xml:space="preserve"> </w:t>
      </w:r>
    </w:p>
    <w:p w14:paraId="41881C25" w14:textId="77777777" w:rsidR="00B848AA" w:rsidRDefault="000A0EC2">
      <w:pPr>
        <w:spacing w:line="480" w:lineRule="auto"/>
        <w:rPr>
          <w:b/>
        </w:rPr>
      </w:pPr>
      <w:r>
        <w:rPr>
          <w:b/>
        </w:rPr>
        <w:t>For and on behalf of the [Company name]</w:t>
      </w:r>
    </w:p>
    <w:p w14:paraId="1DAC8B83" w14:textId="77777777" w:rsidR="00B848AA" w:rsidRDefault="000A0EC2">
      <w:pPr>
        <w:spacing w:line="480" w:lineRule="auto"/>
      </w:pPr>
      <w:r>
        <w:t>Signed by:</w:t>
      </w:r>
    </w:p>
    <w:p w14:paraId="7F70F2C8" w14:textId="77777777" w:rsidR="00B848AA" w:rsidRDefault="000A0EC2">
      <w:r>
        <w:t>Full name (capitals):</w:t>
      </w:r>
    </w:p>
    <w:p w14:paraId="2B1EECD3" w14:textId="77777777" w:rsidR="00B848AA" w:rsidRDefault="000A0EC2">
      <w:r>
        <w:t>Position:</w:t>
      </w:r>
    </w:p>
    <w:p w14:paraId="5C703264" w14:textId="77777777" w:rsidR="00B848AA" w:rsidRDefault="000A0EC2">
      <w:r>
        <w:t>Date:</w:t>
      </w:r>
    </w:p>
    <w:p w14:paraId="574A1B11" w14:textId="77777777" w:rsidR="00B848AA" w:rsidRDefault="000A0EC2">
      <w:r>
        <w:t xml:space="preserve"> </w:t>
      </w:r>
    </w:p>
    <w:p w14:paraId="50FD34DD" w14:textId="77777777" w:rsidR="00B848AA" w:rsidRDefault="000A0EC2">
      <w:pPr>
        <w:spacing w:line="480" w:lineRule="auto"/>
        <w:rPr>
          <w:b/>
        </w:rPr>
      </w:pPr>
      <w:r>
        <w:rPr>
          <w:b/>
        </w:rPr>
        <w:t>For and on behalf of the [Company name]</w:t>
      </w:r>
    </w:p>
    <w:p w14:paraId="1CE1EC63" w14:textId="77777777" w:rsidR="00B848AA" w:rsidRDefault="000A0EC2">
      <w:pPr>
        <w:spacing w:line="480" w:lineRule="auto"/>
      </w:pPr>
      <w:r>
        <w:t>Signed by:</w:t>
      </w:r>
    </w:p>
    <w:p w14:paraId="22364D3C" w14:textId="77777777" w:rsidR="00B848AA" w:rsidRDefault="000A0EC2">
      <w:r>
        <w:t>Full name (capitals):</w:t>
      </w:r>
    </w:p>
    <w:p w14:paraId="183DC447" w14:textId="77777777" w:rsidR="00B848AA" w:rsidRDefault="000A0EC2">
      <w:r>
        <w:t>Position:</w:t>
      </w:r>
    </w:p>
    <w:p w14:paraId="149F843A" w14:textId="77777777" w:rsidR="00B848AA" w:rsidRDefault="000A0EC2">
      <w:r>
        <w:t>Date:</w:t>
      </w:r>
    </w:p>
    <w:p w14:paraId="46A073E5" w14:textId="77777777" w:rsidR="00B848AA" w:rsidRDefault="000A0EC2">
      <w:r>
        <w:t xml:space="preserve"> </w:t>
      </w:r>
    </w:p>
    <w:p w14:paraId="148AF555" w14:textId="77777777" w:rsidR="00B848AA" w:rsidRDefault="00B848AA">
      <w:pPr>
        <w:spacing w:line="480" w:lineRule="auto"/>
        <w:rPr>
          <w:b/>
        </w:rPr>
      </w:pPr>
    </w:p>
    <w:p w14:paraId="31F268E4" w14:textId="77777777" w:rsidR="00B848AA" w:rsidRDefault="000A0EC2">
      <w:pPr>
        <w:spacing w:line="480" w:lineRule="auto"/>
        <w:rPr>
          <w:b/>
        </w:rPr>
      </w:pPr>
      <w:r>
        <w:rPr>
          <w:b/>
        </w:rPr>
        <w:lastRenderedPageBreak/>
        <w:t>For and on behalf of the [Company name]</w:t>
      </w:r>
    </w:p>
    <w:p w14:paraId="3BAEB058" w14:textId="77777777" w:rsidR="00B848AA" w:rsidRDefault="000A0EC2">
      <w:pPr>
        <w:spacing w:line="480" w:lineRule="auto"/>
      </w:pPr>
      <w:r>
        <w:t>Signed by:</w:t>
      </w:r>
    </w:p>
    <w:p w14:paraId="37AFFEAE" w14:textId="77777777" w:rsidR="00B848AA" w:rsidRDefault="000A0EC2">
      <w:r>
        <w:t>Full name (capitals):</w:t>
      </w:r>
    </w:p>
    <w:p w14:paraId="75CA2376" w14:textId="77777777" w:rsidR="00B848AA" w:rsidRDefault="000A0EC2">
      <w:r>
        <w:t>Position:</w:t>
      </w:r>
    </w:p>
    <w:p w14:paraId="66BF664B" w14:textId="77777777" w:rsidR="00B848AA" w:rsidRDefault="000A0EC2">
      <w:r>
        <w:t>Date:</w:t>
      </w:r>
    </w:p>
    <w:p w14:paraId="57C431F9" w14:textId="77777777" w:rsidR="00B848AA" w:rsidRDefault="000A0EC2">
      <w:r>
        <w:t xml:space="preserve"> </w:t>
      </w:r>
    </w:p>
    <w:p w14:paraId="1CBDF86C" w14:textId="77777777" w:rsidR="00B848AA" w:rsidRDefault="000A0EC2">
      <w:pPr>
        <w:spacing w:line="480" w:lineRule="auto"/>
        <w:rPr>
          <w:b/>
        </w:rPr>
      </w:pPr>
      <w:r>
        <w:rPr>
          <w:b/>
        </w:rPr>
        <w:t>For and on behalf of the [Company name]</w:t>
      </w:r>
    </w:p>
    <w:p w14:paraId="3EF00E57" w14:textId="77777777" w:rsidR="00B848AA" w:rsidRDefault="000A0EC2">
      <w:pPr>
        <w:spacing w:line="480" w:lineRule="auto"/>
      </w:pPr>
      <w:r>
        <w:t>Signed by:</w:t>
      </w:r>
    </w:p>
    <w:p w14:paraId="1A6307E9" w14:textId="77777777" w:rsidR="00B848AA" w:rsidRDefault="000A0EC2">
      <w:r>
        <w:t>Full name (capitals):</w:t>
      </w:r>
    </w:p>
    <w:p w14:paraId="64332320" w14:textId="77777777" w:rsidR="00B848AA" w:rsidRDefault="000A0EC2">
      <w:r>
        <w:t>Position:</w:t>
      </w:r>
    </w:p>
    <w:p w14:paraId="18D76648" w14:textId="77777777" w:rsidR="00B848AA" w:rsidRDefault="000A0EC2">
      <w:r>
        <w:t>Date:</w:t>
      </w:r>
    </w:p>
    <w:p w14:paraId="1A7BA1F7" w14:textId="77777777" w:rsidR="00B848AA" w:rsidRDefault="000A0EC2">
      <w:r>
        <w:t xml:space="preserve"> </w:t>
      </w:r>
    </w:p>
    <w:p w14:paraId="140130FD" w14:textId="77777777" w:rsidR="00B848AA" w:rsidRDefault="000A0EC2">
      <w:pPr>
        <w:spacing w:line="480" w:lineRule="auto"/>
        <w:rPr>
          <w:b/>
        </w:rPr>
      </w:pPr>
      <w:r>
        <w:rPr>
          <w:b/>
        </w:rPr>
        <w:t>For and on behalf of the [Company name]</w:t>
      </w:r>
    </w:p>
    <w:p w14:paraId="0CC10C7D" w14:textId="77777777" w:rsidR="00B848AA" w:rsidRDefault="000A0EC2">
      <w:pPr>
        <w:spacing w:line="480" w:lineRule="auto"/>
      </w:pPr>
      <w:r>
        <w:t>Signed by:</w:t>
      </w:r>
    </w:p>
    <w:p w14:paraId="6508E230" w14:textId="77777777" w:rsidR="00B848AA" w:rsidRDefault="000A0EC2">
      <w:r>
        <w:t>Full name (capitals):</w:t>
      </w:r>
    </w:p>
    <w:p w14:paraId="20DA2FEB" w14:textId="77777777" w:rsidR="00B848AA" w:rsidRDefault="000A0EC2">
      <w:r>
        <w:t>Position:</w:t>
      </w:r>
    </w:p>
    <w:p w14:paraId="6D6D1419" w14:textId="77777777" w:rsidR="00B848AA" w:rsidRDefault="000A0EC2">
      <w:r>
        <w:t>Date:</w:t>
      </w:r>
    </w:p>
    <w:p w14:paraId="0CA8F919" w14:textId="77777777" w:rsidR="00B848AA" w:rsidRDefault="000A0EC2">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B848AA" w14:paraId="5A1C4250"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8EADB" w14:textId="77777777" w:rsidR="00B848AA" w:rsidRDefault="000A0EC2">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6A4EE" w14:textId="77777777" w:rsidR="00B848AA" w:rsidRDefault="000A0EC2">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22256" w14:textId="77777777" w:rsidR="00B848AA" w:rsidRDefault="000A0EC2">
            <w:pPr>
              <w:spacing w:before="240" w:after="240"/>
              <w:rPr>
                <w:b/>
                <w:sz w:val="20"/>
                <w:szCs w:val="20"/>
              </w:rPr>
            </w:pPr>
            <w:r>
              <w:rPr>
                <w:b/>
                <w:sz w:val="20"/>
                <w:szCs w:val="20"/>
              </w:rPr>
              <w:t>Effective date of contract</w:t>
            </w:r>
          </w:p>
        </w:tc>
      </w:tr>
      <w:tr w:rsidR="00B848AA" w14:paraId="543205C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8E7AF" w14:textId="77777777" w:rsidR="00B848AA" w:rsidRDefault="000A0EC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14CD847" w14:textId="77777777" w:rsidR="00B848AA" w:rsidRDefault="000A0EC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C11DC01" w14:textId="77777777" w:rsidR="00B848AA" w:rsidRDefault="000A0EC2">
            <w:pPr>
              <w:spacing w:before="240" w:after="240"/>
              <w:rPr>
                <w:sz w:val="20"/>
                <w:szCs w:val="20"/>
              </w:rPr>
            </w:pPr>
            <w:r>
              <w:rPr>
                <w:sz w:val="20"/>
                <w:szCs w:val="20"/>
              </w:rPr>
              <w:t xml:space="preserve"> </w:t>
            </w:r>
          </w:p>
        </w:tc>
      </w:tr>
      <w:tr w:rsidR="00B848AA" w14:paraId="43C6314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39801" w14:textId="77777777" w:rsidR="00B848AA" w:rsidRDefault="000A0EC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0BB1E80" w14:textId="77777777" w:rsidR="00B848AA" w:rsidRDefault="000A0EC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8E00EC" w14:textId="77777777" w:rsidR="00B848AA" w:rsidRDefault="000A0EC2">
            <w:pPr>
              <w:spacing w:before="240" w:after="240"/>
              <w:rPr>
                <w:sz w:val="20"/>
                <w:szCs w:val="20"/>
              </w:rPr>
            </w:pPr>
            <w:r>
              <w:rPr>
                <w:sz w:val="20"/>
                <w:szCs w:val="20"/>
              </w:rPr>
              <w:t xml:space="preserve"> </w:t>
            </w:r>
          </w:p>
        </w:tc>
      </w:tr>
      <w:tr w:rsidR="00B848AA" w14:paraId="0C9D27B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D5EF1" w14:textId="77777777" w:rsidR="00B848AA" w:rsidRDefault="000A0EC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A0FF77B" w14:textId="77777777" w:rsidR="00B848AA" w:rsidRDefault="000A0EC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195D871" w14:textId="77777777" w:rsidR="00B848AA" w:rsidRDefault="000A0EC2">
            <w:pPr>
              <w:spacing w:before="240" w:after="240"/>
              <w:rPr>
                <w:sz w:val="20"/>
                <w:szCs w:val="20"/>
              </w:rPr>
            </w:pPr>
            <w:r>
              <w:rPr>
                <w:sz w:val="20"/>
                <w:szCs w:val="20"/>
              </w:rPr>
              <w:t xml:space="preserve"> </w:t>
            </w:r>
          </w:p>
        </w:tc>
      </w:tr>
      <w:tr w:rsidR="00B848AA" w14:paraId="6D3758D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967F5" w14:textId="77777777" w:rsidR="00B848AA" w:rsidRDefault="000A0EC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7E5D8A0" w14:textId="77777777" w:rsidR="00B848AA" w:rsidRDefault="000A0EC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7B45BEC" w14:textId="77777777" w:rsidR="00B848AA" w:rsidRDefault="000A0EC2">
            <w:pPr>
              <w:spacing w:before="240" w:after="240"/>
              <w:rPr>
                <w:sz w:val="20"/>
                <w:szCs w:val="20"/>
              </w:rPr>
            </w:pPr>
            <w:r>
              <w:rPr>
                <w:sz w:val="20"/>
                <w:szCs w:val="20"/>
              </w:rPr>
              <w:t xml:space="preserve"> </w:t>
            </w:r>
          </w:p>
        </w:tc>
      </w:tr>
    </w:tbl>
    <w:p w14:paraId="7F58A784" w14:textId="77777777" w:rsidR="00B848AA" w:rsidRDefault="000A0EC2">
      <w:pPr>
        <w:spacing w:before="240" w:after="240"/>
        <w:rPr>
          <w:sz w:val="20"/>
          <w:szCs w:val="20"/>
        </w:rPr>
      </w:pPr>
      <w:r>
        <w:rPr>
          <w:sz w:val="20"/>
          <w:szCs w:val="20"/>
        </w:rPr>
        <w:t xml:space="preserve"> </w:t>
      </w:r>
    </w:p>
    <w:p w14:paraId="071F6AC4" w14:textId="77777777" w:rsidR="00B848AA" w:rsidRDefault="00B848AA">
      <w:pPr>
        <w:spacing w:before="240" w:after="240"/>
        <w:rPr>
          <w:sz w:val="20"/>
          <w:szCs w:val="20"/>
        </w:rPr>
      </w:pPr>
    </w:p>
    <w:p w14:paraId="5B4FA5C3" w14:textId="77777777" w:rsidR="00B848AA" w:rsidRDefault="00B848AA">
      <w:pPr>
        <w:spacing w:before="240" w:after="240"/>
        <w:rPr>
          <w:sz w:val="20"/>
          <w:szCs w:val="20"/>
        </w:rPr>
      </w:pPr>
    </w:p>
    <w:p w14:paraId="19970B66" w14:textId="77777777" w:rsidR="00B848AA" w:rsidRDefault="00B848AA">
      <w:pPr>
        <w:pageBreakBefore/>
      </w:pPr>
    </w:p>
    <w:p w14:paraId="529D0E90" w14:textId="77777777" w:rsidR="00B848AA" w:rsidRDefault="000A0EC2">
      <w:pPr>
        <w:pStyle w:val="Heading3"/>
      </w:pPr>
      <w:r>
        <w:t>Collaboration Agreement Schedule 2 [</w:t>
      </w:r>
      <w:r>
        <w:rPr>
          <w:b/>
        </w:rPr>
        <w:t>Insert Outline Collaboration Plan</w:t>
      </w:r>
      <w:r>
        <w:t>]</w:t>
      </w:r>
    </w:p>
    <w:p w14:paraId="6E44813A" w14:textId="77777777" w:rsidR="00B848AA" w:rsidRDefault="00B848AA">
      <w:pPr>
        <w:spacing w:before="240" w:after="240"/>
        <w:rPr>
          <w:b/>
        </w:rPr>
      </w:pPr>
    </w:p>
    <w:p w14:paraId="551E82E2" w14:textId="77777777" w:rsidR="00B848AA" w:rsidRDefault="00B848AA">
      <w:pPr>
        <w:spacing w:before="240" w:after="240"/>
        <w:rPr>
          <w:b/>
        </w:rPr>
      </w:pPr>
    </w:p>
    <w:p w14:paraId="0E8FF8D6" w14:textId="77777777" w:rsidR="00B848AA" w:rsidRDefault="000A0EC2">
      <w:pPr>
        <w:spacing w:before="240" w:after="240"/>
      </w:pPr>
      <w:r>
        <w:t xml:space="preserve"> </w:t>
      </w:r>
    </w:p>
    <w:p w14:paraId="4449F053" w14:textId="77777777" w:rsidR="00B848AA" w:rsidRDefault="00B848AA">
      <w:pPr>
        <w:pageBreakBefore/>
      </w:pPr>
    </w:p>
    <w:p w14:paraId="63957E09" w14:textId="77777777" w:rsidR="00B848AA" w:rsidRDefault="000A0EC2">
      <w:pPr>
        <w:pStyle w:val="Heading2"/>
      </w:pPr>
      <w:bookmarkStart w:id="95" w:name="_Toc33176237"/>
      <w:bookmarkStart w:id="96" w:name="_Toc69399449"/>
      <w:bookmarkStart w:id="97" w:name="_Toc71109859"/>
      <w:r>
        <w:t>Schedule 4: Alternative clauses</w:t>
      </w:r>
      <w:bookmarkEnd w:id="95"/>
      <w:bookmarkEnd w:id="96"/>
      <w:r w:rsidR="00C5744D">
        <w:t xml:space="preserve"> – Not Applicable</w:t>
      </w:r>
      <w:bookmarkEnd w:id="97"/>
    </w:p>
    <w:p w14:paraId="79110FF5" w14:textId="77777777" w:rsidR="00B848AA" w:rsidRDefault="000A0EC2">
      <w:pPr>
        <w:pStyle w:val="Heading3"/>
      </w:pPr>
      <w:r>
        <w:t>1.</w:t>
      </w:r>
      <w:r>
        <w:tab/>
        <w:t>Introduction</w:t>
      </w:r>
    </w:p>
    <w:p w14:paraId="1E9E3167" w14:textId="77777777" w:rsidR="00B848AA" w:rsidRDefault="000A0EC2">
      <w:pPr>
        <w:ind w:firstLine="720"/>
      </w:pPr>
      <w:r>
        <w:t>1.1</w:t>
      </w:r>
      <w:r>
        <w:tab/>
        <w:t xml:space="preserve">This Schedule specifies the alternative clauses that may be requested in the </w:t>
      </w:r>
    </w:p>
    <w:p w14:paraId="35D9F896" w14:textId="77777777" w:rsidR="00B848AA" w:rsidRDefault="000A0EC2">
      <w:pPr>
        <w:ind w:firstLine="720"/>
      </w:pPr>
      <w:r>
        <w:t>Order Form and, if requested in the Order Form, will apply to this Call-Off Contract.</w:t>
      </w:r>
    </w:p>
    <w:p w14:paraId="062266DE" w14:textId="77777777" w:rsidR="00B848AA" w:rsidRDefault="00B848AA"/>
    <w:p w14:paraId="70D0F3FD" w14:textId="77777777" w:rsidR="00B848AA" w:rsidRDefault="000A0EC2">
      <w:pPr>
        <w:pStyle w:val="Heading3"/>
      </w:pPr>
      <w:r>
        <w:t>2.</w:t>
      </w:r>
      <w:r>
        <w:tab/>
        <w:t>Clauses selected</w:t>
      </w:r>
    </w:p>
    <w:p w14:paraId="1B2D2A99" w14:textId="77777777" w:rsidR="00B848AA" w:rsidRDefault="000A0EC2">
      <w:pPr>
        <w:ind w:firstLine="720"/>
      </w:pPr>
      <w:r>
        <w:t>2.1</w:t>
      </w:r>
      <w:r>
        <w:tab/>
        <w:t>The Customer may, in the Order Form, request the following alternative Clauses:</w:t>
      </w:r>
    </w:p>
    <w:p w14:paraId="2EC7E276" w14:textId="77777777" w:rsidR="00B848AA" w:rsidRDefault="00B848AA">
      <w:pPr>
        <w:ind w:left="720" w:firstLine="720"/>
      </w:pPr>
    </w:p>
    <w:p w14:paraId="45478928" w14:textId="77777777" w:rsidR="00B848AA" w:rsidRDefault="000A0EC2">
      <w:pPr>
        <w:ind w:left="720" w:firstLine="720"/>
      </w:pPr>
      <w:r>
        <w:t>2.1.1</w:t>
      </w:r>
      <w:r>
        <w:tab/>
        <w:t>Scots Law and Jurisdiction</w:t>
      </w:r>
    </w:p>
    <w:p w14:paraId="64659786" w14:textId="77777777" w:rsidR="00B848AA" w:rsidRDefault="00B848AA">
      <w:pPr>
        <w:ind w:firstLine="720"/>
      </w:pPr>
    </w:p>
    <w:p w14:paraId="2872E146" w14:textId="77777777" w:rsidR="00B848AA" w:rsidRDefault="000A0EC2">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A38FBFE" w14:textId="77777777" w:rsidR="00B848AA" w:rsidRDefault="00B848AA"/>
    <w:p w14:paraId="572816A4" w14:textId="77777777" w:rsidR="00B848AA" w:rsidRDefault="000A0EC2">
      <w:pPr>
        <w:ind w:left="2160" w:hanging="720"/>
      </w:pPr>
      <w:r>
        <w:t>2.1.3</w:t>
      </w:r>
      <w:r>
        <w:tab/>
        <w:t>Reference to England and Wales in Working Days definition within the Glossary and interpretations section will be replaced with Scotland.</w:t>
      </w:r>
    </w:p>
    <w:p w14:paraId="37F9637A" w14:textId="77777777" w:rsidR="00B848AA" w:rsidRDefault="00B848AA"/>
    <w:p w14:paraId="756A0740" w14:textId="77777777" w:rsidR="00B848AA" w:rsidRDefault="000A0EC2">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FA50A79" w14:textId="77777777" w:rsidR="00B848AA" w:rsidRDefault="00B848AA"/>
    <w:p w14:paraId="798FB745" w14:textId="77777777" w:rsidR="00B848AA" w:rsidRDefault="000A0EC2">
      <w:pPr>
        <w:ind w:left="2160" w:hanging="720"/>
      </w:pPr>
      <w:r>
        <w:t>2.1.5</w:t>
      </w:r>
      <w:r>
        <w:tab/>
        <w:t>Reference to the Supply of Goods and Services Act 1982 will be removed in incorporated Framework Agreement clause 4.2.</w:t>
      </w:r>
    </w:p>
    <w:p w14:paraId="1976C0E3" w14:textId="77777777" w:rsidR="00B848AA" w:rsidRDefault="00B848AA"/>
    <w:p w14:paraId="7BD290D0" w14:textId="77777777" w:rsidR="00B848AA" w:rsidRDefault="000A0EC2">
      <w:pPr>
        <w:ind w:left="720" w:firstLine="720"/>
      </w:pPr>
      <w:r>
        <w:t>2.1.6</w:t>
      </w:r>
      <w:r>
        <w:tab/>
        <w:t>References to “tort” will be replaced with “delict” throughout</w:t>
      </w:r>
    </w:p>
    <w:p w14:paraId="580A7F49" w14:textId="77777777" w:rsidR="00B848AA" w:rsidRDefault="00B848AA"/>
    <w:p w14:paraId="25C1F9F3" w14:textId="77777777" w:rsidR="00B848AA" w:rsidRDefault="000A0EC2">
      <w:r>
        <w:t>2.2</w:t>
      </w:r>
      <w:r>
        <w:tab/>
        <w:t>The Customer may, in the Order Form, request the following Alternative Clauses:</w:t>
      </w:r>
    </w:p>
    <w:p w14:paraId="1D9E9E5F" w14:textId="77777777" w:rsidR="00B848AA" w:rsidRDefault="00B848AA"/>
    <w:p w14:paraId="692E53BD" w14:textId="77777777" w:rsidR="00B848AA" w:rsidRDefault="000A0EC2">
      <w:pPr>
        <w:ind w:left="1440"/>
      </w:pPr>
      <w:r>
        <w:t>2.2.1 Northern Ireland Law (see paragraph 2.3, 2.4, 2.5, 2.6 and 2.7 of this Schedule)</w:t>
      </w:r>
    </w:p>
    <w:p w14:paraId="314F6077" w14:textId="77777777" w:rsidR="00B848AA" w:rsidRDefault="00B848AA"/>
    <w:p w14:paraId="4D3470CC" w14:textId="77777777" w:rsidR="00B848AA" w:rsidRDefault="000A0EC2">
      <w:pPr>
        <w:pStyle w:val="Heading3"/>
      </w:pPr>
      <w:r>
        <w:t>2.3</w:t>
      </w:r>
      <w:r>
        <w:tab/>
        <w:t>Discrimination</w:t>
      </w:r>
    </w:p>
    <w:p w14:paraId="6FD82B75" w14:textId="77777777" w:rsidR="00B848AA" w:rsidRDefault="000A0EC2">
      <w:pPr>
        <w:ind w:left="1440" w:hanging="720"/>
      </w:pPr>
      <w:r>
        <w:t>2.3.1</w:t>
      </w:r>
      <w:r>
        <w:tab/>
        <w:t xml:space="preserve">The Supplier will comply with all applicable fair employment, equality of treatment and anti-discrimination legislation, including, in particular the: </w:t>
      </w:r>
    </w:p>
    <w:p w14:paraId="5308102E" w14:textId="77777777" w:rsidR="00B848AA" w:rsidRDefault="00B848AA">
      <w:pPr>
        <w:ind w:left="1440"/>
      </w:pPr>
    </w:p>
    <w:p w14:paraId="7761851B" w14:textId="77777777" w:rsidR="00B848AA" w:rsidRDefault="000A0EC2" w:rsidP="005C3AE7">
      <w:pPr>
        <w:pStyle w:val="ListParagraph"/>
        <w:numPr>
          <w:ilvl w:val="0"/>
          <w:numId w:val="9"/>
        </w:numPr>
      </w:pPr>
      <w:r>
        <w:t>Employment (Northern Ireland) Order 2002</w:t>
      </w:r>
    </w:p>
    <w:p w14:paraId="733C5930" w14:textId="77777777" w:rsidR="00B848AA" w:rsidRDefault="000A0EC2" w:rsidP="005C3AE7">
      <w:pPr>
        <w:pStyle w:val="ListParagraph"/>
        <w:numPr>
          <w:ilvl w:val="0"/>
          <w:numId w:val="9"/>
        </w:numPr>
      </w:pPr>
      <w:r>
        <w:t>Fair Employment and Treatment (Northern Ireland) Order 1998</w:t>
      </w:r>
    </w:p>
    <w:p w14:paraId="6D36745B" w14:textId="77777777" w:rsidR="00B848AA" w:rsidRDefault="000A0EC2" w:rsidP="005C3AE7">
      <w:pPr>
        <w:pStyle w:val="ListParagraph"/>
        <w:numPr>
          <w:ilvl w:val="0"/>
          <w:numId w:val="9"/>
        </w:numPr>
      </w:pPr>
      <w:r>
        <w:t>Sex Discrimination (Northern Ireland) Order 1976 and 1988</w:t>
      </w:r>
    </w:p>
    <w:p w14:paraId="5D1AB2E1" w14:textId="77777777" w:rsidR="00B848AA" w:rsidRDefault="000A0EC2" w:rsidP="005C3AE7">
      <w:pPr>
        <w:pStyle w:val="ListParagraph"/>
        <w:numPr>
          <w:ilvl w:val="0"/>
          <w:numId w:val="9"/>
        </w:numPr>
      </w:pPr>
      <w:r>
        <w:t>Employment Equality (Sexual   Orientation) Regulations (Northern Ireland) 2003</w:t>
      </w:r>
    </w:p>
    <w:p w14:paraId="644D4A43" w14:textId="77777777" w:rsidR="00B848AA" w:rsidRDefault="000A0EC2" w:rsidP="005C3AE7">
      <w:pPr>
        <w:pStyle w:val="ListParagraph"/>
        <w:numPr>
          <w:ilvl w:val="0"/>
          <w:numId w:val="9"/>
        </w:numPr>
      </w:pPr>
      <w:r>
        <w:lastRenderedPageBreak/>
        <w:t>Equal Pay Act (Northern Ireland) 1970</w:t>
      </w:r>
    </w:p>
    <w:p w14:paraId="0426D518" w14:textId="77777777" w:rsidR="00B848AA" w:rsidRDefault="000A0EC2" w:rsidP="005C3AE7">
      <w:pPr>
        <w:pStyle w:val="ListParagraph"/>
        <w:numPr>
          <w:ilvl w:val="0"/>
          <w:numId w:val="9"/>
        </w:numPr>
      </w:pPr>
      <w:r>
        <w:t>Disability Discrimination Act 1995</w:t>
      </w:r>
    </w:p>
    <w:p w14:paraId="60C9AAA5" w14:textId="77777777" w:rsidR="00B848AA" w:rsidRDefault="000A0EC2" w:rsidP="005C3AE7">
      <w:pPr>
        <w:pStyle w:val="ListParagraph"/>
        <w:numPr>
          <w:ilvl w:val="0"/>
          <w:numId w:val="9"/>
        </w:numPr>
      </w:pPr>
      <w:r>
        <w:t>Race Relations (Northern Ireland) Order 1997</w:t>
      </w:r>
    </w:p>
    <w:p w14:paraId="33A46D3C" w14:textId="77777777" w:rsidR="00B848AA" w:rsidRDefault="000A0EC2" w:rsidP="005C3AE7">
      <w:pPr>
        <w:pStyle w:val="ListParagraph"/>
        <w:numPr>
          <w:ilvl w:val="0"/>
          <w:numId w:val="9"/>
        </w:numPr>
      </w:pPr>
      <w:r>
        <w:t xml:space="preserve">Employment Relations (Northern Ireland) Order 1999 and Employment Rights (Northern Ireland) Order 1996 </w:t>
      </w:r>
    </w:p>
    <w:p w14:paraId="45FF62D9" w14:textId="77777777" w:rsidR="00B848AA" w:rsidRDefault="000A0EC2" w:rsidP="005C3AE7">
      <w:pPr>
        <w:pStyle w:val="ListParagraph"/>
        <w:numPr>
          <w:ilvl w:val="0"/>
          <w:numId w:val="9"/>
        </w:numPr>
      </w:pPr>
      <w:r>
        <w:t>Employment Equality (Age) Regulations (Northern Ireland) 2006</w:t>
      </w:r>
    </w:p>
    <w:p w14:paraId="718006AE" w14:textId="77777777" w:rsidR="00B848AA" w:rsidRDefault="000A0EC2" w:rsidP="005C3AE7">
      <w:pPr>
        <w:pStyle w:val="ListParagraph"/>
        <w:numPr>
          <w:ilvl w:val="0"/>
          <w:numId w:val="9"/>
        </w:numPr>
      </w:pPr>
      <w:r>
        <w:t>Part-time Workers (Prevention of less Favourable Treatment) Regulation 2000</w:t>
      </w:r>
    </w:p>
    <w:p w14:paraId="578D37F9" w14:textId="77777777" w:rsidR="00B848AA" w:rsidRDefault="000A0EC2" w:rsidP="005C3AE7">
      <w:pPr>
        <w:pStyle w:val="ListParagraph"/>
        <w:numPr>
          <w:ilvl w:val="0"/>
          <w:numId w:val="9"/>
        </w:numPr>
      </w:pPr>
      <w:r>
        <w:t>Fixed-term Employees (Prevention of Less Favourable Treatment) Regulations 2002</w:t>
      </w:r>
    </w:p>
    <w:p w14:paraId="5FA9218C" w14:textId="77777777" w:rsidR="00B848AA" w:rsidRDefault="000A0EC2" w:rsidP="005C3AE7">
      <w:pPr>
        <w:pStyle w:val="ListParagraph"/>
        <w:numPr>
          <w:ilvl w:val="0"/>
          <w:numId w:val="9"/>
        </w:numPr>
      </w:pPr>
      <w:r>
        <w:t>The Disability Discrimination (Northern Ireland) Order 2006</w:t>
      </w:r>
    </w:p>
    <w:p w14:paraId="7678ECBF" w14:textId="77777777" w:rsidR="00B848AA" w:rsidRDefault="000A0EC2" w:rsidP="005C3AE7">
      <w:pPr>
        <w:pStyle w:val="ListParagraph"/>
        <w:numPr>
          <w:ilvl w:val="0"/>
          <w:numId w:val="9"/>
        </w:numPr>
      </w:pPr>
      <w:r>
        <w:t>The Employment Relations (Northern Ireland) Order 2004</w:t>
      </w:r>
    </w:p>
    <w:p w14:paraId="181F4304" w14:textId="77777777" w:rsidR="00B848AA" w:rsidRDefault="000A0EC2" w:rsidP="005C3AE7">
      <w:pPr>
        <w:pStyle w:val="ListParagraph"/>
        <w:numPr>
          <w:ilvl w:val="0"/>
          <w:numId w:val="9"/>
        </w:numPr>
      </w:pPr>
      <w:r>
        <w:t>Equality Act (Sexual Orientation) Regulations (Northern Ireland) 2006</w:t>
      </w:r>
    </w:p>
    <w:p w14:paraId="025AAC06" w14:textId="77777777" w:rsidR="00B848AA" w:rsidRDefault="000A0EC2" w:rsidP="005C3AE7">
      <w:pPr>
        <w:pStyle w:val="ListParagraph"/>
        <w:numPr>
          <w:ilvl w:val="0"/>
          <w:numId w:val="9"/>
        </w:numPr>
      </w:pPr>
      <w:r>
        <w:t>Employment Relations (Northern Ireland) Order 2004</w:t>
      </w:r>
    </w:p>
    <w:p w14:paraId="6B86252A" w14:textId="77777777" w:rsidR="00B848AA" w:rsidRDefault="000A0EC2" w:rsidP="005C3AE7">
      <w:pPr>
        <w:pStyle w:val="ListParagraph"/>
        <w:numPr>
          <w:ilvl w:val="0"/>
          <w:numId w:val="9"/>
        </w:numPr>
      </w:pPr>
      <w:r>
        <w:t>Work and Families (Northern Ireland) Order 2006</w:t>
      </w:r>
    </w:p>
    <w:p w14:paraId="144CA4F0" w14:textId="77777777" w:rsidR="00B848AA" w:rsidRDefault="00B848AA">
      <w:pPr>
        <w:ind w:left="360"/>
      </w:pPr>
    </w:p>
    <w:p w14:paraId="5B604C26" w14:textId="77777777" w:rsidR="00B848AA" w:rsidRDefault="000A0EC2">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18563A27" w14:textId="77777777" w:rsidR="00B848AA" w:rsidRDefault="00B848AA"/>
    <w:p w14:paraId="3F01B6AC" w14:textId="77777777" w:rsidR="00B848AA" w:rsidRDefault="000A0EC2">
      <w:pPr>
        <w:ind w:left="720" w:firstLine="720"/>
      </w:pPr>
      <w:r>
        <w:t>a.</w:t>
      </w:r>
      <w:r>
        <w:tab/>
        <w:t>persons of different religious beliefs or political opinions</w:t>
      </w:r>
    </w:p>
    <w:p w14:paraId="3FC9A96B" w14:textId="77777777" w:rsidR="00B848AA" w:rsidRDefault="000A0EC2">
      <w:pPr>
        <w:ind w:left="720" w:firstLine="720"/>
      </w:pPr>
      <w:r>
        <w:t>b.</w:t>
      </w:r>
      <w:r>
        <w:tab/>
        <w:t>men and women or married and unmarried persons</w:t>
      </w:r>
    </w:p>
    <w:p w14:paraId="36754BE8" w14:textId="77777777" w:rsidR="00B848AA" w:rsidRDefault="000A0EC2">
      <w:pPr>
        <w:ind w:left="720" w:firstLine="720"/>
      </w:pPr>
      <w:r>
        <w:t>c.</w:t>
      </w:r>
      <w:r>
        <w:tab/>
        <w:t xml:space="preserve">persons with and without dependants (including women who are </w:t>
      </w:r>
    </w:p>
    <w:p w14:paraId="4CEDDB8C" w14:textId="77777777" w:rsidR="00B848AA" w:rsidRDefault="000A0EC2">
      <w:pPr>
        <w:ind w:left="1440" w:firstLine="720"/>
      </w:pPr>
      <w:r>
        <w:t>pregnant or on maternity leave and men on paternity leave)</w:t>
      </w:r>
    </w:p>
    <w:p w14:paraId="5C0C62A6" w14:textId="77777777" w:rsidR="00B848AA" w:rsidRDefault="000A0EC2">
      <w:pPr>
        <w:ind w:left="720" w:firstLine="720"/>
      </w:pPr>
      <w:r>
        <w:t>d.</w:t>
      </w:r>
      <w:r>
        <w:tab/>
        <w:t xml:space="preserve">persons of different racial groups (within the meaning of the Race </w:t>
      </w:r>
    </w:p>
    <w:p w14:paraId="62315D82" w14:textId="77777777" w:rsidR="00B848AA" w:rsidRDefault="000A0EC2">
      <w:pPr>
        <w:ind w:left="1440" w:firstLine="720"/>
      </w:pPr>
      <w:r>
        <w:t>Relations (Northern Ireland) Order 1997)</w:t>
      </w:r>
    </w:p>
    <w:p w14:paraId="1ADD30F3" w14:textId="77777777" w:rsidR="00B848AA" w:rsidRDefault="000A0EC2">
      <w:pPr>
        <w:ind w:left="720" w:firstLine="720"/>
      </w:pPr>
      <w:r>
        <w:t>e.</w:t>
      </w:r>
      <w:r>
        <w:tab/>
        <w:t xml:space="preserve">persons with and without a disability (within the meaning of the </w:t>
      </w:r>
    </w:p>
    <w:p w14:paraId="32ABA342" w14:textId="77777777" w:rsidR="00B848AA" w:rsidRDefault="000A0EC2">
      <w:pPr>
        <w:ind w:left="1440" w:firstLine="720"/>
      </w:pPr>
      <w:r>
        <w:t>Disability Discrimination Act 1995)</w:t>
      </w:r>
    </w:p>
    <w:p w14:paraId="7DA2F1AA" w14:textId="77777777" w:rsidR="00B848AA" w:rsidRDefault="000A0EC2">
      <w:pPr>
        <w:ind w:left="720" w:firstLine="720"/>
      </w:pPr>
      <w:r>
        <w:t>f.</w:t>
      </w:r>
      <w:r>
        <w:tab/>
        <w:t>persons of different ages</w:t>
      </w:r>
    </w:p>
    <w:p w14:paraId="6F1E0D07" w14:textId="77777777" w:rsidR="00B848AA" w:rsidRDefault="000A0EC2">
      <w:pPr>
        <w:ind w:left="720" w:firstLine="720"/>
      </w:pPr>
      <w:r>
        <w:t>g.</w:t>
      </w:r>
      <w:r>
        <w:tab/>
        <w:t>persons of differing sexual orientation</w:t>
      </w:r>
    </w:p>
    <w:p w14:paraId="6EE6B290" w14:textId="77777777" w:rsidR="00B848AA" w:rsidRDefault="000A0EC2">
      <w:r>
        <w:t xml:space="preserve"> </w:t>
      </w:r>
    </w:p>
    <w:p w14:paraId="235D233E" w14:textId="77777777" w:rsidR="00B848AA" w:rsidRDefault="000A0EC2">
      <w:pPr>
        <w:ind w:firstLine="720"/>
      </w:pPr>
      <w:r>
        <w:t>2.3.2</w:t>
      </w:r>
      <w:r>
        <w:tab/>
        <w:t xml:space="preserve">The Supplier will take all reasonable steps to secure the observance of clause </w:t>
      </w:r>
    </w:p>
    <w:p w14:paraId="471DCEC6" w14:textId="77777777" w:rsidR="00B848AA" w:rsidRDefault="000A0EC2">
      <w:pPr>
        <w:ind w:left="720" w:firstLine="720"/>
      </w:pPr>
      <w:r>
        <w:t>2.3.1 of this Schedule by all Supplier Staff.</w:t>
      </w:r>
    </w:p>
    <w:p w14:paraId="5D92662F" w14:textId="77777777" w:rsidR="00B848AA" w:rsidRDefault="000A0EC2">
      <w:pPr>
        <w:spacing w:before="240" w:after="240"/>
        <w:ind w:left="1440"/>
      </w:pPr>
      <w:r>
        <w:rPr>
          <w:sz w:val="20"/>
          <w:szCs w:val="20"/>
        </w:rPr>
        <w:t xml:space="preserve"> </w:t>
      </w:r>
    </w:p>
    <w:p w14:paraId="5466F443" w14:textId="77777777" w:rsidR="00B848AA" w:rsidRDefault="000A0EC2">
      <w:pPr>
        <w:pStyle w:val="Heading3"/>
      </w:pPr>
      <w:r>
        <w:t>2.4</w:t>
      </w:r>
      <w:r>
        <w:tab/>
        <w:t>Equality policies and practices</w:t>
      </w:r>
    </w:p>
    <w:p w14:paraId="0CB58A5B" w14:textId="77777777" w:rsidR="00B848AA" w:rsidRDefault="000A0EC2">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B897AA2" w14:textId="77777777" w:rsidR="00B848AA" w:rsidRDefault="00B848AA">
      <w:pPr>
        <w:ind w:left="1440" w:hanging="720"/>
      </w:pPr>
    </w:p>
    <w:p w14:paraId="54326DD2" w14:textId="77777777" w:rsidR="00B848AA" w:rsidRDefault="000A0EC2">
      <w:pPr>
        <w:ind w:left="1440" w:hanging="720"/>
      </w:pPr>
      <w:r>
        <w:t>2.4.2</w:t>
      </w:r>
      <w:r>
        <w:tab/>
        <w:t>The Supplier will take all reasonable steps to ensure that all of the Supplier Staff comply with its equal opportunities policies (referred to in clause 2.3 above). These steps will include:</w:t>
      </w:r>
    </w:p>
    <w:p w14:paraId="2DABEA61" w14:textId="77777777" w:rsidR="00B848AA" w:rsidRDefault="00B848AA">
      <w:pPr>
        <w:ind w:left="1440"/>
      </w:pPr>
    </w:p>
    <w:p w14:paraId="374B63F4" w14:textId="77777777" w:rsidR="00B848AA" w:rsidRDefault="000A0EC2">
      <w:pPr>
        <w:ind w:left="720" w:firstLine="720"/>
      </w:pPr>
      <w:r>
        <w:t>a.</w:t>
      </w:r>
      <w:r>
        <w:tab/>
        <w:t>the issue of written instructions to staff and other relevant persons</w:t>
      </w:r>
    </w:p>
    <w:p w14:paraId="624663E0" w14:textId="77777777" w:rsidR="00B848AA" w:rsidRDefault="000A0EC2">
      <w:pPr>
        <w:ind w:left="2160" w:hanging="720"/>
      </w:pPr>
      <w:r>
        <w:t>b.</w:t>
      </w:r>
      <w:r>
        <w:tab/>
        <w:t>the appointment or designation of a senior manager with responsibility for equal opportunities</w:t>
      </w:r>
    </w:p>
    <w:p w14:paraId="41727938" w14:textId="77777777" w:rsidR="00B848AA" w:rsidRDefault="000A0EC2">
      <w:pPr>
        <w:ind w:left="2160" w:hanging="720"/>
      </w:pPr>
      <w:r>
        <w:lastRenderedPageBreak/>
        <w:t>c.</w:t>
      </w:r>
      <w:r>
        <w:tab/>
        <w:t>training of all staff and other relevant persons in equal opportunities and harassment matters</w:t>
      </w:r>
    </w:p>
    <w:p w14:paraId="5FA121F3" w14:textId="77777777" w:rsidR="00B848AA" w:rsidRDefault="000A0EC2">
      <w:pPr>
        <w:ind w:left="2160" w:hanging="720"/>
      </w:pPr>
      <w:r>
        <w:t>d.</w:t>
      </w:r>
      <w:r>
        <w:tab/>
        <w:t>the inclusion of the topic of equality as an agenda item at team, management and staff meetings</w:t>
      </w:r>
    </w:p>
    <w:p w14:paraId="43A0417E" w14:textId="77777777" w:rsidR="00B848AA" w:rsidRDefault="00B848AA"/>
    <w:p w14:paraId="75FD4CEC" w14:textId="77777777" w:rsidR="00B848AA" w:rsidRDefault="000A0EC2">
      <w:pPr>
        <w:ind w:left="720"/>
      </w:pPr>
      <w:r>
        <w:t>The Supplier will procure that its Subcontractors do likewise with their equal opportunities policies.</w:t>
      </w:r>
    </w:p>
    <w:p w14:paraId="117CE4E3" w14:textId="77777777" w:rsidR="00B848AA" w:rsidRDefault="00B848AA">
      <w:pPr>
        <w:ind w:left="720"/>
      </w:pPr>
    </w:p>
    <w:p w14:paraId="7F658259" w14:textId="77777777" w:rsidR="00B848AA" w:rsidRDefault="000A0EC2">
      <w:pPr>
        <w:ind w:firstLine="720"/>
      </w:pPr>
      <w:r>
        <w:t>2.4.3</w:t>
      </w:r>
      <w:r>
        <w:tab/>
        <w:t>The Supplier will inform the Customer as soon as possible in the event of:</w:t>
      </w:r>
    </w:p>
    <w:p w14:paraId="74467EC6" w14:textId="77777777" w:rsidR="00B848AA" w:rsidRDefault="00B848AA"/>
    <w:p w14:paraId="4F7A683E" w14:textId="77777777" w:rsidR="00B848AA" w:rsidRDefault="000A0EC2">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5FDE52C" w14:textId="77777777" w:rsidR="00B848AA" w:rsidRDefault="000A0EC2">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84D89E0" w14:textId="77777777" w:rsidR="00B848AA" w:rsidRDefault="00B848AA">
      <w:pPr>
        <w:ind w:left="2160"/>
      </w:pPr>
    </w:p>
    <w:p w14:paraId="71AF1563" w14:textId="77777777" w:rsidR="00B848AA" w:rsidRDefault="000A0EC2">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4D46DF3" w14:textId="77777777" w:rsidR="00B848AA" w:rsidRDefault="00B848AA"/>
    <w:p w14:paraId="448AEE33" w14:textId="77777777" w:rsidR="00B848AA" w:rsidRDefault="000A0EC2">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0E0FC16" w14:textId="77777777" w:rsidR="00B848AA" w:rsidRDefault="00B848AA">
      <w:pPr>
        <w:ind w:left="1440"/>
      </w:pPr>
    </w:p>
    <w:p w14:paraId="72339E7F" w14:textId="77777777" w:rsidR="00B848AA" w:rsidRDefault="000A0EC2">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1546B6B" w14:textId="77777777" w:rsidR="00B848AA" w:rsidRDefault="00B848AA">
      <w:pPr>
        <w:ind w:left="1440" w:hanging="720"/>
      </w:pPr>
    </w:p>
    <w:p w14:paraId="5EA9B652" w14:textId="77777777" w:rsidR="00B848AA" w:rsidRDefault="000A0EC2">
      <w:pPr>
        <w:pStyle w:val="Heading3"/>
      </w:pPr>
      <w:r>
        <w:t>2.5</w:t>
      </w:r>
      <w:r>
        <w:tab/>
        <w:t>Equality</w:t>
      </w:r>
    </w:p>
    <w:p w14:paraId="2FC44873" w14:textId="77777777" w:rsidR="00B848AA" w:rsidRDefault="000A0EC2">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81C2365" w14:textId="77777777" w:rsidR="00B848AA" w:rsidRDefault="00B848AA">
      <w:pPr>
        <w:ind w:left="1440"/>
      </w:pPr>
    </w:p>
    <w:p w14:paraId="0A869557" w14:textId="77777777" w:rsidR="00B848AA" w:rsidRDefault="000A0EC2">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81BCE32" w14:textId="77777777" w:rsidR="00B848AA" w:rsidRDefault="00B848AA"/>
    <w:p w14:paraId="0DC238B9" w14:textId="77777777" w:rsidR="00B848AA" w:rsidRDefault="000A0EC2">
      <w:pPr>
        <w:pStyle w:val="Heading3"/>
      </w:pPr>
      <w:r>
        <w:t>2.6</w:t>
      </w:r>
      <w:r>
        <w:tab/>
        <w:t>Health and safety</w:t>
      </w:r>
    </w:p>
    <w:p w14:paraId="6F06BB8A" w14:textId="77777777" w:rsidR="00B848AA" w:rsidRDefault="000A0EC2">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0558F05" w14:textId="77777777" w:rsidR="00B848AA" w:rsidRDefault="00B848AA">
      <w:pPr>
        <w:ind w:left="1440"/>
      </w:pPr>
    </w:p>
    <w:p w14:paraId="1D5CB69E" w14:textId="77777777" w:rsidR="00B848AA" w:rsidRDefault="000A0EC2">
      <w:pPr>
        <w:ind w:left="1440" w:hanging="720"/>
      </w:pPr>
      <w:r>
        <w:t>2.6.2</w:t>
      </w:r>
      <w:r>
        <w:tab/>
        <w:t>While on the Customer premises, the Supplier will comply with any health and safety measures implemented by the Customer in respect of Supplier Staff and other persons working there.</w:t>
      </w:r>
    </w:p>
    <w:p w14:paraId="08D6925C" w14:textId="77777777" w:rsidR="00B848AA" w:rsidRDefault="00B848AA"/>
    <w:p w14:paraId="2AB9876C" w14:textId="77777777" w:rsidR="00B848AA" w:rsidRDefault="000A0EC2">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A8D1653" w14:textId="77777777" w:rsidR="00B848AA" w:rsidRDefault="00B848AA"/>
    <w:p w14:paraId="019E2AB3" w14:textId="77777777" w:rsidR="00B848AA" w:rsidRDefault="000A0EC2">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BD8BF83" w14:textId="77777777" w:rsidR="00B848AA" w:rsidRDefault="00B848AA"/>
    <w:p w14:paraId="3537DE0E" w14:textId="77777777" w:rsidR="00B848AA" w:rsidRDefault="000A0EC2">
      <w:pPr>
        <w:ind w:left="1440" w:hanging="720"/>
      </w:pPr>
      <w:r>
        <w:t>2.6.5</w:t>
      </w:r>
      <w:r>
        <w:tab/>
        <w:t>The Supplier will ensure that its health and safety policy statement (as required by the Health and Safety at Work (Northern Ireland) Order 1978) is made available to the Customer on request.</w:t>
      </w:r>
    </w:p>
    <w:p w14:paraId="3B4E9FC8" w14:textId="77777777" w:rsidR="00B848AA" w:rsidRDefault="00B848AA"/>
    <w:p w14:paraId="525491EF" w14:textId="77777777" w:rsidR="00B848AA" w:rsidRDefault="000A0EC2">
      <w:pPr>
        <w:pStyle w:val="Heading3"/>
      </w:pPr>
      <w:r>
        <w:t>2.7</w:t>
      </w:r>
      <w:r>
        <w:tab/>
        <w:t>Criminal damage</w:t>
      </w:r>
    </w:p>
    <w:p w14:paraId="116F70EB" w14:textId="77777777" w:rsidR="00B848AA" w:rsidRDefault="000A0EC2">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B4B9AD8" w14:textId="77777777" w:rsidR="00B848AA" w:rsidRDefault="00B848AA"/>
    <w:p w14:paraId="1E804882" w14:textId="77777777" w:rsidR="00B848AA" w:rsidRDefault="000A0EC2">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A6A5667" w14:textId="77777777" w:rsidR="00B848AA" w:rsidRDefault="00B848AA"/>
    <w:p w14:paraId="1C818995" w14:textId="77777777" w:rsidR="00B848AA" w:rsidRDefault="000A0EC2">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3087DCA4" w14:textId="77777777" w:rsidR="00B848AA" w:rsidRDefault="00B848AA"/>
    <w:p w14:paraId="67284C4D" w14:textId="77777777" w:rsidR="00B848AA" w:rsidRDefault="000A0EC2">
      <w:pPr>
        <w:ind w:left="1440" w:hanging="720"/>
      </w:pPr>
      <w:r>
        <w:t>2.7.4</w:t>
      </w:r>
      <w:r>
        <w:tab/>
        <w:t>The Supplier will apply any compensation paid under the Compensation Order in respect of damage to the relevant assets towards the repair, reinstatement or replacement of the assets affected.</w:t>
      </w:r>
    </w:p>
    <w:p w14:paraId="1004262E" w14:textId="77777777" w:rsidR="00B848AA" w:rsidRDefault="00B848AA"/>
    <w:p w14:paraId="0A395E06" w14:textId="77777777" w:rsidR="00B848AA" w:rsidRDefault="00B848AA">
      <w:pPr>
        <w:rPr>
          <w:b/>
        </w:rPr>
      </w:pPr>
    </w:p>
    <w:p w14:paraId="55D8BF34" w14:textId="77777777" w:rsidR="00B848AA" w:rsidRDefault="00B848AA">
      <w:bookmarkStart w:id="98" w:name="_Toc33176238"/>
    </w:p>
    <w:p w14:paraId="772C227A" w14:textId="77777777" w:rsidR="00B848AA" w:rsidRDefault="000A0EC2">
      <w:pPr>
        <w:pStyle w:val="Heading2"/>
        <w:pageBreakBefore/>
      </w:pPr>
      <w:bookmarkStart w:id="99" w:name="_Toc69399450"/>
      <w:bookmarkStart w:id="100" w:name="_Toc71109860"/>
      <w:r>
        <w:lastRenderedPageBreak/>
        <w:t>Schedule 5: Guarantee</w:t>
      </w:r>
      <w:bookmarkEnd w:id="98"/>
      <w:bookmarkEnd w:id="99"/>
      <w:r w:rsidR="00C5744D">
        <w:t xml:space="preserve"> – Not Applicable</w:t>
      </w:r>
      <w:bookmarkEnd w:id="100"/>
    </w:p>
    <w:p w14:paraId="7333946F" w14:textId="77777777" w:rsidR="00B848AA" w:rsidRDefault="000A0EC2">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CD258BE" w14:textId="77777777" w:rsidR="00B848AA" w:rsidRDefault="00B848AA"/>
    <w:p w14:paraId="4CA33296" w14:textId="77777777" w:rsidR="00B848AA" w:rsidRDefault="000A0EC2">
      <w:r>
        <w:t>This deed of guarantee is made on [</w:t>
      </w:r>
      <w:r>
        <w:rPr>
          <w:b/>
        </w:rPr>
        <w:t>insert date, month, year]</w:t>
      </w:r>
      <w:r>
        <w:t xml:space="preserve"> between:</w:t>
      </w:r>
    </w:p>
    <w:p w14:paraId="2BD87BDC" w14:textId="77777777" w:rsidR="00B848AA" w:rsidRDefault="00B848AA"/>
    <w:p w14:paraId="2B1478D2" w14:textId="77777777" w:rsidR="00B848AA" w:rsidRDefault="000A0EC2">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B6BD838" w14:textId="77777777" w:rsidR="00B848AA" w:rsidRDefault="000A0EC2">
      <w:r>
        <w:t>and</w:t>
      </w:r>
    </w:p>
    <w:p w14:paraId="0352C493" w14:textId="77777777" w:rsidR="00B848AA" w:rsidRDefault="00B848AA"/>
    <w:p w14:paraId="194BE1EB" w14:textId="77777777" w:rsidR="00B848AA" w:rsidRDefault="000A0EC2">
      <w:pPr>
        <w:ind w:firstLine="720"/>
      </w:pPr>
      <w:r>
        <w:t xml:space="preserve"> (2)</w:t>
      </w:r>
      <w:r>
        <w:tab/>
        <w:t>The Buyer whose offices are [</w:t>
      </w:r>
      <w:r>
        <w:rPr>
          <w:b/>
        </w:rPr>
        <w:t>insert Buyer’s official address</w:t>
      </w:r>
      <w:r>
        <w:t>] (‘Beneficiary’)</w:t>
      </w:r>
    </w:p>
    <w:p w14:paraId="0F26B5CA" w14:textId="77777777" w:rsidR="00B848AA" w:rsidRDefault="000A0EC2">
      <w:pPr>
        <w:spacing w:before="240" w:after="240"/>
        <w:rPr>
          <w:b/>
          <w:sz w:val="20"/>
          <w:szCs w:val="20"/>
        </w:rPr>
      </w:pPr>
      <w:r>
        <w:rPr>
          <w:b/>
          <w:sz w:val="20"/>
          <w:szCs w:val="20"/>
        </w:rPr>
        <w:t>Whereas:</w:t>
      </w:r>
    </w:p>
    <w:p w14:paraId="5B18C073" w14:textId="77777777" w:rsidR="00B848AA" w:rsidRDefault="000A0EC2">
      <w:pPr>
        <w:ind w:left="2160" w:hanging="720"/>
      </w:pPr>
      <w:r>
        <w:t>(A)</w:t>
      </w:r>
      <w:r>
        <w:tab/>
        <w:t>The guarantor has agreed, in consideration of the Buyer entering into the Call-Off Contract with the Supplier, to guarantee all of the Supplier's obligations under the Call-Off Contract.</w:t>
      </w:r>
    </w:p>
    <w:p w14:paraId="5F9BF336" w14:textId="77777777" w:rsidR="00B848AA" w:rsidRDefault="00B848AA">
      <w:pPr>
        <w:ind w:left="2160"/>
      </w:pPr>
    </w:p>
    <w:p w14:paraId="7CCE4CFC" w14:textId="77777777" w:rsidR="00B848AA" w:rsidRDefault="000A0EC2">
      <w:pPr>
        <w:ind w:left="2160" w:hanging="720"/>
      </w:pPr>
      <w:r>
        <w:t>(B)</w:t>
      </w:r>
      <w:r>
        <w:tab/>
        <w:t>It is the intention of the Parties that this document be executed and take effect as a deed.</w:t>
      </w:r>
    </w:p>
    <w:p w14:paraId="116C4EBE" w14:textId="77777777" w:rsidR="00B848AA" w:rsidRDefault="00B848AA"/>
    <w:p w14:paraId="031597C8" w14:textId="77777777" w:rsidR="00B848AA" w:rsidRDefault="000A0EC2">
      <w:r>
        <w:t>[Where a deed of guarantee is required, include the wording below and populate the box below with the guarantor company's details. If a deed of guarantee isn’t needed then the section below and other references to the guarantee should be deleted.</w:t>
      </w:r>
    </w:p>
    <w:p w14:paraId="6E6C9571" w14:textId="77777777" w:rsidR="00B848AA" w:rsidRDefault="00B848AA"/>
    <w:p w14:paraId="56ADFC53" w14:textId="77777777" w:rsidR="00B848AA" w:rsidRDefault="000A0EC2">
      <w:r>
        <w:t>Suggested headings are as follows:</w:t>
      </w:r>
    </w:p>
    <w:p w14:paraId="6BB5D8B0" w14:textId="77777777" w:rsidR="00B848AA" w:rsidRDefault="00B848AA"/>
    <w:p w14:paraId="3A46BE4A" w14:textId="77777777" w:rsidR="00B848AA" w:rsidRDefault="000A0EC2" w:rsidP="005C3AE7">
      <w:pPr>
        <w:numPr>
          <w:ilvl w:val="0"/>
          <w:numId w:val="10"/>
        </w:numPr>
      </w:pPr>
      <w:r>
        <w:t>Demands and notices</w:t>
      </w:r>
    </w:p>
    <w:p w14:paraId="46FEFB84" w14:textId="77777777" w:rsidR="00B848AA" w:rsidRDefault="000A0EC2" w:rsidP="005C3AE7">
      <w:pPr>
        <w:numPr>
          <w:ilvl w:val="0"/>
          <w:numId w:val="10"/>
        </w:numPr>
      </w:pPr>
      <w:r>
        <w:t>Representations and Warranties</w:t>
      </w:r>
    </w:p>
    <w:p w14:paraId="3F03E09A" w14:textId="77777777" w:rsidR="00B848AA" w:rsidRDefault="000A0EC2" w:rsidP="005C3AE7">
      <w:pPr>
        <w:numPr>
          <w:ilvl w:val="0"/>
          <w:numId w:val="10"/>
        </w:numPr>
      </w:pPr>
      <w:r>
        <w:t>Obligation to enter into a new Contract</w:t>
      </w:r>
    </w:p>
    <w:p w14:paraId="12CC5222" w14:textId="77777777" w:rsidR="00B848AA" w:rsidRDefault="000A0EC2" w:rsidP="005C3AE7">
      <w:pPr>
        <w:numPr>
          <w:ilvl w:val="0"/>
          <w:numId w:val="10"/>
        </w:numPr>
      </w:pPr>
      <w:r>
        <w:t>Assignment</w:t>
      </w:r>
    </w:p>
    <w:p w14:paraId="4377A231" w14:textId="77777777" w:rsidR="00B848AA" w:rsidRDefault="000A0EC2" w:rsidP="005C3AE7">
      <w:pPr>
        <w:numPr>
          <w:ilvl w:val="0"/>
          <w:numId w:val="10"/>
        </w:numPr>
      </w:pPr>
      <w:r>
        <w:t>Third Party Rights</w:t>
      </w:r>
    </w:p>
    <w:p w14:paraId="5F960259" w14:textId="77777777" w:rsidR="00B848AA" w:rsidRDefault="000A0EC2" w:rsidP="005C3AE7">
      <w:pPr>
        <w:numPr>
          <w:ilvl w:val="0"/>
          <w:numId w:val="10"/>
        </w:numPr>
      </w:pPr>
      <w:r>
        <w:t>Governing Law</w:t>
      </w:r>
    </w:p>
    <w:p w14:paraId="18E4F44A" w14:textId="77777777" w:rsidR="00B848AA" w:rsidRDefault="000A0EC2" w:rsidP="005C3AE7">
      <w:pPr>
        <w:numPr>
          <w:ilvl w:val="0"/>
          <w:numId w:val="10"/>
        </w:numPr>
      </w:pPr>
      <w:r>
        <w:t>This Call-Off Contract is conditional upon the provision of a Guarantee to the Buyer from the guarantor in respect of the Supplier.]</w:t>
      </w:r>
    </w:p>
    <w:p w14:paraId="227C7A33" w14:textId="77777777" w:rsidR="00B848AA" w:rsidRDefault="000A0EC2">
      <w:pPr>
        <w:spacing w:before="240" w:after="240"/>
        <w:rPr>
          <w:sz w:val="20"/>
          <w:szCs w:val="20"/>
        </w:rPr>
      </w:pPr>
      <w:r>
        <w:rPr>
          <w:sz w:val="20"/>
          <w:szCs w:val="20"/>
        </w:rPr>
        <w:t xml:space="preserve"> </w:t>
      </w:r>
    </w:p>
    <w:p w14:paraId="1C68BCAA" w14:textId="77777777" w:rsidR="00B848AA" w:rsidRDefault="00B848AA">
      <w:pPr>
        <w:pageBreakBefore/>
        <w:rPr>
          <w:sz w:val="20"/>
          <w:szCs w:val="20"/>
        </w:rPr>
      </w:pPr>
    </w:p>
    <w:p w14:paraId="791A79D4" w14:textId="77777777" w:rsidR="00B848AA" w:rsidRDefault="00B848AA">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B848AA" w14:paraId="3944BB2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0C370" w14:textId="77777777" w:rsidR="00B848AA" w:rsidRDefault="000A0EC2">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65843" w14:textId="77777777" w:rsidR="00B848AA" w:rsidRDefault="000A0EC2">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B848AA" w14:paraId="33FD4F1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BFB6B" w14:textId="77777777" w:rsidR="00B848AA" w:rsidRDefault="000A0EC2">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8F935" w14:textId="77777777" w:rsidR="00B848AA" w:rsidRDefault="000A0EC2">
            <w:pPr>
              <w:spacing w:before="240" w:after="240"/>
            </w:pPr>
            <w:r>
              <w:rPr>
                <w:sz w:val="20"/>
                <w:szCs w:val="20"/>
              </w:rPr>
              <w:t>[</w:t>
            </w:r>
            <w:r>
              <w:rPr>
                <w:b/>
                <w:sz w:val="20"/>
                <w:szCs w:val="20"/>
              </w:rPr>
              <w:t>Enter Company address</w:t>
            </w:r>
            <w:r>
              <w:rPr>
                <w:sz w:val="20"/>
                <w:szCs w:val="20"/>
              </w:rPr>
              <w:t>]</w:t>
            </w:r>
          </w:p>
        </w:tc>
      </w:tr>
      <w:tr w:rsidR="00B848AA" w14:paraId="3B98E49F"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F9087" w14:textId="77777777" w:rsidR="00B848AA" w:rsidRDefault="000A0EC2">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851DA" w14:textId="77777777" w:rsidR="00B848AA" w:rsidRDefault="000A0EC2">
            <w:pPr>
              <w:spacing w:before="240" w:after="240"/>
            </w:pPr>
            <w:r>
              <w:rPr>
                <w:sz w:val="20"/>
                <w:szCs w:val="20"/>
              </w:rPr>
              <w:t>[</w:t>
            </w:r>
            <w:r>
              <w:rPr>
                <w:b/>
                <w:sz w:val="20"/>
                <w:szCs w:val="20"/>
              </w:rPr>
              <w:t>Enter Account Manager name]</w:t>
            </w:r>
          </w:p>
        </w:tc>
      </w:tr>
      <w:tr w:rsidR="00B848AA" w14:paraId="184FE9A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78C16" w14:textId="77777777" w:rsidR="00B848AA" w:rsidRDefault="00B848AA"/>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63083" w14:textId="77777777" w:rsidR="00B848AA" w:rsidRDefault="000A0EC2">
            <w:pPr>
              <w:spacing w:before="240" w:after="240"/>
            </w:pPr>
            <w:r>
              <w:rPr>
                <w:sz w:val="20"/>
                <w:szCs w:val="20"/>
              </w:rPr>
              <w:t>Address: [</w:t>
            </w:r>
            <w:r>
              <w:rPr>
                <w:b/>
                <w:sz w:val="20"/>
                <w:szCs w:val="20"/>
              </w:rPr>
              <w:t>Enter Account Manager address]</w:t>
            </w:r>
          </w:p>
        </w:tc>
      </w:tr>
      <w:tr w:rsidR="00B848AA" w14:paraId="242D3FE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2AFBC" w14:textId="77777777" w:rsidR="00B848AA" w:rsidRDefault="00B848AA"/>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CAEDD" w14:textId="77777777" w:rsidR="00B848AA" w:rsidRDefault="000A0EC2">
            <w:pPr>
              <w:spacing w:before="240" w:after="240"/>
            </w:pPr>
            <w:r>
              <w:rPr>
                <w:sz w:val="20"/>
                <w:szCs w:val="20"/>
              </w:rPr>
              <w:t>Phone: [</w:t>
            </w:r>
            <w:r>
              <w:rPr>
                <w:b/>
                <w:sz w:val="20"/>
                <w:szCs w:val="20"/>
              </w:rPr>
              <w:t>Enter Account Manager phone number]</w:t>
            </w:r>
          </w:p>
        </w:tc>
      </w:tr>
      <w:tr w:rsidR="00B848AA" w14:paraId="691E626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894A5" w14:textId="77777777" w:rsidR="00B848AA" w:rsidRDefault="00B848AA"/>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B6C16" w14:textId="77777777" w:rsidR="00B848AA" w:rsidRDefault="000A0EC2">
            <w:pPr>
              <w:spacing w:before="240" w:after="240"/>
            </w:pPr>
            <w:r>
              <w:rPr>
                <w:sz w:val="20"/>
                <w:szCs w:val="20"/>
              </w:rPr>
              <w:t>Email: [</w:t>
            </w:r>
            <w:r>
              <w:rPr>
                <w:b/>
                <w:sz w:val="20"/>
                <w:szCs w:val="20"/>
              </w:rPr>
              <w:t>Enter Account Manager email</w:t>
            </w:r>
            <w:r>
              <w:rPr>
                <w:sz w:val="20"/>
                <w:szCs w:val="20"/>
              </w:rPr>
              <w:t>]</w:t>
            </w:r>
          </w:p>
        </w:tc>
      </w:tr>
      <w:tr w:rsidR="00B848AA" w14:paraId="59250E6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2F904" w14:textId="77777777" w:rsidR="00B848AA" w:rsidRDefault="00B848AA"/>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7ED3C" w14:textId="77777777" w:rsidR="00B848AA" w:rsidRDefault="000A0EC2">
            <w:pPr>
              <w:spacing w:before="240" w:after="240"/>
            </w:pPr>
            <w:r>
              <w:rPr>
                <w:sz w:val="20"/>
                <w:szCs w:val="20"/>
              </w:rPr>
              <w:t>Fax: [</w:t>
            </w:r>
            <w:r>
              <w:rPr>
                <w:b/>
                <w:sz w:val="20"/>
                <w:szCs w:val="20"/>
              </w:rPr>
              <w:t xml:space="preserve">Enter Account Manager fax </w:t>
            </w:r>
            <w:r>
              <w:rPr>
                <w:sz w:val="20"/>
                <w:szCs w:val="20"/>
              </w:rPr>
              <w:t>if applicable]</w:t>
            </w:r>
          </w:p>
        </w:tc>
      </w:tr>
    </w:tbl>
    <w:p w14:paraId="7DA59B8A" w14:textId="77777777" w:rsidR="00B848AA" w:rsidRDefault="000A0EC2">
      <w:pPr>
        <w:spacing w:before="60" w:after="240"/>
        <w:rPr>
          <w:sz w:val="20"/>
          <w:szCs w:val="20"/>
        </w:rPr>
      </w:pPr>
      <w:r>
        <w:rPr>
          <w:sz w:val="20"/>
          <w:szCs w:val="20"/>
        </w:rPr>
        <w:t xml:space="preserve"> </w:t>
      </w:r>
    </w:p>
    <w:p w14:paraId="554D0A72" w14:textId="77777777" w:rsidR="00B848AA" w:rsidRDefault="000A0EC2">
      <w:r>
        <w:t>In consideration of the Buyer entering into the Call-Off Contract, the Guarantor agrees with the Buyer as follows:</w:t>
      </w:r>
    </w:p>
    <w:p w14:paraId="0796A770" w14:textId="77777777" w:rsidR="00B848AA" w:rsidRDefault="00B848AA"/>
    <w:p w14:paraId="39A21601" w14:textId="77777777" w:rsidR="00B848AA" w:rsidRDefault="000A0EC2">
      <w:pPr>
        <w:pStyle w:val="Heading3"/>
      </w:pPr>
      <w:r>
        <w:t>Definitions and interpretation</w:t>
      </w:r>
    </w:p>
    <w:p w14:paraId="1A33058C" w14:textId="77777777" w:rsidR="00B848AA" w:rsidRDefault="000A0EC2">
      <w:r>
        <w:t>In this Deed of Guarantee, unless defined elsewhere in this Deed of Guarantee or the context requires otherwise, defined terms will have the same meaning as they have for the purposes of the Call-Off Contract.</w:t>
      </w:r>
    </w:p>
    <w:p w14:paraId="326895E4" w14:textId="77777777" w:rsidR="00B848AA" w:rsidRDefault="00B848AA"/>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B848AA" w14:paraId="524F3576"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14B10FC" w14:textId="77777777" w:rsidR="00B848AA" w:rsidRDefault="000A0EC2">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7D7867C" w14:textId="77777777" w:rsidR="00B848AA" w:rsidRDefault="000A0EC2">
            <w:pPr>
              <w:spacing w:before="240" w:after="240"/>
              <w:jc w:val="center"/>
              <w:rPr>
                <w:b/>
                <w:sz w:val="20"/>
                <w:szCs w:val="20"/>
              </w:rPr>
            </w:pPr>
            <w:r>
              <w:rPr>
                <w:b/>
                <w:sz w:val="20"/>
                <w:szCs w:val="20"/>
              </w:rPr>
              <w:t>Meaning</w:t>
            </w:r>
          </w:p>
        </w:tc>
      </w:tr>
      <w:tr w:rsidR="00B848AA" w14:paraId="6D29E68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C2D7B8" w14:textId="77777777" w:rsidR="00B848AA" w:rsidRDefault="000A0EC2">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4DA7E3E" w14:textId="77777777" w:rsidR="00B848AA" w:rsidRDefault="000A0EC2">
            <w:pPr>
              <w:spacing w:before="240" w:after="240"/>
              <w:rPr>
                <w:sz w:val="20"/>
                <w:szCs w:val="20"/>
              </w:rPr>
            </w:pPr>
            <w:r>
              <w:rPr>
                <w:sz w:val="20"/>
                <w:szCs w:val="20"/>
              </w:rPr>
              <w:t>Means [the Guaranteed Agreement] made between the Buyer and the Supplier on [insert date].</w:t>
            </w:r>
          </w:p>
        </w:tc>
      </w:tr>
      <w:tr w:rsidR="00B848AA" w14:paraId="158D5D06"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7E2A0D" w14:textId="77777777" w:rsidR="00B848AA" w:rsidRDefault="000A0EC2">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220208C" w14:textId="77777777" w:rsidR="00B848AA" w:rsidRDefault="000A0EC2">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848AA" w14:paraId="46725B19"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367190" w14:textId="77777777" w:rsidR="00B848AA" w:rsidRDefault="000A0EC2">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2AF9EF8" w14:textId="77777777" w:rsidR="00B848AA" w:rsidRDefault="000A0EC2">
            <w:pPr>
              <w:spacing w:before="240" w:after="240"/>
              <w:rPr>
                <w:sz w:val="20"/>
                <w:szCs w:val="20"/>
              </w:rPr>
            </w:pPr>
            <w:r>
              <w:rPr>
                <w:sz w:val="20"/>
                <w:szCs w:val="20"/>
              </w:rPr>
              <w:t>Means the deed of guarantee described in the Order Form (Parent Company Guarantee).</w:t>
            </w:r>
          </w:p>
        </w:tc>
      </w:tr>
    </w:tbl>
    <w:p w14:paraId="2C1DA11B" w14:textId="77777777" w:rsidR="00B848AA" w:rsidRDefault="000A0EC2">
      <w:pPr>
        <w:spacing w:before="240" w:after="240"/>
        <w:rPr>
          <w:sz w:val="20"/>
          <w:szCs w:val="20"/>
        </w:rPr>
      </w:pPr>
      <w:r>
        <w:rPr>
          <w:sz w:val="20"/>
          <w:szCs w:val="20"/>
        </w:rPr>
        <w:t xml:space="preserve"> </w:t>
      </w:r>
    </w:p>
    <w:p w14:paraId="07BA462E" w14:textId="77777777" w:rsidR="00B848AA" w:rsidRDefault="000A0EC2">
      <w:r>
        <w:t>References to this Deed of Guarantee and any provisions of this Deed of Guarantee or to any other document or agreement (including to the Call-Off Contract) apply now, and as amended, varied, restated, supplemented, substituted or novated in the future.</w:t>
      </w:r>
    </w:p>
    <w:p w14:paraId="1022FD20" w14:textId="77777777" w:rsidR="00B848AA" w:rsidRDefault="00B848AA"/>
    <w:p w14:paraId="295560C2" w14:textId="77777777" w:rsidR="00B848AA" w:rsidRDefault="000A0EC2">
      <w:r>
        <w:t>Unless the context otherwise requires, words importing the singular are to include the plural and vice versa.</w:t>
      </w:r>
    </w:p>
    <w:p w14:paraId="4B6DCBCA" w14:textId="77777777" w:rsidR="00B848AA" w:rsidRDefault="00B848AA"/>
    <w:p w14:paraId="4E2FF201" w14:textId="77777777" w:rsidR="00B848AA" w:rsidRDefault="000A0EC2">
      <w:r>
        <w:t>References to a person are to be construed to include that person's assignees or transferees or successors in title, whether direct or indirect.</w:t>
      </w:r>
    </w:p>
    <w:p w14:paraId="2063E03D" w14:textId="77777777" w:rsidR="00B848AA" w:rsidRDefault="00B848AA"/>
    <w:p w14:paraId="329E4FC4" w14:textId="77777777" w:rsidR="00B848AA" w:rsidRDefault="000A0EC2">
      <w:r>
        <w:t>The words ‘other’ and ‘otherwise’ are not to be construed as confining the meaning of any following words to the class of thing previously stated if a wider construction is possible.</w:t>
      </w:r>
    </w:p>
    <w:p w14:paraId="7E66D03E" w14:textId="77777777" w:rsidR="00B848AA" w:rsidRDefault="00B848AA"/>
    <w:p w14:paraId="494FC3A6" w14:textId="77777777" w:rsidR="00B848AA" w:rsidRDefault="000A0EC2">
      <w:r>
        <w:t>Unless the context otherwise requires:</w:t>
      </w:r>
    </w:p>
    <w:p w14:paraId="14118B27" w14:textId="77777777" w:rsidR="00B848AA" w:rsidRDefault="00B848AA"/>
    <w:p w14:paraId="00141477" w14:textId="77777777" w:rsidR="00B848AA" w:rsidRDefault="000A0EC2" w:rsidP="005C3AE7">
      <w:pPr>
        <w:numPr>
          <w:ilvl w:val="0"/>
          <w:numId w:val="11"/>
        </w:numPr>
      </w:pPr>
      <w:r>
        <w:t>reference to a gender includes the other gender and the neuter</w:t>
      </w:r>
    </w:p>
    <w:p w14:paraId="1D61BCAD" w14:textId="77777777" w:rsidR="00B848AA" w:rsidRDefault="000A0EC2" w:rsidP="005C3AE7">
      <w:pPr>
        <w:numPr>
          <w:ilvl w:val="0"/>
          <w:numId w:val="11"/>
        </w:numPr>
      </w:pPr>
      <w:r>
        <w:t>references to an Act of Parliament, statutory provision or statutory instrument also apply if amended, extended or re-enacted from time to time</w:t>
      </w:r>
    </w:p>
    <w:p w14:paraId="498FE91A" w14:textId="77777777" w:rsidR="00B848AA" w:rsidRDefault="000A0EC2" w:rsidP="005C3AE7">
      <w:pPr>
        <w:numPr>
          <w:ilvl w:val="0"/>
          <w:numId w:val="11"/>
        </w:numPr>
      </w:pPr>
      <w:r>
        <w:t>any phrase introduced by the words ‘including’, ‘includes’, ‘in particular’, ‘for example’ or similar, will be construed as illustrative and without limitation to the generality of the related general words</w:t>
      </w:r>
    </w:p>
    <w:p w14:paraId="30EE7106" w14:textId="77777777" w:rsidR="00B848AA" w:rsidRDefault="00B848AA">
      <w:pPr>
        <w:ind w:left="720"/>
      </w:pPr>
    </w:p>
    <w:p w14:paraId="4672C035" w14:textId="77777777" w:rsidR="00B848AA" w:rsidRDefault="000A0EC2">
      <w:r>
        <w:t>References to Clauses and Schedules are, unless otherwise provided, references to Clauses of and Schedules to this Deed of Guarantee.</w:t>
      </w:r>
    </w:p>
    <w:p w14:paraId="3B44809B" w14:textId="77777777" w:rsidR="00B848AA" w:rsidRDefault="00B848AA"/>
    <w:p w14:paraId="4E067B7F" w14:textId="77777777" w:rsidR="00B848AA" w:rsidRDefault="000A0EC2">
      <w:r>
        <w:t>References to liability are to include any liability whether actual, contingent, present or future.</w:t>
      </w:r>
    </w:p>
    <w:p w14:paraId="69BC9206" w14:textId="77777777" w:rsidR="00B848AA" w:rsidRDefault="00B848AA"/>
    <w:p w14:paraId="023AD6B0" w14:textId="77777777" w:rsidR="00B848AA" w:rsidRDefault="000A0EC2">
      <w:pPr>
        <w:pStyle w:val="Heading3"/>
      </w:pPr>
      <w:r>
        <w:t>Guarantee and indemnity</w:t>
      </w:r>
    </w:p>
    <w:p w14:paraId="264ABDA2" w14:textId="77777777" w:rsidR="00B848AA" w:rsidRDefault="000A0EC2">
      <w:r>
        <w:t>The Guarantor irrevocably and unconditionally guarantees that the Supplier duly performs all of the guaranteed obligations due by the Supplier to the Buyer.</w:t>
      </w:r>
    </w:p>
    <w:p w14:paraId="1C59C354" w14:textId="77777777" w:rsidR="00B848AA" w:rsidRDefault="00B848AA"/>
    <w:p w14:paraId="3AA71EF8" w14:textId="77777777" w:rsidR="00B848AA" w:rsidRDefault="000A0EC2">
      <w:r>
        <w:t>If at any time the Supplier will fail to perform any of the guaranteed obligations, the Guarantor irrevocably and unconditionally undertakes to the Buyer it will, at the cost of the Guarantor:</w:t>
      </w:r>
    </w:p>
    <w:p w14:paraId="385BE570" w14:textId="77777777" w:rsidR="00B848AA" w:rsidRDefault="00B848AA"/>
    <w:p w14:paraId="387DCF42" w14:textId="77777777" w:rsidR="00B848AA" w:rsidRDefault="000A0EC2" w:rsidP="005C3AE7">
      <w:pPr>
        <w:numPr>
          <w:ilvl w:val="0"/>
          <w:numId w:val="12"/>
        </w:numPr>
      </w:pPr>
      <w:r>
        <w:t>fully perform or buy performance of the guaranteed obligations to the Buyer</w:t>
      </w:r>
    </w:p>
    <w:p w14:paraId="4D84DB16" w14:textId="77777777" w:rsidR="00B848AA" w:rsidRDefault="00B848AA">
      <w:pPr>
        <w:ind w:left="720"/>
      </w:pPr>
    </w:p>
    <w:p w14:paraId="7CD5B919" w14:textId="77777777" w:rsidR="00B848AA" w:rsidRDefault="000A0EC2" w:rsidP="005C3AE7">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2E2AF9AE" w14:textId="77777777" w:rsidR="00B848AA" w:rsidRDefault="00B848AA"/>
    <w:p w14:paraId="41B95CF4" w14:textId="77777777" w:rsidR="00B848AA" w:rsidRDefault="000A0EC2">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F2FE72F" w14:textId="77777777" w:rsidR="00B848AA" w:rsidRDefault="00B848AA"/>
    <w:p w14:paraId="6BC50183" w14:textId="77777777" w:rsidR="00B848AA" w:rsidRDefault="000A0EC2">
      <w:pPr>
        <w:pStyle w:val="Heading3"/>
      </w:pPr>
      <w:r>
        <w:t>Obligation to enter into a new contract</w:t>
      </w:r>
    </w:p>
    <w:p w14:paraId="7FD80023" w14:textId="77777777" w:rsidR="00B848AA" w:rsidRDefault="000A0EC2">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C8A412B" w14:textId="77777777" w:rsidR="00B848AA" w:rsidRDefault="00B848AA"/>
    <w:p w14:paraId="7EF2CB3C" w14:textId="77777777" w:rsidR="00B848AA" w:rsidRDefault="000A0EC2">
      <w:pPr>
        <w:pStyle w:val="Heading3"/>
      </w:pPr>
      <w:r>
        <w:t>Demands and notices</w:t>
      </w:r>
    </w:p>
    <w:p w14:paraId="436BBAFA" w14:textId="77777777" w:rsidR="00B848AA" w:rsidRDefault="000A0EC2">
      <w:r>
        <w:t>Any demand or notice served by the Buyer on the Guarantor under this Deed of Guarantee will be in writing, addressed to:</w:t>
      </w:r>
    </w:p>
    <w:p w14:paraId="16F0DE2B" w14:textId="77777777" w:rsidR="00B848AA" w:rsidRDefault="00B848AA"/>
    <w:p w14:paraId="3187C6D4" w14:textId="77777777" w:rsidR="00B848AA" w:rsidRDefault="000A0EC2">
      <w:r>
        <w:t>[</w:t>
      </w:r>
      <w:r>
        <w:rPr>
          <w:b/>
        </w:rPr>
        <w:t>Enter Address of the Guarantor in England and Wales</w:t>
      </w:r>
      <w:r>
        <w:t>]</w:t>
      </w:r>
    </w:p>
    <w:p w14:paraId="40E37720" w14:textId="77777777" w:rsidR="00B848AA" w:rsidRDefault="00B848AA"/>
    <w:p w14:paraId="715DE4BB" w14:textId="77777777" w:rsidR="00B848AA" w:rsidRDefault="000A0EC2">
      <w:r>
        <w:t>[</w:t>
      </w:r>
      <w:r>
        <w:rPr>
          <w:b/>
        </w:rPr>
        <w:t>Enter Email address of the Guarantor representative</w:t>
      </w:r>
      <w:r>
        <w:t>]</w:t>
      </w:r>
    </w:p>
    <w:p w14:paraId="3A1CDF88" w14:textId="77777777" w:rsidR="00B848AA" w:rsidRDefault="00B848AA"/>
    <w:p w14:paraId="00B83928" w14:textId="77777777" w:rsidR="00B848AA" w:rsidRDefault="000A0EC2">
      <w:r>
        <w:t>For the Attention of [</w:t>
      </w:r>
      <w:r>
        <w:rPr>
          <w:b/>
        </w:rPr>
        <w:t>insert details</w:t>
      </w:r>
      <w:r>
        <w:t>]</w:t>
      </w:r>
    </w:p>
    <w:p w14:paraId="3675515B" w14:textId="77777777" w:rsidR="00B848AA" w:rsidRDefault="00B848AA"/>
    <w:p w14:paraId="4DBECEC6" w14:textId="77777777" w:rsidR="00B848AA" w:rsidRDefault="000A0EC2">
      <w:r>
        <w:t>or such other address in England and Wales as the Guarantor has notified the Buyer in writing as being an address for the receipt of such demands or notices.</w:t>
      </w:r>
    </w:p>
    <w:p w14:paraId="2C0F6882" w14:textId="77777777" w:rsidR="00B848AA" w:rsidRDefault="00B848AA"/>
    <w:p w14:paraId="66291040" w14:textId="77777777" w:rsidR="00B848AA" w:rsidRDefault="000A0EC2">
      <w:r>
        <w:t>Any notice or demand served on the Guarantor or the Buyer under this Deed of Guarantee will be deemed to have been served if:</w:t>
      </w:r>
    </w:p>
    <w:p w14:paraId="50615CF6" w14:textId="77777777" w:rsidR="00B848AA" w:rsidRDefault="00B848AA"/>
    <w:p w14:paraId="423830EB" w14:textId="77777777" w:rsidR="00B848AA" w:rsidRDefault="00B848AA"/>
    <w:p w14:paraId="00B98243" w14:textId="77777777" w:rsidR="00B848AA" w:rsidRDefault="000A0EC2" w:rsidP="005C3AE7">
      <w:pPr>
        <w:numPr>
          <w:ilvl w:val="0"/>
          <w:numId w:val="13"/>
        </w:numPr>
      </w:pPr>
      <w:r>
        <w:t>delivered by hand, at the time of delivery</w:t>
      </w:r>
    </w:p>
    <w:p w14:paraId="67C7047A" w14:textId="77777777" w:rsidR="00B848AA" w:rsidRDefault="000A0EC2" w:rsidP="005C3AE7">
      <w:pPr>
        <w:numPr>
          <w:ilvl w:val="0"/>
          <w:numId w:val="13"/>
        </w:numPr>
      </w:pPr>
      <w:r>
        <w:t>posted, at 10am on the second Working Day after it was put into the post</w:t>
      </w:r>
    </w:p>
    <w:p w14:paraId="5903A8BE" w14:textId="77777777" w:rsidR="00B848AA" w:rsidRDefault="000A0EC2" w:rsidP="005C3AE7">
      <w:pPr>
        <w:numPr>
          <w:ilvl w:val="0"/>
          <w:numId w:val="13"/>
        </w:numPr>
      </w:pPr>
      <w:r>
        <w:t>sent by email, at the time of despatch, if despatched before 5pm on any Working Day, and in any other case at 10am on the next Working Day</w:t>
      </w:r>
    </w:p>
    <w:p w14:paraId="7C6D5FF4" w14:textId="77777777" w:rsidR="00B848AA" w:rsidRDefault="00B848AA"/>
    <w:p w14:paraId="0B07192B" w14:textId="77777777" w:rsidR="00B848AA" w:rsidRDefault="000A0EC2">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A5D2E1C" w14:textId="77777777" w:rsidR="00B848AA" w:rsidRDefault="00B848AA"/>
    <w:p w14:paraId="53BEB772" w14:textId="77777777" w:rsidR="00B848AA" w:rsidRDefault="000A0EC2">
      <w:r>
        <w:t>Any notice purported to be served on the Buyer under this Deed of Guarantee will only be valid when received in writing by the Buyer.</w:t>
      </w:r>
    </w:p>
    <w:p w14:paraId="569070FF" w14:textId="77777777" w:rsidR="00B848AA" w:rsidRDefault="00B848AA"/>
    <w:p w14:paraId="7E4BC5A4" w14:textId="77777777" w:rsidR="00B848AA" w:rsidRDefault="000A0EC2">
      <w:pPr>
        <w:spacing w:after="200"/>
      </w:pPr>
      <w:r>
        <w:t>Beneficiary’s protections</w:t>
      </w:r>
    </w:p>
    <w:p w14:paraId="3BEA3112" w14:textId="77777777" w:rsidR="00B848AA" w:rsidRDefault="000A0EC2">
      <w:r>
        <w:t>The Guarantor will not be discharged or released from this Deed of Guarantee by:</w:t>
      </w:r>
    </w:p>
    <w:p w14:paraId="22694932" w14:textId="77777777" w:rsidR="00B848AA" w:rsidRDefault="00B848AA"/>
    <w:p w14:paraId="3C29CBD8" w14:textId="77777777" w:rsidR="00B848AA" w:rsidRDefault="000A0EC2" w:rsidP="005C3AE7">
      <w:pPr>
        <w:numPr>
          <w:ilvl w:val="0"/>
          <w:numId w:val="14"/>
        </w:numPr>
      </w:pPr>
      <w:r>
        <w:t>any arrangement made between the Supplier and the Buyer (whether or not such arrangement is made with the assent of the Guarantor)</w:t>
      </w:r>
    </w:p>
    <w:p w14:paraId="2A7DFEA7" w14:textId="77777777" w:rsidR="00B848AA" w:rsidRDefault="000A0EC2" w:rsidP="005C3AE7">
      <w:pPr>
        <w:numPr>
          <w:ilvl w:val="0"/>
          <w:numId w:val="14"/>
        </w:numPr>
      </w:pPr>
      <w:r>
        <w:t>any amendment to or termination of the Call-Off Contract</w:t>
      </w:r>
    </w:p>
    <w:p w14:paraId="3E9F16B3" w14:textId="77777777" w:rsidR="00B848AA" w:rsidRDefault="000A0EC2" w:rsidP="005C3AE7">
      <w:pPr>
        <w:numPr>
          <w:ilvl w:val="0"/>
          <w:numId w:val="14"/>
        </w:numPr>
      </w:pPr>
      <w:r>
        <w:t>any forbearance or indulgence as to payment, time, performance or otherwise granted by the Buyer (whether or not such amendment, termination, forbearance or indulgence is made with the assent of the Guarantor)</w:t>
      </w:r>
    </w:p>
    <w:p w14:paraId="7836962F" w14:textId="77777777" w:rsidR="00B848AA" w:rsidRDefault="000A0EC2" w:rsidP="005C3AE7">
      <w:pPr>
        <w:numPr>
          <w:ilvl w:val="0"/>
          <w:numId w:val="14"/>
        </w:numPr>
      </w:pPr>
      <w:r>
        <w:t>the Buyer doing (or omitting to do) anything which, but for this provision, might exonerate the Guarantor</w:t>
      </w:r>
    </w:p>
    <w:p w14:paraId="612C7C03" w14:textId="77777777" w:rsidR="00B848AA" w:rsidRDefault="00B848AA"/>
    <w:p w14:paraId="029E7182" w14:textId="77777777" w:rsidR="00B848AA" w:rsidRDefault="000A0EC2">
      <w:r>
        <w:t>This Deed of Guarantee will be a continuing security for the Guaranteed Obligations and accordingly:</w:t>
      </w:r>
    </w:p>
    <w:p w14:paraId="137549B8" w14:textId="77777777" w:rsidR="00B848AA" w:rsidRDefault="00B848AA"/>
    <w:p w14:paraId="1599C1E2" w14:textId="77777777" w:rsidR="00B848AA" w:rsidRDefault="000A0EC2" w:rsidP="005C3AE7">
      <w:pPr>
        <w:numPr>
          <w:ilvl w:val="0"/>
          <w:numId w:val="1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6AFC1C2" w14:textId="77777777" w:rsidR="00B848AA" w:rsidRDefault="000A0EC2" w:rsidP="005C3AE7">
      <w:pPr>
        <w:numPr>
          <w:ilvl w:val="0"/>
          <w:numId w:val="1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FA91454" w14:textId="77777777" w:rsidR="00B848AA" w:rsidRDefault="000A0EC2" w:rsidP="005C3AE7">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47DC715" w14:textId="77777777" w:rsidR="00B848AA" w:rsidRDefault="000A0EC2" w:rsidP="005C3AE7">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184B7867" w14:textId="77777777" w:rsidR="00B848AA" w:rsidRDefault="00B848AA"/>
    <w:p w14:paraId="2256BFFE" w14:textId="77777777" w:rsidR="00B848AA" w:rsidRDefault="000A0EC2">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75102C11" w14:textId="77777777" w:rsidR="00B848AA" w:rsidRDefault="00B848AA"/>
    <w:p w14:paraId="08777C3E" w14:textId="77777777" w:rsidR="00B848AA" w:rsidRDefault="000A0EC2">
      <w:r>
        <w:t>The Buyer will not be obliged before taking steps to enforce this Deed of Guarantee against the Guarantor to:</w:t>
      </w:r>
    </w:p>
    <w:p w14:paraId="6AE617EF" w14:textId="77777777" w:rsidR="00B848AA" w:rsidRDefault="00B848AA"/>
    <w:p w14:paraId="18311B9F" w14:textId="77777777" w:rsidR="00B848AA" w:rsidRDefault="000A0EC2" w:rsidP="005C3AE7">
      <w:pPr>
        <w:numPr>
          <w:ilvl w:val="0"/>
          <w:numId w:val="16"/>
        </w:numPr>
      </w:pPr>
      <w:r>
        <w:t>obtain judgment against the Supplier or the Guarantor or any third party in any court</w:t>
      </w:r>
    </w:p>
    <w:p w14:paraId="2EFD568A" w14:textId="77777777" w:rsidR="00B848AA" w:rsidRDefault="000A0EC2" w:rsidP="005C3AE7">
      <w:pPr>
        <w:numPr>
          <w:ilvl w:val="0"/>
          <w:numId w:val="16"/>
        </w:numPr>
      </w:pPr>
      <w:r>
        <w:t>make or file any claim in a bankruptcy or liquidation of the Supplier or any third party</w:t>
      </w:r>
    </w:p>
    <w:p w14:paraId="47EDB351" w14:textId="77777777" w:rsidR="00B848AA" w:rsidRDefault="000A0EC2" w:rsidP="005C3AE7">
      <w:pPr>
        <w:numPr>
          <w:ilvl w:val="0"/>
          <w:numId w:val="16"/>
        </w:numPr>
      </w:pPr>
      <w:r>
        <w:t>take any action against the Supplier or the Guarantor or any third party</w:t>
      </w:r>
    </w:p>
    <w:p w14:paraId="0504F356" w14:textId="77777777" w:rsidR="00B848AA" w:rsidRDefault="000A0EC2" w:rsidP="005C3AE7">
      <w:pPr>
        <w:numPr>
          <w:ilvl w:val="0"/>
          <w:numId w:val="16"/>
        </w:numPr>
      </w:pPr>
      <w:r>
        <w:t>resort to any other security or guarantee or other means of payment</w:t>
      </w:r>
    </w:p>
    <w:p w14:paraId="29F7D39B" w14:textId="77777777" w:rsidR="00B848AA" w:rsidRDefault="00B848AA"/>
    <w:p w14:paraId="237D9EFA" w14:textId="77777777" w:rsidR="00B848AA" w:rsidRDefault="000A0EC2">
      <w:r>
        <w:t>No action (or inaction) by the Buyer relating to any such security, guarantee or other means of payment will prejudice or affect the liability of the Guarantor.</w:t>
      </w:r>
    </w:p>
    <w:p w14:paraId="2548A31B" w14:textId="77777777" w:rsidR="00B848AA" w:rsidRDefault="00B848AA"/>
    <w:p w14:paraId="6EA604D1" w14:textId="77777777" w:rsidR="00B848AA" w:rsidRDefault="000A0EC2">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213C719" w14:textId="77777777" w:rsidR="00B848AA" w:rsidRDefault="00B848AA"/>
    <w:p w14:paraId="7BCA0FFA" w14:textId="77777777" w:rsidR="00B848AA" w:rsidRDefault="000A0EC2">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1D3DA71" w14:textId="77777777" w:rsidR="00B848AA" w:rsidRDefault="00B848AA"/>
    <w:p w14:paraId="076FD4D4" w14:textId="77777777" w:rsidR="00B848AA" w:rsidRDefault="000A0EC2">
      <w:pPr>
        <w:pStyle w:val="Heading3"/>
      </w:pPr>
      <w:r>
        <w:t>Representations and warranties</w:t>
      </w:r>
    </w:p>
    <w:p w14:paraId="68449032" w14:textId="77777777" w:rsidR="00B848AA" w:rsidRDefault="000A0EC2">
      <w:r>
        <w:t>The Guarantor hereby represents and warrants to the Buyer that:</w:t>
      </w:r>
    </w:p>
    <w:p w14:paraId="295CBD6F" w14:textId="77777777" w:rsidR="00B848AA" w:rsidRDefault="00B848AA">
      <w:pPr>
        <w:ind w:left="720"/>
      </w:pPr>
    </w:p>
    <w:p w14:paraId="65DC1B0C" w14:textId="77777777" w:rsidR="00B848AA" w:rsidRDefault="000A0EC2" w:rsidP="005C3AE7">
      <w:pPr>
        <w:numPr>
          <w:ilvl w:val="0"/>
          <w:numId w:val="17"/>
        </w:numPr>
      </w:pPr>
      <w:r>
        <w:t>the Guarantor is duly incorporated and is a validly existing company under the Laws of its place of incorporation</w:t>
      </w:r>
    </w:p>
    <w:p w14:paraId="48067F63" w14:textId="77777777" w:rsidR="00B848AA" w:rsidRDefault="000A0EC2" w:rsidP="005C3AE7">
      <w:pPr>
        <w:numPr>
          <w:ilvl w:val="0"/>
          <w:numId w:val="17"/>
        </w:numPr>
      </w:pPr>
      <w:r>
        <w:t>has the capacity to sue or be sued in its own name</w:t>
      </w:r>
    </w:p>
    <w:p w14:paraId="3C51E59D" w14:textId="77777777" w:rsidR="00B848AA" w:rsidRDefault="000A0EC2" w:rsidP="005C3AE7">
      <w:pPr>
        <w:numPr>
          <w:ilvl w:val="0"/>
          <w:numId w:val="17"/>
        </w:numPr>
      </w:pPr>
      <w:r>
        <w:t>the Guarantor has power to carry on its business as now being conducted and to own its Property and other assets</w:t>
      </w:r>
    </w:p>
    <w:p w14:paraId="2CE27A0C" w14:textId="77777777" w:rsidR="00B848AA" w:rsidRDefault="000A0EC2" w:rsidP="005C3AE7">
      <w:pPr>
        <w:numPr>
          <w:ilvl w:val="0"/>
          <w:numId w:val="17"/>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770F92D" w14:textId="77777777" w:rsidR="00B848AA" w:rsidRDefault="000A0EC2" w:rsidP="005C3AE7">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413EC85" w14:textId="77777777" w:rsidR="00B848AA" w:rsidRDefault="000A0EC2" w:rsidP="005C3AE7">
      <w:pPr>
        <w:numPr>
          <w:ilvl w:val="1"/>
          <w:numId w:val="17"/>
        </w:numPr>
      </w:pPr>
      <w:r>
        <w:t>the Guarantor's memorandum and articles of association or other equivalent constitutional documents, any existing Law, statute, rule or Regulation or any judgment, decree or permit to which the Guarantor is subject</w:t>
      </w:r>
    </w:p>
    <w:p w14:paraId="5B65747E" w14:textId="77777777" w:rsidR="00B848AA" w:rsidRDefault="000A0EC2" w:rsidP="005C3AE7">
      <w:pPr>
        <w:numPr>
          <w:ilvl w:val="1"/>
          <w:numId w:val="17"/>
        </w:numPr>
      </w:pPr>
      <w:r>
        <w:lastRenderedPageBreak/>
        <w:t>the terms of any agreement or other document to which the Guarantor is a party or which is binding upon it or any of its assets</w:t>
      </w:r>
    </w:p>
    <w:p w14:paraId="5E32FF3B" w14:textId="77777777" w:rsidR="00B848AA" w:rsidRDefault="000A0EC2" w:rsidP="005C3AE7">
      <w:pPr>
        <w:numPr>
          <w:ilvl w:val="1"/>
          <w:numId w:val="17"/>
        </w:numPr>
      </w:pPr>
      <w:r>
        <w:t>all governmental and other authorisations, approvals, licences and consents, required or desirable</w:t>
      </w:r>
    </w:p>
    <w:p w14:paraId="65766521" w14:textId="77777777" w:rsidR="00B848AA" w:rsidRDefault="00B848AA">
      <w:pPr>
        <w:ind w:left="1440"/>
      </w:pPr>
    </w:p>
    <w:p w14:paraId="0A129602" w14:textId="77777777" w:rsidR="00B848AA" w:rsidRDefault="000A0EC2">
      <w:r>
        <w:t>This Deed of Guarantee is the legal valid and binding obligation of the Guarantor and is enforceable against the Guarantor in accordance with its terms.</w:t>
      </w:r>
    </w:p>
    <w:p w14:paraId="0611773D" w14:textId="77777777" w:rsidR="00B848AA" w:rsidRDefault="00B848AA">
      <w:pPr>
        <w:spacing w:after="200"/>
        <w:rPr>
          <w:b/>
        </w:rPr>
      </w:pPr>
    </w:p>
    <w:p w14:paraId="67180E96" w14:textId="77777777" w:rsidR="00B848AA" w:rsidRDefault="000A0EC2">
      <w:pPr>
        <w:pStyle w:val="Heading3"/>
      </w:pPr>
      <w:r>
        <w:t>Payments and set-off</w:t>
      </w:r>
    </w:p>
    <w:p w14:paraId="20F48FDF" w14:textId="77777777" w:rsidR="00B848AA" w:rsidRDefault="000A0EC2">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1402FC2" w14:textId="77777777" w:rsidR="00B848AA" w:rsidRDefault="00B848AA"/>
    <w:p w14:paraId="767505D5" w14:textId="77777777" w:rsidR="00B848AA" w:rsidRDefault="000A0EC2">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26DACDA" w14:textId="77777777" w:rsidR="00B848AA" w:rsidRDefault="00B848AA"/>
    <w:p w14:paraId="448CCD09" w14:textId="77777777" w:rsidR="00B848AA" w:rsidRDefault="000A0EC2">
      <w:r>
        <w:t>The Guarantor will reimburse the Buyer for all legal and other costs (including VAT) incurred by the Buyer in connection with the enforcement of this Deed of Guarantee.</w:t>
      </w:r>
    </w:p>
    <w:p w14:paraId="68A2A1B2" w14:textId="77777777" w:rsidR="00B848AA" w:rsidRDefault="00B848AA"/>
    <w:p w14:paraId="422208D3" w14:textId="77777777" w:rsidR="00B848AA" w:rsidRDefault="000A0EC2">
      <w:pPr>
        <w:pStyle w:val="Heading3"/>
      </w:pPr>
      <w:r>
        <w:t>Guarantor’s acknowledgement</w:t>
      </w:r>
    </w:p>
    <w:p w14:paraId="2EB9545B" w14:textId="77777777" w:rsidR="00B848AA" w:rsidRDefault="000A0EC2">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6E5E866" w14:textId="77777777" w:rsidR="00B848AA" w:rsidRDefault="00B848AA"/>
    <w:p w14:paraId="0D115385" w14:textId="77777777" w:rsidR="00B848AA" w:rsidRDefault="000A0EC2">
      <w:pPr>
        <w:pStyle w:val="Heading3"/>
      </w:pPr>
      <w:r>
        <w:t>Assignment</w:t>
      </w:r>
    </w:p>
    <w:p w14:paraId="6CBDCD36" w14:textId="77777777" w:rsidR="00B848AA" w:rsidRDefault="000A0EC2">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8767DCA" w14:textId="77777777" w:rsidR="00B848AA" w:rsidRDefault="00B848AA"/>
    <w:p w14:paraId="04C47AE3" w14:textId="77777777" w:rsidR="00B848AA" w:rsidRDefault="000A0EC2">
      <w:r>
        <w:t>The Guarantor may not assign or transfer any of its rights or obligations under this Deed of Guarantee.</w:t>
      </w:r>
    </w:p>
    <w:p w14:paraId="00AB1B67" w14:textId="77777777" w:rsidR="00B848AA" w:rsidRDefault="00B848AA">
      <w:pPr>
        <w:spacing w:after="200"/>
      </w:pPr>
    </w:p>
    <w:p w14:paraId="3F46F617" w14:textId="77777777" w:rsidR="00B848AA" w:rsidRDefault="000A0EC2">
      <w:pPr>
        <w:pStyle w:val="Heading3"/>
      </w:pPr>
      <w:r>
        <w:t>Severance</w:t>
      </w:r>
    </w:p>
    <w:p w14:paraId="205BA8A0" w14:textId="77777777" w:rsidR="00B848AA" w:rsidRDefault="000A0EC2">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760C003" w14:textId="77777777" w:rsidR="00B848AA" w:rsidRDefault="00B848AA">
      <w:pPr>
        <w:spacing w:after="200"/>
      </w:pPr>
    </w:p>
    <w:p w14:paraId="55B334A4" w14:textId="77777777" w:rsidR="00B848AA" w:rsidRDefault="000A0EC2">
      <w:pPr>
        <w:pStyle w:val="Heading3"/>
      </w:pPr>
      <w:r>
        <w:lastRenderedPageBreak/>
        <w:t>Third-party rights</w:t>
      </w:r>
    </w:p>
    <w:p w14:paraId="56F753AA" w14:textId="77777777" w:rsidR="00B848AA" w:rsidRDefault="000A0EC2">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95183A9" w14:textId="77777777" w:rsidR="00B848AA" w:rsidRDefault="00B848AA"/>
    <w:p w14:paraId="7734E19A" w14:textId="77777777" w:rsidR="00B848AA" w:rsidRDefault="000A0EC2">
      <w:pPr>
        <w:pStyle w:val="Heading3"/>
      </w:pPr>
      <w:r>
        <w:t>Governing law</w:t>
      </w:r>
    </w:p>
    <w:p w14:paraId="42BFD0C6" w14:textId="77777777" w:rsidR="00B848AA" w:rsidRDefault="000A0EC2">
      <w:r>
        <w:t>This Deed of Guarantee, and any non-Contractual obligations arising out of or in connection with it, will be governed by and construed in accordance with English Law.</w:t>
      </w:r>
    </w:p>
    <w:p w14:paraId="53B91146" w14:textId="77777777" w:rsidR="00B848AA" w:rsidRDefault="00B848AA"/>
    <w:p w14:paraId="7DD87FFF" w14:textId="77777777" w:rsidR="00B848AA" w:rsidRDefault="000A0EC2">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5B3441B" w14:textId="77777777" w:rsidR="00B848AA" w:rsidRDefault="00B848AA"/>
    <w:p w14:paraId="7948C45B" w14:textId="77777777" w:rsidR="00B848AA" w:rsidRDefault="000A0EC2">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7A1BD55" w14:textId="77777777" w:rsidR="00B848AA" w:rsidRDefault="00B848AA"/>
    <w:p w14:paraId="12E963D6" w14:textId="77777777" w:rsidR="00B848AA" w:rsidRDefault="000A0EC2">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EA7C942" w14:textId="77777777" w:rsidR="00B848AA" w:rsidRDefault="00B848AA"/>
    <w:p w14:paraId="25E0AB84" w14:textId="77777777" w:rsidR="00B848AA" w:rsidRDefault="000A0EC2">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720A5D2" w14:textId="77777777" w:rsidR="00B848AA" w:rsidRDefault="00B848AA"/>
    <w:p w14:paraId="7A862BF9" w14:textId="77777777" w:rsidR="00B848AA" w:rsidRDefault="000A0EC2">
      <w:r>
        <w:t>IN WITNESS whereof the Guarantor has caused this instrument to be executed and delivered as a Deed the day and year first before written.</w:t>
      </w:r>
    </w:p>
    <w:p w14:paraId="0851E2A0" w14:textId="77777777" w:rsidR="00B848AA" w:rsidRDefault="00B848AA"/>
    <w:p w14:paraId="486FCEA5" w14:textId="77777777" w:rsidR="00B848AA" w:rsidRDefault="000A0EC2">
      <w:r>
        <w:t xml:space="preserve">EXECUTED as a DEED by </w:t>
      </w:r>
    </w:p>
    <w:p w14:paraId="04576477" w14:textId="77777777" w:rsidR="00B848AA" w:rsidRDefault="00B848AA"/>
    <w:p w14:paraId="27B5D883" w14:textId="77777777" w:rsidR="00B848AA" w:rsidRDefault="00B848AA"/>
    <w:p w14:paraId="063FE4AC" w14:textId="77777777" w:rsidR="00B848AA" w:rsidRDefault="000A0EC2">
      <w:pPr>
        <w:spacing w:line="480" w:lineRule="auto"/>
      </w:pPr>
      <w:r>
        <w:t>[</w:t>
      </w:r>
      <w:r>
        <w:rPr>
          <w:b/>
        </w:rPr>
        <w:t>Insert name of the Guarantor</w:t>
      </w:r>
      <w:r>
        <w:t>] acting by [</w:t>
      </w:r>
      <w:r>
        <w:rPr>
          <w:b/>
        </w:rPr>
        <w:t>Insert names</w:t>
      </w:r>
      <w:r>
        <w:t>]</w:t>
      </w:r>
    </w:p>
    <w:p w14:paraId="5C344E1C" w14:textId="77777777" w:rsidR="00B848AA" w:rsidRDefault="000A0EC2">
      <w:r>
        <w:t>Director</w:t>
      </w:r>
    </w:p>
    <w:p w14:paraId="5DA567C7" w14:textId="77777777" w:rsidR="00B848AA" w:rsidRDefault="00B848AA"/>
    <w:p w14:paraId="2D8B34CE" w14:textId="77777777" w:rsidR="00B848AA" w:rsidRDefault="000A0EC2">
      <w:r>
        <w:t>Director/Secretary</w:t>
      </w:r>
    </w:p>
    <w:p w14:paraId="507591CF" w14:textId="77777777" w:rsidR="00B848AA" w:rsidRDefault="00B848AA">
      <w:pPr>
        <w:pageBreakBefore/>
        <w:rPr>
          <w:b/>
        </w:rPr>
      </w:pPr>
    </w:p>
    <w:p w14:paraId="49679D46" w14:textId="77777777" w:rsidR="00B848AA" w:rsidRDefault="000A0EC2">
      <w:pPr>
        <w:pStyle w:val="Heading2"/>
      </w:pPr>
      <w:bookmarkStart w:id="101" w:name="_Toc33176239"/>
      <w:bookmarkStart w:id="102" w:name="_Toc69399451"/>
      <w:bookmarkStart w:id="103" w:name="_Toc71109861"/>
      <w:r>
        <w:t>Schedule 6: Glossary and interpretations</w:t>
      </w:r>
      <w:bookmarkEnd w:id="101"/>
      <w:bookmarkEnd w:id="102"/>
      <w:bookmarkEnd w:id="103"/>
    </w:p>
    <w:p w14:paraId="27094F90" w14:textId="77777777" w:rsidR="00B848AA" w:rsidRDefault="000A0EC2">
      <w:r>
        <w:t>In this Call-Off Contract the following expressions mean:</w:t>
      </w:r>
    </w:p>
    <w:p w14:paraId="2B3E0594" w14:textId="77777777" w:rsidR="00B848AA" w:rsidRDefault="00B848AA"/>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B848AA" w14:paraId="21BC0EB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8D670" w14:textId="77777777" w:rsidR="00B848AA" w:rsidRDefault="000A0EC2">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727BC" w14:textId="77777777" w:rsidR="00B848AA" w:rsidRDefault="000A0EC2">
            <w:pPr>
              <w:spacing w:before="240"/>
              <w:rPr>
                <w:sz w:val="20"/>
                <w:szCs w:val="20"/>
              </w:rPr>
            </w:pPr>
            <w:r>
              <w:rPr>
                <w:sz w:val="20"/>
                <w:szCs w:val="20"/>
              </w:rPr>
              <w:t>Meaning</w:t>
            </w:r>
          </w:p>
        </w:tc>
      </w:tr>
      <w:tr w:rsidR="00B848AA" w14:paraId="3F42BC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E78BF" w14:textId="77777777" w:rsidR="00B848AA" w:rsidRDefault="000A0EC2">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B1C8A" w14:textId="77777777" w:rsidR="00B848AA" w:rsidRDefault="000A0EC2">
            <w:pPr>
              <w:spacing w:before="240"/>
              <w:rPr>
                <w:sz w:val="20"/>
                <w:szCs w:val="20"/>
              </w:rPr>
            </w:pPr>
            <w:r>
              <w:rPr>
                <w:sz w:val="20"/>
                <w:szCs w:val="20"/>
              </w:rPr>
              <w:t>Any services ancillary to the G-Cloud Services that are in the scope of Framework Agreement Section 2 (Services Offered) which a Buyer may request.</w:t>
            </w:r>
          </w:p>
        </w:tc>
      </w:tr>
      <w:tr w:rsidR="00B848AA" w14:paraId="1C1ABD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B5AE6" w14:textId="77777777" w:rsidR="00B848AA" w:rsidRDefault="000A0EC2">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B305A" w14:textId="77777777" w:rsidR="00B848AA" w:rsidRDefault="000A0EC2">
            <w:pPr>
              <w:spacing w:before="240"/>
              <w:rPr>
                <w:sz w:val="20"/>
                <w:szCs w:val="20"/>
              </w:rPr>
            </w:pPr>
            <w:r>
              <w:rPr>
                <w:sz w:val="20"/>
                <w:szCs w:val="20"/>
              </w:rPr>
              <w:t>The agreement to be entered into to enable the Supplier to participate in the relevant Civil Service pension scheme(s).</w:t>
            </w:r>
          </w:p>
        </w:tc>
      </w:tr>
      <w:tr w:rsidR="00B848AA" w14:paraId="5E24CC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1D671" w14:textId="77777777" w:rsidR="00B848AA" w:rsidRDefault="000A0EC2">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C9821" w14:textId="77777777" w:rsidR="00B848AA" w:rsidRDefault="000A0EC2">
            <w:pPr>
              <w:spacing w:before="240"/>
              <w:rPr>
                <w:sz w:val="20"/>
                <w:szCs w:val="20"/>
              </w:rPr>
            </w:pPr>
            <w:r>
              <w:rPr>
                <w:sz w:val="20"/>
                <w:szCs w:val="20"/>
              </w:rPr>
              <w:t>The response submitted by the Supplier to the Invitation to Tender (known as the Invitation to Apply on the Digital Marketplace).</w:t>
            </w:r>
          </w:p>
        </w:tc>
      </w:tr>
      <w:tr w:rsidR="00B848AA" w14:paraId="393D75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FECBE" w14:textId="77777777" w:rsidR="00B848AA" w:rsidRDefault="000A0EC2">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A1827" w14:textId="77777777" w:rsidR="00B848AA" w:rsidRDefault="000A0EC2">
            <w:pPr>
              <w:spacing w:before="240"/>
              <w:rPr>
                <w:sz w:val="20"/>
                <w:szCs w:val="20"/>
              </w:rPr>
            </w:pPr>
            <w:r>
              <w:rPr>
                <w:sz w:val="20"/>
                <w:szCs w:val="20"/>
              </w:rPr>
              <w:t>An audit carried out under the incorporated Framework Agreement clauses specified by the Buyer in the Order (if any).</w:t>
            </w:r>
          </w:p>
        </w:tc>
      </w:tr>
      <w:tr w:rsidR="00B848AA" w14:paraId="56ADE0D0"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1ABFD" w14:textId="77777777" w:rsidR="00B848AA" w:rsidRDefault="000A0EC2">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FC6CD" w14:textId="77777777" w:rsidR="00B848AA" w:rsidRDefault="000A0EC2">
            <w:pPr>
              <w:spacing w:before="240"/>
              <w:rPr>
                <w:sz w:val="20"/>
                <w:szCs w:val="20"/>
              </w:rPr>
            </w:pPr>
            <w:r>
              <w:rPr>
                <w:sz w:val="20"/>
                <w:szCs w:val="20"/>
              </w:rPr>
              <w:t>For each Party, IPRs:</w:t>
            </w:r>
          </w:p>
          <w:p w14:paraId="4FCA81A9" w14:textId="77777777" w:rsidR="00B848AA" w:rsidRDefault="000A0EC2" w:rsidP="005C3AE7">
            <w:pPr>
              <w:pStyle w:val="ListParagraph"/>
              <w:numPr>
                <w:ilvl w:val="0"/>
                <w:numId w:val="1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6DD0C69" w14:textId="77777777" w:rsidR="00B848AA" w:rsidRDefault="000A0EC2" w:rsidP="005C3AE7">
            <w:pPr>
              <w:pStyle w:val="ListParagraph"/>
              <w:numPr>
                <w:ilvl w:val="0"/>
                <w:numId w:val="18"/>
              </w:numPr>
              <w:rPr>
                <w:sz w:val="20"/>
                <w:szCs w:val="20"/>
              </w:rPr>
            </w:pPr>
            <w:r>
              <w:rPr>
                <w:sz w:val="20"/>
                <w:szCs w:val="20"/>
              </w:rPr>
              <w:t>created by the Party independently of this Call-Off Contract, or</w:t>
            </w:r>
          </w:p>
          <w:p w14:paraId="0931CDB9" w14:textId="77777777" w:rsidR="00B848AA" w:rsidRDefault="000A0EC2">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B848AA" w14:paraId="0FE012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664A6" w14:textId="77777777" w:rsidR="00B848AA" w:rsidRDefault="000A0EC2">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03363" w14:textId="77777777" w:rsidR="00B848AA" w:rsidRDefault="000A0EC2">
            <w:pPr>
              <w:spacing w:before="240"/>
              <w:rPr>
                <w:sz w:val="20"/>
                <w:szCs w:val="20"/>
              </w:rPr>
            </w:pPr>
            <w:r>
              <w:rPr>
                <w:sz w:val="20"/>
                <w:szCs w:val="20"/>
              </w:rPr>
              <w:t>The contracting authority ordering services as set out in the Order Form.</w:t>
            </w:r>
          </w:p>
        </w:tc>
      </w:tr>
      <w:tr w:rsidR="00B848AA" w14:paraId="7512DC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F8C96" w14:textId="77777777" w:rsidR="00B848AA" w:rsidRDefault="000A0EC2">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11F18" w14:textId="77777777" w:rsidR="00B848AA" w:rsidRDefault="000A0EC2">
            <w:pPr>
              <w:spacing w:before="240"/>
              <w:rPr>
                <w:sz w:val="20"/>
                <w:szCs w:val="20"/>
              </w:rPr>
            </w:pPr>
            <w:r>
              <w:rPr>
                <w:sz w:val="20"/>
                <w:szCs w:val="20"/>
              </w:rPr>
              <w:t>All data supplied by the Buyer to the Supplier including Personal Data and Service Data that is owned and managed by the Buyer.</w:t>
            </w:r>
          </w:p>
        </w:tc>
      </w:tr>
      <w:tr w:rsidR="00B848AA" w14:paraId="3F6058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A1DC2" w14:textId="77777777" w:rsidR="00B848AA" w:rsidRDefault="000A0EC2">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486B4" w14:textId="77777777" w:rsidR="00B848AA" w:rsidRDefault="000A0EC2">
            <w:pPr>
              <w:spacing w:before="240"/>
              <w:rPr>
                <w:sz w:val="20"/>
                <w:szCs w:val="20"/>
              </w:rPr>
            </w:pPr>
            <w:r>
              <w:rPr>
                <w:sz w:val="20"/>
                <w:szCs w:val="20"/>
              </w:rPr>
              <w:t>The Personal Data supplied by the Buyer to the Supplier for purposes of, or in connection with, this Call-Off Contract.</w:t>
            </w:r>
          </w:p>
        </w:tc>
      </w:tr>
      <w:tr w:rsidR="00B848AA" w14:paraId="304B2A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34CF9" w14:textId="77777777" w:rsidR="00B848AA" w:rsidRDefault="000A0EC2">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CE71D" w14:textId="77777777" w:rsidR="00B848AA" w:rsidRDefault="000A0EC2">
            <w:pPr>
              <w:spacing w:before="240"/>
              <w:rPr>
                <w:sz w:val="20"/>
                <w:szCs w:val="20"/>
              </w:rPr>
            </w:pPr>
            <w:r>
              <w:rPr>
                <w:sz w:val="20"/>
                <w:szCs w:val="20"/>
              </w:rPr>
              <w:t>The representative appointed by the Buyer under this Call-Off Contract.</w:t>
            </w:r>
          </w:p>
        </w:tc>
      </w:tr>
      <w:tr w:rsidR="00B848AA" w14:paraId="77C7929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26687" w14:textId="77777777" w:rsidR="00B848AA" w:rsidRDefault="000A0EC2">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41DCA" w14:textId="77777777" w:rsidR="00B848AA" w:rsidRDefault="000A0EC2">
            <w:pPr>
              <w:spacing w:before="240"/>
              <w:rPr>
                <w:sz w:val="20"/>
                <w:szCs w:val="20"/>
              </w:rPr>
            </w:pPr>
            <w:r>
              <w:rPr>
                <w:sz w:val="20"/>
                <w:szCs w:val="20"/>
              </w:rPr>
              <w:t>Software owned by or licensed to the Buyer (other than under this Agreement), which is or will be used by the Supplier to provide the Services.</w:t>
            </w:r>
          </w:p>
        </w:tc>
      </w:tr>
      <w:tr w:rsidR="00B848AA" w14:paraId="425761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EA9C1" w14:textId="77777777" w:rsidR="00B848AA" w:rsidRDefault="000A0EC2">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32C4C" w14:textId="77777777" w:rsidR="00B848AA" w:rsidRDefault="000A0EC2">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848AA" w14:paraId="7CD1B0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6DC7C" w14:textId="77777777" w:rsidR="00B848AA" w:rsidRDefault="000A0EC2">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55603" w14:textId="77777777" w:rsidR="00B848AA" w:rsidRDefault="000A0EC2">
            <w:pPr>
              <w:spacing w:before="240"/>
              <w:rPr>
                <w:sz w:val="20"/>
                <w:szCs w:val="20"/>
              </w:rPr>
            </w:pPr>
            <w:r>
              <w:rPr>
                <w:sz w:val="20"/>
                <w:szCs w:val="20"/>
              </w:rPr>
              <w:t>The prices (excluding any applicable VAT), payable to the Supplier by the Buyer under this Call-Off Contract.</w:t>
            </w:r>
          </w:p>
        </w:tc>
      </w:tr>
      <w:tr w:rsidR="00B848AA" w14:paraId="0AE771C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E9D4A" w14:textId="77777777" w:rsidR="00B848AA" w:rsidRDefault="000A0EC2">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4DCCD" w14:textId="77777777" w:rsidR="00B848AA" w:rsidRDefault="000A0EC2">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848AA" w14:paraId="1C88E1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58A54" w14:textId="77777777" w:rsidR="00B848AA" w:rsidRDefault="000A0EC2">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8B5F2" w14:textId="77777777" w:rsidR="00B848AA" w:rsidRDefault="000A0EC2">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848AA" w14:paraId="6237526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DDF21" w14:textId="77777777" w:rsidR="00B848AA" w:rsidRDefault="000A0EC2">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5D379" w14:textId="77777777" w:rsidR="00B848AA" w:rsidRDefault="000A0EC2">
            <w:pPr>
              <w:spacing w:before="240"/>
              <w:rPr>
                <w:sz w:val="20"/>
                <w:szCs w:val="20"/>
              </w:rPr>
            </w:pPr>
            <w:r>
              <w:rPr>
                <w:sz w:val="20"/>
                <w:szCs w:val="20"/>
              </w:rPr>
              <w:t>Data, Personal Data and any information, which may include (but isn’t limited to) any:</w:t>
            </w:r>
          </w:p>
          <w:p w14:paraId="6EAEA4AB" w14:textId="77777777" w:rsidR="00B848AA" w:rsidRDefault="000A0EC2" w:rsidP="005C3AE7">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CF01A8C" w14:textId="77777777" w:rsidR="00B848AA" w:rsidRDefault="000A0EC2" w:rsidP="005C3AE7">
            <w:pPr>
              <w:pStyle w:val="ListParagraph"/>
              <w:numPr>
                <w:ilvl w:val="0"/>
                <w:numId w:val="19"/>
              </w:numPr>
              <w:rPr>
                <w:sz w:val="20"/>
                <w:szCs w:val="20"/>
              </w:rPr>
            </w:pPr>
            <w:r>
              <w:rPr>
                <w:sz w:val="20"/>
                <w:szCs w:val="20"/>
              </w:rPr>
              <w:t>other information clearly designated as being confidential or which ought reasonably be considered to be confidential (whether or not it is marked 'confidential').</w:t>
            </w:r>
          </w:p>
        </w:tc>
      </w:tr>
      <w:tr w:rsidR="00B848AA" w14:paraId="0ECD2946"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07E85" w14:textId="77777777" w:rsidR="00B848AA" w:rsidRDefault="000A0EC2">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BD5C" w14:textId="77777777" w:rsidR="00B848AA" w:rsidRDefault="000A0EC2">
            <w:pPr>
              <w:spacing w:before="240"/>
              <w:rPr>
                <w:sz w:val="20"/>
                <w:szCs w:val="20"/>
              </w:rPr>
            </w:pPr>
            <w:r>
              <w:rPr>
                <w:sz w:val="20"/>
                <w:szCs w:val="20"/>
              </w:rPr>
              <w:t>‘Control’ as defined in section 1124 and 450 of the Corporation Tax</w:t>
            </w:r>
          </w:p>
          <w:p w14:paraId="1C8754CE" w14:textId="77777777" w:rsidR="00B848AA" w:rsidRDefault="000A0EC2">
            <w:pPr>
              <w:spacing w:before="240"/>
              <w:rPr>
                <w:sz w:val="20"/>
                <w:szCs w:val="20"/>
              </w:rPr>
            </w:pPr>
            <w:r>
              <w:rPr>
                <w:sz w:val="20"/>
                <w:szCs w:val="20"/>
              </w:rPr>
              <w:t>Act 2010. 'Controls' and 'Controlled' will be interpreted accordingly.</w:t>
            </w:r>
          </w:p>
        </w:tc>
      </w:tr>
      <w:tr w:rsidR="00B848AA" w14:paraId="3FF86E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50C03" w14:textId="77777777" w:rsidR="00B848AA" w:rsidRDefault="000A0EC2">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AC807" w14:textId="77777777" w:rsidR="00B848AA" w:rsidRDefault="000A0EC2">
            <w:pPr>
              <w:spacing w:before="240"/>
              <w:rPr>
                <w:sz w:val="20"/>
                <w:szCs w:val="20"/>
              </w:rPr>
            </w:pPr>
            <w:r>
              <w:rPr>
                <w:sz w:val="20"/>
                <w:szCs w:val="20"/>
              </w:rPr>
              <w:t>Takes the meaning given in the GDPR.</w:t>
            </w:r>
          </w:p>
        </w:tc>
      </w:tr>
      <w:tr w:rsidR="00B848AA" w14:paraId="0E6546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84E1C" w14:textId="77777777" w:rsidR="00B848AA" w:rsidRDefault="000A0EC2">
            <w:pPr>
              <w:spacing w:before="240"/>
              <w:rPr>
                <w:b/>
                <w:sz w:val="20"/>
                <w:szCs w:val="20"/>
              </w:rPr>
            </w:pPr>
            <w:r>
              <w:rPr>
                <w:b/>
                <w:sz w:val="20"/>
                <w:szCs w:val="20"/>
              </w:rPr>
              <w:t>Crown</w:t>
            </w:r>
          </w:p>
          <w:p w14:paraId="1199502E" w14:textId="77777777" w:rsidR="00B848AA" w:rsidRDefault="000A0EC2">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5BD8B" w14:textId="77777777" w:rsidR="00B848AA" w:rsidRDefault="000A0EC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848AA" w14:paraId="5E4DB2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4ED66" w14:textId="77777777" w:rsidR="00B848AA" w:rsidRDefault="000A0EC2">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44E54" w14:textId="77777777" w:rsidR="00B848AA" w:rsidRDefault="000A0EC2">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848AA" w14:paraId="33E14C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65C7" w14:textId="77777777" w:rsidR="00B848AA" w:rsidRDefault="000A0EC2">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160F4" w14:textId="77777777" w:rsidR="00B848AA" w:rsidRDefault="000A0EC2">
            <w:pPr>
              <w:spacing w:before="240"/>
              <w:rPr>
                <w:sz w:val="20"/>
                <w:szCs w:val="20"/>
              </w:rPr>
            </w:pPr>
            <w:r>
              <w:rPr>
                <w:sz w:val="20"/>
                <w:szCs w:val="20"/>
              </w:rPr>
              <w:t>An assessment by the Controller of the impact of the envisaged Processing on the protection of Personal Data.</w:t>
            </w:r>
          </w:p>
        </w:tc>
      </w:tr>
      <w:tr w:rsidR="00B848AA" w14:paraId="7F59C245"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DDEFE" w14:textId="77777777" w:rsidR="00B848AA" w:rsidRDefault="000A0EC2">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0979C" w14:textId="77777777" w:rsidR="00B848AA" w:rsidRDefault="000A0EC2">
            <w:pPr>
              <w:spacing w:before="240"/>
              <w:rPr>
                <w:sz w:val="20"/>
                <w:szCs w:val="20"/>
              </w:rPr>
            </w:pPr>
            <w:r>
              <w:rPr>
                <w:sz w:val="20"/>
                <w:szCs w:val="20"/>
              </w:rPr>
              <w:t>Data Protection Legislation means:</w:t>
            </w:r>
          </w:p>
          <w:p w14:paraId="58E4ED46" w14:textId="77777777" w:rsidR="00B848AA" w:rsidRDefault="000A0EC2">
            <w:pPr>
              <w:rPr>
                <w:sz w:val="20"/>
                <w:szCs w:val="20"/>
              </w:rPr>
            </w:pPr>
            <w:r>
              <w:rPr>
                <w:sz w:val="20"/>
                <w:szCs w:val="20"/>
              </w:rPr>
              <w:t>(i) the GDPR, the LED and any applicable national implementing Laws as amended from time to time</w:t>
            </w:r>
          </w:p>
          <w:p w14:paraId="616F79B5" w14:textId="77777777" w:rsidR="00B848AA" w:rsidRDefault="000A0EC2">
            <w:pPr>
              <w:ind w:left="720" w:hanging="720"/>
              <w:rPr>
                <w:sz w:val="20"/>
                <w:szCs w:val="20"/>
              </w:rPr>
            </w:pPr>
            <w:r>
              <w:rPr>
                <w:sz w:val="20"/>
                <w:szCs w:val="20"/>
              </w:rPr>
              <w:t>(ii) the DPA 2018 to the extent that it relates to Processing of Personal Data and privacy</w:t>
            </w:r>
          </w:p>
          <w:p w14:paraId="0C9D0872" w14:textId="77777777" w:rsidR="00B848AA" w:rsidRDefault="000A0EC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848AA" w14:paraId="5E3A3E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ECE7F" w14:textId="77777777" w:rsidR="00B848AA" w:rsidRDefault="000A0EC2">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4BAAC" w14:textId="77777777" w:rsidR="00B848AA" w:rsidRDefault="000A0EC2">
            <w:pPr>
              <w:spacing w:before="240"/>
              <w:rPr>
                <w:sz w:val="20"/>
                <w:szCs w:val="20"/>
              </w:rPr>
            </w:pPr>
            <w:r>
              <w:rPr>
                <w:sz w:val="20"/>
                <w:szCs w:val="20"/>
              </w:rPr>
              <w:t>Takes the meaning given in the GDPR</w:t>
            </w:r>
          </w:p>
        </w:tc>
      </w:tr>
      <w:tr w:rsidR="00B848AA" w14:paraId="3C0DBC2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97639" w14:textId="77777777" w:rsidR="00B848AA" w:rsidRDefault="000A0EC2">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96AC8" w14:textId="77777777" w:rsidR="00B848AA" w:rsidRDefault="000A0EC2">
            <w:pPr>
              <w:spacing w:before="240"/>
              <w:rPr>
                <w:sz w:val="20"/>
                <w:szCs w:val="20"/>
              </w:rPr>
            </w:pPr>
            <w:r>
              <w:rPr>
                <w:sz w:val="20"/>
                <w:szCs w:val="20"/>
              </w:rPr>
              <w:t>Default is any:</w:t>
            </w:r>
          </w:p>
          <w:p w14:paraId="29D26116" w14:textId="77777777" w:rsidR="00B848AA" w:rsidRDefault="000A0EC2" w:rsidP="005C3AE7">
            <w:pPr>
              <w:pStyle w:val="ListParagraph"/>
              <w:numPr>
                <w:ilvl w:val="0"/>
                <w:numId w:val="20"/>
              </w:numPr>
              <w:rPr>
                <w:sz w:val="20"/>
                <w:szCs w:val="20"/>
              </w:rPr>
            </w:pPr>
            <w:r>
              <w:rPr>
                <w:sz w:val="20"/>
                <w:szCs w:val="20"/>
              </w:rPr>
              <w:t>breach of the obligations of the Supplier (including any fundamental breach or breach of a fundamental term)</w:t>
            </w:r>
          </w:p>
          <w:p w14:paraId="06E34816" w14:textId="77777777" w:rsidR="00B848AA" w:rsidRDefault="000A0EC2" w:rsidP="005C3AE7">
            <w:pPr>
              <w:pStyle w:val="ListParagraph"/>
              <w:numPr>
                <w:ilvl w:val="0"/>
                <w:numId w:val="2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8512538" w14:textId="77777777" w:rsidR="00B848AA" w:rsidRDefault="000A0EC2">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848AA" w14:paraId="059D9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7B95F" w14:textId="77777777" w:rsidR="00B848AA" w:rsidRDefault="000A0EC2">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F5ADD" w14:textId="77777777" w:rsidR="00B848AA" w:rsidRDefault="000A0EC2">
            <w:pPr>
              <w:spacing w:before="240"/>
              <w:rPr>
                <w:sz w:val="20"/>
                <w:szCs w:val="20"/>
              </w:rPr>
            </w:pPr>
            <w:r>
              <w:rPr>
                <w:sz w:val="20"/>
                <w:szCs w:val="20"/>
              </w:rPr>
              <w:t>The G-Cloud Services the Buyer contracts the Supplier to provide under this Call-Off Contract.</w:t>
            </w:r>
          </w:p>
        </w:tc>
      </w:tr>
      <w:tr w:rsidR="00B848AA" w14:paraId="5288CE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387A6" w14:textId="77777777" w:rsidR="00B848AA" w:rsidRDefault="000A0EC2">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7B21D" w14:textId="35867CB6" w:rsidR="00B848AA" w:rsidRDefault="000A0EC2">
            <w:pPr>
              <w:spacing w:before="240"/>
            </w:pPr>
            <w:r>
              <w:rPr>
                <w:sz w:val="20"/>
                <w:szCs w:val="20"/>
              </w:rPr>
              <w:t>The government marketplace where Services are available for Buyers to buy. (</w:t>
            </w:r>
            <w:hyperlink r:id="rId37" w:history="1">
              <w:r>
                <w:rPr>
                  <w:sz w:val="20"/>
                  <w:szCs w:val="20"/>
                  <w:u w:val="single"/>
                </w:rPr>
                <w:t>https://www.digitalmarketplace.service.gov.uk</w:t>
              </w:r>
            </w:hyperlink>
            <w:r>
              <w:rPr>
                <w:sz w:val="20"/>
                <w:szCs w:val="20"/>
              </w:rPr>
              <w:t>/)</w:t>
            </w:r>
          </w:p>
        </w:tc>
      </w:tr>
      <w:tr w:rsidR="00B848AA" w14:paraId="33C875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897B2" w14:textId="77777777" w:rsidR="00B848AA" w:rsidRDefault="000A0EC2">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69D2" w14:textId="77777777" w:rsidR="00B848AA" w:rsidRDefault="000A0EC2">
            <w:pPr>
              <w:spacing w:before="240"/>
              <w:rPr>
                <w:sz w:val="20"/>
                <w:szCs w:val="20"/>
              </w:rPr>
            </w:pPr>
            <w:r>
              <w:rPr>
                <w:sz w:val="20"/>
                <w:szCs w:val="20"/>
              </w:rPr>
              <w:t>Data Protection Act 2018.</w:t>
            </w:r>
          </w:p>
        </w:tc>
      </w:tr>
      <w:tr w:rsidR="00B848AA" w14:paraId="5C9C31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44206" w14:textId="77777777" w:rsidR="00B848AA" w:rsidRDefault="000A0EC2">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5B1A0" w14:textId="77777777" w:rsidR="00B848AA" w:rsidRDefault="000A0EC2">
            <w:pPr>
              <w:spacing w:before="240"/>
              <w:rPr>
                <w:sz w:val="20"/>
                <w:szCs w:val="20"/>
              </w:rPr>
            </w:pPr>
            <w:r>
              <w:rPr>
                <w:sz w:val="20"/>
                <w:szCs w:val="20"/>
              </w:rPr>
              <w:t>The Transfer of Undertakings (Protection of Employment) Regulations 2006 (SI 2006/246) (‘TUPE’) which implements the Acquired Rights Directive.</w:t>
            </w:r>
          </w:p>
        </w:tc>
      </w:tr>
      <w:tr w:rsidR="00B848AA" w14:paraId="4B3AF6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5F80B" w14:textId="77777777" w:rsidR="00B848AA" w:rsidRDefault="000A0EC2">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9AEFE" w14:textId="77777777" w:rsidR="00B848AA" w:rsidRDefault="000A0EC2">
            <w:pPr>
              <w:spacing w:before="240"/>
              <w:rPr>
                <w:sz w:val="20"/>
                <w:szCs w:val="20"/>
              </w:rPr>
            </w:pPr>
            <w:r>
              <w:rPr>
                <w:sz w:val="20"/>
                <w:szCs w:val="20"/>
              </w:rPr>
              <w:t>Means to terminate; and Ended and Ending are construed accordingly.</w:t>
            </w:r>
          </w:p>
        </w:tc>
      </w:tr>
      <w:tr w:rsidR="00B848AA" w14:paraId="2994536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D921D" w14:textId="77777777" w:rsidR="00B848AA" w:rsidRDefault="000A0EC2">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B3170" w14:textId="77777777" w:rsidR="00B848AA" w:rsidRDefault="000A0EC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848AA" w14:paraId="08B065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17036" w14:textId="77777777" w:rsidR="00B848AA" w:rsidRDefault="000A0EC2">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AABDF" w14:textId="77777777" w:rsidR="00B848AA" w:rsidRDefault="000A0EC2">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848AA" w14:paraId="0FAD22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73189" w14:textId="77777777" w:rsidR="00B848AA" w:rsidRDefault="000A0EC2">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45711" w14:textId="77777777" w:rsidR="00B848AA" w:rsidRDefault="000A0EC2">
            <w:pPr>
              <w:spacing w:before="240"/>
              <w:rPr>
                <w:sz w:val="20"/>
                <w:szCs w:val="20"/>
              </w:rPr>
            </w:pPr>
            <w:r>
              <w:rPr>
                <w:sz w:val="20"/>
                <w:szCs w:val="20"/>
              </w:rPr>
              <w:t>The 14 digit ESI reference number from the summary of the outcome screen of the ESI tool.</w:t>
            </w:r>
          </w:p>
        </w:tc>
      </w:tr>
      <w:tr w:rsidR="00B848AA" w14:paraId="23F3B1E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48E31" w14:textId="77777777" w:rsidR="00B848AA" w:rsidRDefault="000A0EC2">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F9C08" w14:textId="77777777" w:rsidR="00B848AA" w:rsidRDefault="000A0EC2">
            <w:pPr>
              <w:spacing w:before="240"/>
              <w:rPr>
                <w:sz w:val="20"/>
                <w:szCs w:val="20"/>
              </w:rPr>
            </w:pPr>
            <w:r>
              <w:rPr>
                <w:sz w:val="20"/>
                <w:szCs w:val="20"/>
              </w:rPr>
              <w:t>The HMRC Employment Status Indicator test tool. The most up-to-date version must be used. At the time of drafting the tool may be found here:</w:t>
            </w:r>
          </w:p>
          <w:p w14:paraId="1931BB86" w14:textId="036B1196" w:rsidR="00B848AA" w:rsidRDefault="006B2F1E">
            <w:hyperlink r:id="rId38" w:history="1">
              <w:r w:rsidR="000A0EC2">
                <w:rPr>
                  <w:rStyle w:val="Hyperlink"/>
                </w:rPr>
                <w:t>https://www.gov.uk/guidance/check-employment-status-for-tax</w:t>
              </w:r>
            </w:hyperlink>
          </w:p>
        </w:tc>
      </w:tr>
      <w:tr w:rsidR="00B848AA" w14:paraId="6021213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D1441" w14:textId="77777777" w:rsidR="00B848AA" w:rsidRDefault="000A0EC2">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EEEEF" w14:textId="77777777" w:rsidR="00B848AA" w:rsidRDefault="000A0EC2">
            <w:pPr>
              <w:spacing w:before="240"/>
              <w:rPr>
                <w:sz w:val="20"/>
                <w:szCs w:val="20"/>
              </w:rPr>
            </w:pPr>
            <w:r>
              <w:rPr>
                <w:sz w:val="20"/>
                <w:szCs w:val="20"/>
              </w:rPr>
              <w:t>The expiry date of this Call-Off Contract in the Order Form.</w:t>
            </w:r>
          </w:p>
        </w:tc>
      </w:tr>
      <w:tr w:rsidR="00B848AA" w14:paraId="56E31B4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30A86" w14:textId="77777777" w:rsidR="00B848AA" w:rsidRDefault="000A0EC2">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79995" w14:textId="77777777" w:rsidR="00B848AA" w:rsidRDefault="000A0EC2">
            <w:pPr>
              <w:spacing w:before="240"/>
              <w:rPr>
                <w:sz w:val="20"/>
                <w:szCs w:val="20"/>
              </w:rPr>
            </w:pPr>
            <w:r>
              <w:rPr>
                <w:sz w:val="20"/>
                <w:szCs w:val="20"/>
              </w:rPr>
              <w:t>A force Majeure event means anything affecting either Party's performance of their obligations arising from any:</w:t>
            </w:r>
          </w:p>
          <w:p w14:paraId="138BE058" w14:textId="77777777" w:rsidR="00B848AA" w:rsidRDefault="000A0EC2" w:rsidP="005C3AE7">
            <w:pPr>
              <w:pStyle w:val="ListParagraph"/>
              <w:numPr>
                <w:ilvl w:val="0"/>
                <w:numId w:val="21"/>
              </w:numPr>
              <w:rPr>
                <w:sz w:val="20"/>
                <w:szCs w:val="20"/>
              </w:rPr>
            </w:pPr>
            <w:r>
              <w:rPr>
                <w:sz w:val="20"/>
                <w:szCs w:val="20"/>
              </w:rPr>
              <w:t>acts, events or omissions beyond the reasonable control of the affected Party</w:t>
            </w:r>
          </w:p>
          <w:p w14:paraId="782A4324" w14:textId="77777777" w:rsidR="00B848AA" w:rsidRDefault="000A0EC2" w:rsidP="005C3AE7">
            <w:pPr>
              <w:pStyle w:val="ListParagraph"/>
              <w:numPr>
                <w:ilvl w:val="0"/>
                <w:numId w:val="22"/>
              </w:numPr>
              <w:rPr>
                <w:sz w:val="20"/>
                <w:szCs w:val="20"/>
              </w:rPr>
            </w:pPr>
            <w:r>
              <w:rPr>
                <w:sz w:val="20"/>
                <w:szCs w:val="20"/>
              </w:rPr>
              <w:t>riots, war or armed conflict, acts of terrorism, nuclear, biological or chemical warfare</w:t>
            </w:r>
          </w:p>
          <w:p w14:paraId="085EBE9B" w14:textId="77777777" w:rsidR="00B848AA" w:rsidRDefault="000A0EC2" w:rsidP="005C3AE7">
            <w:pPr>
              <w:pStyle w:val="ListParagraph"/>
              <w:numPr>
                <w:ilvl w:val="0"/>
                <w:numId w:val="23"/>
              </w:numPr>
            </w:pPr>
            <w:r>
              <w:t xml:space="preserve">acts of government, local government or Regulatory </w:t>
            </w:r>
            <w:r>
              <w:rPr>
                <w:sz w:val="20"/>
                <w:szCs w:val="20"/>
              </w:rPr>
              <w:t>Bodies</w:t>
            </w:r>
          </w:p>
          <w:p w14:paraId="35C303F8" w14:textId="77777777" w:rsidR="00B848AA" w:rsidRDefault="000A0EC2" w:rsidP="005C3AE7">
            <w:pPr>
              <w:pStyle w:val="ListParagraph"/>
              <w:numPr>
                <w:ilvl w:val="0"/>
                <w:numId w:val="24"/>
              </w:numPr>
            </w:pPr>
            <w:r>
              <w:rPr>
                <w:sz w:val="14"/>
                <w:szCs w:val="14"/>
              </w:rPr>
              <w:t xml:space="preserve"> </w:t>
            </w:r>
            <w:r>
              <w:rPr>
                <w:sz w:val="20"/>
                <w:szCs w:val="20"/>
              </w:rPr>
              <w:t>fire, flood or disaster and any failure or shortage of power or fuel</w:t>
            </w:r>
          </w:p>
          <w:p w14:paraId="157C1BC3" w14:textId="77777777" w:rsidR="00B848AA" w:rsidRDefault="000A0EC2" w:rsidP="005C3AE7">
            <w:pPr>
              <w:pStyle w:val="ListParagraph"/>
              <w:numPr>
                <w:ilvl w:val="0"/>
                <w:numId w:val="25"/>
              </w:numPr>
              <w:rPr>
                <w:sz w:val="20"/>
                <w:szCs w:val="20"/>
              </w:rPr>
            </w:pPr>
            <w:r>
              <w:rPr>
                <w:sz w:val="20"/>
                <w:szCs w:val="20"/>
              </w:rPr>
              <w:t>industrial dispute affecting a third party for which a substitute third party isn’t reasonably available</w:t>
            </w:r>
          </w:p>
          <w:p w14:paraId="5541B313" w14:textId="77777777" w:rsidR="00B848AA" w:rsidRDefault="000A0EC2">
            <w:pPr>
              <w:spacing w:before="240"/>
              <w:rPr>
                <w:sz w:val="20"/>
                <w:szCs w:val="20"/>
              </w:rPr>
            </w:pPr>
            <w:r>
              <w:rPr>
                <w:sz w:val="20"/>
                <w:szCs w:val="20"/>
              </w:rPr>
              <w:t>The following do not constitute a Force Majeure event:</w:t>
            </w:r>
          </w:p>
          <w:p w14:paraId="547FB253" w14:textId="77777777" w:rsidR="00B848AA" w:rsidRDefault="000A0EC2" w:rsidP="005C3AE7">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41E8EC80" w14:textId="77777777" w:rsidR="00B848AA" w:rsidRDefault="000A0EC2" w:rsidP="005C3AE7">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1FC5B5E1" w14:textId="77777777" w:rsidR="00B848AA" w:rsidRDefault="000A0EC2" w:rsidP="005C3AE7">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7EDF483C" w14:textId="77777777" w:rsidR="00B848AA" w:rsidRDefault="000A0EC2" w:rsidP="005C3AE7">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B848AA" w14:paraId="78AC2C9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A922A" w14:textId="77777777" w:rsidR="00B848AA" w:rsidRDefault="000A0EC2">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63C83" w14:textId="77777777" w:rsidR="00B848AA" w:rsidRDefault="000A0EC2">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B848AA" w14:paraId="37BFC0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806F0" w14:textId="77777777" w:rsidR="00B848AA" w:rsidRDefault="000A0EC2">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EDA77" w14:textId="77777777" w:rsidR="00B848AA" w:rsidRDefault="000A0EC2">
            <w:pPr>
              <w:spacing w:before="240"/>
              <w:rPr>
                <w:sz w:val="20"/>
                <w:szCs w:val="20"/>
              </w:rPr>
            </w:pPr>
            <w:r>
              <w:rPr>
                <w:sz w:val="20"/>
                <w:szCs w:val="20"/>
              </w:rPr>
              <w:t>The clauses of framework agreement RM1557.12 together with the Framework Schedules.</w:t>
            </w:r>
          </w:p>
        </w:tc>
      </w:tr>
      <w:tr w:rsidR="00B848AA" w14:paraId="2F2F0DA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22819" w14:textId="77777777" w:rsidR="00B848AA" w:rsidRDefault="000A0EC2">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9347A" w14:textId="77777777" w:rsidR="00B848AA" w:rsidRDefault="000A0EC2">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848AA" w14:paraId="4882B6A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B97A2" w14:textId="77777777" w:rsidR="00B848AA" w:rsidRDefault="000A0EC2">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50522" w14:textId="77777777" w:rsidR="00B848AA" w:rsidRDefault="000A0EC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848AA" w14:paraId="6FD401B1"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6F612" w14:textId="77777777" w:rsidR="00B848AA" w:rsidRDefault="000A0EC2">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AE79A" w14:textId="77777777" w:rsidR="00B848AA" w:rsidRDefault="000A0EC2">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848AA" w14:paraId="1764D8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1E228" w14:textId="77777777" w:rsidR="00B848AA" w:rsidRDefault="000A0EC2">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DDFF0" w14:textId="77777777" w:rsidR="00B848AA" w:rsidRDefault="000A0EC2">
            <w:pPr>
              <w:spacing w:before="240"/>
              <w:rPr>
                <w:sz w:val="20"/>
                <w:szCs w:val="20"/>
              </w:rPr>
            </w:pPr>
            <w:r>
              <w:rPr>
                <w:sz w:val="20"/>
                <w:szCs w:val="20"/>
              </w:rPr>
              <w:t>General Data Protection Regulation (Regulation (EU) 2016/679)</w:t>
            </w:r>
          </w:p>
        </w:tc>
      </w:tr>
      <w:tr w:rsidR="00B848AA" w14:paraId="555C727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F3B5D" w14:textId="77777777" w:rsidR="00B848AA" w:rsidRDefault="000A0EC2">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51D93" w14:textId="77777777" w:rsidR="00B848AA" w:rsidRDefault="000A0EC2">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848AA" w14:paraId="17E035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0CFF8" w14:textId="77777777" w:rsidR="00B848AA" w:rsidRDefault="000A0EC2">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3D86" w14:textId="77777777" w:rsidR="00B848AA" w:rsidRDefault="000A0EC2">
            <w:pPr>
              <w:spacing w:before="240"/>
              <w:rPr>
                <w:sz w:val="20"/>
                <w:szCs w:val="20"/>
              </w:rPr>
            </w:pPr>
            <w:r>
              <w:rPr>
                <w:sz w:val="20"/>
                <w:szCs w:val="20"/>
              </w:rPr>
              <w:t xml:space="preserve">The government’s preferred method of purchasing and payment for low value goods or services. </w:t>
            </w:r>
          </w:p>
        </w:tc>
      </w:tr>
      <w:tr w:rsidR="00B848AA" w14:paraId="71D92D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2880F" w14:textId="77777777" w:rsidR="00B848AA" w:rsidRDefault="000A0EC2">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A57DA" w14:textId="77777777" w:rsidR="00B848AA" w:rsidRDefault="000A0EC2">
            <w:pPr>
              <w:spacing w:before="240"/>
              <w:rPr>
                <w:sz w:val="20"/>
                <w:szCs w:val="20"/>
              </w:rPr>
            </w:pPr>
            <w:r>
              <w:rPr>
                <w:sz w:val="20"/>
                <w:szCs w:val="20"/>
              </w:rPr>
              <w:t>The guarantee described in Schedule 5.</w:t>
            </w:r>
          </w:p>
        </w:tc>
      </w:tr>
      <w:tr w:rsidR="00B848AA" w14:paraId="41BB670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2F471" w14:textId="77777777" w:rsidR="00B848AA" w:rsidRDefault="000A0EC2">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851EB" w14:textId="77777777" w:rsidR="00B848AA" w:rsidRDefault="000A0EC2">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848AA" w14:paraId="2CD6140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D7740" w14:textId="77777777" w:rsidR="00B848AA" w:rsidRDefault="000A0EC2">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4B30E" w14:textId="77777777" w:rsidR="00B848AA" w:rsidRDefault="000A0EC2">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848AA" w14:paraId="65F6B5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A1DD7" w14:textId="77777777" w:rsidR="00B848AA" w:rsidRDefault="000A0EC2">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792C8" w14:textId="77777777" w:rsidR="00B848AA" w:rsidRDefault="000A0EC2">
            <w:pPr>
              <w:spacing w:before="240"/>
              <w:rPr>
                <w:sz w:val="20"/>
                <w:szCs w:val="20"/>
              </w:rPr>
            </w:pPr>
            <w:r>
              <w:rPr>
                <w:sz w:val="20"/>
                <w:szCs w:val="20"/>
              </w:rPr>
              <w:t>ESI tool completed by contractors on their own behalf at the request of CCS or the Buyer (as applicable) under clause 4.6.</w:t>
            </w:r>
          </w:p>
        </w:tc>
      </w:tr>
      <w:tr w:rsidR="00B848AA" w14:paraId="348579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4C8CD" w14:textId="77777777" w:rsidR="00B848AA" w:rsidRDefault="000A0EC2">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82C3B" w14:textId="77777777" w:rsidR="00B848AA" w:rsidRDefault="000A0EC2">
            <w:pPr>
              <w:spacing w:before="240"/>
              <w:rPr>
                <w:sz w:val="20"/>
                <w:szCs w:val="20"/>
              </w:rPr>
            </w:pPr>
            <w:r>
              <w:rPr>
                <w:sz w:val="20"/>
                <w:szCs w:val="20"/>
              </w:rPr>
              <w:t>Has the meaning given under section 84 of the Freedom of Information Act 2000.</w:t>
            </w:r>
          </w:p>
        </w:tc>
      </w:tr>
      <w:tr w:rsidR="00B848AA" w14:paraId="6BCD2C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1A23D" w14:textId="77777777" w:rsidR="00B848AA" w:rsidRDefault="000A0EC2">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A048C" w14:textId="77777777" w:rsidR="00B848AA" w:rsidRDefault="000A0EC2">
            <w:pPr>
              <w:spacing w:before="240"/>
              <w:rPr>
                <w:sz w:val="20"/>
                <w:szCs w:val="20"/>
              </w:rPr>
            </w:pPr>
            <w:r>
              <w:rPr>
                <w:sz w:val="20"/>
                <w:szCs w:val="20"/>
              </w:rPr>
              <w:t>The information security management system and process developed by the Supplier in accordance with clause 16.1.</w:t>
            </w:r>
          </w:p>
        </w:tc>
      </w:tr>
      <w:tr w:rsidR="00B848AA" w14:paraId="56A5B36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D7CCF" w14:textId="77777777" w:rsidR="00B848AA" w:rsidRDefault="000A0EC2">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9E93E" w14:textId="77777777" w:rsidR="00B848AA" w:rsidRDefault="000A0EC2">
            <w:pPr>
              <w:spacing w:before="240"/>
              <w:rPr>
                <w:sz w:val="20"/>
                <w:szCs w:val="20"/>
              </w:rPr>
            </w:pPr>
            <w:r>
              <w:rPr>
                <w:sz w:val="20"/>
                <w:szCs w:val="20"/>
              </w:rPr>
              <w:t>Contractual engagements which would be determined to be within the scope of the IR35 Intermediaries legislation if assessed using the ESI tool.</w:t>
            </w:r>
          </w:p>
        </w:tc>
      </w:tr>
      <w:tr w:rsidR="00B848AA" w14:paraId="3036DD2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08C5A" w14:textId="77777777" w:rsidR="00B848AA" w:rsidRDefault="000A0EC2">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51DEF" w14:textId="77777777" w:rsidR="00B848AA" w:rsidRDefault="000A0EC2">
            <w:pPr>
              <w:spacing w:before="240"/>
              <w:rPr>
                <w:sz w:val="20"/>
                <w:szCs w:val="20"/>
              </w:rPr>
            </w:pPr>
            <w:r>
              <w:rPr>
                <w:sz w:val="20"/>
                <w:szCs w:val="20"/>
              </w:rPr>
              <w:t>Can be:</w:t>
            </w:r>
          </w:p>
          <w:p w14:paraId="1A0A0702" w14:textId="77777777" w:rsidR="00B848AA" w:rsidRDefault="000A0EC2" w:rsidP="005C3AE7">
            <w:pPr>
              <w:pStyle w:val="ListParagraph"/>
              <w:numPr>
                <w:ilvl w:val="0"/>
                <w:numId w:val="27"/>
              </w:numPr>
            </w:pPr>
            <w:r>
              <w:rPr>
                <w:sz w:val="14"/>
                <w:szCs w:val="14"/>
              </w:rPr>
              <w:t xml:space="preserve"> </w:t>
            </w:r>
            <w:r>
              <w:rPr>
                <w:sz w:val="20"/>
                <w:szCs w:val="20"/>
              </w:rPr>
              <w:t>a voluntary arrangement</w:t>
            </w:r>
          </w:p>
          <w:p w14:paraId="0DBB9F83" w14:textId="77777777" w:rsidR="00B848AA" w:rsidRDefault="000A0EC2" w:rsidP="005C3AE7">
            <w:pPr>
              <w:pStyle w:val="ListParagraph"/>
              <w:numPr>
                <w:ilvl w:val="0"/>
                <w:numId w:val="27"/>
              </w:numPr>
              <w:rPr>
                <w:sz w:val="20"/>
                <w:szCs w:val="20"/>
              </w:rPr>
            </w:pPr>
            <w:r>
              <w:rPr>
                <w:sz w:val="20"/>
                <w:szCs w:val="20"/>
              </w:rPr>
              <w:t>a winding-up petition</w:t>
            </w:r>
          </w:p>
          <w:p w14:paraId="71E31883" w14:textId="77777777" w:rsidR="00B848AA" w:rsidRDefault="000A0EC2" w:rsidP="005C3AE7">
            <w:pPr>
              <w:pStyle w:val="ListParagraph"/>
              <w:numPr>
                <w:ilvl w:val="0"/>
                <w:numId w:val="27"/>
              </w:numPr>
              <w:rPr>
                <w:sz w:val="20"/>
                <w:szCs w:val="20"/>
              </w:rPr>
            </w:pPr>
            <w:r>
              <w:rPr>
                <w:sz w:val="20"/>
                <w:szCs w:val="20"/>
              </w:rPr>
              <w:t>the appointment of a receiver or administrator</w:t>
            </w:r>
          </w:p>
          <w:p w14:paraId="30305513" w14:textId="77777777" w:rsidR="00B848AA" w:rsidRDefault="000A0EC2" w:rsidP="005C3AE7">
            <w:pPr>
              <w:pStyle w:val="ListParagraph"/>
              <w:numPr>
                <w:ilvl w:val="0"/>
                <w:numId w:val="27"/>
              </w:numPr>
              <w:rPr>
                <w:sz w:val="20"/>
                <w:szCs w:val="20"/>
              </w:rPr>
            </w:pPr>
            <w:r>
              <w:rPr>
                <w:sz w:val="20"/>
                <w:szCs w:val="20"/>
              </w:rPr>
              <w:t>an unresolved statutory demand</w:t>
            </w:r>
          </w:p>
          <w:p w14:paraId="493C7A91" w14:textId="77777777" w:rsidR="00B848AA" w:rsidRDefault="000A0EC2" w:rsidP="005C3AE7">
            <w:pPr>
              <w:pStyle w:val="ListParagraph"/>
              <w:numPr>
                <w:ilvl w:val="0"/>
                <w:numId w:val="27"/>
              </w:numPr>
            </w:pPr>
            <w:r>
              <w:t>a S</w:t>
            </w:r>
            <w:r>
              <w:rPr>
                <w:sz w:val="20"/>
                <w:szCs w:val="20"/>
              </w:rPr>
              <w:t>chedule A1 moratorium</w:t>
            </w:r>
          </w:p>
        </w:tc>
      </w:tr>
      <w:tr w:rsidR="00B848AA" w14:paraId="443361B8"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ED7CA" w14:textId="77777777" w:rsidR="00B848AA" w:rsidRDefault="000A0EC2">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94A2E" w14:textId="77777777" w:rsidR="00B848AA" w:rsidRDefault="000A0EC2">
            <w:pPr>
              <w:spacing w:before="240"/>
              <w:rPr>
                <w:sz w:val="20"/>
                <w:szCs w:val="20"/>
              </w:rPr>
            </w:pPr>
            <w:r>
              <w:rPr>
                <w:sz w:val="20"/>
                <w:szCs w:val="20"/>
              </w:rPr>
              <w:t>Intellectual Property Rights are:</w:t>
            </w:r>
          </w:p>
          <w:p w14:paraId="3DDFB2D5" w14:textId="77777777" w:rsidR="00B848AA" w:rsidRDefault="000A0EC2" w:rsidP="005C3AE7">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9DC736A" w14:textId="77777777" w:rsidR="00B848AA" w:rsidRDefault="000A0EC2" w:rsidP="005C3AE7">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294481C6" w14:textId="77777777" w:rsidR="00B848AA" w:rsidRDefault="000A0EC2" w:rsidP="005C3AE7">
            <w:pPr>
              <w:pStyle w:val="ListParagraph"/>
              <w:numPr>
                <w:ilvl w:val="0"/>
                <w:numId w:val="28"/>
              </w:numPr>
              <w:rPr>
                <w:sz w:val="20"/>
                <w:szCs w:val="20"/>
              </w:rPr>
            </w:pPr>
            <w:r>
              <w:rPr>
                <w:sz w:val="20"/>
                <w:szCs w:val="20"/>
              </w:rPr>
              <w:t>all other rights having equivalent or similar effect in any country or jurisdiction</w:t>
            </w:r>
          </w:p>
        </w:tc>
      </w:tr>
      <w:tr w:rsidR="00B848AA" w14:paraId="16CACC0B"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8B30E" w14:textId="77777777" w:rsidR="00B848AA" w:rsidRDefault="000A0EC2">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C014" w14:textId="77777777" w:rsidR="00B848AA" w:rsidRDefault="000A0EC2">
            <w:pPr>
              <w:spacing w:before="240"/>
              <w:rPr>
                <w:sz w:val="20"/>
                <w:szCs w:val="20"/>
              </w:rPr>
            </w:pPr>
            <w:r>
              <w:rPr>
                <w:sz w:val="20"/>
                <w:szCs w:val="20"/>
              </w:rPr>
              <w:t>For the purposes of the IR35 rules an intermediary can be:</w:t>
            </w:r>
          </w:p>
          <w:p w14:paraId="468AAE9D" w14:textId="77777777" w:rsidR="00B848AA" w:rsidRDefault="000A0EC2" w:rsidP="005C3AE7">
            <w:pPr>
              <w:pStyle w:val="ListParagraph"/>
              <w:numPr>
                <w:ilvl w:val="0"/>
                <w:numId w:val="29"/>
              </w:numPr>
              <w:rPr>
                <w:sz w:val="20"/>
                <w:szCs w:val="20"/>
              </w:rPr>
            </w:pPr>
            <w:r>
              <w:rPr>
                <w:sz w:val="20"/>
                <w:szCs w:val="20"/>
              </w:rPr>
              <w:t>the supplier's own limited company</w:t>
            </w:r>
          </w:p>
          <w:p w14:paraId="5159845E" w14:textId="77777777" w:rsidR="00B848AA" w:rsidRDefault="000A0EC2" w:rsidP="005C3AE7">
            <w:pPr>
              <w:pStyle w:val="ListParagraph"/>
              <w:numPr>
                <w:ilvl w:val="0"/>
                <w:numId w:val="29"/>
              </w:numPr>
              <w:rPr>
                <w:sz w:val="20"/>
                <w:szCs w:val="20"/>
              </w:rPr>
            </w:pPr>
            <w:r>
              <w:rPr>
                <w:sz w:val="20"/>
                <w:szCs w:val="20"/>
              </w:rPr>
              <w:t>a service or a personal service company</w:t>
            </w:r>
          </w:p>
          <w:p w14:paraId="7237E0FD" w14:textId="77777777" w:rsidR="00B848AA" w:rsidRDefault="000A0EC2" w:rsidP="005C3AE7">
            <w:pPr>
              <w:pStyle w:val="ListParagraph"/>
              <w:numPr>
                <w:ilvl w:val="0"/>
                <w:numId w:val="29"/>
              </w:numPr>
              <w:rPr>
                <w:sz w:val="20"/>
                <w:szCs w:val="20"/>
              </w:rPr>
            </w:pPr>
            <w:r>
              <w:rPr>
                <w:sz w:val="20"/>
                <w:szCs w:val="20"/>
              </w:rPr>
              <w:t>a partnership</w:t>
            </w:r>
          </w:p>
          <w:p w14:paraId="64BF37C1" w14:textId="77777777" w:rsidR="00B848AA" w:rsidRDefault="000A0EC2">
            <w:pPr>
              <w:spacing w:before="240"/>
              <w:rPr>
                <w:sz w:val="20"/>
                <w:szCs w:val="20"/>
              </w:rPr>
            </w:pPr>
            <w:r>
              <w:rPr>
                <w:sz w:val="20"/>
                <w:szCs w:val="20"/>
              </w:rPr>
              <w:t>It does not apply if you work for a client through a Managed Service Company (MSC) or agency (for example, an employment agency).</w:t>
            </w:r>
          </w:p>
        </w:tc>
      </w:tr>
      <w:tr w:rsidR="00B848AA" w14:paraId="101BFE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28F2B" w14:textId="77777777" w:rsidR="00B848AA" w:rsidRDefault="000A0EC2">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B6845" w14:textId="77777777" w:rsidR="00B848AA" w:rsidRDefault="000A0EC2">
            <w:pPr>
              <w:spacing w:before="240"/>
              <w:rPr>
                <w:sz w:val="20"/>
                <w:szCs w:val="20"/>
              </w:rPr>
            </w:pPr>
            <w:r>
              <w:rPr>
                <w:sz w:val="20"/>
                <w:szCs w:val="20"/>
              </w:rPr>
              <w:t>As set out in clause 11.5.</w:t>
            </w:r>
          </w:p>
        </w:tc>
      </w:tr>
      <w:tr w:rsidR="00B848AA" w14:paraId="7C7587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D6463" w14:textId="77777777" w:rsidR="00B848AA" w:rsidRDefault="000A0EC2">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0DEF1" w14:textId="77777777" w:rsidR="00B848AA" w:rsidRDefault="000A0EC2">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848AA" w14:paraId="3D5542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E1D69" w14:textId="77777777" w:rsidR="00B848AA" w:rsidRDefault="000A0EC2">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B1AF0" w14:textId="77777777" w:rsidR="00B848AA" w:rsidRDefault="000A0EC2">
            <w:pPr>
              <w:spacing w:before="240"/>
              <w:rPr>
                <w:sz w:val="20"/>
                <w:szCs w:val="20"/>
              </w:rPr>
            </w:pPr>
            <w:r>
              <w:rPr>
                <w:sz w:val="20"/>
                <w:szCs w:val="20"/>
              </w:rPr>
              <w:t>Assessment of employment status using the ESI tool to determine if engagement is Inside or Outside IR35.</w:t>
            </w:r>
          </w:p>
        </w:tc>
      </w:tr>
      <w:tr w:rsidR="00B848AA" w14:paraId="13B290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996A4" w14:textId="77777777" w:rsidR="00B848AA" w:rsidRDefault="000A0EC2">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4CB92" w14:textId="77777777" w:rsidR="00B848AA" w:rsidRDefault="000A0EC2">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848AA" w14:paraId="0C5B02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E975B" w14:textId="77777777" w:rsidR="00B848AA" w:rsidRDefault="000A0EC2">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14683" w14:textId="77777777" w:rsidR="00B848AA" w:rsidRDefault="000A0EC2">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848AA" w14:paraId="483441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167FA" w14:textId="77777777" w:rsidR="00B848AA" w:rsidRDefault="000A0EC2">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EB3CC" w14:textId="77777777" w:rsidR="00B848AA" w:rsidRDefault="000A0EC2">
            <w:pPr>
              <w:spacing w:before="240"/>
              <w:rPr>
                <w:sz w:val="20"/>
                <w:szCs w:val="20"/>
              </w:rPr>
            </w:pPr>
            <w:r>
              <w:rPr>
                <w:sz w:val="20"/>
                <w:szCs w:val="20"/>
              </w:rPr>
              <w:t>Law Enforcement Directive (EU) 2016/680.</w:t>
            </w:r>
          </w:p>
        </w:tc>
      </w:tr>
      <w:tr w:rsidR="00B848AA" w14:paraId="61242CE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73B0C" w14:textId="77777777" w:rsidR="00B848AA" w:rsidRDefault="000A0EC2">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1089C" w14:textId="77777777" w:rsidR="00B848AA" w:rsidRDefault="000A0EC2">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848AA" w14:paraId="5740CC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C5B49" w14:textId="77777777" w:rsidR="00B848AA" w:rsidRDefault="000A0EC2">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6DB87" w14:textId="77777777" w:rsidR="00B848AA" w:rsidRDefault="000A0EC2">
            <w:pPr>
              <w:spacing w:before="240"/>
              <w:rPr>
                <w:sz w:val="20"/>
                <w:szCs w:val="20"/>
              </w:rPr>
            </w:pPr>
            <w:r>
              <w:rPr>
                <w:sz w:val="20"/>
                <w:szCs w:val="20"/>
              </w:rPr>
              <w:t>Any of the 3 Lots specified in the ITT and Lots will be construed accordingly.</w:t>
            </w:r>
          </w:p>
        </w:tc>
      </w:tr>
      <w:tr w:rsidR="00B848AA" w14:paraId="18FE968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C2103" w14:textId="77777777" w:rsidR="00B848AA" w:rsidRDefault="000A0EC2">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B5026" w14:textId="77777777" w:rsidR="00B848AA" w:rsidRDefault="000A0EC2">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848AA" w14:paraId="6178E01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26367" w14:textId="77777777" w:rsidR="00B848AA" w:rsidRDefault="000A0EC2">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C71DB" w14:textId="77777777" w:rsidR="00B848AA" w:rsidRDefault="000A0EC2">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848AA" w14:paraId="13EEFA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A6E41" w14:textId="77777777" w:rsidR="00B848AA" w:rsidRDefault="000A0EC2">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4BCE1" w14:textId="77777777" w:rsidR="00B848AA" w:rsidRDefault="000A0EC2">
            <w:pPr>
              <w:spacing w:before="240"/>
              <w:rPr>
                <w:sz w:val="20"/>
                <w:szCs w:val="20"/>
              </w:rPr>
            </w:pPr>
            <w:r>
              <w:rPr>
                <w:sz w:val="20"/>
                <w:szCs w:val="20"/>
              </w:rPr>
              <w:t>The management information specified in Framework Agreement section 6 (What you report to CCS).</w:t>
            </w:r>
          </w:p>
        </w:tc>
      </w:tr>
      <w:tr w:rsidR="00B848AA" w14:paraId="74C9FE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E15BE" w14:textId="77777777" w:rsidR="00B848AA" w:rsidRDefault="000A0EC2">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4EF37" w14:textId="77777777" w:rsidR="00B848AA" w:rsidRDefault="000A0EC2">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848AA" w14:paraId="37DC08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7892D" w14:textId="77777777" w:rsidR="00B848AA" w:rsidRDefault="000A0EC2">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63A6B" w14:textId="77777777" w:rsidR="00B848AA" w:rsidRDefault="000A0EC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848AA" w14:paraId="54DE57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03A4C" w14:textId="77777777" w:rsidR="00B848AA" w:rsidRDefault="000A0EC2">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92F74" w14:textId="77777777" w:rsidR="00B848AA" w:rsidRDefault="000A0EC2">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848AA" w14:paraId="07AE36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635DA" w14:textId="77777777" w:rsidR="00B848AA" w:rsidRDefault="000A0EC2">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CDA43" w14:textId="77777777" w:rsidR="00B848AA" w:rsidRDefault="000A0EC2">
            <w:pPr>
              <w:spacing w:before="240"/>
              <w:rPr>
                <w:sz w:val="20"/>
                <w:szCs w:val="20"/>
              </w:rPr>
            </w:pPr>
            <w:r>
              <w:rPr>
                <w:sz w:val="20"/>
                <w:szCs w:val="20"/>
              </w:rPr>
              <w:t>An order for G-Cloud Services placed by a contracting body with the Supplier in accordance with the ordering processes.</w:t>
            </w:r>
          </w:p>
        </w:tc>
      </w:tr>
      <w:tr w:rsidR="00B848AA" w14:paraId="6ACF10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E3D4A" w14:textId="77777777" w:rsidR="00B848AA" w:rsidRDefault="000A0EC2">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2226A" w14:textId="77777777" w:rsidR="00B848AA" w:rsidRDefault="000A0EC2">
            <w:pPr>
              <w:spacing w:before="240"/>
              <w:rPr>
                <w:sz w:val="20"/>
                <w:szCs w:val="20"/>
              </w:rPr>
            </w:pPr>
            <w:r>
              <w:rPr>
                <w:sz w:val="20"/>
                <w:szCs w:val="20"/>
              </w:rPr>
              <w:t>The order form set out in Part A of the Call-Off Contract to be used by a Buyer to order G-Cloud Services.</w:t>
            </w:r>
          </w:p>
        </w:tc>
      </w:tr>
      <w:tr w:rsidR="00B848AA" w14:paraId="5C4934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74F72" w14:textId="77777777" w:rsidR="00B848AA" w:rsidRDefault="000A0EC2">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F9BD0" w14:textId="77777777" w:rsidR="00B848AA" w:rsidRDefault="000A0EC2">
            <w:pPr>
              <w:spacing w:before="240"/>
              <w:rPr>
                <w:sz w:val="20"/>
                <w:szCs w:val="20"/>
              </w:rPr>
            </w:pPr>
            <w:r>
              <w:rPr>
                <w:sz w:val="20"/>
                <w:szCs w:val="20"/>
              </w:rPr>
              <w:t>G-Cloud Services which are the subject of an order by the Buyer.</w:t>
            </w:r>
          </w:p>
        </w:tc>
      </w:tr>
      <w:tr w:rsidR="00B848AA" w14:paraId="522793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C5C4F" w14:textId="77777777" w:rsidR="00B848AA" w:rsidRDefault="000A0EC2">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E3D6E" w14:textId="77777777" w:rsidR="00B848AA" w:rsidRDefault="000A0EC2">
            <w:pPr>
              <w:spacing w:before="240"/>
              <w:rPr>
                <w:sz w:val="20"/>
                <w:szCs w:val="20"/>
              </w:rPr>
            </w:pPr>
            <w:r>
              <w:rPr>
                <w:sz w:val="20"/>
                <w:szCs w:val="20"/>
              </w:rPr>
              <w:t>Contractual engagements which would be determined to not be within the scope of the IR35 intermediaries legislation if assessed using the ESI tool.</w:t>
            </w:r>
          </w:p>
        </w:tc>
      </w:tr>
      <w:tr w:rsidR="00B848AA" w14:paraId="5A557E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62D0B" w14:textId="77777777" w:rsidR="00B848AA" w:rsidRDefault="000A0EC2">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AD6F6" w14:textId="77777777" w:rsidR="00B848AA" w:rsidRDefault="000A0EC2">
            <w:pPr>
              <w:spacing w:before="240"/>
              <w:rPr>
                <w:sz w:val="20"/>
                <w:szCs w:val="20"/>
              </w:rPr>
            </w:pPr>
            <w:r>
              <w:rPr>
                <w:sz w:val="20"/>
                <w:szCs w:val="20"/>
              </w:rPr>
              <w:t>The Buyer or the Supplier and ‘Parties’ will be interpreted accordingly.</w:t>
            </w:r>
          </w:p>
        </w:tc>
      </w:tr>
      <w:tr w:rsidR="00B848AA" w14:paraId="13A8673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873A2" w14:textId="77777777" w:rsidR="00B848AA" w:rsidRDefault="000A0EC2">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8D2B7" w14:textId="77777777" w:rsidR="00B848AA" w:rsidRDefault="000A0EC2">
            <w:pPr>
              <w:spacing w:before="240"/>
              <w:rPr>
                <w:sz w:val="20"/>
                <w:szCs w:val="20"/>
              </w:rPr>
            </w:pPr>
            <w:r>
              <w:rPr>
                <w:sz w:val="20"/>
                <w:szCs w:val="20"/>
              </w:rPr>
              <w:t>Takes the meaning given in the GDPR.</w:t>
            </w:r>
          </w:p>
        </w:tc>
      </w:tr>
      <w:tr w:rsidR="00B848AA" w14:paraId="22261D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B5276" w14:textId="77777777" w:rsidR="00B848AA" w:rsidRDefault="000A0EC2">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75149" w14:textId="77777777" w:rsidR="00B848AA" w:rsidRDefault="000A0EC2">
            <w:pPr>
              <w:spacing w:before="240"/>
              <w:rPr>
                <w:sz w:val="20"/>
                <w:szCs w:val="20"/>
              </w:rPr>
            </w:pPr>
            <w:r>
              <w:rPr>
                <w:sz w:val="20"/>
                <w:szCs w:val="20"/>
              </w:rPr>
              <w:t>Takes the meaning given in the GDPR.</w:t>
            </w:r>
          </w:p>
        </w:tc>
      </w:tr>
      <w:tr w:rsidR="00B848AA" w14:paraId="6F1823C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4212" w14:textId="77777777" w:rsidR="00B848AA" w:rsidRDefault="000A0EC2">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4644A" w14:textId="77777777" w:rsidR="00B848AA" w:rsidRDefault="000A0EC2">
            <w:pPr>
              <w:spacing w:before="240"/>
              <w:rPr>
                <w:sz w:val="20"/>
                <w:szCs w:val="20"/>
              </w:rPr>
            </w:pPr>
            <w:r>
              <w:rPr>
                <w:sz w:val="20"/>
                <w:szCs w:val="20"/>
              </w:rPr>
              <w:t>Takes the meaning given in the GDPR.</w:t>
            </w:r>
          </w:p>
        </w:tc>
      </w:tr>
      <w:tr w:rsidR="00B848AA" w14:paraId="1E62EE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077C9" w14:textId="77777777" w:rsidR="00B848AA" w:rsidRDefault="000A0EC2">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022C6" w14:textId="77777777" w:rsidR="00B848AA" w:rsidRDefault="000A0EC2">
            <w:pPr>
              <w:spacing w:before="240"/>
              <w:rPr>
                <w:sz w:val="20"/>
                <w:szCs w:val="20"/>
              </w:rPr>
            </w:pPr>
            <w:r>
              <w:rPr>
                <w:sz w:val="20"/>
                <w:szCs w:val="20"/>
              </w:rPr>
              <w:t>Takes the meaning given in the GDPR.</w:t>
            </w:r>
          </w:p>
        </w:tc>
      </w:tr>
      <w:tr w:rsidR="00B848AA" w14:paraId="2381512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6189" w14:textId="77777777" w:rsidR="00B848AA" w:rsidRDefault="000A0EC2">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EB0AB" w14:textId="77777777" w:rsidR="00B848AA" w:rsidRDefault="000A0EC2">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E3C592D" w14:textId="77777777" w:rsidR="00B848AA" w:rsidRDefault="000A0EC2" w:rsidP="005C3AE7">
            <w:pPr>
              <w:pStyle w:val="ListParagraph"/>
              <w:numPr>
                <w:ilvl w:val="0"/>
                <w:numId w:val="30"/>
              </w:numPr>
              <w:rPr>
                <w:sz w:val="20"/>
                <w:szCs w:val="20"/>
              </w:rPr>
            </w:pPr>
            <w:r>
              <w:rPr>
                <w:sz w:val="20"/>
                <w:szCs w:val="20"/>
              </w:rPr>
              <w:t>induce that person to perform improperly a relevant function or activity</w:t>
            </w:r>
          </w:p>
          <w:p w14:paraId="7C35F101" w14:textId="77777777" w:rsidR="00B848AA" w:rsidRDefault="000A0EC2" w:rsidP="005C3AE7">
            <w:pPr>
              <w:pStyle w:val="ListParagraph"/>
              <w:numPr>
                <w:ilvl w:val="0"/>
                <w:numId w:val="30"/>
              </w:numPr>
              <w:rPr>
                <w:sz w:val="20"/>
                <w:szCs w:val="20"/>
              </w:rPr>
            </w:pPr>
            <w:r>
              <w:rPr>
                <w:sz w:val="20"/>
                <w:szCs w:val="20"/>
              </w:rPr>
              <w:t>reward that person for improper performance of a relevant function or activity</w:t>
            </w:r>
          </w:p>
          <w:p w14:paraId="3C6BB584" w14:textId="77777777" w:rsidR="00B848AA" w:rsidRDefault="000A0EC2" w:rsidP="005C3AE7">
            <w:pPr>
              <w:pStyle w:val="ListParagraph"/>
              <w:numPr>
                <w:ilvl w:val="0"/>
                <w:numId w:val="30"/>
              </w:numPr>
              <w:rPr>
                <w:sz w:val="20"/>
                <w:szCs w:val="20"/>
              </w:rPr>
            </w:pPr>
            <w:r>
              <w:rPr>
                <w:sz w:val="20"/>
                <w:szCs w:val="20"/>
              </w:rPr>
              <w:t>commit any offence:</w:t>
            </w:r>
          </w:p>
          <w:p w14:paraId="0B1F5010" w14:textId="77777777" w:rsidR="00B848AA" w:rsidRDefault="000A0EC2" w:rsidP="005C3AE7">
            <w:pPr>
              <w:pStyle w:val="ListParagraph"/>
              <w:numPr>
                <w:ilvl w:val="1"/>
                <w:numId w:val="30"/>
              </w:numPr>
              <w:rPr>
                <w:sz w:val="20"/>
                <w:szCs w:val="20"/>
              </w:rPr>
            </w:pPr>
            <w:r>
              <w:rPr>
                <w:sz w:val="20"/>
                <w:szCs w:val="20"/>
              </w:rPr>
              <w:t>under the Bribery Act 2010</w:t>
            </w:r>
          </w:p>
          <w:p w14:paraId="4B4F37C0" w14:textId="77777777" w:rsidR="00B848AA" w:rsidRDefault="000A0EC2" w:rsidP="005C3AE7">
            <w:pPr>
              <w:pStyle w:val="ListParagraph"/>
              <w:numPr>
                <w:ilvl w:val="1"/>
                <w:numId w:val="30"/>
              </w:numPr>
              <w:rPr>
                <w:sz w:val="20"/>
                <w:szCs w:val="20"/>
              </w:rPr>
            </w:pPr>
            <w:r>
              <w:rPr>
                <w:sz w:val="20"/>
                <w:szCs w:val="20"/>
              </w:rPr>
              <w:t>under legislation creating offences concerning Fraud</w:t>
            </w:r>
          </w:p>
          <w:p w14:paraId="391A9498" w14:textId="77777777" w:rsidR="00B848AA" w:rsidRDefault="000A0EC2" w:rsidP="005C3AE7">
            <w:pPr>
              <w:pStyle w:val="ListParagraph"/>
              <w:numPr>
                <w:ilvl w:val="1"/>
                <w:numId w:val="30"/>
              </w:numPr>
            </w:pPr>
            <w:r>
              <w:t>at common Law concerning Fraud</w:t>
            </w:r>
          </w:p>
          <w:p w14:paraId="4BC36EDF" w14:textId="77777777" w:rsidR="00B848AA" w:rsidRDefault="000A0EC2" w:rsidP="005C3AE7">
            <w:pPr>
              <w:pStyle w:val="ListParagraph"/>
              <w:numPr>
                <w:ilvl w:val="1"/>
                <w:numId w:val="30"/>
              </w:numPr>
              <w:rPr>
                <w:sz w:val="20"/>
                <w:szCs w:val="20"/>
              </w:rPr>
            </w:pPr>
            <w:r>
              <w:rPr>
                <w:sz w:val="20"/>
                <w:szCs w:val="20"/>
              </w:rPr>
              <w:t>committing or attempting or conspiring to commit Fraud</w:t>
            </w:r>
          </w:p>
        </w:tc>
      </w:tr>
      <w:tr w:rsidR="00B848AA" w14:paraId="0E310E49"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42854" w14:textId="77777777" w:rsidR="00B848AA" w:rsidRDefault="000A0EC2">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BF775" w14:textId="77777777" w:rsidR="00B848AA" w:rsidRDefault="000A0EC2">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848AA" w14:paraId="34AC95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DC4A3" w14:textId="77777777" w:rsidR="00B848AA" w:rsidRDefault="000A0EC2">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D6AF2" w14:textId="77777777" w:rsidR="00B848AA" w:rsidRDefault="000A0EC2">
            <w:pPr>
              <w:spacing w:before="240"/>
              <w:rPr>
                <w:sz w:val="20"/>
                <w:szCs w:val="20"/>
              </w:rPr>
            </w:pPr>
            <w:r>
              <w:rPr>
                <w:sz w:val="20"/>
                <w:szCs w:val="20"/>
              </w:rPr>
              <w:t>Assets and property including technical infrastructure, IPRs and equipment.</w:t>
            </w:r>
          </w:p>
        </w:tc>
      </w:tr>
      <w:tr w:rsidR="00B848AA" w14:paraId="31E386CB"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2925F" w14:textId="77777777" w:rsidR="00B848AA" w:rsidRDefault="000A0EC2">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63748" w14:textId="77777777" w:rsidR="00B848AA" w:rsidRDefault="000A0EC2">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848AA" w14:paraId="7ABA5D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6F816" w14:textId="77777777" w:rsidR="00B848AA" w:rsidRDefault="000A0EC2">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80B69" w14:textId="77777777" w:rsidR="00B848AA" w:rsidRDefault="000A0EC2">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848AA" w14:paraId="17DE4A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20531" w14:textId="77777777" w:rsidR="00B848AA" w:rsidRDefault="000A0EC2">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E0E7B" w14:textId="77777777" w:rsidR="00B848AA" w:rsidRDefault="000A0EC2">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848AA" w14:paraId="54695EE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90E5D" w14:textId="77777777" w:rsidR="00B848AA" w:rsidRDefault="000A0EC2">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E8D8" w14:textId="77777777" w:rsidR="00B848AA" w:rsidRDefault="000A0EC2">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848AA" w14:paraId="1EA3BA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A220C" w14:textId="77777777" w:rsidR="00B848AA" w:rsidRDefault="000A0EC2">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922AB" w14:textId="77777777" w:rsidR="00B848AA" w:rsidRDefault="000A0EC2">
            <w:pPr>
              <w:spacing w:before="240"/>
              <w:rPr>
                <w:sz w:val="20"/>
                <w:szCs w:val="20"/>
              </w:rPr>
            </w:pPr>
            <w:r>
              <w:rPr>
                <w:sz w:val="20"/>
                <w:szCs w:val="20"/>
              </w:rPr>
              <w:t>A transfer of employment to which the employment regulations applies.</w:t>
            </w:r>
          </w:p>
        </w:tc>
      </w:tr>
      <w:tr w:rsidR="00B848AA" w14:paraId="5144FB1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EA1A0" w14:textId="77777777" w:rsidR="00B848AA" w:rsidRDefault="000A0EC2">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B31DF" w14:textId="77777777" w:rsidR="00B848AA" w:rsidRDefault="000A0EC2">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848AA" w14:paraId="6687A7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D12E" w14:textId="77777777" w:rsidR="00B848AA" w:rsidRDefault="000A0EC2">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5C447" w14:textId="77777777" w:rsidR="00B848AA" w:rsidRDefault="000A0EC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848AA" w14:paraId="0FB0B7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6D77F" w14:textId="77777777" w:rsidR="00B848AA" w:rsidRDefault="000A0EC2">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62044" w14:textId="77777777" w:rsidR="00B848AA" w:rsidRDefault="000A0EC2">
            <w:pPr>
              <w:spacing w:before="240"/>
              <w:rPr>
                <w:sz w:val="20"/>
                <w:szCs w:val="20"/>
              </w:rPr>
            </w:pPr>
            <w:r>
              <w:rPr>
                <w:sz w:val="20"/>
                <w:szCs w:val="20"/>
              </w:rPr>
              <w:t>The Supplier's security management plan developed by the Supplier in accordance with clause 16.1.</w:t>
            </w:r>
          </w:p>
        </w:tc>
      </w:tr>
      <w:tr w:rsidR="00B848AA" w14:paraId="02E54C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55169" w14:textId="77777777" w:rsidR="00B848AA" w:rsidRDefault="000A0EC2">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0DFC4" w14:textId="77777777" w:rsidR="00B848AA" w:rsidRDefault="000A0EC2">
            <w:pPr>
              <w:spacing w:before="240"/>
              <w:rPr>
                <w:sz w:val="20"/>
                <w:szCs w:val="20"/>
              </w:rPr>
            </w:pPr>
            <w:r>
              <w:rPr>
                <w:sz w:val="20"/>
                <w:szCs w:val="20"/>
              </w:rPr>
              <w:t>The services ordered by the Buyer as set out in the Order Form.</w:t>
            </w:r>
          </w:p>
        </w:tc>
      </w:tr>
      <w:tr w:rsidR="00B848AA" w14:paraId="3B1FD2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1881F" w14:textId="77777777" w:rsidR="00B848AA" w:rsidRDefault="000A0EC2">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FEB3A" w14:textId="77777777" w:rsidR="00B848AA" w:rsidRDefault="000A0EC2">
            <w:pPr>
              <w:spacing w:before="240"/>
              <w:rPr>
                <w:sz w:val="20"/>
                <w:szCs w:val="20"/>
              </w:rPr>
            </w:pPr>
            <w:r>
              <w:rPr>
                <w:sz w:val="20"/>
                <w:szCs w:val="20"/>
              </w:rPr>
              <w:t>Data that is owned or managed by the Buyer and used for the G-Cloud Services, including backup data.</w:t>
            </w:r>
          </w:p>
        </w:tc>
      </w:tr>
      <w:tr w:rsidR="00B848AA" w14:paraId="077DE4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86A92" w14:textId="77777777" w:rsidR="00B848AA" w:rsidRDefault="000A0EC2">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D46B1" w14:textId="77777777" w:rsidR="00B848AA" w:rsidRDefault="000A0EC2">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848AA" w14:paraId="217628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2A64A" w14:textId="77777777" w:rsidR="00B848AA" w:rsidRDefault="000A0EC2">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21E6D" w14:textId="77777777" w:rsidR="00B848AA" w:rsidRDefault="000A0EC2">
            <w:pPr>
              <w:spacing w:before="240"/>
              <w:rPr>
                <w:sz w:val="20"/>
                <w:szCs w:val="20"/>
              </w:rPr>
            </w:pPr>
            <w:r>
              <w:rPr>
                <w:sz w:val="20"/>
                <w:szCs w:val="20"/>
              </w:rPr>
              <w:t>The description of the Supplier service offering as published on the Digital Marketplace.</w:t>
            </w:r>
          </w:p>
        </w:tc>
      </w:tr>
      <w:tr w:rsidR="00B848AA" w14:paraId="6421C49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11A54" w14:textId="77777777" w:rsidR="00B848AA" w:rsidRDefault="000A0EC2">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BD5B1" w14:textId="77777777" w:rsidR="00B848AA" w:rsidRDefault="000A0EC2">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848AA" w14:paraId="221C8AB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F8DCC" w14:textId="77777777" w:rsidR="00B848AA" w:rsidRDefault="000A0EC2">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FCD1B" w14:textId="3D8E5533" w:rsidR="00B848AA" w:rsidRDefault="000A0EC2">
            <w:pPr>
              <w:spacing w:before="240"/>
            </w:pPr>
            <w:r>
              <w:rPr>
                <w:sz w:val="20"/>
                <w:szCs w:val="20"/>
              </w:rPr>
              <w:t>The approval process used by a central government Buyer if it needs to spend money on certain digital or technology services, see</w:t>
            </w:r>
            <w:hyperlink r:id="rId39" w:history="1">
              <w:r>
                <w:t xml:space="preserve"> </w:t>
              </w:r>
            </w:hyperlink>
            <w:hyperlink r:id="rId40" w:history="1">
              <w:r>
                <w:rPr>
                  <w:sz w:val="20"/>
                  <w:szCs w:val="20"/>
                  <w:u w:val="single"/>
                </w:rPr>
                <w:t>https://www.gov.uk/service-manual/agile-delivery/spend-controls-check-if-you-need-approval-to-spend-money-on-a-service</w:t>
              </w:r>
            </w:hyperlink>
          </w:p>
        </w:tc>
      </w:tr>
      <w:tr w:rsidR="00B848AA" w14:paraId="770D65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20C02" w14:textId="77777777" w:rsidR="00B848AA" w:rsidRDefault="000A0EC2">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382CB" w14:textId="77777777" w:rsidR="00B848AA" w:rsidRDefault="000A0EC2">
            <w:pPr>
              <w:spacing w:before="240"/>
              <w:rPr>
                <w:sz w:val="20"/>
                <w:szCs w:val="20"/>
              </w:rPr>
            </w:pPr>
            <w:r>
              <w:rPr>
                <w:sz w:val="20"/>
                <w:szCs w:val="20"/>
              </w:rPr>
              <w:t>The Start date of this Call-Off Contract as set out in the Order Form.</w:t>
            </w:r>
          </w:p>
        </w:tc>
      </w:tr>
      <w:tr w:rsidR="00B848AA" w14:paraId="7DCCC42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D5B64" w14:textId="77777777" w:rsidR="00B848AA" w:rsidRDefault="000A0EC2">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8010B" w14:textId="77777777" w:rsidR="00B848AA" w:rsidRDefault="000A0EC2">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848AA" w14:paraId="270688F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F19F7" w14:textId="77777777" w:rsidR="00B848AA" w:rsidRDefault="000A0EC2">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3D8F2" w14:textId="77777777" w:rsidR="00B848AA" w:rsidRDefault="000A0EC2">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848AA" w14:paraId="04665D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054E6" w14:textId="77777777" w:rsidR="00B848AA" w:rsidRDefault="000A0EC2">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5E31B" w14:textId="77777777" w:rsidR="00B848AA" w:rsidRDefault="000A0EC2">
            <w:pPr>
              <w:spacing w:before="240"/>
              <w:rPr>
                <w:sz w:val="20"/>
                <w:szCs w:val="20"/>
              </w:rPr>
            </w:pPr>
            <w:r>
              <w:rPr>
                <w:sz w:val="20"/>
                <w:szCs w:val="20"/>
              </w:rPr>
              <w:t>Any third party appointed to process Personal Data on behalf of the Supplier under this Call-Off Contract.</w:t>
            </w:r>
          </w:p>
        </w:tc>
      </w:tr>
      <w:tr w:rsidR="00B848AA" w14:paraId="378D1DA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55C2A" w14:textId="77777777" w:rsidR="00B848AA" w:rsidRDefault="000A0EC2">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DA3AE" w14:textId="77777777" w:rsidR="00B848AA" w:rsidRDefault="000A0EC2">
            <w:pPr>
              <w:spacing w:before="240"/>
              <w:rPr>
                <w:sz w:val="20"/>
                <w:szCs w:val="20"/>
              </w:rPr>
            </w:pPr>
            <w:r>
              <w:rPr>
                <w:sz w:val="20"/>
                <w:szCs w:val="20"/>
              </w:rPr>
              <w:t>The person, firm or company identified in the Order Form.</w:t>
            </w:r>
          </w:p>
        </w:tc>
      </w:tr>
      <w:tr w:rsidR="00B848AA" w14:paraId="6A7976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88363" w14:textId="77777777" w:rsidR="00B848AA" w:rsidRDefault="000A0EC2">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54B60" w14:textId="77777777" w:rsidR="00B848AA" w:rsidRDefault="000A0EC2">
            <w:pPr>
              <w:spacing w:before="240"/>
              <w:rPr>
                <w:sz w:val="20"/>
                <w:szCs w:val="20"/>
              </w:rPr>
            </w:pPr>
            <w:r>
              <w:rPr>
                <w:sz w:val="20"/>
                <w:szCs w:val="20"/>
              </w:rPr>
              <w:t>The representative appointed by the Supplier from time to time in relation to the Call-Off Contract.</w:t>
            </w:r>
          </w:p>
        </w:tc>
      </w:tr>
      <w:tr w:rsidR="00B848AA" w14:paraId="7EC350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875F2" w14:textId="77777777" w:rsidR="00B848AA" w:rsidRDefault="000A0EC2">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1A9FE" w14:textId="77777777" w:rsidR="00B848AA" w:rsidRDefault="000A0EC2">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848AA" w14:paraId="2EC7A27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BB03" w14:textId="77777777" w:rsidR="00B848AA" w:rsidRDefault="000A0EC2">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61BDB" w14:textId="77777777" w:rsidR="00B848AA" w:rsidRDefault="000A0EC2">
            <w:pPr>
              <w:spacing w:before="240"/>
              <w:rPr>
                <w:sz w:val="20"/>
                <w:szCs w:val="20"/>
              </w:rPr>
            </w:pPr>
            <w:r>
              <w:rPr>
                <w:sz w:val="20"/>
                <w:szCs w:val="20"/>
              </w:rPr>
              <w:t>The relevant G-Cloud Service terms and conditions as set out in the Terms and Conditions document supplied as part of the Supplier’s Application.</w:t>
            </w:r>
          </w:p>
        </w:tc>
      </w:tr>
      <w:tr w:rsidR="00B848AA" w14:paraId="02CCBFD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147B0" w14:textId="77777777" w:rsidR="00B848AA" w:rsidRDefault="000A0EC2">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80035" w14:textId="77777777" w:rsidR="00B848AA" w:rsidRDefault="000A0EC2">
            <w:pPr>
              <w:spacing w:before="240"/>
              <w:rPr>
                <w:sz w:val="20"/>
                <w:szCs w:val="20"/>
              </w:rPr>
            </w:pPr>
            <w:r>
              <w:rPr>
                <w:sz w:val="20"/>
                <w:szCs w:val="20"/>
              </w:rPr>
              <w:t>The term of this Call-Off Contract as set out in the Order Form.</w:t>
            </w:r>
          </w:p>
        </w:tc>
      </w:tr>
      <w:tr w:rsidR="00B848AA" w14:paraId="78E90B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8FCCB" w14:textId="77777777" w:rsidR="00B848AA" w:rsidRDefault="000A0EC2">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6AF1F" w14:textId="77777777" w:rsidR="00B848AA" w:rsidRDefault="000A0EC2">
            <w:pPr>
              <w:spacing w:before="240"/>
              <w:rPr>
                <w:sz w:val="20"/>
                <w:szCs w:val="20"/>
              </w:rPr>
            </w:pPr>
            <w:r>
              <w:rPr>
                <w:sz w:val="20"/>
                <w:szCs w:val="20"/>
              </w:rPr>
              <w:t>This has the meaning given to it in clause 32 (Variation process).</w:t>
            </w:r>
          </w:p>
        </w:tc>
      </w:tr>
      <w:tr w:rsidR="00B848AA" w14:paraId="0E0D87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0B044" w14:textId="77777777" w:rsidR="00B848AA" w:rsidRDefault="000A0EC2">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6F18D" w14:textId="77777777" w:rsidR="00B848AA" w:rsidRDefault="000A0EC2">
            <w:pPr>
              <w:spacing w:before="240"/>
              <w:rPr>
                <w:sz w:val="20"/>
                <w:szCs w:val="20"/>
              </w:rPr>
            </w:pPr>
            <w:r>
              <w:rPr>
                <w:sz w:val="20"/>
                <w:szCs w:val="20"/>
              </w:rPr>
              <w:t>Any day other than a Saturday, Sunday or public holiday in England and Wales.</w:t>
            </w:r>
          </w:p>
        </w:tc>
      </w:tr>
      <w:tr w:rsidR="00B848AA" w14:paraId="036FD2E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B4022" w14:textId="77777777" w:rsidR="00B848AA" w:rsidRDefault="000A0EC2">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81FFD" w14:textId="77777777" w:rsidR="00B848AA" w:rsidRDefault="000A0EC2">
            <w:pPr>
              <w:spacing w:before="240"/>
              <w:rPr>
                <w:sz w:val="20"/>
                <w:szCs w:val="20"/>
              </w:rPr>
            </w:pPr>
            <w:r>
              <w:rPr>
                <w:sz w:val="20"/>
                <w:szCs w:val="20"/>
              </w:rPr>
              <w:t>A contract year.</w:t>
            </w:r>
          </w:p>
        </w:tc>
      </w:tr>
    </w:tbl>
    <w:p w14:paraId="73FA9EEA" w14:textId="77777777" w:rsidR="00B848AA" w:rsidRDefault="000A0EC2">
      <w:pPr>
        <w:spacing w:before="240" w:after="240"/>
      </w:pPr>
      <w:r>
        <w:t xml:space="preserve"> </w:t>
      </w:r>
    </w:p>
    <w:p w14:paraId="70AF5D48" w14:textId="77777777" w:rsidR="00B848AA" w:rsidRDefault="00B848AA">
      <w:pPr>
        <w:pageBreakBefore/>
      </w:pPr>
    </w:p>
    <w:p w14:paraId="129A911D" w14:textId="1E0464F2" w:rsidR="00B848AA" w:rsidRDefault="000A0EC2">
      <w:pPr>
        <w:pStyle w:val="Heading2"/>
      </w:pPr>
      <w:bookmarkStart w:id="104" w:name="_Toc33176240"/>
      <w:bookmarkStart w:id="105" w:name="_Toc69399452"/>
      <w:bookmarkStart w:id="106" w:name="_Toc71109862"/>
      <w:r>
        <w:t>Schedule 7: GDPR Information</w:t>
      </w:r>
      <w:bookmarkEnd w:id="104"/>
      <w:bookmarkEnd w:id="105"/>
      <w:bookmarkEnd w:id="106"/>
      <w:r w:rsidR="00B31243">
        <w:t xml:space="preserve"> – Not Applicable</w:t>
      </w:r>
    </w:p>
    <w:p w14:paraId="4EBDC60C" w14:textId="77777777" w:rsidR="00B848AA" w:rsidRDefault="000A0EC2">
      <w:r>
        <w:t xml:space="preserve">This schedule reproduces the annexes to the GDPR schedule contained within the Framework Agreement and incorporated into this Call-off Contract. </w:t>
      </w:r>
    </w:p>
    <w:p w14:paraId="6163A342" w14:textId="77777777" w:rsidR="00B848AA" w:rsidRDefault="000A0EC2">
      <w:pPr>
        <w:pStyle w:val="Heading3"/>
      </w:pPr>
      <w:r>
        <w:t>Annex 1: Processing Personal Data</w:t>
      </w:r>
    </w:p>
    <w:p w14:paraId="467B0034" w14:textId="77777777" w:rsidR="00B848AA" w:rsidRDefault="000A0EC2">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7C3B3F0" w14:textId="632CD133" w:rsidR="00B848AA" w:rsidRDefault="000A0EC2">
      <w:r>
        <w:t>1.1</w:t>
      </w:r>
      <w:r>
        <w:tab/>
        <w:t xml:space="preserve">The contact details of the Buyer’s Data Protection Officer are: </w:t>
      </w:r>
      <w:r w:rsidR="006961B5">
        <w:t>[Redacted]</w:t>
      </w:r>
    </w:p>
    <w:p w14:paraId="29DAF15B" w14:textId="329D45B7" w:rsidR="00B848AA" w:rsidRDefault="000A0EC2">
      <w:r>
        <w:t>1.2</w:t>
      </w:r>
      <w:r>
        <w:tab/>
        <w:t>The contact details of the Supplier’s Data Protection Officer are:</w:t>
      </w:r>
      <w:r w:rsidR="006961B5">
        <w:t xml:space="preserve"> [Redacted]</w:t>
      </w:r>
    </w:p>
    <w:p w14:paraId="4F69EA94" w14:textId="77777777" w:rsidR="00B848AA" w:rsidRDefault="000A0EC2">
      <w:pPr>
        <w:ind w:left="720" w:hanging="720"/>
      </w:pPr>
      <w:r>
        <w:t>1.3</w:t>
      </w:r>
      <w:r>
        <w:tab/>
        <w:t>The Processor shall comply with any further written instructions with respect to Processing by the Controller.</w:t>
      </w:r>
    </w:p>
    <w:p w14:paraId="2D590449" w14:textId="77777777" w:rsidR="00B848AA" w:rsidRDefault="000A0EC2">
      <w:r>
        <w:t>1.4</w:t>
      </w:r>
      <w:r>
        <w:tab/>
        <w:t>Any such further instructions shall be incorporated into this Annex.</w:t>
      </w:r>
    </w:p>
    <w:p w14:paraId="4B063A2A" w14:textId="77777777" w:rsidR="00B848AA" w:rsidRDefault="00B848AA"/>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B848AA" w14:paraId="2B26C80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22856" w14:textId="77777777" w:rsidR="00B848AA" w:rsidRDefault="000A0EC2">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2453C" w14:textId="77777777" w:rsidR="00B848AA" w:rsidRDefault="000A0EC2">
            <w:pPr>
              <w:spacing w:before="240" w:after="240"/>
              <w:jc w:val="center"/>
            </w:pPr>
            <w:r>
              <w:rPr>
                <w:b/>
              </w:rPr>
              <w:t>Details</w:t>
            </w:r>
          </w:p>
        </w:tc>
      </w:tr>
      <w:tr w:rsidR="00B848AA" w14:paraId="14AE776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51F26" w14:textId="77777777" w:rsidR="00B848AA" w:rsidRDefault="000A0EC2">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89D6A" w14:textId="77777777" w:rsidR="00B848AA" w:rsidRDefault="000A0EC2">
            <w:pPr>
              <w:spacing w:line="240" w:lineRule="auto"/>
              <w:rPr>
                <w:b/>
              </w:rPr>
            </w:pPr>
            <w:r>
              <w:rPr>
                <w:b/>
              </w:rPr>
              <w:t>The Buyer is Controller and the Supplier is Processor</w:t>
            </w:r>
          </w:p>
          <w:p w14:paraId="5B5BD694" w14:textId="77777777" w:rsidR="00B848AA" w:rsidRDefault="00B848AA">
            <w:pPr>
              <w:spacing w:line="240" w:lineRule="auto"/>
              <w:rPr>
                <w:b/>
              </w:rPr>
            </w:pPr>
          </w:p>
          <w:p w14:paraId="6D43DB42" w14:textId="77777777" w:rsidR="00B848AA" w:rsidRDefault="000A0EC2">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F3F579B" w14:textId="77777777" w:rsidR="00B848AA" w:rsidRDefault="00B848AA">
            <w:pPr>
              <w:spacing w:line="240" w:lineRule="auto"/>
            </w:pPr>
          </w:p>
          <w:p w14:paraId="1C10AD0D" w14:textId="77777777" w:rsidR="00B848AA" w:rsidRDefault="000A0EC2" w:rsidP="005C3AE7">
            <w:pPr>
              <w:pStyle w:val="ListParagraph"/>
              <w:numPr>
                <w:ilvl w:val="0"/>
                <w:numId w:val="31"/>
              </w:numPr>
              <w:spacing w:line="240" w:lineRule="auto"/>
            </w:pPr>
            <w:r>
              <w:t>Names</w:t>
            </w:r>
          </w:p>
          <w:p w14:paraId="46CB9A19" w14:textId="77777777" w:rsidR="00B848AA" w:rsidRDefault="000A0EC2" w:rsidP="005C3AE7">
            <w:pPr>
              <w:pStyle w:val="ListParagraph"/>
              <w:numPr>
                <w:ilvl w:val="0"/>
                <w:numId w:val="31"/>
              </w:numPr>
              <w:spacing w:line="240" w:lineRule="auto"/>
            </w:pPr>
            <w:r>
              <w:t>Email addresses</w:t>
            </w:r>
          </w:p>
          <w:p w14:paraId="0BE38AC6" w14:textId="77777777" w:rsidR="00B848AA" w:rsidRDefault="000A0EC2" w:rsidP="005C3AE7">
            <w:pPr>
              <w:pStyle w:val="ListParagraph"/>
              <w:numPr>
                <w:ilvl w:val="0"/>
                <w:numId w:val="31"/>
              </w:numPr>
              <w:spacing w:line="240" w:lineRule="auto"/>
            </w:pPr>
            <w:r>
              <w:t>Telephone numbers</w:t>
            </w:r>
          </w:p>
          <w:p w14:paraId="334F91AA" w14:textId="77777777" w:rsidR="00B848AA" w:rsidRDefault="00B848AA" w:rsidP="005C3AE7">
            <w:pPr>
              <w:pStyle w:val="ListParagraph"/>
              <w:numPr>
                <w:ilvl w:val="0"/>
                <w:numId w:val="31"/>
              </w:numPr>
              <w:spacing w:line="240" w:lineRule="auto"/>
            </w:pPr>
          </w:p>
          <w:p w14:paraId="0E940865" w14:textId="77777777" w:rsidR="00B848AA" w:rsidRDefault="00B848AA">
            <w:pPr>
              <w:spacing w:line="240" w:lineRule="auto"/>
              <w:rPr>
                <w:b/>
              </w:rPr>
            </w:pPr>
          </w:p>
          <w:p w14:paraId="375A0CEB" w14:textId="77777777" w:rsidR="00B848AA" w:rsidRDefault="00B848AA" w:rsidP="005C654D">
            <w:pPr>
              <w:numPr>
                <w:ilvl w:val="0"/>
                <w:numId w:val="32"/>
              </w:numPr>
              <w:spacing w:line="240" w:lineRule="auto"/>
            </w:pPr>
          </w:p>
        </w:tc>
      </w:tr>
      <w:tr w:rsidR="00B848AA" w14:paraId="4EF4293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770B4" w14:textId="77777777" w:rsidR="00B848AA" w:rsidRDefault="000A0EC2">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B6B66" w14:textId="77777777" w:rsidR="00B848AA" w:rsidRDefault="000A0EC2">
            <w:pPr>
              <w:spacing w:line="240" w:lineRule="auto"/>
            </w:pPr>
            <w:r>
              <w:t>The duration of the Contract</w:t>
            </w:r>
          </w:p>
        </w:tc>
      </w:tr>
      <w:tr w:rsidR="00B848AA" w14:paraId="082AD10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E9BF9" w14:textId="77777777" w:rsidR="00B848AA" w:rsidRDefault="000A0EC2">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24347" w14:textId="77777777" w:rsidR="00B848AA" w:rsidRDefault="000A0EC2">
            <w:pPr>
              <w:spacing w:line="240" w:lineRule="auto"/>
            </w:pPr>
            <w:r>
              <w:t>The nature of the Processing is the collection, storage and use of data in the categories mentioned above.</w:t>
            </w:r>
          </w:p>
          <w:p w14:paraId="11ABA787" w14:textId="77777777" w:rsidR="00B848AA" w:rsidRDefault="00B848AA">
            <w:pPr>
              <w:spacing w:line="240" w:lineRule="auto"/>
            </w:pPr>
          </w:p>
          <w:p w14:paraId="0146AA62" w14:textId="77777777" w:rsidR="00B848AA" w:rsidRDefault="000A0EC2">
            <w:pPr>
              <w:spacing w:line="240" w:lineRule="auto"/>
            </w:pPr>
            <w:r>
              <w:t>The purpose is for the provision of the Services outlined in Schedule 1. Without the processing of such Personal Data the Supplier will not be able to deliver the Services.</w:t>
            </w:r>
          </w:p>
          <w:p w14:paraId="0F032EE5" w14:textId="77777777" w:rsidR="00B848AA" w:rsidRDefault="00B848AA">
            <w:pPr>
              <w:spacing w:line="240" w:lineRule="auto"/>
            </w:pPr>
          </w:p>
        </w:tc>
      </w:tr>
      <w:tr w:rsidR="00B848AA" w14:paraId="35D753B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0A8C1" w14:textId="77777777" w:rsidR="00B848AA" w:rsidRDefault="000A0EC2">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6DBB4" w14:textId="77777777" w:rsidR="00B848AA" w:rsidRDefault="000A0EC2">
            <w:pPr>
              <w:spacing w:line="240" w:lineRule="auto"/>
            </w:pPr>
            <w:r>
              <w:t>As listed above.</w:t>
            </w:r>
          </w:p>
        </w:tc>
      </w:tr>
      <w:tr w:rsidR="00B848AA" w14:paraId="62EC776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29C32" w14:textId="77777777" w:rsidR="00B848AA" w:rsidRDefault="000A0EC2">
            <w:pPr>
              <w:spacing w:line="240" w:lineRule="auto"/>
            </w:pPr>
            <w: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EFD68" w14:textId="3E94D234" w:rsidR="00B848AA" w:rsidRDefault="000A0EC2" w:rsidP="00AB6193">
            <w:pPr>
              <w:spacing w:line="240" w:lineRule="auto"/>
            </w:pPr>
            <w:r>
              <w:t>Supplier staff, Buyer staff, members of the public.</w:t>
            </w:r>
          </w:p>
        </w:tc>
      </w:tr>
      <w:tr w:rsidR="00B848AA" w14:paraId="1125C5D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E086F" w14:textId="77777777" w:rsidR="00B848AA" w:rsidRDefault="000A0EC2">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64585" w14:textId="77777777" w:rsidR="00B848AA" w:rsidRDefault="000A0EC2">
            <w:pPr>
              <w:spacing w:line="240" w:lineRule="auto"/>
            </w:pPr>
            <w:r>
              <w:t>Retained at least one year following contract expiry. Return or destruction of data to be agreed as part of the Exit Plan.</w:t>
            </w:r>
          </w:p>
        </w:tc>
      </w:tr>
    </w:tbl>
    <w:p w14:paraId="71230691" w14:textId="77777777" w:rsidR="00B848AA" w:rsidRDefault="00B848AA">
      <w:pPr>
        <w:spacing w:before="240" w:after="240"/>
        <w:rPr>
          <w:b/>
        </w:rPr>
      </w:pPr>
    </w:p>
    <w:p w14:paraId="67BFDD7D" w14:textId="77777777" w:rsidR="00B848AA" w:rsidRDefault="00B848AA">
      <w:pPr>
        <w:pageBreakBefore/>
        <w:rPr>
          <w:sz w:val="24"/>
          <w:szCs w:val="24"/>
        </w:rPr>
      </w:pPr>
    </w:p>
    <w:p w14:paraId="46A0E524" w14:textId="77777777" w:rsidR="00B848AA" w:rsidRDefault="000A0EC2">
      <w:pPr>
        <w:pStyle w:val="Heading3"/>
      </w:pPr>
      <w:r>
        <w:t>Annex 2: Joint Controller Agreement</w:t>
      </w:r>
    </w:p>
    <w:p w14:paraId="25838307" w14:textId="77777777" w:rsidR="00B848AA" w:rsidRDefault="000A0EC2">
      <w:pPr>
        <w:pStyle w:val="Heading4"/>
      </w:pPr>
      <w:r>
        <w:t xml:space="preserve">1. Joint Controller Status and Allocation of Responsibilities </w:t>
      </w:r>
    </w:p>
    <w:p w14:paraId="41465B11" w14:textId="77777777" w:rsidR="00B848AA" w:rsidRDefault="000A0EC2">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3206581" w14:textId="77777777" w:rsidR="00B848AA" w:rsidRDefault="00B848AA"/>
    <w:p w14:paraId="4CE2E6E5" w14:textId="77777777" w:rsidR="00B848AA" w:rsidRDefault="000A0EC2">
      <w:pPr>
        <w:spacing w:after="120"/>
      </w:pPr>
      <w:r>
        <w:t xml:space="preserve">1.2 </w:t>
      </w:r>
      <w:r>
        <w:tab/>
        <w:t>The Parties agree that the [</w:t>
      </w:r>
      <w:r>
        <w:rPr>
          <w:b/>
        </w:rPr>
        <w:t>delete as appropriate Supplier/Buyer</w:t>
      </w:r>
      <w:r>
        <w:t xml:space="preserve">]: </w:t>
      </w:r>
    </w:p>
    <w:p w14:paraId="37C0C1A6" w14:textId="77777777" w:rsidR="00B848AA" w:rsidRDefault="000A0EC2">
      <w:pPr>
        <w:ind w:left="1440" w:hanging="720"/>
      </w:pPr>
      <w:r>
        <w:t>(a)</w:t>
      </w:r>
      <w:r>
        <w:tab/>
        <w:t>is the exclusive point of contact for Data Subjects and is responsible for all steps necessary to comply with the GDPR regarding the exercise by Data Subjects of their rights under the GDPR;</w:t>
      </w:r>
    </w:p>
    <w:p w14:paraId="78D1CAB4" w14:textId="77777777" w:rsidR="00B848AA" w:rsidRDefault="00B848AA">
      <w:pPr>
        <w:ind w:left="1440"/>
      </w:pPr>
    </w:p>
    <w:p w14:paraId="235A4D95" w14:textId="77777777" w:rsidR="00B848AA" w:rsidRDefault="000A0EC2">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A5F2013" w14:textId="77777777" w:rsidR="00B848AA" w:rsidRDefault="00B848AA"/>
    <w:p w14:paraId="0E5E55AB" w14:textId="77777777" w:rsidR="00B848AA" w:rsidRDefault="000A0EC2">
      <w:pPr>
        <w:ind w:left="1440" w:hanging="720"/>
      </w:pPr>
      <w:r>
        <w:t>(c)</w:t>
      </w:r>
      <w:r>
        <w:tab/>
        <w:t>is solely responsible for the Parties’ compliance with all duties to provide information to Data Subjects under Articles 13 and 14 of the GDPR;</w:t>
      </w:r>
    </w:p>
    <w:p w14:paraId="54092FA7" w14:textId="77777777" w:rsidR="00B848AA" w:rsidRDefault="00B848AA"/>
    <w:p w14:paraId="7F75EBC9" w14:textId="77777777" w:rsidR="00B848AA" w:rsidRDefault="000A0EC2">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9E38137" w14:textId="77777777" w:rsidR="00B848AA" w:rsidRDefault="00B848AA"/>
    <w:p w14:paraId="57E11D48" w14:textId="77777777" w:rsidR="00B848AA" w:rsidRDefault="000A0EC2">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722D281F" w14:textId="77777777" w:rsidR="00B848AA" w:rsidRDefault="00B848AA"/>
    <w:p w14:paraId="49692CB7" w14:textId="77777777" w:rsidR="00B848AA" w:rsidRDefault="000A0EC2">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2E54145" w14:textId="77777777" w:rsidR="00B848AA" w:rsidRDefault="00B848AA"/>
    <w:p w14:paraId="1005D746" w14:textId="77777777" w:rsidR="00B848AA" w:rsidRDefault="000A0EC2">
      <w:pPr>
        <w:pStyle w:val="Heading4"/>
      </w:pPr>
      <w:r>
        <w:t>2.</w:t>
      </w:r>
      <w:r>
        <w:tab/>
        <w:t>Undertakings of both Parties</w:t>
      </w:r>
    </w:p>
    <w:p w14:paraId="4B205EC9" w14:textId="77777777" w:rsidR="00B848AA" w:rsidRDefault="000A0EC2">
      <w:r>
        <w:t>2.1</w:t>
      </w:r>
      <w:r>
        <w:tab/>
        <w:t xml:space="preserve">The Supplier and the Buyer each undertake that they shall: </w:t>
      </w:r>
    </w:p>
    <w:p w14:paraId="33E1345D" w14:textId="77777777" w:rsidR="00B848AA" w:rsidRDefault="00B848AA"/>
    <w:p w14:paraId="61A2AA7A" w14:textId="77777777" w:rsidR="00B848AA" w:rsidRDefault="000A0EC2">
      <w:pPr>
        <w:ind w:firstLine="720"/>
      </w:pPr>
      <w:r>
        <w:t>(a)</w:t>
      </w:r>
      <w:r>
        <w:tab/>
        <w:t xml:space="preserve">report to the other Party every </w:t>
      </w:r>
      <w:r>
        <w:rPr>
          <w:b/>
        </w:rPr>
        <w:t>[enter number]</w:t>
      </w:r>
      <w:r>
        <w:t xml:space="preserve"> months on:</w:t>
      </w:r>
    </w:p>
    <w:p w14:paraId="3872EA3B" w14:textId="77777777" w:rsidR="00B848AA" w:rsidRDefault="00B848AA"/>
    <w:p w14:paraId="2B90A018" w14:textId="77777777" w:rsidR="00B848AA" w:rsidRDefault="000A0EC2">
      <w:pPr>
        <w:ind w:left="2160" w:hanging="720"/>
      </w:pPr>
      <w:r>
        <w:lastRenderedPageBreak/>
        <w:t>(i)</w:t>
      </w:r>
      <w:r>
        <w:tab/>
        <w:t>the volume of Data Subject Request (or purported Data Subject Requests) from Data Subjects (or third parties on their behalf);</w:t>
      </w:r>
    </w:p>
    <w:p w14:paraId="665A7735" w14:textId="77777777" w:rsidR="00B848AA" w:rsidRDefault="00B848AA"/>
    <w:p w14:paraId="379C18D3" w14:textId="77777777" w:rsidR="00B848AA" w:rsidRDefault="000A0EC2">
      <w:pPr>
        <w:ind w:left="2160" w:hanging="720"/>
      </w:pPr>
      <w:r>
        <w:t>(ii)</w:t>
      </w:r>
      <w:r>
        <w:tab/>
        <w:t xml:space="preserve">the volume of requests from Data Subjects (or third parties on their behalf) to rectify, block or erase any Personal Data; </w:t>
      </w:r>
    </w:p>
    <w:p w14:paraId="7A71380E" w14:textId="77777777" w:rsidR="00B848AA" w:rsidRDefault="00B848AA"/>
    <w:p w14:paraId="64807662" w14:textId="77777777" w:rsidR="00B848AA" w:rsidRDefault="000A0EC2">
      <w:pPr>
        <w:ind w:left="2160" w:hanging="720"/>
      </w:pPr>
      <w:r>
        <w:t>(iii)</w:t>
      </w:r>
      <w:r>
        <w:tab/>
        <w:t>any other requests, complaints or communications from Data Subjects (or third parties on their behalf) relating to the other Party’s obligations under applicable Data Protection Legislation;</w:t>
      </w:r>
    </w:p>
    <w:p w14:paraId="2F4A6CD6" w14:textId="77777777" w:rsidR="00B848AA" w:rsidRDefault="00B848AA"/>
    <w:p w14:paraId="553E2269" w14:textId="77777777" w:rsidR="00B848AA" w:rsidRDefault="000A0EC2">
      <w:pPr>
        <w:ind w:left="2160" w:hanging="720"/>
      </w:pPr>
      <w:r>
        <w:t>(iv)</w:t>
      </w:r>
      <w:r>
        <w:tab/>
        <w:t>any communications from the Information Commissioner or any other regulatory authority in connection with Personal Data; and</w:t>
      </w:r>
    </w:p>
    <w:p w14:paraId="4BBAF9B9" w14:textId="77777777" w:rsidR="00B848AA" w:rsidRDefault="00B848AA"/>
    <w:p w14:paraId="5F0B1768" w14:textId="77777777" w:rsidR="00B848AA" w:rsidRDefault="000A0EC2">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78DCB85" w14:textId="77777777" w:rsidR="00B848AA" w:rsidRDefault="00B848AA">
      <w:pPr>
        <w:ind w:left="2160"/>
      </w:pPr>
    </w:p>
    <w:p w14:paraId="25C585E2" w14:textId="77777777" w:rsidR="00B848AA" w:rsidRDefault="000A0EC2">
      <w:pPr>
        <w:ind w:left="1440" w:hanging="720"/>
      </w:pPr>
      <w:r>
        <w:t>(b)</w:t>
      </w:r>
      <w:r>
        <w:tab/>
        <w:t xml:space="preserve">notify each other immediately if it receives any request, complaint or communication made as referred to in Clauses 2.1(a)(i) to (v); </w:t>
      </w:r>
    </w:p>
    <w:p w14:paraId="25ADFD67" w14:textId="77777777" w:rsidR="00B848AA" w:rsidRDefault="00B848AA"/>
    <w:p w14:paraId="1EDF2B24" w14:textId="77777777" w:rsidR="00B848AA" w:rsidRDefault="000A0EC2">
      <w:pPr>
        <w:ind w:left="1440" w:hanging="720"/>
      </w:pPr>
      <w:r>
        <w:t>(c)</w:t>
      </w:r>
      <w:r>
        <w:tab/>
        <w:t xml:space="preserve">provide the other Party with full cooperation and assistance in relation to any request, complaint or communication made as referred to in Clauses </w:t>
      </w:r>
    </w:p>
    <w:p w14:paraId="7286CBEE" w14:textId="77777777" w:rsidR="00B848AA" w:rsidRDefault="00B848AA">
      <w:pPr>
        <w:ind w:left="1440"/>
      </w:pPr>
    </w:p>
    <w:p w14:paraId="384A7115" w14:textId="77777777" w:rsidR="00B848AA" w:rsidRDefault="000A0EC2">
      <w:pPr>
        <w:ind w:left="1440"/>
      </w:pPr>
      <w:r>
        <w:t>2.1(a)(iii) to (v) to enable the other Party to comply with the relevant timescales set out in the Data Protection Legislation;</w:t>
      </w:r>
    </w:p>
    <w:p w14:paraId="1AE103C7" w14:textId="77777777" w:rsidR="00B848AA" w:rsidRDefault="00B848AA">
      <w:pPr>
        <w:ind w:left="1440"/>
      </w:pPr>
    </w:p>
    <w:p w14:paraId="455AB844" w14:textId="77777777" w:rsidR="00B848AA" w:rsidRDefault="000A0EC2">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45BF3C7" w14:textId="77777777" w:rsidR="00B848AA" w:rsidRDefault="00B848AA"/>
    <w:p w14:paraId="16A3E26D" w14:textId="77777777" w:rsidR="00B848AA" w:rsidRDefault="000A0EC2">
      <w:pPr>
        <w:ind w:left="1440" w:hanging="720"/>
      </w:pPr>
      <w:r>
        <w:t>(e)</w:t>
      </w:r>
      <w:r>
        <w:tab/>
        <w:t>request from the Data Subject only the minimum information necessary to provide the Services and treat such extracted information as Confidential Information;</w:t>
      </w:r>
    </w:p>
    <w:p w14:paraId="28322DDD" w14:textId="77777777" w:rsidR="00B848AA" w:rsidRDefault="00B848AA"/>
    <w:p w14:paraId="28164EF4" w14:textId="77777777" w:rsidR="00B848AA" w:rsidRDefault="000A0EC2">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ADFAE0B" w14:textId="77777777" w:rsidR="00B848AA" w:rsidRDefault="00B848AA"/>
    <w:p w14:paraId="7224E02B" w14:textId="77777777" w:rsidR="00B848AA" w:rsidRDefault="000A0EC2">
      <w:pPr>
        <w:ind w:left="1440" w:hanging="720"/>
      </w:pPr>
      <w:r>
        <w:t>(g)</w:t>
      </w:r>
      <w:r>
        <w:tab/>
        <w:t>take all reasonable steps to ensure the reliability and integrity of any of its personnel who have access to the Personal Data and ensure that its personnel:</w:t>
      </w:r>
    </w:p>
    <w:p w14:paraId="0BB8BB59" w14:textId="77777777" w:rsidR="00B848AA" w:rsidRDefault="00B848AA">
      <w:pPr>
        <w:ind w:left="1440"/>
      </w:pPr>
    </w:p>
    <w:p w14:paraId="48F80432" w14:textId="77777777" w:rsidR="00B848AA" w:rsidRDefault="000A0EC2">
      <w:pPr>
        <w:ind w:left="2160" w:hanging="720"/>
      </w:pPr>
      <w:r>
        <w:t>(i)</w:t>
      </w:r>
      <w:r>
        <w:tab/>
        <w:t xml:space="preserve">are aware of and comply with their ’s duties under this Annex 2 (Joint Controller Agreement) and those in respect of Confidential Information </w:t>
      </w:r>
    </w:p>
    <w:p w14:paraId="6DC5DB36" w14:textId="77777777" w:rsidR="00B848AA" w:rsidRDefault="00B848AA"/>
    <w:p w14:paraId="5A7799C8" w14:textId="77777777" w:rsidR="00B848AA" w:rsidRDefault="000A0EC2">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9536E8A" w14:textId="77777777" w:rsidR="00B848AA" w:rsidRDefault="00B848AA">
      <w:pPr>
        <w:ind w:left="2160"/>
      </w:pPr>
    </w:p>
    <w:p w14:paraId="50C478A7" w14:textId="77777777" w:rsidR="00B848AA" w:rsidRDefault="000A0EC2">
      <w:pPr>
        <w:ind w:left="2160" w:hanging="720"/>
      </w:pPr>
      <w:r>
        <w:t>(iii)</w:t>
      </w:r>
      <w:r>
        <w:tab/>
        <w:t>have undergone adequate training in the use, care, protection and handling of Personal Data as required by the applicable Data Protection Legislation;</w:t>
      </w:r>
    </w:p>
    <w:p w14:paraId="1C557450" w14:textId="77777777" w:rsidR="00B848AA" w:rsidRDefault="00B848AA">
      <w:pPr>
        <w:ind w:left="2160"/>
      </w:pPr>
    </w:p>
    <w:p w14:paraId="155BEC25" w14:textId="77777777" w:rsidR="00B848AA" w:rsidRDefault="000A0EC2">
      <w:pPr>
        <w:ind w:left="1440" w:hanging="720"/>
      </w:pPr>
      <w:r>
        <w:t>(h)</w:t>
      </w:r>
      <w:r>
        <w:tab/>
        <w:t>ensure that it has in place Protective Measures as appropriate to protect against a Data Loss Event having taken account of the:</w:t>
      </w:r>
    </w:p>
    <w:p w14:paraId="027EFB12" w14:textId="77777777" w:rsidR="00B848AA" w:rsidRDefault="00B848AA">
      <w:pPr>
        <w:ind w:left="720" w:firstLine="720"/>
      </w:pPr>
    </w:p>
    <w:p w14:paraId="5C729AC8" w14:textId="77777777" w:rsidR="00B848AA" w:rsidRDefault="000A0EC2">
      <w:pPr>
        <w:ind w:left="720" w:firstLine="720"/>
      </w:pPr>
      <w:r>
        <w:t>(i)</w:t>
      </w:r>
      <w:r>
        <w:tab/>
        <w:t>nature of the data to be protected;</w:t>
      </w:r>
    </w:p>
    <w:p w14:paraId="33A8E22C" w14:textId="77777777" w:rsidR="00B848AA" w:rsidRDefault="000A0EC2">
      <w:pPr>
        <w:ind w:left="720" w:firstLine="720"/>
      </w:pPr>
      <w:r>
        <w:t>(ii)</w:t>
      </w:r>
      <w:r>
        <w:tab/>
        <w:t>harm that might result from a Data Loss Event;</w:t>
      </w:r>
    </w:p>
    <w:p w14:paraId="70F97199" w14:textId="77777777" w:rsidR="00B848AA" w:rsidRDefault="000A0EC2">
      <w:pPr>
        <w:ind w:left="720" w:firstLine="720"/>
      </w:pPr>
      <w:r>
        <w:t>(iii)</w:t>
      </w:r>
      <w:r>
        <w:tab/>
        <w:t>state of technological development; and</w:t>
      </w:r>
    </w:p>
    <w:p w14:paraId="2C87DC97" w14:textId="77777777" w:rsidR="00B848AA" w:rsidRDefault="000A0EC2">
      <w:pPr>
        <w:ind w:left="720" w:firstLine="720"/>
      </w:pPr>
      <w:r>
        <w:t>(iv)</w:t>
      </w:r>
      <w:r>
        <w:tab/>
        <w:t>cost of implementing any measures;</w:t>
      </w:r>
    </w:p>
    <w:p w14:paraId="732656CF" w14:textId="77777777" w:rsidR="00B848AA" w:rsidRDefault="00B848AA">
      <w:pPr>
        <w:ind w:left="720" w:firstLine="720"/>
      </w:pPr>
    </w:p>
    <w:p w14:paraId="20DD27C1" w14:textId="77777777" w:rsidR="00B848AA" w:rsidRDefault="000A0EC2">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F4AE7F6" w14:textId="77777777" w:rsidR="00B848AA" w:rsidRDefault="00B848AA">
      <w:pPr>
        <w:ind w:left="1440"/>
      </w:pPr>
    </w:p>
    <w:p w14:paraId="57B1A1D5" w14:textId="77777777" w:rsidR="00B848AA" w:rsidRDefault="000A0EC2">
      <w:pPr>
        <w:ind w:left="2160" w:hanging="720"/>
      </w:pPr>
      <w:r>
        <w:t>(i)</w:t>
      </w:r>
      <w:r>
        <w:tab/>
        <w:t>ensure that it notifies the other Party as soon as it becomes aware of a Data Loss Event.</w:t>
      </w:r>
    </w:p>
    <w:p w14:paraId="549A3D92" w14:textId="77777777" w:rsidR="00B848AA" w:rsidRDefault="00B848AA">
      <w:pPr>
        <w:ind w:left="1440" w:firstLine="720"/>
      </w:pPr>
    </w:p>
    <w:p w14:paraId="3C38F809" w14:textId="77777777" w:rsidR="00B848AA" w:rsidRDefault="000A0EC2">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0903D9E" w14:textId="77777777" w:rsidR="00B848AA" w:rsidRDefault="00B848AA"/>
    <w:p w14:paraId="6898DA1F" w14:textId="77777777" w:rsidR="00B848AA" w:rsidRDefault="000A0EC2">
      <w:pPr>
        <w:pStyle w:val="Heading4"/>
      </w:pPr>
      <w:r>
        <w:t>3.</w:t>
      </w:r>
      <w:r>
        <w:tab/>
        <w:t>Data Protection Breach</w:t>
      </w:r>
    </w:p>
    <w:p w14:paraId="4AF4BDB0" w14:textId="77777777" w:rsidR="00B848AA" w:rsidRDefault="000A0EC2">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A1DEE64" w14:textId="77777777" w:rsidR="00B848AA" w:rsidRDefault="00B848AA"/>
    <w:p w14:paraId="594F49EB" w14:textId="77777777" w:rsidR="00B848AA" w:rsidRDefault="000A0EC2">
      <w:pPr>
        <w:ind w:left="1440" w:hanging="720"/>
      </w:pPr>
      <w:r>
        <w:t xml:space="preserve">(a) </w:t>
      </w:r>
      <w:r>
        <w:tab/>
        <w:t>sufficient information and in a timescale which allows the other Party to meet any obligations to report a Personal Data Breach under the Data Protection Legislation;</w:t>
      </w:r>
    </w:p>
    <w:p w14:paraId="51D3A32C" w14:textId="77777777" w:rsidR="00B848AA" w:rsidRDefault="00B848AA">
      <w:pPr>
        <w:ind w:left="1440"/>
      </w:pPr>
    </w:p>
    <w:p w14:paraId="3F27B0EB" w14:textId="77777777" w:rsidR="00B848AA" w:rsidRDefault="000A0EC2">
      <w:pPr>
        <w:ind w:firstLine="720"/>
      </w:pPr>
      <w:r>
        <w:t>(b)</w:t>
      </w:r>
      <w:r>
        <w:tab/>
        <w:t>all reasonable assistance, including:</w:t>
      </w:r>
    </w:p>
    <w:p w14:paraId="70BAEA5B" w14:textId="77777777" w:rsidR="00B848AA" w:rsidRDefault="00B848AA">
      <w:pPr>
        <w:ind w:firstLine="720"/>
      </w:pPr>
    </w:p>
    <w:p w14:paraId="4DBD8DBC" w14:textId="77777777" w:rsidR="00B848AA" w:rsidRDefault="000A0EC2">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7BF335B1" w14:textId="77777777" w:rsidR="00B848AA" w:rsidRDefault="00B848AA">
      <w:pPr>
        <w:ind w:left="2160"/>
      </w:pPr>
    </w:p>
    <w:p w14:paraId="3C5FC3AF" w14:textId="77777777" w:rsidR="00B848AA" w:rsidRDefault="000A0EC2">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40E2D822" w14:textId="77777777" w:rsidR="00B848AA" w:rsidRDefault="00B848AA"/>
    <w:p w14:paraId="598A55BC" w14:textId="77777777" w:rsidR="00B848AA" w:rsidRDefault="000A0EC2">
      <w:pPr>
        <w:ind w:left="2160" w:firstLine="720"/>
      </w:pPr>
      <w:r>
        <w:t>(iii)</w:t>
      </w:r>
      <w:r>
        <w:tab/>
        <w:t xml:space="preserve">co-ordination with the other Party regarding the management of public relations and public statements relating to the Personal Data Breach; </w:t>
      </w:r>
    </w:p>
    <w:p w14:paraId="2B07EEC8" w14:textId="77777777" w:rsidR="00B848AA" w:rsidRDefault="00B848AA">
      <w:pPr>
        <w:ind w:left="2160"/>
      </w:pPr>
    </w:p>
    <w:p w14:paraId="6A602E31" w14:textId="77777777" w:rsidR="00B848AA" w:rsidRDefault="000A0EC2">
      <w:pPr>
        <w:ind w:left="2160"/>
      </w:pPr>
      <w:r>
        <w:t>and/or</w:t>
      </w:r>
    </w:p>
    <w:p w14:paraId="06D90F35" w14:textId="77777777" w:rsidR="00B848AA" w:rsidRDefault="00B848AA">
      <w:pPr>
        <w:ind w:left="2160"/>
      </w:pPr>
    </w:p>
    <w:p w14:paraId="50290BF7" w14:textId="77777777" w:rsidR="00B848AA" w:rsidRDefault="000A0EC2">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1BCE6E9" w14:textId="77777777" w:rsidR="00B848AA" w:rsidRDefault="00B848AA">
      <w:pPr>
        <w:ind w:left="2160"/>
      </w:pPr>
    </w:p>
    <w:p w14:paraId="56F34CDD" w14:textId="77777777" w:rsidR="00B848AA" w:rsidRDefault="000A0EC2">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ED89A6B" w14:textId="77777777" w:rsidR="00B848AA" w:rsidRDefault="00B848AA">
      <w:pPr>
        <w:ind w:left="720"/>
      </w:pPr>
    </w:p>
    <w:p w14:paraId="66A8D66E" w14:textId="77777777" w:rsidR="00B848AA" w:rsidRDefault="000A0EC2">
      <w:pPr>
        <w:ind w:left="720"/>
      </w:pPr>
      <w:r>
        <w:t>(a)</w:t>
      </w:r>
      <w:r>
        <w:tab/>
        <w:t xml:space="preserve">the nature of the Personal Data Breach; </w:t>
      </w:r>
    </w:p>
    <w:p w14:paraId="763738D0" w14:textId="77777777" w:rsidR="00B848AA" w:rsidRDefault="00B848AA">
      <w:pPr>
        <w:ind w:left="720"/>
      </w:pPr>
    </w:p>
    <w:p w14:paraId="3F8B7142" w14:textId="77777777" w:rsidR="00B848AA" w:rsidRDefault="000A0EC2">
      <w:pPr>
        <w:ind w:firstLine="720"/>
      </w:pPr>
      <w:r>
        <w:t>(b)</w:t>
      </w:r>
      <w:r>
        <w:tab/>
        <w:t>the nature of Personal Data affected;</w:t>
      </w:r>
    </w:p>
    <w:p w14:paraId="6384C7D1" w14:textId="77777777" w:rsidR="00B848AA" w:rsidRDefault="00B848AA">
      <w:pPr>
        <w:ind w:firstLine="720"/>
      </w:pPr>
    </w:p>
    <w:p w14:paraId="77F28AC4" w14:textId="77777777" w:rsidR="00B848AA" w:rsidRDefault="000A0EC2">
      <w:pPr>
        <w:ind w:firstLine="720"/>
      </w:pPr>
      <w:r>
        <w:t>(c)</w:t>
      </w:r>
      <w:r>
        <w:tab/>
        <w:t>the categories and number of Data Subjects concerned;</w:t>
      </w:r>
    </w:p>
    <w:p w14:paraId="2EC28C59" w14:textId="77777777" w:rsidR="00B848AA" w:rsidRDefault="00B848AA">
      <w:pPr>
        <w:ind w:firstLine="720"/>
      </w:pPr>
    </w:p>
    <w:p w14:paraId="788EF1A5" w14:textId="77777777" w:rsidR="00B848AA" w:rsidRDefault="000A0EC2">
      <w:pPr>
        <w:ind w:left="1440" w:hanging="720"/>
      </w:pPr>
      <w:r>
        <w:t>(d)</w:t>
      </w:r>
      <w:r>
        <w:tab/>
        <w:t>the name and contact details of the Supplier’s Data Protection Officer or other relevant contact from whom more information may be obtained;</w:t>
      </w:r>
    </w:p>
    <w:p w14:paraId="1ED93371" w14:textId="77777777" w:rsidR="00B848AA" w:rsidRDefault="00B848AA">
      <w:pPr>
        <w:ind w:left="720" w:firstLine="720"/>
      </w:pPr>
    </w:p>
    <w:p w14:paraId="0D972A21" w14:textId="77777777" w:rsidR="00B848AA" w:rsidRDefault="000A0EC2">
      <w:pPr>
        <w:ind w:firstLine="720"/>
      </w:pPr>
      <w:r>
        <w:t>(e)</w:t>
      </w:r>
      <w:r>
        <w:tab/>
        <w:t>measures taken or proposed to be taken to address the Personal Data Breach; and</w:t>
      </w:r>
    </w:p>
    <w:p w14:paraId="7B37F0AD" w14:textId="77777777" w:rsidR="00B848AA" w:rsidRDefault="00B848AA">
      <w:pPr>
        <w:ind w:left="720" w:firstLine="720"/>
      </w:pPr>
    </w:p>
    <w:p w14:paraId="2C1921FF" w14:textId="77777777" w:rsidR="00B848AA" w:rsidRDefault="000A0EC2">
      <w:pPr>
        <w:ind w:firstLine="720"/>
      </w:pPr>
      <w:r>
        <w:t>(f)</w:t>
      </w:r>
      <w:r>
        <w:tab/>
        <w:t>describe the likely consequences of the Personal Data Breach.</w:t>
      </w:r>
    </w:p>
    <w:p w14:paraId="5B3A04EF" w14:textId="77777777" w:rsidR="00B848AA" w:rsidRDefault="00B848AA"/>
    <w:p w14:paraId="5BDC21BC" w14:textId="77777777" w:rsidR="00B848AA" w:rsidRDefault="000A0EC2">
      <w:pPr>
        <w:pStyle w:val="Heading4"/>
      </w:pPr>
      <w:r>
        <w:t>4.</w:t>
      </w:r>
      <w:r>
        <w:tab/>
        <w:t>Audit</w:t>
      </w:r>
    </w:p>
    <w:p w14:paraId="27070C21" w14:textId="77777777" w:rsidR="00B848AA" w:rsidRDefault="000A0EC2">
      <w:r>
        <w:t>4.1</w:t>
      </w:r>
      <w:r>
        <w:tab/>
        <w:t>The Supplier shall permit:</w:t>
      </w:r>
      <w:r>
        <w:tab/>
      </w:r>
    </w:p>
    <w:p w14:paraId="546917DE" w14:textId="77777777" w:rsidR="00B848AA" w:rsidRDefault="00B848AA"/>
    <w:p w14:paraId="5EC57D3B" w14:textId="77777777" w:rsidR="00B848AA" w:rsidRDefault="000A0EC2">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9623B9D" w14:textId="77777777" w:rsidR="00B848AA" w:rsidRDefault="00B848AA"/>
    <w:p w14:paraId="2895E78E" w14:textId="77777777" w:rsidR="00B848AA" w:rsidRDefault="000A0EC2">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9E0ED2F" w14:textId="77777777" w:rsidR="00B848AA" w:rsidRDefault="00B848AA"/>
    <w:p w14:paraId="64F7D932" w14:textId="77777777" w:rsidR="00B848AA" w:rsidRDefault="000A0EC2">
      <w:pPr>
        <w:ind w:left="720" w:hanging="720"/>
      </w:pPr>
      <w:r>
        <w:t>4.2</w:t>
      </w:r>
      <w:r>
        <w:tab/>
        <w:t>The Buyer may, in its sole discretion, require the Supplier to provide evidence of the Supplier’s compliance with Clause 4.1 in lieu of conducting such an audit, assessment or inspection.</w:t>
      </w:r>
    </w:p>
    <w:p w14:paraId="13544B0D" w14:textId="77777777" w:rsidR="00B848AA" w:rsidRDefault="00B848AA"/>
    <w:p w14:paraId="23CFFD2D" w14:textId="77777777" w:rsidR="00B848AA" w:rsidRDefault="000A0EC2">
      <w:pPr>
        <w:pStyle w:val="Heading4"/>
      </w:pPr>
      <w:r>
        <w:t>5.</w:t>
      </w:r>
      <w:r>
        <w:tab/>
        <w:t>Impact Assessments</w:t>
      </w:r>
    </w:p>
    <w:p w14:paraId="7D307DD0" w14:textId="77777777" w:rsidR="00B848AA" w:rsidRDefault="000A0EC2">
      <w:r>
        <w:t>5.1</w:t>
      </w:r>
      <w:r>
        <w:tab/>
        <w:t>The Parties shall:</w:t>
      </w:r>
    </w:p>
    <w:p w14:paraId="485785EE" w14:textId="77777777" w:rsidR="00B848AA" w:rsidRDefault="00B848AA"/>
    <w:p w14:paraId="60B9CE8E" w14:textId="77777777" w:rsidR="00B848AA" w:rsidRDefault="000A0EC2">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53360848" w14:textId="77777777" w:rsidR="00B848AA" w:rsidRDefault="00B848AA"/>
    <w:p w14:paraId="5AE8A52B" w14:textId="77777777" w:rsidR="00B848AA" w:rsidRDefault="000A0EC2">
      <w:pPr>
        <w:ind w:left="1440" w:hanging="720"/>
      </w:pPr>
      <w:r>
        <w:t>(b)</w:t>
      </w:r>
      <w:r>
        <w:tab/>
        <w:t>maintain full and complete records of all Processing carried out in respect of the Personal Data in connection with the contract, in accordance with the terms of Article 30 GDPR.</w:t>
      </w:r>
    </w:p>
    <w:p w14:paraId="2A155BDB" w14:textId="77777777" w:rsidR="00B848AA" w:rsidRDefault="00B848AA"/>
    <w:p w14:paraId="1071B65B" w14:textId="77777777" w:rsidR="00B848AA" w:rsidRDefault="000A0EC2">
      <w:pPr>
        <w:pStyle w:val="Heading4"/>
      </w:pPr>
      <w:r>
        <w:t>6.</w:t>
      </w:r>
      <w:r>
        <w:tab/>
        <w:t xml:space="preserve"> ICO Guidance</w:t>
      </w:r>
    </w:p>
    <w:p w14:paraId="756D73B5" w14:textId="77777777" w:rsidR="00B848AA" w:rsidRDefault="000A0EC2">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2FCDEDE" w14:textId="77777777" w:rsidR="00B848AA" w:rsidRDefault="00B848AA"/>
    <w:p w14:paraId="39FEA4B8" w14:textId="77777777" w:rsidR="00B848AA" w:rsidRDefault="000A0EC2">
      <w:pPr>
        <w:pStyle w:val="Heading4"/>
      </w:pPr>
      <w:r>
        <w:t xml:space="preserve">7. </w:t>
      </w:r>
      <w:r>
        <w:tab/>
        <w:t>Liabilities for Data Protection Breach</w:t>
      </w:r>
    </w:p>
    <w:p w14:paraId="7901F7EA" w14:textId="77777777" w:rsidR="00B848AA" w:rsidRDefault="000A0EC2">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5B90D161" w14:textId="77777777" w:rsidR="00B848AA" w:rsidRDefault="00B848AA"/>
    <w:p w14:paraId="5DBD5C5D" w14:textId="77777777" w:rsidR="00B848AA" w:rsidRDefault="000A0EC2">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448D4BBA" w14:textId="77777777" w:rsidR="00B848AA" w:rsidRDefault="00B848AA">
      <w:pPr>
        <w:shd w:val="clear" w:color="auto" w:fill="FFFFFF"/>
        <w:spacing w:line="240" w:lineRule="auto"/>
        <w:rPr>
          <w:rFonts w:eastAsia="Times New Roman"/>
          <w:color w:val="000000"/>
          <w:lang w:eastAsia="en-US"/>
        </w:rPr>
      </w:pPr>
    </w:p>
    <w:p w14:paraId="7B9F06A4" w14:textId="77777777" w:rsidR="00B848AA" w:rsidRDefault="000A0EC2">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ECECD3F" w14:textId="77777777" w:rsidR="00B848AA" w:rsidRDefault="00B848AA">
      <w:pPr>
        <w:shd w:val="clear" w:color="auto" w:fill="FFFFFF"/>
        <w:spacing w:line="240" w:lineRule="auto"/>
        <w:rPr>
          <w:rFonts w:eastAsia="Times New Roman"/>
          <w:color w:val="000000"/>
          <w:lang w:eastAsia="en-US"/>
        </w:rPr>
      </w:pPr>
    </w:p>
    <w:p w14:paraId="7EA4B38A" w14:textId="77777777" w:rsidR="00B848AA" w:rsidRDefault="000A0EC2">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0F88A42E" w14:textId="77777777" w:rsidR="00B848AA" w:rsidRDefault="00B848AA">
      <w:pPr>
        <w:shd w:val="clear" w:color="auto" w:fill="FFFFFF"/>
        <w:spacing w:line="240" w:lineRule="auto"/>
        <w:rPr>
          <w:rFonts w:eastAsia="Times New Roman"/>
          <w:color w:val="000000"/>
          <w:lang w:eastAsia="en-US"/>
        </w:rPr>
      </w:pPr>
    </w:p>
    <w:p w14:paraId="080F33AF" w14:textId="77777777" w:rsidR="00B848AA" w:rsidRDefault="000A0EC2">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A3E722D" w14:textId="77777777" w:rsidR="00B848AA" w:rsidRDefault="00B848AA">
      <w:pPr>
        <w:shd w:val="clear" w:color="auto" w:fill="FFFFFF"/>
        <w:spacing w:line="240" w:lineRule="auto"/>
        <w:rPr>
          <w:rFonts w:eastAsia="Times New Roman"/>
          <w:color w:val="000000"/>
          <w:lang w:eastAsia="en-US"/>
        </w:rPr>
      </w:pPr>
    </w:p>
    <w:p w14:paraId="58AF0BA0" w14:textId="77777777" w:rsidR="00B848AA" w:rsidRDefault="000A0EC2">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E5DECD0" w14:textId="77777777" w:rsidR="00B848AA" w:rsidRDefault="00B848AA">
      <w:pPr>
        <w:shd w:val="clear" w:color="auto" w:fill="FFFFFF"/>
        <w:spacing w:line="240" w:lineRule="auto"/>
        <w:rPr>
          <w:rFonts w:eastAsia="Times New Roman"/>
          <w:color w:val="000000"/>
          <w:lang w:eastAsia="en-US"/>
        </w:rPr>
      </w:pPr>
    </w:p>
    <w:p w14:paraId="0452D2CA" w14:textId="77777777" w:rsidR="00B848AA" w:rsidRDefault="000A0EC2">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786D4015" w14:textId="77777777" w:rsidR="00B848AA" w:rsidRDefault="00B848AA">
      <w:pPr>
        <w:shd w:val="clear" w:color="auto" w:fill="FFFFFF"/>
        <w:spacing w:line="240" w:lineRule="auto"/>
        <w:ind w:left="720" w:firstLine="720"/>
        <w:rPr>
          <w:rFonts w:eastAsia="Times New Roman"/>
          <w:color w:val="000000"/>
          <w:lang w:eastAsia="en-US"/>
        </w:rPr>
      </w:pPr>
    </w:p>
    <w:p w14:paraId="12406862" w14:textId="77777777" w:rsidR="00B848AA" w:rsidRDefault="000A0EC2">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4BF129BA" w14:textId="77777777" w:rsidR="00B848AA" w:rsidRDefault="00B848AA">
      <w:pPr>
        <w:shd w:val="clear" w:color="auto" w:fill="FFFFFF"/>
        <w:spacing w:line="240" w:lineRule="auto"/>
        <w:ind w:left="720" w:firstLine="720"/>
        <w:rPr>
          <w:rFonts w:eastAsia="Times New Roman"/>
          <w:color w:val="000000"/>
          <w:lang w:eastAsia="en-US"/>
        </w:rPr>
      </w:pPr>
    </w:p>
    <w:p w14:paraId="7DDAB243" w14:textId="77777777" w:rsidR="00B848AA" w:rsidRDefault="000A0EC2">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49F5B18B" w14:textId="77777777" w:rsidR="00B848AA" w:rsidRDefault="00B848AA">
      <w:pPr>
        <w:shd w:val="clear" w:color="auto" w:fill="FFFFFF"/>
        <w:spacing w:line="240" w:lineRule="auto"/>
        <w:rPr>
          <w:rFonts w:eastAsia="Times New Roman"/>
          <w:color w:val="000000"/>
          <w:lang w:eastAsia="en-US"/>
        </w:rPr>
      </w:pPr>
    </w:p>
    <w:p w14:paraId="71A90F6A" w14:textId="77777777" w:rsidR="00B848AA" w:rsidRDefault="000A0EC2">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DC14140" w14:textId="77777777" w:rsidR="00B848AA" w:rsidRDefault="00B848AA">
      <w:pPr>
        <w:shd w:val="clear" w:color="auto" w:fill="FFFFFF"/>
        <w:spacing w:line="240" w:lineRule="auto"/>
        <w:ind w:left="1440"/>
        <w:rPr>
          <w:rFonts w:ascii="Times New Roman" w:eastAsia="Times New Roman" w:hAnsi="Times New Roman" w:cs="Times New Roman"/>
          <w:sz w:val="24"/>
          <w:szCs w:val="24"/>
          <w:lang w:eastAsia="en-US"/>
        </w:rPr>
      </w:pPr>
    </w:p>
    <w:p w14:paraId="79F13C3E" w14:textId="77777777" w:rsidR="00B848AA" w:rsidRDefault="000A0EC2">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6A10A70" w14:textId="77777777" w:rsidR="00B848AA" w:rsidRDefault="00B848AA">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5B1A4486" w14:textId="77777777" w:rsidR="00B848AA" w:rsidRDefault="000A0EC2">
      <w:pPr>
        <w:pStyle w:val="Heading4"/>
        <w:spacing w:before="0" w:after="0" w:line="480" w:lineRule="auto"/>
      </w:pPr>
      <w:r>
        <w:t xml:space="preserve">8. </w:t>
      </w:r>
      <w:r>
        <w:tab/>
        <w:t>Not used</w:t>
      </w:r>
    </w:p>
    <w:p w14:paraId="19C3C0B8" w14:textId="77777777" w:rsidR="00B848AA" w:rsidRDefault="000A0EC2">
      <w:pPr>
        <w:pStyle w:val="Heading4"/>
      </w:pPr>
      <w:r>
        <w:t>9.</w:t>
      </w:r>
      <w:r>
        <w:tab/>
        <w:t>Termination</w:t>
      </w:r>
    </w:p>
    <w:p w14:paraId="05C505E0" w14:textId="77777777" w:rsidR="00B848AA" w:rsidRDefault="000A0EC2">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27F0A3C" w14:textId="77777777" w:rsidR="00B848AA" w:rsidRDefault="00B848AA"/>
    <w:p w14:paraId="0EB891EA" w14:textId="77777777" w:rsidR="00B848AA" w:rsidRDefault="000A0EC2">
      <w:pPr>
        <w:pStyle w:val="Heading4"/>
      </w:pPr>
      <w:r>
        <w:t>10.</w:t>
      </w:r>
      <w:r>
        <w:tab/>
        <w:t>Sub-Processing</w:t>
      </w:r>
    </w:p>
    <w:p w14:paraId="59C28A0F" w14:textId="77777777" w:rsidR="00B848AA" w:rsidRDefault="000A0EC2">
      <w:pPr>
        <w:ind w:left="720" w:hanging="720"/>
      </w:pPr>
      <w:r>
        <w:t>10.1</w:t>
      </w:r>
      <w:r>
        <w:tab/>
        <w:t>In respect of any Processing of Personal Data performed by a third party on behalf of a Party, that Party shall:</w:t>
      </w:r>
    </w:p>
    <w:p w14:paraId="1737494D" w14:textId="77777777" w:rsidR="00B848AA" w:rsidRDefault="00B848AA"/>
    <w:p w14:paraId="3F03DF5F" w14:textId="77777777" w:rsidR="00B848AA" w:rsidRDefault="000A0EC2">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29D1588" w14:textId="77777777" w:rsidR="00B848AA" w:rsidRDefault="00B848AA">
      <w:pPr>
        <w:ind w:left="1440"/>
      </w:pPr>
    </w:p>
    <w:p w14:paraId="2F4FC9F7" w14:textId="77777777" w:rsidR="00B848AA" w:rsidRDefault="000A0EC2">
      <w:pPr>
        <w:ind w:left="1440" w:hanging="720"/>
      </w:pPr>
      <w:r>
        <w:t>(b)</w:t>
      </w:r>
      <w:r>
        <w:tab/>
        <w:t>ensure that a suitable agreement is in place with the third party as required under applicable Data Protection Legislation.</w:t>
      </w:r>
    </w:p>
    <w:p w14:paraId="2303CE1E" w14:textId="77777777" w:rsidR="00B848AA" w:rsidRDefault="00B848AA">
      <w:pPr>
        <w:ind w:left="720" w:firstLine="720"/>
      </w:pPr>
    </w:p>
    <w:p w14:paraId="64071004" w14:textId="77777777" w:rsidR="00B848AA" w:rsidRDefault="000A0EC2">
      <w:pPr>
        <w:pStyle w:val="Heading4"/>
      </w:pPr>
      <w:r>
        <w:t>11. Data Retention</w:t>
      </w:r>
    </w:p>
    <w:p w14:paraId="7DFE4F5A" w14:textId="77777777" w:rsidR="00B848AA" w:rsidRDefault="000A0EC2">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B848AA" w:rsidSect="00353F6C">
      <w:headerReference w:type="default" r:id="rId41"/>
      <w:footerReference w:type="default" r:id="rId42"/>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5FDC" w14:textId="77777777" w:rsidR="004E4C22" w:rsidRDefault="004E4C22">
      <w:pPr>
        <w:spacing w:line="240" w:lineRule="auto"/>
      </w:pPr>
      <w:r>
        <w:separator/>
      </w:r>
    </w:p>
  </w:endnote>
  <w:endnote w:type="continuationSeparator" w:id="0">
    <w:p w14:paraId="4E9C7ADB" w14:textId="77777777" w:rsidR="004E4C22" w:rsidRDefault="004E4C22">
      <w:pPr>
        <w:spacing w:line="240" w:lineRule="auto"/>
      </w:pPr>
      <w:r>
        <w:continuationSeparator/>
      </w:r>
    </w:p>
  </w:endnote>
  <w:endnote w:type="continuationNotice" w:id="1">
    <w:p w14:paraId="050EDA3C" w14:textId="77777777" w:rsidR="004E4C22" w:rsidRDefault="004E4C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Cambria"/>
    <w:panose1 w:val="00000000000000000000"/>
    <w:charset w:val="00"/>
    <w:family w:val="roman"/>
    <w:notTrueType/>
    <w:pitch w:val="default"/>
  </w:font>
  <w:font w:name="SegoeUI">
    <w:altName w:val="Segoe U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ymbo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2E18" w14:textId="584F1D02" w:rsidR="003B1A59" w:rsidRDefault="003B1A59" w:rsidP="0020426A">
    <w:pPr>
      <w:pStyle w:val="Footer"/>
      <w:framePr w:wrap="none" w:vAnchor="text" w:hAnchor="margin" w:xAlign="right" w:y="1"/>
      <w:rPr>
        <w:rStyle w:val="PageNumber"/>
      </w:rPr>
    </w:pPr>
    <w:r>
      <w:rPr>
        <w:noProof/>
      </w:rPr>
      <mc:AlternateContent>
        <mc:Choice Requires="wps">
          <w:drawing>
            <wp:anchor distT="0" distB="0" distL="114300" distR="114300" simplePos="0" relativeHeight="251762688" behindDoc="0" locked="0" layoutInCell="0" allowOverlap="1" wp14:anchorId="3A47E680" wp14:editId="3AF45457">
              <wp:simplePos x="0" y="0"/>
              <wp:positionH relativeFrom="page">
                <wp:posOffset>0</wp:posOffset>
              </wp:positionH>
              <wp:positionV relativeFrom="page">
                <wp:posOffset>10226040</wp:posOffset>
              </wp:positionV>
              <wp:extent cx="7562215" cy="273050"/>
              <wp:effectExtent l="0" t="0" r="0" b="12700"/>
              <wp:wrapNone/>
              <wp:docPr id="2" name="MSIPCMe7df40278696e51f2932677e"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3AF47" w14:textId="4FD2DCD5" w:rsidR="003B1A59" w:rsidRPr="00B1132F" w:rsidRDefault="003B1A59" w:rsidP="00B1132F">
                          <w:pPr>
                            <w:jc w:val="center"/>
                            <w:rPr>
                              <w:rFonts w:ascii="Calibri" w:hAnsi="Calibri" w:cs="Calibri"/>
                              <w:color w:val="000000"/>
                              <w:sz w:val="20"/>
                            </w:rPr>
                          </w:pPr>
                          <w:r w:rsidRPr="00B1132F">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47E680" id="_x0000_t202" coordsize="21600,21600" o:spt="202" path="m,l,21600r21600,l21600,xe">
              <v:stroke joinstyle="miter"/>
              <v:path gradientshapeok="t" o:connecttype="rect"/>
            </v:shapetype>
            <v:shape id="MSIPCMe7df40278696e51f2932677e" o:spid="_x0000_s1027" type="#_x0000_t202" alt="{&quot;HashCode&quot;:-1561102028,&quot;Height&quot;:841.0,&quot;Width&quot;:595.0,&quot;Placement&quot;:&quot;Footer&quot;,&quot;Index&quot;:&quot;Primary&quot;,&quot;Section&quot;:1,&quot;Top&quot;:0.0,&quot;Left&quot;:0.0}" style="position:absolute;margin-left:0;margin-top:805.2pt;width:595.45pt;height:21.5pt;z-index:251762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0oM2wN8AAAALAQAADwAAAAAAAAAAAAAAAABwBAAAZHJzL2Rvd25yZXYueG1sUEsFBgAA&#10;AAAEAAQA8wAAAHwFAAAAAA==&#10;" o:allowincell="f" filled="f" stroked="f" strokeweight=".5pt">
              <v:textbox inset=",0,,0">
                <w:txbxContent>
                  <w:p w14:paraId="4663AF47" w14:textId="4FD2DCD5" w:rsidR="003B1A59" w:rsidRPr="00B1132F" w:rsidRDefault="003B1A59" w:rsidP="00B1132F">
                    <w:pPr>
                      <w:jc w:val="center"/>
                      <w:rPr>
                        <w:rFonts w:ascii="Calibri" w:hAnsi="Calibri" w:cs="Calibri"/>
                        <w:color w:val="000000"/>
                        <w:sz w:val="20"/>
                      </w:rPr>
                    </w:pPr>
                    <w:r w:rsidRPr="00B1132F">
                      <w:rPr>
                        <w:rFonts w:ascii="Calibri" w:hAnsi="Calibri" w:cs="Calibri"/>
                        <w:color w:val="000000"/>
                        <w:sz w:val="20"/>
                      </w:rPr>
                      <w:t>OFFICIAL-SENSITIVE</w:t>
                    </w:r>
                  </w:p>
                </w:txbxContent>
              </v:textbox>
              <w10:wrap anchorx="page" anchory="page"/>
            </v:shape>
          </w:pict>
        </mc:Fallback>
      </mc:AlternateContent>
    </w:r>
    <w:sdt>
      <w:sdtPr>
        <w:rPr>
          <w:rStyle w:val="PageNumber"/>
        </w:rPr>
        <w:id w:val="-1136724077"/>
        <w:docPartObj>
          <w:docPartGallery w:val="Page Numbers (Bottom of Page)"/>
          <w:docPartUnique/>
        </w:docPartObj>
      </w:sdtPr>
      <w:sdtEndPr>
        <w:rPr>
          <w:rStyle w:val="PageNumber"/>
        </w:rPr>
      </w:sdtEndPr>
      <w:sdtContent>
        <w:r>
          <w:rPr>
            <w:noProof/>
          </w:rPr>
          <mc:AlternateContent>
            <mc:Choice Requires="wps">
              <w:drawing>
                <wp:anchor distT="0" distB="0" distL="114300" distR="114300" simplePos="0" relativeHeight="251622400" behindDoc="0" locked="0" layoutInCell="0" allowOverlap="1" wp14:anchorId="26792745" wp14:editId="21CC26F1">
                  <wp:simplePos x="0" y="0"/>
                  <wp:positionH relativeFrom="page">
                    <wp:align>center</wp:align>
                  </wp:positionH>
                  <wp:positionV relativeFrom="page">
                    <wp:align>bottom</wp:align>
                  </wp:positionV>
                  <wp:extent cx="7772400" cy="442595"/>
                  <wp:effectExtent l="0" t="0" r="0" b="14605"/>
                  <wp:wrapNone/>
                  <wp:docPr id="3" name="MSIPCM4e4a448ea3afd6b247b514ae" descr="{&quot;HashCode&quot;:-1582599169,&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AF7B5" w14:textId="2F9D8639" w:rsidR="003B1A59" w:rsidRPr="004872F4" w:rsidRDefault="003B1A59" w:rsidP="004872F4">
                              <w:pPr>
                                <w:jc w:val="center"/>
                                <w:rPr>
                                  <w:color w:val="000000"/>
                                  <w:sz w:val="20"/>
                                </w:rPr>
                              </w:pPr>
                              <w:r w:rsidRPr="004872F4">
                                <w:rPr>
                                  <w:color w:val="000000"/>
                                  <w:sz w:val="20"/>
                                </w:rPr>
                                <w:t>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792745" id="MSIPCM4e4a448ea3afd6b247b514ae" o:spid="_x0000_s1028" type="#_x0000_t202" alt="{&quot;HashCode&quot;:-1582599169,&quot;Height&quot;:9999999.0,&quot;Width&quot;:9999999.0,&quot;Placement&quot;:&quot;Footer&quot;,&quot;Index&quot;:&quot;Primary&quot;,&quot;Section&quot;:3,&quot;Top&quot;:0.0,&quot;Left&quot;:0.0}" style="position:absolute;margin-left:0;margin-top:0;width:612pt;height:34.85pt;z-index:2516224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40FAF7B5" w14:textId="2F9D8639" w:rsidR="003B1A59" w:rsidRPr="004872F4" w:rsidRDefault="003B1A59" w:rsidP="004872F4">
                        <w:pPr>
                          <w:jc w:val="center"/>
                          <w:rPr>
                            <w:color w:val="000000"/>
                            <w:sz w:val="20"/>
                          </w:rPr>
                        </w:pPr>
                        <w:r w:rsidRPr="004872F4">
                          <w:rPr>
                            <w:color w:val="000000"/>
                            <w:sz w:val="20"/>
                          </w:rPr>
                          <w:t>Confidential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B33C22">
          <w:rPr>
            <w:rStyle w:val="PageNumber"/>
            <w:noProof/>
          </w:rPr>
          <w:t>15</w:t>
        </w:r>
        <w:r>
          <w:rPr>
            <w:rStyle w:val="PageNumber"/>
          </w:rPr>
          <w:fldChar w:fldCharType="end"/>
        </w:r>
      </w:sdtContent>
    </w:sdt>
  </w:p>
  <w:p w14:paraId="29A29683" w14:textId="6C7F4C9B" w:rsidR="003B1A59" w:rsidRDefault="003B1A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AD89" w14:textId="77777777" w:rsidR="004E4C22" w:rsidRDefault="004E4C22">
      <w:pPr>
        <w:spacing w:line="240" w:lineRule="auto"/>
      </w:pPr>
      <w:r>
        <w:rPr>
          <w:color w:val="000000"/>
        </w:rPr>
        <w:separator/>
      </w:r>
    </w:p>
  </w:footnote>
  <w:footnote w:type="continuationSeparator" w:id="0">
    <w:p w14:paraId="160C6354" w14:textId="77777777" w:rsidR="004E4C22" w:rsidRDefault="004E4C22">
      <w:pPr>
        <w:spacing w:line="240" w:lineRule="auto"/>
      </w:pPr>
      <w:r>
        <w:continuationSeparator/>
      </w:r>
    </w:p>
  </w:footnote>
  <w:footnote w:type="continuationNotice" w:id="1">
    <w:p w14:paraId="07C6ADE7" w14:textId="77777777" w:rsidR="004E4C22" w:rsidRDefault="004E4C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F681" w14:textId="08DED95C" w:rsidR="003B1A59" w:rsidRDefault="003B1A59">
    <w:pPr>
      <w:pStyle w:val="Header"/>
    </w:pPr>
    <w:r>
      <w:rPr>
        <w:noProof/>
      </w:rPr>
      <mc:AlternateContent>
        <mc:Choice Requires="wps">
          <w:drawing>
            <wp:anchor distT="0" distB="0" distL="114300" distR="114300" simplePos="0" relativeHeight="251761664" behindDoc="0" locked="0" layoutInCell="0" allowOverlap="1" wp14:anchorId="13183AED" wp14:editId="68454E13">
              <wp:simplePos x="0" y="0"/>
              <wp:positionH relativeFrom="page">
                <wp:posOffset>0</wp:posOffset>
              </wp:positionH>
              <wp:positionV relativeFrom="page">
                <wp:posOffset>190500</wp:posOffset>
              </wp:positionV>
              <wp:extent cx="7562215" cy="273050"/>
              <wp:effectExtent l="0" t="0" r="0" b="12700"/>
              <wp:wrapNone/>
              <wp:docPr id="5" name="MSIPCM4ab3449daf8674a0acf795b7"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BC354" w14:textId="5FFF1986" w:rsidR="003B1A59" w:rsidRPr="001B00A4" w:rsidRDefault="00D10B4A" w:rsidP="001B00A4">
                          <w:pPr>
                            <w:jc w:val="center"/>
                            <w:rPr>
                              <w:rFonts w:ascii="Calibri" w:hAnsi="Calibri" w:cs="Calibri"/>
                              <w:color w:val="000000"/>
                              <w:sz w:val="20"/>
                            </w:rPr>
                          </w:pPr>
                          <w:r>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183AED" id="_x0000_t202" coordsize="21600,21600" o:spt="202" path="m,l,21600r21600,l21600,xe">
              <v:stroke joinstyle="miter"/>
              <v:path gradientshapeok="t" o:connecttype="rect"/>
            </v:shapetype>
            <v:shape id="MSIPCM4ab3449daf8674a0acf795b7" o:spid="_x0000_s1026" type="#_x0000_t202" alt="{&quot;HashCode&quot;:-1585239597,&quot;Height&quot;:841.0,&quot;Width&quot;:595.0,&quot;Placement&quot;:&quot;Header&quot;,&quot;Index&quot;:&quot;Primary&quot;,&quot;Section&quot;:1,&quot;Top&quot;:0.0,&quot;Left&quot;:0.0}" style="position:absolute;margin-left:0;margin-top:15pt;width:595.45pt;height:21.5pt;z-index:251761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0ABBC354" w14:textId="5FFF1986" w:rsidR="003B1A59" w:rsidRPr="001B00A4" w:rsidRDefault="00D10B4A" w:rsidP="001B00A4">
                    <w:pPr>
                      <w:jc w:val="center"/>
                      <w:rPr>
                        <w:rFonts w:ascii="Calibri" w:hAnsi="Calibri" w:cs="Calibri"/>
                        <w:color w:val="000000"/>
                        <w:sz w:val="20"/>
                      </w:rPr>
                    </w:pPr>
                    <w:r>
                      <w:rPr>
                        <w:rFonts w:ascii="Calibri" w:hAnsi="Calibri" w:cs="Calibri"/>
                        <w:color w:val="00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9E7"/>
    <w:multiLevelType w:val="multilevel"/>
    <w:tmpl w:val="B9DE051A"/>
    <w:styleLink w:val="BulletList"/>
    <w:lvl w:ilvl="0">
      <w:start w:val="1"/>
      <w:numFmt w:val="bullet"/>
      <w:lvlText w:val="•"/>
      <w:lvlJc w:val="left"/>
      <w:pPr>
        <w:tabs>
          <w:tab w:val="num" w:pos="360"/>
        </w:tabs>
        <w:ind w:left="360" w:hanging="360"/>
      </w:pPr>
      <w:rPr>
        <w:rFonts w:ascii="Tahoma" w:hAnsi="Tahoma" w:cs="Tahoma" w:hint="default"/>
        <w:b/>
        <w:color w:val="AD2F2F"/>
        <w:sz w:val="22"/>
        <w:szCs w:val="22"/>
      </w:rPr>
    </w:lvl>
    <w:lvl w:ilvl="1">
      <w:start w:val="1"/>
      <w:numFmt w:val="bullet"/>
      <w:lvlText w:val="»"/>
      <w:lvlJc w:val="left"/>
      <w:pPr>
        <w:tabs>
          <w:tab w:val="num" w:pos="720"/>
        </w:tabs>
        <w:ind w:left="720" w:hanging="360"/>
      </w:pPr>
      <w:rPr>
        <w:rFonts w:ascii="Arial" w:hAnsi="Arial" w:cs="Arial" w:hint="default"/>
        <w:b w:val="0"/>
        <w:color w:val="AD2F2F"/>
        <w:sz w:val="22"/>
      </w:rPr>
    </w:lvl>
    <w:lvl w:ilvl="2">
      <w:start w:val="1"/>
      <w:numFmt w:val="bullet"/>
      <w:lvlText w:val="›"/>
      <w:lvlJc w:val="left"/>
      <w:pPr>
        <w:tabs>
          <w:tab w:val="num" w:pos="1080"/>
        </w:tabs>
        <w:ind w:left="1080" w:hanging="360"/>
      </w:pPr>
      <w:rPr>
        <w:rFonts w:ascii="Arial" w:hAnsi="Arial" w:cs="Arial" w:hint="default"/>
        <w:b w:val="0"/>
        <w:color w:val="AD2F2F"/>
        <w:sz w:val="22"/>
      </w:rPr>
    </w:lvl>
    <w:lvl w:ilvl="3">
      <w:start w:val="1"/>
      <w:numFmt w:val="bullet"/>
      <w:lvlText w:val="-"/>
      <w:lvlJc w:val="left"/>
      <w:pPr>
        <w:tabs>
          <w:tab w:val="num" w:pos="1440"/>
        </w:tabs>
        <w:ind w:left="1440" w:hanging="360"/>
      </w:pPr>
      <w:rPr>
        <w:rFonts w:ascii="Arial" w:hAnsi="Arial" w:cs="Arial" w:hint="default"/>
        <w:b w:val="0"/>
        <w:color w:val="AD2F2F"/>
        <w:sz w:val="22"/>
      </w:rPr>
    </w:lvl>
    <w:lvl w:ilvl="4">
      <w:start w:val="1"/>
      <w:numFmt w:val="bullet"/>
      <w:lvlText w:val="-"/>
      <w:lvlJc w:val="left"/>
      <w:pPr>
        <w:tabs>
          <w:tab w:val="num" w:pos="1800"/>
        </w:tabs>
        <w:ind w:left="1800" w:hanging="360"/>
      </w:pPr>
      <w:rPr>
        <w:rFonts w:ascii="Courier New" w:hAnsi="Courier New" w:hint="default"/>
        <w:color w:val="333399"/>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D5EB1"/>
    <w:multiLevelType w:val="hybridMultilevel"/>
    <w:tmpl w:val="F8C0794A"/>
    <w:lvl w:ilvl="0" w:tplc="519423C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5D3118"/>
    <w:multiLevelType w:val="multilevel"/>
    <w:tmpl w:val="504E4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F241AB"/>
    <w:multiLevelType w:val="multilevel"/>
    <w:tmpl w:val="F2D204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AFF55D1"/>
    <w:multiLevelType w:val="multilevel"/>
    <w:tmpl w:val="D2300B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B89181C"/>
    <w:multiLevelType w:val="multilevel"/>
    <w:tmpl w:val="61E4BF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EBB1738"/>
    <w:multiLevelType w:val="multilevel"/>
    <w:tmpl w:val="08A853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CB35D7"/>
    <w:multiLevelType w:val="multilevel"/>
    <w:tmpl w:val="8F6C9A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1905C11"/>
    <w:multiLevelType w:val="multilevel"/>
    <w:tmpl w:val="87B6D9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4BA3D23"/>
    <w:multiLevelType w:val="hybridMultilevel"/>
    <w:tmpl w:val="39CCCC98"/>
    <w:lvl w:ilvl="0" w:tplc="8EB8A9C2">
      <w:numFmt w:val="bullet"/>
      <w:lvlText w:val="•"/>
      <w:lvlJc w:val="left"/>
      <w:pPr>
        <w:ind w:left="1077" w:hanging="720"/>
      </w:pPr>
      <w:rPr>
        <w:rFonts w:ascii="Cambria" w:eastAsiaTheme="majorEastAsia" w:hAnsi="Cambria" w:cstheme="majorBidi"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9182BDE"/>
    <w:multiLevelType w:val="multilevel"/>
    <w:tmpl w:val="30FECE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7F1853"/>
    <w:multiLevelType w:val="multilevel"/>
    <w:tmpl w:val="E0D280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9CD5B31"/>
    <w:multiLevelType w:val="multilevel"/>
    <w:tmpl w:val="7C5404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A3A34D9"/>
    <w:multiLevelType w:val="multilevel"/>
    <w:tmpl w:val="464C4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BC01A5A"/>
    <w:multiLevelType w:val="hybridMultilevel"/>
    <w:tmpl w:val="6C8E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64142"/>
    <w:multiLevelType w:val="multilevel"/>
    <w:tmpl w:val="9670E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0F65EA"/>
    <w:multiLevelType w:val="multilevel"/>
    <w:tmpl w:val="3872EF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D252595"/>
    <w:multiLevelType w:val="hybridMultilevel"/>
    <w:tmpl w:val="700A8C7C"/>
    <w:lvl w:ilvl="0" w:tplc="08090001">
      <w:start w:val="1"/>
      <w:numFmt w:val="bullet"/>
      <w:lvlText w:val=""/>
      <w:lvlJc w:val="left"/>
      <w:pPr>
        <w:ind w:left="720" w:hanging="360"/>
      </w:pPr>
      <w:rPr>
        <w:rFonts w:ascii="Symbol" w:hAnsi="Symbol" w:hint="default"/>
      </w:rPr>
    </w:lvl>
    <w:lvl w:ilvl="1" w:tplc="172EA820">
      <w:numFmt w:val="bullet"/>
      <w:lvlText w:val="•"/>
      <w:lvlJc w:val="left"/>
      <w:pPr>
        <w:ind w:left="1800" w:hanging="720"/>
      </w:pPr>
      <w:rPr>
        <w:rFonts w:ascii="Cambria" w:eastAsiaTheme="majorEastAsia" w:hAnsi="Cambria"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C52CF"/>
    <w:multiLevelType w:val="multilevel"/>
    <w:tmpl w:val="455AE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A0B6CEF"/>
    <w:multiLevelType w:val="multilevel"/>
    <w:tmpl w:val="BA3C295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DA47918"/>
    <w:multiLevelType w:val="multilevel"/>
    <w:tmpl w:val="BA0867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E07583A"/>
    <w:multiLevelType w:val="multilevel"/>
    <w:tmpl w:val="E0E69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4F689C"/>
    <w:multiLevelType w:val="multilevel"/>
    <w:tmpl w:val="1214F1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20A3C93"/>
    <w:multiLevelType w:val="hybridMultilevel"/>
    <w:tmpl w:val="4C7C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032C6"/>
    <w:multiLevelType w:val="multilevel"/>
    <w:tmpl w:val="2FA2BB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94E0890"/>
    <w:multiLevelType w:val="hybridMultilevel"/>
    <w:tmpl w:val="3E76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5368F"/>
    <w:multiLevelType w:val="multilevel"/>
    <w:tmpl w:val="B0427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5C7955"/>
    <w:multiLevelType w:val="multilevel"/>
    <w:tmpl w:val="252ED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C8647ED"/>
    <w:multiLevelType w:val="multilevel"/>
    <w:tmpl w:val="0AD4AE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DB24EC7"/>
    <w:multiLevelType w:val="multilevel"/>
    <w:tmpl w:val="EA929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7B3F2D"/>
    <w:multiLevelType w:val="multilevel"/>
    <w:tmpl w:val="A7C846F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CAB1A9A"/>
    <w:multiLevelType w:val="multilevel"/>
    <w:tmpl w:val="71E6F4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6DAC2285"/>
    <w:multiLevelType w:val="multilevel"/>
    <w:tmpl w:val="049662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F282842"/>
    <w:multiLevelType w:val="multilevel"/>
    <w:tmpl w:val="B9DE051A"/>
    <w:numStyleLink w:val="BulletList"/>
  </w:abstractNum>
  <w:abstractNum w:abstractNumId="34" w15:restartNumberingAfterBreak="0">
    <w:nsid w:val="6FA1500E"/>
    <w:multiLevelType w:val="multilevel"/>
    <w:tmpl w:val="ED50A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FBD6A22"/>
    <w:multiLevelType w:val="multilevel"/>
    <w:tmpl w:val="D3AE67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2ED43BD"/>
    <w:multiLevelType w:val="multilevel"/>
    <w:tmpl w:val="C79EA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4504A2"/>
    <w:multiLevelType w:val="hybridMultilevel"/>
    <w:tmpl w:val="DC589A9A"/>
    <w:lvl w:ilvl="0" w:tplc="2B329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A43F78"/>
    <w:multiLevelType w:val="hybridMultilevel"/>
    <w:tmpl w:val="2894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ED3289"/>
    <w:multiLevelType w:val="hybridMultilevel"/>
    <w:tmpl w:val="F7C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22E93"/>
    <w:multiLevelType w:val="multilevel"/>
    <w:tmpl w:val="15047C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8C626A2"/>
    <w:multiLevelType w:val="multilevel"/>
    <w:tmpl w:val="9C9E07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8CD21EF"/>
    <w:multiLevelType w:val="multilevel"/>
    <w:tmpl w:val="2D22D8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8D71305"/>
    <w:multiLevelType w:val="multilevel"/>
    <w:tmpl w:val="CE5AF1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9AB56BB"/>
    <w:multiLevelType w:val="multilevel"/>
    <w:tmpl w:val="162AC8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A7C2CAB"/>
    <w:multiLevelType w:val="multilevel"/>
    <w:tmpl w:val="BD0C10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AE15289"/>
    <w:multiLevelType w:val="hybridMultilevel"/>
    <w:tmpl w:val="33884B66"/>
    <w:lvl w:ilvl="0" w:tplc="D53CED14">
      <w:start w:val="1"/>
      <w:numFmt w:val="bullet"/>
      <w:lvlText w:val="●"/>
      <w:lvlJc w:val="left"/>
      <w:pPr>
        <w:tabs>
          <w:tab w:val="num" w:pos="720"/>
        </w:tabs>
        <w:ind w:left="720" w:hanging="360"/>
      </w:pPr>
      <w:rPr>
        <w:rFonts w:ascii="Cardo" w:hAnsi="Cardo" w:hint="default"/>
      </w:rPr>
    </w:lvl>
    <w:lvl w:ilvl="1" w:tplc="D79ADF22" w:tentative="1">
      <w:start w:val="1"/>
      <w:numFmt w:val="bullet"/>
      <w:lvlText w:val="●"/>
      <w:lvlJc w:val="left"/>
      <w:pPr>
        <w:tabs>
          <w:tab w:val="num" w:pos="1440"/>
        </w:tabs>
        <w:ind w:left="1440" w:hanging="360"/>
      </w:pPr>
      <w:rPr>
        <w:rFonts w:ascii="Cardo" w:hAnsi="Cardo" w:hint="default"/>
      </w:rPr>
    </w:lvl>
    <w:lvl w:ilvl="2" w:tplc="C70EDA88" w:tentative="1">
      <w:start w:val="1"/>
      <w:numFmt w:val="bullet"/>
      <w:lvlText w:val="●"/>
      <w:lvlJc w:val="left"/>
      <w:pPr>
        <w:tabs>
          <w:tab w:val="num" w:pos="2160"/>
        </w:tabs>
        <w:ind w:left="2160" w:hanging="360"/>
      </w:pPr>
      <w:rPr>
        <w:rFonts w:ascii="Cardo" w:hAnsi="Cardo" w:hint="default"/>
      </w:rPr>
    </w:lvl>
    <w:lvl w:ilvl="3" w:tplc="2A06B60E" w:tentative="1">
      <w:start w:val="1"/>
      <w:numFmt w:val="bullet"/>
      <w:lvlText w:val="●"/>
      <w:lvlJc w:val="left"/>
      <w:pPr>
        <w:tabs>
          <w:tab w:val="num" w:pos="2880"/>
        </w:tabs>
        <w:ind w:left="2880" w:hanging="360"/>
      </w:pPr>
      <w:rPr>
        <w:rFonts w:ascii="Cardo" w:hAnsi="Cardo" w:hint="default"/>
      </w:rPr>
    </w:lvl>
    <w:lvl w:ilvl="4" w:tplc="D2465FD6" w:tentative="1">
      <w:start w:val="1"/>
      <w:numFmt w:val="bullet"/>
      <w:lvlText w:val="●"/>
      <w:lvlJc w:val="left"/>
      <w:pPr>
        <w:tabs>
          <w:tab w:val="num" w:pos="3600"/>
        </w:tabs>
        <w:ind w:left="3600" w:hanging="360"/>
      </w:pPr>
      <w:rPr>
        <w:rFonts w:ascii="Cardo" w:hAnsi="Cardo" w:hint="default"/>
      </w:rPr>
    </w:lvl>
    <w:lvl w:ilvl="5" w:tplc="0DD27370" w:tentative="1">
      <w:start w:val="1"/>
      <w:numFmt w:val="bullet"/>
      <w:lvlText w:val="●"/>
      <w:lvlJc w:val="left"/>
      <w:pPr>
        <w:tabs>
          <w:tab w:val="num" w:pos="4320"/>
        </w:tabs>
        <w:ind w:left="4320" w:hanging="360"/>
      </w:pPr>
      <w:rPr>
        <w:rFonts w:ascii="Cardo" w:hAnsi="Cardo" w:hint="default"/>
      </w:rPr>
    </w:lvl>
    <w:lvl w:ilvl="6" w:tplc="265E638C" w:tentative="1">
      <w:start w:val="1"/>
      <w:numFmt w:val="bullet"/>
      <w:lvlText w:val="●"/>
      <w:lvlJc w:val="left"/>
      <w:pPr>
        <w:tabs>
          <w:tab w:val="num" w:pos="5040"/>
        </w:tabs>
        <w:ind w:left="5040" w:hanging="360"/>
      </w:pPr>
      <w:rPr>
        <w:rFonts w:ascii="Cardo" w:hAnsi="Cardo" w:hint="default"/>
      </w:rPr>
    </w:lvl>
    <w:lvl w:ilvl="7" w:tplc="68027B76" w:tentative="1">
      <w:start w:val="1"/>
      <w:numFmt w:val="bullet"/>
      <w:lvlText w:val="●"/>
      <w:lvlJc w:val="left"/>
      <w:pPr>
        <w:tabs>
          <w:tab w:val="num" w:pos="5760"/>
        </w:tabs>
        <w:ind w:left="5760" w:hanging="360"/>
      </w:pPr>
      <w:rPr>
        <w:rFonts w:ascii="Cardo" w:hAnsi="Cardo" w:hint="default"/>
      </w:rPr>
    </w:lvl>
    <w:lvl w:ilvl="8" w:tplc="EECE1114" w:tentative="1">
      <w:start w:val="1"/>
      <w:numFmt w:val="bullet"/>
      <w:lvlText w:val="●"/>
      <w:lvlJc w:val="left"/>
      <w:pPr>
        <w:tabs>
          <w:tab w:val="num" w:pos="6480"/>
        </w:tabs>
        <w:ind w:left="6480" w:hanging="360"/>
      </w:pPr>
      <w:rPr>
        <w:rFonts w:ascii="Cardo" w:hAnsi="Cardo" w:hint="default"/>
      </w:rPr>
    </w:lvl>
  </w:abstractNum>
  <w:abstractNum w:abstractNumId="47" w15:restartNumberingAfterBreak="0">
    <w:nsid w:val="7B041E5B"/>
    <w:multiLevelType w:val="multilevel"/>
    <w:tmpl w:val="67CEC7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B6225D8"/>
    <w:multiLevelType w:val="hybridMultilevel"/>
    <w:tmpl w:val="24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727053">
    <w:abstractNumId w:val="27"/>
  </w:num>
  <w:num w:numId="2" w16cid:durableId="976691523">
    <w:abstractNumId w:val="10"/>
  </w:num>
  <w:num w:numId="3" w16cid:durableId="646130963">
    <w:abstractNumId w:val="20"/>
  </w:num>
  <w:num w:numId="4" w16cid:durableId="2133669239">
    <w:abstractNumId w:val="34"/>
  </w:num>
  <w:num w:numId="5" w16cid:durableId="48917870">
    <w:abstractNumId w:val="15"/>
  </w:num>
  <w:num w:numId="6" w16cid:durableId="502478411">
    <w:abstractNumId w:val="30"/>
  </w:num>
  <w:num w:numId="7" w16cid:durableId="730620298">
    <w:abstractNumId w:val="31"/>
  </w:num>
  <w:num w:numId="8" w16cid:durableId="481965042">
    <w:abstractNumId w:val="28"/>
  </w:num>
  <w:num w:numId="9" w16cid:durableId="1597591411">
    <w:abstractNumId w:val="19"/>
  </w:num>
  <w:num w:numId="10" w16cid:durableId="930743118">
    <w:abstractNumId w:val="35"/>
  </w:num>
  <w:num w:numId="11" w16cid:durableId="1295601570">
    <w:abstractNumId w:val="44"/>
  </w:num>
  <w:num w:numId="12" w16cid:durableId="608045914">
    <w:abstractNumId w:val="32"/>
  </w:num>
  <w:num w:numId="13" w16cid:durableId="305861699">
    <w:abstractNumId w:val="16"/>
  </w:num>
  <w:num w:numId="14" w16cid:durableId="1196851002">
    <w:abstractNumId w:val="8"/>
  </w:num>
  <w:num w:numId="15" w16cid:durableId="1735196725">
    <w:abstractNumId w:val="11"/>
  </w:num>
  <w:num w:numId="16" w16cid:durableId="214587645">
    <w:abstractNumId w:val="3"/>
  </w:num>
  <w:num w:numId="17" w16cid:durableId="117456147">
    <w:abstractNumId w:val="43"/>
  </w:num>
  <w:num w:numId="18" w16cid:durableId="509831877">
    <w:abstractNumId w:val="2"/>
  </w:num>
  <w:num w:numId="19" w16cid:durableId="1833526901">
    <w:abstractNumId w:val="26"/>
  </w:num>
  <w:num w:numId="20" w16cid:durableId="1023241091">
    <w:abstractNumId w:val="29"/>
  </w:num>
  <w:num w:numId="21" w16cid:durableId="2099980236">
    <w:abstractNumId w:val="47"/>
  </w:num>
  <w:num w:numId="22" w16cid:durableId="1947031989">
    <w:abstractNumId w:val="40"/>
  </w:num>
  <w:num w:numId="23" w16cid:durableId="1760565404">
    <w:abstractNumId w:val="24"/>
  </w:num>
  <w:num w:numId="24" w16cid:durableId="1630552450">
    <w:abstractNumId w:val="7"/>
  </w:num>
  <w:num w:numId="25" w16cid:durableId="37244109">
    <w:abstractNumId w:val="12"/>
  </w:num>
  <w:num w:numId="26" w16cid:durableId="65541731">
    <w:abstractNumId w:val="42"/>
  </w:num>
  <w:num w:numId="27" w16cid:durableId="1292058793">
    <w:abstractNumId w:val="41"/>
  </w:num>
  <w:num w:numId="28" w16cid:durableId="608700772">
    <w:abstractNumId w:val="22"/>
  </w:num>
  <w:num w:numId="29" w16cid:durableId="1888300702">
    <w:abstractNumId w:val="18"/>
  </w:num>
  <w:num w:numId="30" w16cid:durableId="1384061671">
    <w:abstractNumId w:val="5"/>
  </w:num>
  <w:num w:numId="31" w16cid:durableId="1250846611">
    <w:abstractNumId w:val="36"/>
  </w:num>
  <w:num w:numId="32" w16cid:durableId="1568035735">
    <w:abstractNumId w:val="45"/>
  </w:num>
  <w:num w:numId="33" w16cid:durableId="2058971607">
    <w:abstractNumId w:val="0"/>
  </w:num>
  <w:num w:numId="34" w16cid:durableId="1736928906">
    <w:abstractNumId w:val="33"/>
  </w:num>
  <w:num w:numId="35" w16cid:durableId="1293946454">
    <w:abstractNumId w:val="14"/>
  </w:num>
  <w:num w:numId="36" w16cid:durableId="210043190">
    <w:abstractNumId w:val="37"/>
  </w:num>
  <w:num w:numId="37" w16cid:durableId="931817686">
    <w:abstractNumId w:val="38"/>
  </w:num>
  <w:num w:numId="38" w16cid:durableId="1410537737">
    <w:abstractNumId w:val="25"/>
  </w:num>
  <w:num w:numId="39" w16cid:durableId="1609116300">
    <w:abstractNumId w:val="17"/>
  </w:num>
  <w:num w:numId="40" w16cid:durableId="773786347">
    <w:abstractNumId w:val="9"/>
  </w:num>
  <w:num w:numId="41" w16cid:durableId="339821490">
    <w:abstractNumId w:val="1"/>
  </w:num>
  <w:num w:numId="42" w16cid:durableId="300381920">
    <w:abstractNumId w:val="46"/>
  </w:num>
  <w:num w:numId="43" w16cid:durableId="141316433">
    <w:abstractNumId w:val="48"/>
  </w:num>
  <w:num w:numId="44" w16cid:durableId="1937866088">
    <w:abstractNumId w:val="39"/>
  </w:num>
  <w:num w:numId="45" w16cid:durableId="457845003">
    <w:abstractNumId w:val="23"/>
  </w:num>
  <w:num w:numId="46" w16cid:durableId="680351541">
    <w:abstractNumId w:val="13"/>
  </w:num>
  <w:num w:numId="47" w16cid:durableId="2004308905">
    <w:abstractNumId w:val="21"/>
  </w:num>
  <w:num w:numId="48" w16cid:durableId="727339604">
    <w:abstractNumId w:val="6"/>
  </w:num>
  <w:num w:numId="49" w16cid:durableId="194007501">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trackRevisions/>
  <w:defaultTabStop w:val="720"/>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AA"/>
    <w:rsid w:val="00002A09"/>
    <w:rsid w:val="00003C8B"/>
    <w:rsid w:val="00005B5A"/>
    <w:rsid w:val="0001466E"/>
    <w:rsid w:val="00014C91"/>
    <w:rsid w:val="00024F14"/>
    <w:rsid w:val="000252CC"/>
    <w:rsid w:val="000271A8"/>
    <w:rsid w:val="00035D11"/>
    <w:rsid w:val="00035EF8"/>
    <w:rsid w:val="000445C4"/>
    <w:rsid w:val="00047537"/>
    <w:rsid w:val="00052905"/>
    <w:rsid w:val="000532B6"/>
    <w:rsid w:val="0005659C"/>
    <w:rsid w:val="0005727A"/>
    <w:rsid w:val="00060FF6"/>
    <w:rsid w:val="00064B59"/>
    <w:rsid w:val="00066570"/>
    <w:rsid w:val="00067905"/>
    <w:rsid w:val="00070CE2"/>
    <w:rsid w:val="00071FCC"/>
    <w:rsid w:val="000760C8"/>
    <w:rsid w:val="00076E25"/>
    <w:rsid w:val="000863D4"/>
    <w:rsid w:val="00086C5F"/>
    <w:rsid w:val="000909BD"/>
    <w:rsid w:val="00093B89"/>
    <w:rsid w:val="000964EF"/>
    <w:rsid w:val="000A0EC2"/>
    <w:rsid w:val="000A3720"/>
    <w:rsid w:val="000A5006"/>
    <w:rsid w:val="000A680F"/>
    <w:rsid w:val="000B3850"/>
    <w:rsid w:val="000B45DB"/>
    <w:rsid w:val="000B48F6"/>
    <w:rsid w:val="000B4EAB"/>
    <w:rsid w:val="000B538E"/>
    <w:rsid w:val="000B5569"/>
    <w:rsid w:val="000B7698"/>
    <w:rsid w:val="000C14FF"/>
    <w:rsid w:val="000C2028"/>
    <w:rsid w:val="000C373D"/>
    <w:rsid w:val="000C70BC"/>
    <w:rsid w:val="000E2313"/>
    <w:rsid w:val="000E3140"/>
    <w:rsid w:val="000E32AC"/>
    <w:rsid w:val="000F13E5"/>
    <w:rsid w:val="000F53B4"/>
    <w:rsid w:val="000F7E1D"/>
    <w:rsid w:val="001064F3"/>
    <w:rsid w:val="001075E3"/>
    <w:rsid w:val="001105D7"/>
    <w:rsid w:val="00113785"/>
    <w:rsid w:val="00121284"/>
    <w:rsid w:val="001227A1"/>
    <w:rsid w:val="0012474C"/>
    <w:rsid w:val="00126A64"/>
    <w:rsid w:val="00127ACC"/>
    <w:rsid w:val="00140EF0"/>
    <w:rsid w:val="00141433"/>
    <w:rsid w:val="00142147"/>
    <w:rsid w:val="001428AA"/>
    <w:rsid w:val="001439AF"/>
    <w:rsid w:val="00151D54"/>
    <w:rsid w:val="00156AAA"/>
    <w:rsid w:val="00160C59"/>
    <w:rsid w:val="00163223"/>
    <w:rsid w:val="001748A2"/>
    <w:rsid w:val="00177AF3"/>
    <w:rsid w:val="001814CC"/>
    <w:rsid w:val="001815D2"/>
    <w:rsid w:val="00185071"/>
    <w:rsid w:val="00186782"/>
    <w:rsid w:val="00186A05"/>
    <w:rsid w:val="001879C6"/>
    <w:rsid w:val="00187FF3"/>
    <w:rsid w:val="00190291"/>
    <w:rsid w:val="00191ED7"/>
    <w:rsid w:val="00192BB5"/>
    <w:rsid w:val="00193978"/>
    <w:rsid w:val="0019431C"/>
    <w:rsid w:val="00197BE7"/>
    <w:rsid w:val="001A2AB6"/>
    <w:rsid w:val="001A39EF"/>
    <w:rsid w:val="001A481A"/>
    <w:rsid w:val="001A550D"/>
    <w:rsid w:val="001B00A4"/>
    <w:rsid w:val="001B1170"/>
    <w:rsid w:val="001B4811"/>
    <w:rsid w:val="001C0175"/>
    <w:rsid w:val="001C06FF"/>
    <w:rsid w:val="001C1A56"/>
    <w:rsid w:val="001C36BA"/>
    <w:rsid w:val="001C3B94"/>
    <w:rsid w:val="001C4775"/>
    <w:rsid w:val="001C5FF5"/>
    <w:rsid w:val="001C6F96"/>
    <w:rsid w:val="001C76DD"/>
    <w:rsid w:val="001D0EFC"/>
    <w:rsid w:val="001D4CA9"/>
    <w:rsid w:val="001E1E72"/>
    <w:rsid w:val="001E23EF"/>
    <w:rsid w:val="001E37AA"/>
    <w:rsid w:val="001E37B8"/>
    <w:rsid w:val="001E399A"/>
    <w:rsid w:val="001E4A87"/>
    <w:rsid w:val="001E7E47"/>
    <w:rsid w:val="001F2B24"/>
    <w:rsid w:val="00200063"/>
    <w:rsid w:val="002022FC"/>
    <w:rsid w:val="00203C6A"/>
    <w:rsid w:val="0020426A"/>
    <w:rsid w:val="002051B7"/>
    <w:rsid w:val="002053E9"/>
    <w:rsid w:val="00210704"/>
    <w:rsid w:val="00210F43"/>
    <w:rsid w:val="002110A6"/>
    <w:rsid w:val="00211CC7"/>
    <w:rsid w:val="00212901"/>
    <w:rsid w:val="002175E5"/>
    <w:rsid w:val="0022385A"/>
    <w:rsid w:val="002328D9"/>
    <w:rsid w:val="0023460A"/>
    <w:rsid w:val="00237BEF"/>
    <w:rsid w:val="00240649"/>
    <w:rsid w:val="00246C5D"/>
    <w:rsid w:val="002528B4"/>
    <w:rsid w:val="0025369F"/>
    <w:rsid w:val="002553ED"/>
    <w:rsid w:val="0025601B"/>
    <w:rsid w:val="0026087D"/>
    <w:rsid w:val="002656FB"/>
    <w:rsid w:val="00265992"/>
    <w:rsid w:val="00266E93"/>
    <w:rsid w:val="00280FA5"/>
    <w:rsid w:val="0028283B"/>
    <w:rsid w:val="00286D1D"/>
    <w:rsid w:val="00290AA5"/>
    <w:rsid w:val="00290D0B"/>
    <w:rsid w:val="00290E9B"/>
    <w:rsid w:val="00291854"/>
    <w:rsid w:val="00291CEA"/>
    <w:rsid w:val="00293893"/>
    <w:rsid w:val="00293FDE"/>
    <w:rsid w:val="00295DFC"/>
    <w:rsid w:val="00297D27"/>
    <w:rsid w:val="00297F08"/>
    <w:rsid w:val="002A01C7"/>
    <w:rsid w:val="002A032C"/>
    <w:rsid w:val="002A0579"/>
    <w:rsid w:val="002A49A2"/>
    <w:rsid w:val="002B3BC0"/>
    <w:rsid w:val="002B5C38"/>
    <w:rsid w:val="002B718F"/>
    <w:rsid w:val="002B78D7"/>
    <w:rsid w:val="002B7F4B"/>
    <w:rsid w:val="002C1A0B"/>
    <w:rsid w:val="002C23F4"/>
    <w:rsid w:val="002C278A"/>
    <w:rsid w:val="002C4EA3"/>
    <w:rsid w:val="002C593C"/>
    <w:rsid w:val="002D32E9"/>
    <w:rsid w:val="002D45E8"/>
    <w:rsid w:val="002D6BC6"/>
    <w:rsid w:val="002E05E0"/>
    <w:rsid w:val="002E0DDF"/>
    <w:rsid w:val="002E34EB"/>
    <w:rsid w:val="002E38A3"/>
    <w:rsid w:val="002E4119"/>
    <w:rsid w:val="002E5C7A"/>
    <w:rsid w:val="002E64DD"/>
    <w:rsid w:val="002E6DA7"/>
    <w:rsid w:val="002E7FCF"/>
    <w:rsid w:val="002F3FF8"/>
    <w:rsid w:val="00303617"/>
    <w:rsid w:val="00310716"/>
    <w:rsid w:val="003118B2"/>
    <w:rsid w:val="00312CE1"/>
    <w:rsid w:val="0031564D"/>
    <w:rsid w:val="00315EA9"/>
    <w:rsid w:val="003176E4"/>
    <w:rsid w:val="0032108E"/>
    <w:rsid w:val="00322A09"/>
    <w:rsid w:val="0032398E"/>
    <w:rsid w:val="00323F69"/>
    <w:rsid w:val="00325DE0"/>
    <w:rsid w:val="00326D66"/>
    <w:rsid w:val="00331D07"/>
    <w:rsid w:val="0033598B"/>
    <w:rsid w:val="00335A3B"/>
    <w:rsid w:val="0034057C"/>
    <w:rsid w:val="00346701"/>
    <w:rsid w:val="00353F6C"/>
    <w:rsid w:val="00354318"/>
    <w:rsid w:val="003558BC"/>
    <w:rsid w:val="003632FB"/>
    <w:rsid w:val="0036337A"/>
    <w:rsid w:val="00363F5E"/>
    <w:rsid w:val="00365D49"/>
    <w:rsid w:val="0036708B"/>
    <w:rsid w:val="00367FB9"/>
    <w:rsid w:val="00370111"/>
    <w:rsid w:val="003712DC"/>
    <w:rsid w:val="00371954"/>
    <w:rsid w:val="003728E0"/>
    <w:rsid w:val="00372C71"/>
    <w:rsid w:val="00372F0C"/>
    <w:rsid w:val="003779F7"/>
    <w:rsid w:val="00383A81"/>
    <w:rsid w:val="00384426"/>
    <w:rsid w:val="00384C56"/>
    <w:rsid w:val="00386477"/>
    <w:rsid w:val="003872EB"/>
    <w:rsid w:val="00387A14"/>
    <w:rsid w:val="0039013C"/>
    <w:rsid w:val="0039216B"/>
    <w:rsid w:val="00393331"/>
    <w:rsid w:val="00393DAF"/>
    <w:rsid w:val="0039718C"/>
    <w:rsid w:val="003A3C39"/>
    <w:rsid w:val="003A4AF4"/>
    <w:rsid w:val="003B1A59"/>
    <w:rsid w:val="003B2AAC"/>
    <w:rsid w:val="003B415A"/>
    <w:rsid w:val="003B4963"/>
    <w:rsid w:val="003B5BCB"/>
    <w:rsid w:val="003B6690"/>
    <w:rsid w:val="003C099E"/>
    <w:rsid w:val="003C17C5"/>
    <w:rsid w:val="003C643B"/>
    <w:rsid w:val="003D50D7"/>
    <w:rsid w:val="003D5ECA"/>
    <w:rsid w:val="003D6631"/>
    <w:rsid w:val="003E087D"/>
    <w:rsid w:val="003E10B4"/>
    <w:rsid w:val="003E159B"/>
    <w:rsid w:val="003E2017"/>
    <w:rsid w:val="003F19CB"/>
    <w:rsid w:val="003F20E6"/>
    <w:rsid w:val="003F3E25"/>
    <w:rsid w:val="003F3ED4"/>
    <w:rsid w:val="003F6BCA"/>
    <w:rsid w:val="003F7BAA"/>
    <w:rsid w:val="003F7FB7"/>
    <w:rsid w:val="00400033"/>
    <w:rsid w:val="00401FF5"/>
    <w:rsid w:val="00405583"/>
    <w:rsid w:val="00405817"/>
    <w:rsid w:val="00406FA5"/>
    <w:rsid w:val="004101B2"/>
    <w:rsid w:val="00410AE9"/>
    <w:rsid w:val="00412794"/>
    <w:rsid w:val="00414186"/>
    <w:rsid w:val="004141F3"/>
    <w:rsid w:val="004155E8"/>
    <w:rsid w:val="00417664"/>
    <w:rsid w:val="00417F6D"/>
    <w:rsid w:val="00423FE4"/>
    <w:rsid w:val="00424D48"/>
    <w:rsid w:val="00425F06"/>
    <w:rsid w:val="00432EE8"/>
    <w:rsid w:val="00435A77"/>
    <w:rsid w:val="00441527"/>
    <w:rsid w:val="0044230C"/>
    <w:rsid w:val="004423ED"/>
    <w:rsid w:val="00442E2E"/>
    <w:rsid w:val="00444744"/>
    <w:rsid w:val="00444DE3"/>
    <w:rsid w:val="0044746B"/>
    <w:rsid w:val="00447B4C"/>
    <w:rsid w:val="00453336"/>
    <w:rsid w:val="004533D0"/>
    <w:rsid w:val="00453BEF"/>
    <w:rsid w:val="00455BC9"/>
    <w:rsid w:val="00457481"/>
    <w:rsid w:val="00463E2F"/>
    <w:rsid w:val="004648ED"/>
    <w:rsid w:val="004705B0"/>
    <w:rsid w:val="004729E8"/>
    <w:rsid w:val="00473CF0"/>
    <w:rsid w:val="004748D2"/>
    <w:rsid w:val="00477C98"/>
    <w:rsid w:val="0048036E"/>
    <w:rsid w:val="00480890"/>
    <w:rsid w:val="00480B52"/>
    <w:rsid w:val="00480DA1"/>
    <w:rsid w:val="00484189"/>
    <w:rsid w:val="004872F4"/>
    <w:rsid w:val="00491C4D"/>
    <w:rsid w:val="00494C4E"/>
    <w:rsid w:val="00495868"/>
    <w:rsid w:val="00495EC0"/>
    <w:rsid w:val="004A201D"/>
    <w:rsid w:val="004A4A78"/>
    <w:rsid w:val="004A6E07"/>
    <w:rsid w:val="004A79F9"/>
    <w:rsid w:val="004B2081"/>
    <w:rsid w:val="004B4870"/>
    <w:rsid w:val="004B4EC8"/>
    <w:rsid w:val="004B5008"/>
    <w:rsid w:val="004B519D"/>
    <w:rsid w:val="004B6ED6"/>
    <w:rsid w:val="004B70B3"/>
    <w:rsid w:val="004B7977"/>
    <w:rsid w:val="004C69ED"/>
    <w:rsid w:val="004C71A0"/>
    <w:rsid w:val="004D0460"/>
    <w:rsid w:val="004D186A"/>
    <w:rsid w:val="004D2FED"/>
    <w:rsid w:val="004D33AA"/>
    <w:rsid w:val="004D4658"/>
    <w:rsid w:val="004D4997"/>
    <w:rsid w:val="004D6A16"/>
    <w:rsid w:val="004E3AFC"/>
    <w:rsid w:val="004E4C22"/>
    <w:rsid w:val="004E556A"/>
    <w:rsid w:val="004E65E4"/>
    <w:rsid w:val="004F13F5"/>
    <w:rsid w:val="004F5E19"/>
    <w:rsid w:val="004F6AFB"/>
    <w:rsid w:val="004F7433"/>
    <w:rsid w:val="004F7AE8"/>
    <w:rsid w:val="004F7FBC"/>
    <w:rsid w:val="00500229"/>
    <w:rsid w:val="005029B2"/>
    <w:rsid w:val="0050425A"/>
    <w:rsid w:val="00507140"/>
    <w:rsid w:val="0051269B"/>
    <w:rsid w:val="00512E5F"/>
    <w:rsid w:val="00514264"/>
    <w:rsid w:val="005173DB"/>
    <w:rsid w:val="00517CDF"/>
    <w:rsid w:val="00524E10"/>
    <w:rsid w:val="00524F2D"/>
    <w:rsid w:val="00525B60"/>
    <w:rsid w:val="0053046D"/>
    <w:rsid w:val="00533702"/>
    <w:rsid w:val="0053515B"/>
    <w:rsid w:val="00535609"/>
    <w:rsid w:val="005374E2"/>
    <w:rsid w:val="00540978"/>
    <w:rsid w:val="0054535A"/>
    <w:rsid w:val="00547740"/>
    <w:rsid w:val="0055123A"/>
    <w:rsid w:val="00552C5E"/>
    <w:rsid w:val="00552D10"/>
    <w:rsid w:val="00563B4C"/>
    <w:rsid w:val="00565B49"/>
    <w:rsid w:val="00565BA4"/>
    <w:rsid w:val="00572BBB"/>
    <w:rsid w:val="00573B51"/>
    <w:rsid w:val="00576C0D"/>
    <w:rsid w:val="005801E6"/>
    <w:rsid w:val="005804E1"/>
    <w:rsid w:val="00581414"/>
    <w:rsid w:val="00582592"/>
    <w:rsid w:val="00592583"/>
    <w:rsid w:val="00593E5D"/>
    <w:rsid w:val="005963B1"/>
    <w:rsid w:val="005A19BF"/>
    <w:rsid w:val="005A1BA2"/>
    <w:rsid w:val="005A2656"/>
    <w:rsid w:val="005A296F"/>
    <w:rsid w:val="005A58FF"/>
    <w:rsid w:val="005A643E"/>
    <w:rsid w:val="005B08B6"/>
    <w:rsid w:val="005B35B5"/>
    <w:rsid w:val="005B3FB0"/>
    <w:rsid w:val="005B4763"/>
    <w:rsid w:val="005B4DA8"/>
    <w:rsid w:val="005C03A3"/>
    <w:rsid w:val="005C05BF"/>
    <w:rsid w:val="005C0725"/>
    <w:rsid w:val="005C0AA4"/>
    <w:rsid w:val="005C3AE7"/>
    <w:rsid w:val="005C3B40"/>
    <w:rsid w:val="005C54C8"/>
    <w:rsid w:val="005C5B3B"/>
    <w:rsid w:val="005C62CC"/>
    <w:rsid w:val="005C654D"/>
    <w:rsid w:val="005C666A"/>
    <w:rsid w:val="005C7A66"/>
    <w:rsid w:val="005D024D"/>
    <w:rsid w:val="005D06A3"/>
    <w:rsid w:val="005D5A56"/>
    <w:rsid w:val="005E309C"/>
    <w:rsid w:val="005E430A"/>
    <w:rsid w:val="005E5238"/>
    <w:rsid w:val="005F30D1"/>
    <w:rsid w:val="005F3D89"/>
    <w:rsid w:val="005F4AD8"/>
    <w:rsid w:val="005F5776"/>
    <w:rsid w:val="005F6049"/>
    <w:rsid w:val="005F6AD8"/>
    <w:rsid w:val="0060067F"/>
    <w:rsid w:val="00602D9E"/>
    <w:rsid w:val="00605DCA"/>
    <w:rsid w:val="006074B4"/>
    <w:rsid w:val="006159C4"/>
    <w:rsid w:val="0061621E"/>
    <w:rsid w:val="00620641"/>
    <w:rsid w:val="0062208B"/>
    <w:rsid w:val="0062265C"/>
    <w:rsid w:val="006230F8"/>
    <w:rsid w:val="00623A39"/>
    <w:rsid w:val="00624637"/>
    <w:rsid w:val="00624815"/>
    <w:rsid w:val="0062565F"/>
    <w:rsid w:val="00626109"/>
    <w:rsid w:val="00626B6D"/>
    <w:rsid w:val="006316EC"/>
    <w:rsid w:val="00634495"/>
    <w:rsid w:val="00635E97"/>
    <w:rsid w:val="00636636"/>
    <w:rsid w:val="00640405"/>
    <w:rsid w:val="00641E26"/>
    <w:rsid w:val="00642E3A"/>
    <w:rsid w:val="0064387F"/>
    <w:rsid w:val="006452EC"/>
    <w:rsid w:val="006502D9"/>
    <w:rsid w:val="00654B31"/>
    <w:rsid w:val="00655543"/>
    <w:rsid w:val="00655D5A"/>
    <w:rsid w:val="00655DA4"/>
    <w:rsid w:val="00663EBE"/>
    <w:rsid w:val="006643F0"/>
    <w:rsid w:val="00665271"/>
    <w:rsid w:val="00666D80"/>
    <w:rsid w:val="006744AF"/>
    <w:rsid w:val="00674D4C"/>
    <w:rsid w:val="006767F1"/>
    <w:rsid w:val="0068011C"/>
    <w:rsid w:val="00681D91"/>
    <w:rsid w:val="00683B0E"/>
    <w:rsid w:val="00683BEE"/>
    <w:rsid w:val="00685DF7"/>
    <w:rsid w:val="00693D68"/>
    <w:rsid w:val="006961B5"/>
    <w:rsid w:val="006A0C6F"/>
    <w:rsid w:val="006A27E9"/>
    <w:rsid w:val="006A546A"/>
    <w:rsid w:val="006A69E5"/>
    <w:rsid w:val="006A707B"/>
    <w:rsid w:val="006B0B5D"/>
    <w:rsid w:val="006B1A70"/>
    <w:rsid w:val="006B247D"/>
    <w:rsid w:val="006B2F1E"/>
    <w:rsid w:val="006B2F37"/>
    <w:rsid w:val="006B395E"/>
    <w:rsid w:val="006B3A49"/>
    <w:rsid w:val="006C0A92"/>
    <w:rsid w:val="006C1027"/>
    <w:rsid w:val="006C135E"/>
    <w:rsid w:val="006C27A0"/>
    <w:rsid w:val="006D64BC"/>
    <w:rsid w:val="006E0B87"/>
    <w:rsid w:val="006E33A2"/>
    <w:rsid w:val="006E7566"/>
    <w:rsid w:val="006F2202"/>
    <w:rsid w:val="006F3B7F"/>
    <w:rsid w:val="006F3E18"/>
    <w:rsid w:val="006F4A8C"/>
    <w:rsid w:val="00702EF0"/>
    <w:rsid w:val="007078A0"/>
    <w:rsid w:val="00707ED5"/>
    <w:rsid w:val="007202D3"/>
    <w:rsid w:val="0072235A"/>
    <w:rsid w:val="007273CB"/>
    <w:rsid w:val="00730357"/>
    <w:rsid w:val="00731955"/>
    <w:rsid w:val="007327A8"/>
    <w:rsid w:val="0073515C"/>
    <w:rsid w:val="00736B07"/>
    <w:rsid w:val="00736CAA"/>
    <w:rsid w:val="007372F5"/>
    <w:rsid w:val="00745519"/>
    <w:rsid w:val="00745A28"/>
    <w:rsid w:val="007515DF"/>
    <w:rsid w:val="007529AB"/>
    <w:rsid w:val="00754C7F"/>
    <w:rsid w:val="00756E1D"/>
    <w:rsid w:val="00763059"/>
    <w:rsid w:val="007644DD"/>
    <w:rsid w:val="00764A6B"/>
    <w:rsid w:val="0076585C"/>
    <w:rsid w:val="00767509"/>
    <w:rsid w:val="00767F4A"/>
    <w:rsid w:val="00772B78"/>
    <w:rsid w:val="00777775"/>
    <w:rsid w:val="00777C50"/>
    <w:rsid w:val="00783674"/>
    <w:rsid w:val="00785958"/>
    <w:rsid w:val="00790144"/>
    <w:rsid w:val="007908BB"/>
    <w:rsid w:val="00791F5E"/>
    <w:rsid w:val="0079226E"/>
    <w:rsid w:val="0079232B"/>
    <w:rsid w:val="00795708"/>
    <w:rsid w:val="007A008F"/>
    <w:rsid w:val="007A37E8"/>
    <w:rsid w:val="007A61B8"/>
    <w:rsid w:val="007B1E6E"/>
    <w:rsid w:val="007B20BE"/>
    <w:rsid w:val="007B38C6"/>
    <w:rsid w:val="007B3FC7"/>
    <w:rsid w:val="007B403F"/>
    <w:rsid w:val="007C07D1"/>
    <w:rsid w:val="007C2F05"/>
    <w:rsid w:val="007C4A00"/>
    <w:rsid w:val="007C6B82"/>
    <w:rsid w:val="007D233E"/>
    <w:rsid w:val="007D4242"/>
    <w:rsid w:val="007D5383"/>
    <w:rsid w:val="007D5499"/>
    <w:rsid w:val="007D790E"/>
    <w:rsid w:val="007E000B"/>
    <w:rsid w:val="007E46F8"/>
    <w:rsid w:val="007E55C5"/>
    <w:rsid w:val="007E68F7"/>
    <w:rsid w:val="007E7435"/>
    <w:rsid w:val="007F0591"/>
    <w:rsid w:val="007F5504"/>
    <w:rsid w:val="007F5907"/>
    <w:rsid w:val="007F5F07"/>
    <w:rsid w:val="007F6967"/>
    <w:rsid w:val="007F76CF"/>
    <w:rsid w:val="00800821"/>
    <w:rsid w:val="008018F0"/>
    <w:rsid w:val="00806E81"/>
    <w:rsid w:val="00810C20"/>
    <w:rsid w:val="00811E23"/>
    <w:rsid w:val="008120A0"/>
    <w:rsid w:val="00812593"/>
    <w:rsid w:val="008143BB"/>
    <w:rsid w:val="008148B5"/>
    <w:rsid w:val="008164E0"/>
    <w:rsid w:val="00817460"/>
    <w:rsid w:val="00820DD9"/>
    <w:rsid w:val="00823A33"/>
    <w:rsid w:val="008255D2"/>
    <w:rsid w:val="008265AD"/>
    <w:rsid w:val="008277CD"/>
    <w:rsid w:val="0083080F"/>
    <w:rsid w:val="00830D3F"/>
    <w:rsid w:val="008507E9"/>
    <w:rsid w:val="00854C3B"/>
    <w:rsid w:val="00855D49"/>
    <w:rsid w:val="0085635C"/>
    <w:rsid w:val="00860264"/>
    <w:rsid w:val="00862DCE"/>
    <w:rsid w:val="008631D0"/>
    <w:rsid w:val="008654FE"/>
    <w:rsid w:val="008659B1"/>
    <w:rsid w:val="00872314"/>
    <w:rsid w:val="00873111"/>
    <w:rsid w:val="0087696B"/>
    <w:rsid w:val="00883125"/>
    <w:rsid w:val="008843A7"/>
    <w:rsid w:val="00886E29"/>
    <w:rsid w:val="00887C3B"/>
    <w:rsid w:val="008905A6"/>
    <w:rsid w:val="00892903"/>
    <w:rsid w:val="00893251"/>
    <w:rsid w:val="00896BA1"/>
    <w:rsid w:val="008971FA"/>
    <w:rsid w:val="00897763"/>
    <w:rsid w:val="008A03D0"/>
    <w:rsid w:val="008A1B53"/>
    <w:rsid w:val="008A1FD2"/>
    <w:rsid w:val="008A22C4"/>
    <w:rsid w:val="008A35A3"/>
    <w:rsid w:val="008A3CDE"/>
    <w:rsid w:val="008A7A31"/>
    <w:rsid w:val="008B03B6"/>
    <w:rsid w:val="008B1EF1"/>
    <w:rsid w:val="008B212E"/>
    <w:rsid w:val="008B2251"/>
    <w:rsid w:val="008B45E1"/>
    <w:rsid w:val="008B6122"/>
    <w:rsid w:val="008B7156"/>
    <w:rsid w:val="008C2FE3"/>
    <w:rsid w:val="008C780A"/>
    <w:rsid w:val="008D234D"/>
    <w:rsid w:val="008D3673"/>
    <w:rsid w:val="008D5358"/>
    <w:rsid w:val="008D715F"/>
    <w:rsid w:val="008E010A"/>
    <w:rsid w:val="008E30A1"/>
    <w:rsid w:val="008E47FD"/>
    <w:rsid w:val="008E5AC6"/>
    <w:rsid w:val="008E62B5"/>
    <w:rsid w:val="008F28CA"/>
    <w:rsid w:val="008F2A6D"/>
    <w:rsid w:val="008F2D89"/>
    <w:rsid w:val="008F4E82"/>
    <w:rsid w:val="00902920"/>
    <w:rsid w:val="00902F36"/>
    <w:rsid w:val="00904DA3"/>
    <w:rsid w:val="00904E53"/>
    <w:rsid w:val="009055AC"/>
    <w:rsid w:val="009059C4"/>
    <w:rsid w:val="00907432"/>
    <w:rsid w:val="009139AB"/>
    <w:rsid w:val="00913E93"/>
    <w:rsid w:val="00920CB3"/>
    <w:rsid w:val="00920E85"/>
    <w:rsid w:val="00921B2F"/>
    <w:rsid w:val="00921E77"/>
    <w:rsid w:val="00922DC7"/>
    <w:rsid w:val="00931BAD"/>
    <w:rsid w:val="00932874"/>
    <w:rsid w:val="009350CE"/>
    <w:rsid w:val="00937D23"/>
    <w:rsid w:val="009412C7"/>
    <w:rsid w:val="009419E1"/>
    <w:rsid w:val="0094263A"/>
    <w:rsid w:val="00946B02"/>
    <w:rsid w:val="00952521"/>
    <w:rsid w:val="00963FC1"/>
    <w:rsid w:val="00966081"/>
    <w:rsid w:val="0097281B"/>
    <w:rsid w:val="0097620F"/>
    <w:rsid w:val="0097703A"/>
    <w:rsid w:val="0098135D"/>
    <w:rsid w:val="00981D6E"/>
    <w:rsid w:val="00984E3E"/>
    <w:rsid w:val="00985B82"/>
    <w:rsid w:val="00986357"/>
    <w:rsid w:val="00987196"/>
    <w:rsid w:val="009873E8"/>
    <w:rsid w:val="00987DF3"/>
    <w:rsid w:val="009922E5"/>
    <w:rsid w:val="00996809"/>
    <w:rsid w:val="00997551"/>
    <w:rsid w:val="009A0EDB"/>
    <w:rsid w:val="009A3250"/>
    <w:rsid w:val="009A3FA5"/>
    <w:rsid w:val="009A4BC4"/>
    <w:rsid w:val="009A5256"/>
    <w:rsid w:val="009A7DE1"/>
    <w:rsid w:val="009B228A"/>
    <w:rsid w:val="009B449C"/>
    <w:rsid w:val="009B7A8C"/>
    <w:rsid w:val="009C180D"/>
    <w:rsid w:val="009C3FA2"/>
    <w:rsid w:val="009C6E3D"/>
    <w:rsid w:val="009D0E8D"/>
    <w:rsid w:val="009D1ED5"/>
    <w:rsid w:val="009D3610"/>
    <w:rsid w:val="009D5E9E"/>
    <w:rsid w:val="009E021F"/>
    <w:rsid w:val="009E3135"/>
    <w:rsid w:val="009E7969"/>
    <w:rsid w:val="009F0EC4"/>
    <w:rsid w:val="009F364A"/>
    <w:rsid w:val="009F4654"/>
    <w:rsid w:val="009F5C0F"/>
    <w:rsid w:val="009F5F97"/>
    <w:rsid w:val="009F64A8"/>
    <w:rsid w:val="009F7979"/>
    <w:rsid w:val="00A01899"/>
    <w:rsid w:val="00A0308E"/>
    <w:rsid w:val="00A0522D"/>
    <w:rsid w:val="00A10CB4"/>
    <w:rsid w:val="00A14647"/>
    <w:rsid w:val="00A20122"/>
    <w:rsid w:val="00A215FD"/>
    <w:rsid w:val="00A30421"/>
    <w:rsid w:val="00A334C6"/>
    <w:rsid w:val="00A350EF"/>
    <w:rsid w:val="00A357B9"/>
    <w:rsid w:val="00A35D05"/>
    <w:rsid w:val="00A37E7B"/>
    <w:rsid w:val="00A40EA2"/>
    <w:rsid w:val="00A41DE1"/>
    <w:rsid w:val="00A439DD"/>
    <w:rsid w:val="00A46AF7"/>
    <w:rsid w:val="00A504E0"/>
    <w:rsid w:val="00A513FE"/>
    <w:rsid w:val="00A5345F"/>
    <w:rsid w:val="00A54580"/>
    <w:rsid w:val="00A61060"/>
    <w:rsid w:val="00A66286"/>
    <w:rsid w:val="00A66F2F"/>
    <w:rsid w:val="00A7162C"/>
    <w:rsid w:val="00A71F02"/>
    <w:rsid w:val="00A72DEF"/>
    <w:rsid w:val="00A734F7"/>
    <w:rsid w:val="00A736C2"/>
    <w:rsid w:val="00A76DB0"/>
    <w:rsid w:val="00A81C3B"/>
    <w:rsid w:val="00A822E9"/>
    <w:rsid w:val="00A8247C"/>
    <w:rsid w:val="00A8692B"/>
    <w:rsid w:val="00A86E9F"/>
    <w:rsid w:val="00A87F6A"/>
    <w:rsid w:val="00A9703D"/>
    <w:rsid w:val="00A97F65"/>
    <w:rsid w:val="00AA0297"/>
    <w:rsid w:val="00AA1BAC"/>
    <w:rsid w:val="00AA2447"/>
    <w:rsid w:val="00AA53F5"/>
    <w:rsid w:val="00AA619F"/>
    <w:rsid w:val="00AA632F"/>
    <w:rsid w:val="00AA7F7E"/>
    <w:rsid w:val="00AB1650"/>
    <w:rsid w:val="00AB33AE"/>
    <w:rsid w:val="00AB34BE"/>
    <w:rsid w:val="00AB3C47"/>
    <w:rsid w:val="00AB4615"/>
    <w:rsid w:val="00AB5B1C"/>
    <w:rsid w:val="00AB6193"/>
    <w:rsid w:val="00AC0DB6"/>
    <w:rsid w:val="00AC219F"/>
    <w:rsid w:val="00AC24F3"/>
    <w:rsid w:val="00AC285D"/>
    <w:rsid w:val="00AC390D"/>
    <w:rsid w:val="00AC4B6E"/>
    <w:rsid w:val="00AC64FD"/>
    <w:rsid w:val="00AD01BB"/>
    <w:rsid w:val="00AD30F1"/>
    <w:rsid w:val="00AD46BD"/>
    <w:rsid w:val="00AD537E"/>
    <w:rsid w:val="00AE461A"/>
    <w:rsid w:val="00AE57F3"/>
    <w:rsid w:val="00AE60A1"/>
    <w:rsid w:val="00AE62E0"/>
    <w:rsid w:val="00AF0205"/>
    <w:rsid w:val="00AF335E"/>
    <w:rsid w:val="00AF5097"/>
    <w:rsid w:val="00AF61FD"/>
    <w:rsid w:val="00AF7930"/>
    <w:rsid w:val="00B04CAE"/>
    <w:rsid w:val="00B04D6E"/>
    <w:rsid w:val="00B04D9E"/>
    <w:rsid w:val="00B1132F"/>
    <w:rsid w:val="00B11783"/>
    <w:rsid w:val="00B210BE"/>
    <w:rsid w:val="00B21BBD"/>
    <w:rsid w:val="00B2549E"/>
    <w:rsid w:val="00B2556B"/>
    <w:rsid w:val="00B27836"/>
    <w:rsid w:val="00B30714"/>
    <w:rsid w:val="00B31243"/>
    <w:rsid w:val="00B33C22"/>
    <w:rsid w:val="00B346C8"/>
    <w:rsid w:val="00B35887"/>
    <w:rsid w:val="00B37F9D"/>
    <w:rsid w:val="00B419CC"/>
    <w:rsid w:val="00B426A9"/>
    <w:rsid w:val="00B4313B"/>
    <w:rsid w:val="00B464F1"/>
    <w:rsid w:val="00B521CD"/>
    <w:rsid w:val="00B525AC"/>
    <w:rsid w:val="00B54679"/>
    <w:rsid w:val="00B552DF"/>
    <w:rsid w:val="00B61420"/>
    <w:rsid w:val="00B63B92"/>
    <w:rsid w:val="00B64A64"/>
    <w:rsid w:val="00B65513"/>
    <w:rsid w:val="00B671AC"/>
    <w:rsid w:val="00B72E6F"/>
    <w:rsid w:val="00B73FF0"/>
    <w:rsid w:val="00B746AB"/>
    <w:rsid w:val="00B75E3D"/>
    <w:rsid w:val="00B77DC0"/>
    <w:rsid w:val="00B848AA"/>
    <w:rsid w:val="00B84C76"/>
    <w:rsid w:val="00B854D9"/>
    <w:rsid w:val="00B9067A"/>
    <w:rsid w:val="00B91470"/>
    <w:rsid w:val="00B9728A"/>
    <w:rsid w:val="00B973BE"/>
    <w:rsid w:val="00B97406"/>
    <w:rsid w:val="00B97A9E"/>
    <w:rsid w:val="00BA0C34"/>
    <w:rsid w:val="00BA2B3B"/>
    <w:rsid w:val="00BA59D2"/>
    <w:rsid w:val="00BB191B"/>
    <w:rsid w:val="00BB200E"/>
    <w:rsid w:val="00BB4956"/>
    <w:rsid w:val="00BB51EB"/>
    <w:rsid w:val="00BB5243"/>
    <w:rsid w:val="00BB76C0"/>
    <w:rsid w:val="00BB7CB0"/>
    <w:rsid w:val="00BC2DBB"/>
    <w:rsid w:val="00BC37CA"/>
    <w:rsid w:val="00BC4CAC"/>
    <w:rsid w:val="00BC6B57"/>
    <w:rsid w:val="00BD0F49"/>
    <w:rsid w:val="00BD52F6"/>
    <w:rsid w:val="00BD71CE"/>
    <w:rsid w:val="00BD79B8"/>
    <w:rsid w:val="00BE0646"/>
    <w:rsid w:val="00BE1F1D"/>
    <w:rsid w:val="00BE1F37"/>
    <w:rsid w:val="00BE282F"/>
    <w:rsid w:val="00BE40AA"/>
    <w:rsid w:val="00BE5E3E"/>
    <w:rsid w:val="00BF0876"/>
    <w:rsid w:val="00BF0F83"/>
    <w:rsid w:val="00BF10D5"/>
    <w:rsid w:val="00BF3C6C"/>
    <w:rsid w:val="00BF693D"/>
    <w:rsid w:val="00C039DB"/>
    <w:rsid w:val="00C04964"/>
    <w:rsid w:val="00C05C9C"/>
    <w:rsid w:val="00C1482E"/>
    <w:rsid w:val="00C1594D"/>
    <w:rsid w:val="00C15B1E"/>
    <w:rsid w:val="00C17249"/>
    <w:rsid w:val="00C257C6"/>
    <w:rsid w:val="00C27753"/>
    <w:rsid w:val="00C31578"/>
    <w:rsid w:val="00C3326F"/>
    <w:rsid w:val="00C410D2"/>
    <w:rsid w:val="00C41463"/>
    <w:rsid w:val="00C446C2"/>
    <w:rsid w:val="00C45497"/>
    <w:rsid w:val="00C47750"/>
    <w:rsid w:val="00C51CE3"/>
    <w:rsid w:val="00C521CA"/>
    <w:rsid w:val="00C5744D"/>
    <w:rsid w:val="00C63220"/>
    <w:rsid w:val="00C63BB6"/>
    <w:rsid w:val="00C67EAB"/>
    <w:rsid w:val="00C72991"/>
    <w:rsid w:val="00C7441D"/>
    <w:rsid w:val="00C7718A"/>
    <w:rsid w:val="00C811AC"/>
    <w:rsid w:val="00C83E12"/>
    <w:rsid w:val="00C8420B"/>
    <w:rsid w:val="00C8436E"/>
    <w:rsid w:val="00C84789"/>
    <w:rsid w:val="00C84AF4"/>
    <w:rsid w:val="00C8665F"/>
    <w:rsid w:val="00C86666"/>
    <w:rsid w:val="00C86EB4"/>
    <w:rsid w:val="00C93E06"/>
    <w:rsid w:val="00C93F4B"/>
    <w:rsid w:val="00C944BD"/>
    <w:rsid w:val="00C94EB2"/>
    <w:rsid w:val="00C95D95"/>
    <w:rsid w:val="00CA0BFF"/>
    <w:rsid w:val="00CA5240"/>
    <w:rsid w:val="00CA55A0"/>
    <w:rsid w:val="00CB3B30"/>
    <w:rsid w:val="00CB3CDC"/>
    <w:rsid w:val="00CB49F4"/>
    <w:rsid w:val="00CC3527"/>
    <w:rsid w:val="00CC35EB"/>
    <w:rsid w:val="00CC3CF6"/>
    <w:rsid w:val="00CC68FF"/>
    <w:rsid w:val="00CD40FD"/>
    <w:rsid w:val="00CD4546"/>
    <w:rsid w:val="00CD463B"/>
    <w:rsid w:val="00CD4D08"/>
    <w:rsid w:val="00CD514D"/>
    <w:rsid w:val="00CD5683"/>
    <w:rsid w:val="00CD716F"/>
    <w:rsid w:val="00CE6225"/>
    <w:rsid w:val="00CF2AA9"/>
    <w:rsid w:val="00CF3A7E"/>
    <w:rsid w:val="00CF4492"/>
    <w:rsid w:val="00CF7249"/>
    <w:rsid w:val="00CF7D0D"/>
    <w:rsid w:val="00D03A7B"/>
    <w:rsid w:val="00D060DB"/>
    <w:rsid w:val="00D0745D"/>
    <w:rsid w:val="00D10B4A"/>
    <w:rsid w:val="00D127FC"/>
    <w:rsid w:val="00D1475F"/>
    <w:rsid w:val="00D15620"/>
    <w:rsid w:val="00D15F35"/>
    <w:rsid w:val="00D15FC0"/>
    <w:rsid w:val="00D20DD6"/>
    <w:rsid w:val="00D21D42"/>
    <w:rsid w:val="00D23457"/>
    <w:rsid w:val="00D24BED"/>
    <w:rsid w:val="00D26356"/>
    <w:rsid w:val="00D31E9D"/>
    <w:rsid w:val="00D32500"/>
    <w:rsid w:val="00D365F5"/>
    <w:rsid w:val="00D37DA3"/>
    <w:rsid w:val="00D53AED"/>
    <w:rsid w:val="00D53EFE"/>
    <w:rsid w:val="00D60BA0"/>
    <w:rsid w:val="00D60DF7"/>
    <w:rsid w:val="00D647EB"/>
    <w:rsid w:val="00D6546B"/>
    <w:rsid w:val="00D6554D"/>
    <w:rsid w:val="00D66AE1"/>
    <w:rsid w:val="00D77A22"/>
    <w:rsid w:val="00D84632"/>
    <w:rsid w:val="00D84B33"/>
    <w:rsid w:val="00D86648"/>
    <w:rsid w:val="00D917B4"/>
    <w:rsid w:val="00D9282B"/>
    <w:rsid w:val="00D95096"/>
    <w:rsid w:val="00DA26B8"/>
    <w:rsid w:val="00DA70B3"/>
    <w:rsid w:val="00DA70D2"/>
    <w:rsid w:val="00DA75D1"/>
    <w:rsid w:val="00DA76FA"/>
    <w:rsid w:val="00DB212C"/>
    <w:rsid w:val="00DB2375"/>
    <w:rsid w:val="00DB3A2A"/>
    <w:rsid w:val="00DC2A56"/>
    <w:rsid w:val="00DC3806"/>
    <w:rsid w:val="00DD2357"/>
    <w:rsid w:val="00DE371D"/>
    <w:rsid w:val="00DE5F88"/>
    <w:rsid w:val="00DF362E"/>
    <w:rsid w:val="00DF3FA2"/>
    <w:rsid w:val="00DF518B"/>
    <w:rsid w:val="00DF5E60"/>
    <w:rsid w:val="00E0363F"/>
    <w:rsid w:val="00E04C3B"/>
    <w:rsid w:val="00E06B4B"/>
    <w:rsid w:val="00E06C48"/>
    <w:rsid w:val="00E1081D"/>
    <w:rsid w:val="00E10B33"/>
    <w:rsid w:val="00E10FA8"/>
    <w:rsid w:val="00E1287A"/>
    <w:rsid w:val="00E12A5A"/>
    <w:rsid w:val="00E174D5"/>
    <w:rsid w:val="00E20AAB"/>
    <w:rsid w:val="00E224F7"/>
    <w:rsid w:val="00E2410D"/>
    <w:rsid w:val="00E26326"/>
    <w:rsid w:val="00E32BFE"/>
    <w:rsid w:val="00E3732D"/>
    <w:rsid w:val="00E412F0"/>
    <w:rsid w:val="00E41855"/>
    <w:rsid w:val="00E41856"/>
    <w:rsid w:val="00E43168"/>
    <w:rsid w:val="00E43703"/>
    <w:rsid w:val="00E43D7A"/>
    <w:rsid w:val="00E44161"/>
    <w:rsid w:val="00E442AB"/>
    <w:rsid w:val="00E45C18"/>
    <w:rsid w:val="00E45D7C"/>
    <w:rsid w:val="00E45EDA"/>
    <w:rsid w:val="00E47159"/>
    <w:rsid w:val="00E47774"/>
    <w:rsid w:val="00E51B76"/>
    <w:rsid w:val="00E52B76"/>
    <w:rsid w:val="00E53198"/>
    <w:rsid w:val="00E5475B"/>
    <w:rsid w:val="00E54F4C"/>
    <w:rsid w:val="00E5756F"/>
    <w:rsid w:val="00E60291"/>
    <w:rsid w:val="00E604DF"/>
    <w:rsid w:val="00E60528"/>
    <w:rsid w:val="00E62369"/>
    <w:rsid w:val="00E63F8C"/>
    <w:rsid w:val="00E65AB3"/>
    <w:rsid w:val="00E7045E"/>
    <w:rsid w:val="00E71095"/>
    <w:rsid w:val="00E7325F"/>
    <w:rsid w:val="00E80153"/>
    <w:rsid w:val="00E8225D"/>
    <w:rsid w:val="00E87B73"/>
    <w:rsid w:val="00E90F7B"/>
    <w:rsid w:val="00E91AA5"/>
    <w:rsid w:val="00E921E3"/>
    <w:rsid w:val="00E947C4"/>
    <w:rsid w:val="00E947DA"/>
    <w:rsid w:val="00E959CC"/>
    <w:rsid w:val="00EA0910"/>
    <w:rsid w:val="00EA1C5A"/>
    <w:rsid w:val="00EA2F0D"/>
    <w:rsid w:val="00EA50F5"/>
    <w:rsid w:val="00EA566C"/>
    <w:rsid w:val="00EA5A9A"/>
    <w:rsid w:val="00EA7D4D"/>
    <w:rsid w:val="00EB2299"/>
    <w:rsid w:val="00EB2668"/>
    <w:rsid w:val="00EB2F72"/>
    <w:rsid w:val="00EB3519"/>
    <w:rsid w:val="00EB52EE"/>
    <w:rsid w:val="00EB58E2"/>
    <w:rsid w:val="00EB6A1E"/>
    <w:rsid w:val="00EC24CD"/>
    <w:rsid w:val="00EC2E6C"/>
    <w:rsid w:val="00EC300F"/>
    <w:rsid w:val="00EC51CC"/>
    <w:rsid w:val="00EC708F"/>
    <w:rsid w:val="00EC7D9D"/>
    <w:rsid w:val="00ED0654"/>
    <w:rsid w:val="00ED16E5"/>
    <w:rsid w:val="00ED300F"/>
    <w:rsid w:val="00ED4256"/>
    <w:rsid w:val="00ED69EE"/>
    <w:rsid w:val="00ED6E1D"/>
    <w:rsid w:val="00ED6FA1"/>
    <w:rsid w:val="00EE1DCB"/>
    <w:rsid w:val="00EF1279"/>
    <w:rsid w:val="00EF2E2F"/>
    <w:rsid w:val="00EF72C3"/>
    <w:rsid w:val="00EF7417"/>
    <w:rsid w:val="00F00D83"/>
    <w:rsid w:val="00F03FCF"/>
    <w:rsid w:val="00F0571F"/>
    <w:rsid w:val="00F10837"/>
    <w:rsid w:val="00F10C33"/>
    <w:rsid w:val="00F154CC"/>
    <w:rsid w:val="00F16B13"/>
    <w:rsid w:val="00F22DAD"/>
    <w:rsid w:val="00F236E8"/>
    <w:rsid w:val="00F2476A"/>
    <w:rsid w:val="00F24FFF"/>
    <w:rsid w:val="00F25589"/>
    <w:rsid w:val="00F25C08"/>
    <w:rsid w:val="00F2732A"/>
    <w:rsid w:val="00F313AF"/>
    <w:rsid w:val="00F335C2"/>
    <w:rsid w:val="00F35FDD"/>
    <w:rsid w:val="00F37D73"/>
    <w:rsid w:val="00F40A27"/>
    <w:rsid w:val="00F41772"/>
    <w:rsid w:val="00F41C86"/>
    <w:rsid w:val="00F42A1C"/>
    <w:rsid w:val="00F43C67"/>
    <w:rsid w:val="00F4469F"/>
    <w:rsid w:val="00F451A4"/>
    <w:rsid w:val="00F451DB"/>
    <w:rsid w:val="00F46C32"/>
    <w:rsid w:val="00F475B4"/>
    <w:rsid w:val="00F4777D"/>
    <w:rsid w:val="00F50053"/>
    <w:rsid w:val="00F54A96"/>
    <w:rsid w:val="00F61A7B"/>
    <w:rsid w:val="00F67CD2"/>
    <w:rsid w:val="00F702E4"/>
    <w:rsid w:val="00F71382"/>
    <w:rsid w:val="00F74815"/>
    <w:rsid w:val="00F75735"/>
    <w:rsid w:val="00F80E44"/>
    <w:rsid w:val="00F82ACC"/>
    <w:rsid w:val="00F84C95"/>
    <w:rsid w:val="00F85F66"/>
    <w:rsid w:val="00F90E58"/>
    <w:rsid w:val="00F91777"/>
    <w:rsid w:val="00F933AA"/>
    <w:rsid w:val="00F95FB1"/>
    <w:rsid w:val="00F966E2"/>
    <w:rsid w:val="00F96DE9"/>
    <w:rsid w:val="00F97372"/>
    <w:rsid w:val="00FA0C99"/>
    <w:rsid w:val="00FA0DF7"/>
    <w:rsid w:val="00FA257B"/>
    <w:rsid w:val="00FA38CD"/>
    <w:rsid w:val="00FA5915"/>
    <w:rsid w:val="00FA73BB"/>
    <w:rsid w:val="00FA7862"/>
    <w:rsid w:val="00FB2579"/>
    <w:rsid w:val="00FB6846"/>
    <w:rsid w:val="00FB6988"/>
    <w:rsid w:val="00FB6BA9"/>
    <w:rsid w:val="00FC19B2"/>
    <w:rsid w:val="00FC42E6"/>
    <w:rsid w:val="00FC6665"/>
    <w:rsid w:val="00FC7850"/>
    <w:rsid w:val="00FC7B60"/>
    <w:rsid w:val="00FD50E1"/>
    <w:rsid w:val="00FD63C4"/>
    <w:rsid w:val="00FD6B71"/>
    <w:rsid w:val="00FD6CD6"/>
    <w:rsid w:val="00FD7461"/>
    <w:rsid w:val="00FE0653"/>
    <w:rsid w:val="00FE09FF"/>
    <w:rsid w:val="00FE0E49"/>
    <w:rsid w:val="00FE1F05"/>
    <w:rsid w:val="00FE47AD"/>
    <w:rsid w:val="00FE52CE"/>
    <w:rsid w:val="00FE6FD3"/>
    <w:rsid w:val="00FF0F12"/>
    <w:rsid w:val="00FF22D5"/>
    <w:rsid w:val="00FF3502"/>
    <w:rsid w:val="00FF43C0"/>
    <w:rsid w:val="00FF5D48"/>
    <w:rsid w:val="00FF5D7A"/>
    <w:rsid w:val="0869B462"/>
    <w:rsid w:val="0A14428C"/>
    <w:rsid w:val="1237D8CD"/>
    <w:rsid w:val="17331D6E"/>
    <w:rsid w:val="192D5612"/>
    <w:rsid w:val="1E516E11"/>
    <w:rsid w:val="2025BD89"/>
    <w:rsid w:val="23F1BA7E"/>
    <w:rsid w:val="24263FE4"/>
    <w:rsid w:val="25B04A7F"/>
    <w:rsid w:val="2E931D52"/>
    <w:rsid w:val="316B4A8B"/>
    <w:rsid w:val="3A86ABE2"/>
    <w:rsid w:val="40E6AA47"/>
    <w:rsid w:val="42DDA49C"/>
    <w:rsid w:val="450362DB"/>
    <w:rsid w:val="45AB3C5B"/>
    <w:rsid w:val="4C5BA11F"/>
    <w:rsid w:val="4F710A92"/>
    <w:rsid w:val="500F323C"/>
    <w:rsid w:val="51337F81"/>
    <w:rsid w:val="5A296AB4"/>
    <w:rsid w:val="5D0F551B"/>
    <w:rsid w:val="5E531159"/>
    <w:rsid w:val="60455C27"/>
    <w:rsid w:val="65BFBF6B"/>
    <w:rsid w:val="6C4B8CE8"/>
    <w:rsid w:val="6D0C6AED"/>
    <w:rsid w:val="6D2D666B"/>
    <w:rsid w:val="72ABBEA4"/>
    <w:rsid w:val="7C9F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D416B7"/>
  <w15:docId w15:val="{247E8C4A-66E4-4EC6-B3CB-8363D35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UI" w:hAnsi="SegoeUI" w:cs="SegoeUI"/>
      <w:sz w:val="18"/>
      <w:szCs w:val="18"/>
    </w:rPr>
  </w:style>
  <w:style w:type="character" w:customStyle="1" w:styleId="BalloonTextChar">
    <w:name w:val="Balloon Text Char"/>
    <w:basedOn w:val="DefaultParagraphFont"/>
    <w:rPr>
      <w:rFonts w:ascii="SegoeUI" w:hAnsi="SegoeUI" w:cs="Segoe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uiPriority w:val="99"/>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rsid w:val="00582592"/>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BodyText">
    <w:name w:val="Body Text"/>
    <w:basedOn w:val="Normal"/>
    <w:pPr>
      <w:suppressAutoHyphens w:val="0"/>
      <w:spacing w:after="120" w:line="288" w:lineRule="auto"/>
      <w:textAlignment w:val="auto"/>
    </w:pPr>
    <w:rPr>
      <w:rFonts w:ascii="Calibri" w:eastAsia="Calibri" w:hAnsi="Calibri" w:cs="Times New Roman"/>
      <w:sz w:val="20"/>
      <w:lang w:eastAsia="en-US"/>
    </w:rPr>
  </w:style>
  <w:style w:type="character" w:customStyle="1" w:styleId="BodyTextChar">
    <w:name w:val="Body Text Char"/>
    <w:basedOn w:val="DefaultParagraphFont"/>
    <w:rPr>
      <w:rFonts w:ascii="Calibri" w:eastAsia="Calibri" w:hAnsi="Calibri" w:cs="Times New Roman"/>
      <w:sz w:val="20"/>
      <w:lang w:eastAsia="en-US"/>
    </w:rPr>
  </w:style>
  <w:style w:type="character" w:customStyle="1" w:styleId="UnresolvedMention2">
    <w:name w:val="Unresolved Mention2"/>
    <w:basedOn w:val="DefaultParagraphFont"/>
    <w:rPr>
      <w:color w:val="605E5C"/>
      <w:shd w:val="clear" w:color="auto" w:fill="E1DFDD"/>
    </w:rPr>
  </w:style>
  <w:style w:type="paragraph" w:customStyle="1" w:styleId="paragraph">
    <w:name w:val="paragraph"/>
    <w:basedOn w:val="Normal"/>
    <w:rsid w:val="008D3673"/>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8D3673"/>
  </w:style>
  <w:style w:type="character" w:customStyle="1" w:styleId="eop">
    <w:name w:val="eop"/>
    <w:basedOn w:val="DefaultParagraphFont"/>
    <w:rsid w:val="008D3673"/>
  </w:style>
  <w:style w:type="paragraph" w:customStyle="1" w:styleId="TableCell">
    <w:name w:val="Table Cell"/>
    <w:rsid w:val="00C94EB2"/>
    <w:pPr>
      <w:autoSpaceDN/>
      <w:spacing w:before="60" w:after="60" w:line="240" w:lineRule="auto"/>
      <w:textAlignment w:val="auto"/>
    </w:pPr>
    <w:rPr>
      <w:rFonts w:eastAsia="Times New Roman" w:cs="Times New Roman"/>
      <w:sz w:val="18"/>
    </w:rPr>
  </w:style>
  <w:style w:type="numbering" w:customStyle="1" w:styleId="BulletList">
    <w:name w:val="Bullet List"/>
    <w:basedOn w:val="NoList"/>
    <w:rsid w:val="00C94EB2"/>
    <w:pPr>
      <w:numPr>
        <w:numId w:val="33"/>
      </w:numPr>
    </w:pPr>
  </w:style>
  <w:style w:type="table" w:customStyle="1" w:styleId="SciSysTableStriped">
    <w:name w:val="SciSys Table Striped"/>
    <w:basedOn w:val="TableNormal"/>
    <w:rsid w:val="00C94EB2"/>
    <w:pPr>
      <w:autoSpaceDN/>
      <w:spacing w:before="60" w:after="60" w:line="240" w:lineRule="auto"/>
      <w:textAlignment w:val="auto"/>
    </w:pPr>
    <w:rPr>
      <w:rFonts w:eastAsia="Times New Roman" w:cs="Times New Roman"/>
      <w:sz w:val="18"/>
      <w:szCs w:val="2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cPr>
      <w:shd w:val="clear" w:color="auto" w:fill="auto"/>
    </w:tcPr>
    <w:tblStylePr w:type="firstRow">
      <w:rPr>
        <w:b/>
        <w:color w:val="FFFFFF"/>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cBorders>
        <w:shd w:val="clear" w:color="auto" w:fill="343434"/>
      </w:tcPr>
    </w:tblStylePr>
    <w:tblStylePr w:type="lastRow">
      <w:rPr>
        <w:b/>
        <w:color w:val="FFFFFF"/>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cBorders>
        <w:shd w:val="clear" w:color="auto" w:fill="7E7E7E"/>
      </w:tcPr>
    </w:tblStylePr>
    <w:tblStylePr w:type="firstCol">
      <w:rPr>
        <w:b/>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cBorders>
      </w:tcPr>
    </w:tblStylePr>
    <w:tblStylePr w:type="lastCol">
      <w:rPr>
        <w:b/>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cBorders>
      </w:tcPr>
    </w:tblStylePr>
    <w:tblStylePr w:type="band2Horz">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cBorders>
        <w:shd w:val="clear" w:color="auto" w:fill="E6E6E6"/>
      </w:tcPr>
    </w:tblStylePr>
    <w:tblStylePr w:type="seCell">
      <w:rPr>
        <w:b/>
      </w:rPr>
      <w:tblPr/>
      <w:tcPr>
        <w:tcBorders>
          <w:top w:val="nil"/>
          <w:left w:val="nil"/>
          <w:bottom w:val="nil"/>
          <w:right w:val="nil"/>
        </w:tcBorders>
      </w:tcPr>
    </w:tblStylePr>
    <w:tblStylePr w:type="swCell">
      <w:rPr>
        <w:b/>
      </w:rPr>
      <w:tblPr/>
      <w:tcPr>
        <w:tcBorders>
          <w:top w:val="nil"/>
          <w:left w:val="nil"/>
          <w:bottom w:val="nil"/>
          <w:right w:val="nil"/>
        </w:tcBorders>
      </w:tcPr>
    </w:tblStylePr>
  </w:style>
  <w:style w:type="paragraph" w:styleId="NoSpacing">
    <w:name w:val="No Spacing"/>
    <w:link w:val="NoSpacingChar"/>
    <w:uiPriority w:val="1"/>
    <w:qFormat/>
    <w:rsid w:val="005C3AE7"/>
    <w:pPr>
      <w:autoSpaceDN/>
      <w:spacing w:line="240" w:lineRule="auto"/>
      <w:textAlignment w:val="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5C3AE7"/>
    <w:rPr>
      <w:rFonts w:asciiTheme="minorHAnsi" w:eastAsiaTheme="minorEastAsia" w:hAnsiTheme="minorHAnsi" w:cstheme="minorBidi"/>
      <w:lang w:val="en-US" w:eastAsia="ja-JP"/>
    </w:rPr>
  </w:style>
  <w:style w:type="table" w:styleId="TableGrid">
    <w:name w:val="Table Grid"/>
    <w:basedOn w:val="TableNormal"/>
    <w:uiPriority w:val="59"/>
    <w:rsid w:val="005C3AE7"/>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C3AE7"/>
    <w:pPr>
      <w:pBdr>
        <w:top w:val="nil"/>
        <w:left w:val="nil"/>
        <w:bottom w:val="nil"/>
        <w:right w:val="nil"/>
        <w:between w:val="nil"/>
      </w:pBdr>
      <w:autoSpaceDN/>
      <w:textAlignment w:val="auto"/>
    </w:pPr>
    <w:rPr>
      <w:color w:val="000000"/>
      <w:lang w:val="uz-Cyrl-UZ" w:eastAsia="en-US"/>
    </w:rPr>
  </w:style>
  <w:style w:type="character" w:styleId="FollowedHyperlink">
    <w:name w:val="FollowedHyperlink"/>
    <w:basedOn w:val="DefaultParagraphFont"/>
    <w:uiPriority w:val="99"/>
    <w:semiHidden/>
    <w:unhideWhenUsed/>
    <w:rsid w:val="007D5499"/>
    <w:rPr>
      <w:color w:val="954F72" w:themeColor="followedHyperlink"/>
      <w:u w:val="single"/>
    </w:rPr>
  </w:style>
  <w:style w:type="paragraph" w:customStyle="1" w:styleId="Default">
    <w:name w:val="Default"/>
    <w:rsid w:val="00AB34BE"/>
    <w:pPr>
      <w:autoSpaceDE w:val="0"/>
      <w:adjustRightInd w:val="0"/>
      <w:spacing w:line="240" w:lineRule="auto"/>
      <w:textAlignment w:val="auto"/>
    </w:pPr>
    <w:rPr>
      <w:color w:val="000000"/>
      <w:sz w:val="24"/>
      <w:szCs w:val="24"/>
    </w:rPr>
  </w:style>
  <w:style w:type="character" w:customStyle="1" w:styleId="UnresolvedMention3">
    <w:name w:val="Unresolved Mention3"/>
    <w:basedOn w:val="DefaultParagraphFont"/>
    <w:uiPriority w:val="99"/>
    <w:unhideWhenUsed/>
    <w:rsid w:val="00A81C3B"/>
    <w:rPr>
      <w:color w:val="605E5C"/>
      <w:shd w:val="clear" w:color="auto" w:fill="E1DFDD"/>
    </w:rPr>
  </w:style>
  <w:style w:type="character" w:customStyle="1" w:styleId="Mention1">
    <w:name w:val="Mention1"/>
    <w:basedOn w:val="DefaultParagraphFont"/>
    <w:uiPriority w:val="99"/>
    <w:unhideWhenUsed/>
    <w:rsid w:val="00A81C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9759">
      <w:bodyDiv w:val="1"/>
      <w:marLeft w:val="0"/>
      <w:marRight w:val="0"/>
      <w:marTop w:val="0"/>
      <w:marBottom w:val="0"/>
      <w:divBdr>
        <w:top w:val="none" w:sz="0" w:space="0" w:color="auto"/>
        <w:left w:val="none" w:sz="0" w:space="0" w:color="auto"/>
        <w:bottom w:val="none" w:sz="0" w:space="0" w:color="auto"/>
        <w:right w:val="none" w:sz="0" w:space="0" w:color="auto"/>
      </w:divBdr>
    </w:div>
    <w:div w:id="289944396">
      <w:bodyDiv w:val="1"/>
      <w:marLeft w:val="0"/>
      <w:marRight w:val="0"/>
      <w:marTop w:val="0"/>
      <w:marBottom w:val="0"/>
      <w:divBdr>
        <w:top w:val="none" w:sz="0" w:space="0" w:color="auto"/>
        <w:left w:val="none" w:sz="0" w:space="0" w:color="auto"/>
        <w:bottom w:val="none" w:sz="0" w:space="0" w:color="auto"/>
        <w:right w:val="none" w:sz="0" w:space="0" w:color="auto"/>
      </w:divBdr>
    </w:div>
    <w:div w:id="495147025">
      <w:bodyDiv w:val="1"/>
      <w:marLeft w:val="0"/>
      <w:marRight w:val="0"/>
      <w:marTop w:val="0"/>
      <w:marBottom w:val="0"/>
      <w:divBdr>
        <w:top w:val="none" w:sz="0" w:space="0" w:color="auto"/>
        <w:left w:val="none" w:sz="0" w:space="0" w:color="auto"/>
        <w:bottom w:val="none" w:sz="0" w:space="0" w:color="auto"/>
        <w:right w:val="none" w:sz="0" w:space="0" w:color="auto"/>
      </w:divBdr>
    </w:div>
    <w:div w:id="901015749">
      <w:bodyDiv w:val="1"/>
      <w:marLeft w:val="0"/>
      <w:marRight w:val="0"/>
      <w:marTop w:val="0"/>
      <w:marBottom w:val="0"/>
      <w:divBdr>
        <w:top w:val="none" w:sz="0" w:space="0" w:color="auto"/>
        <w:left w:val="none" w:sz="0" w:space="0" w:color="auto"/>
        <w:bottom w:val="none" w:sz="0" w:space="0" w:color="auto"/>
        <w:right w:val="none" w:sz="0" w:space="0" w:color="auto"/>
      </w:divBdr>
    </w:div>
    <w:div w:id="904490319">
      <w:bodyDiv w:val="1"/>
      <w:marLeft w:val="0"/>
      <w:marRight w:val="0"/>
      <w:marTop w:val="0"/>
      <w:marBottom w:val="0"/>
      <w:divBdr>
        <w:top w:val="none" w:sz="0" w:space="0" w:color="auto"/>
        <w:left w:val="none" w:sz="0" w:space="0" w:color="auto"/>
        <w:bottom w:val="none" w:sz="0" w:space="0" w:color="auto"/>
        <w:right w:val="none" w:sz="0" w:space="0" w:color="auto"/>
      </w:divBdr>
      <w:divsChild>
        <w:div w:id="1198854007">
          <w:marLeft w:val="0"/>
          <w:marRight w:val="0"/>
          <w:marTop w:val="0"/>
          <w:marBottom w:val="0"/>
          <w:divBdr>
            <w:top w:val="none" w:sz="0" w:space="0" w:color="auto"/>
            <w:left w:val="none" w:sz="0" w:space="0" w:color="auto"/>
            <w:bottom w:val="none" w:sz="0" w:space="0" w:color="auto"/>
            <w:right w:val="none" w:sz="0" w:space="0" w:color="auto"/>
          </w:divBdr>
        </w:div>
        <w:div w:id="1646157885">
          <w:marLeft w:val="0"/>
          <w:marRight w:val="0"/>
          <w:marTop w:val="0"/>
          <w:marBottom w:val="0"/>
          <w:divBdr>
            <w:top w:val="none" w:sz="0" w:space="0" w:color="auto"/>
            <w:left w:val="none" w:sz="0" w:space="0" w:color="auto"/>
            <w:bottom w:val="none" w:sz="0" w:space="0" w:color="auto"/>
            <w:right w:val="none" w:sz="0" w:space="0" w:color="auto"/>
          </w:divBdr>
        </w:div>
        <w:div w:id="1944025630">
          <w:marLeft w:val="0"/>
          <w:marRight w:val="0"/>
          <w:marTop w:val="0"/>
          <w:marBottom w:val="0"/>
          <w:divBdr>
            <w:top w:val="none" w:sz="0" w:space="0" w:color="auto"/>
            <w:left w:val="none" w:sz="0" w:space="0" w:color="auto"/>
            <w:bottom w:val="none" w:sz="0" w:space="0" w:color="auto"/>
            <w:right w:val="none" w:sz="0" w:space="0" w:color="auto"/>
          </w:divBdr>
        </w:div>
      </w:divsChild>
    </w:div>
    <w:div w:id="1005398600">
      <w:bodyDiv w:val="1"/>
      <w:marLeft w:val="0"/>
      <w:marRight w:val="0"/>
      <w:marTop w:val="0"/>
      <w:marBottom w:val="0"/>
      <w:divBdr>
        <w:top w:val="none" w:sz="0" w:space="0" w:color="auto"/>
        <w:left w:val="none" w:sz="0" w:space="0" w:color="auto"/>
        <w:bottom w:val="none" w:sz="0" w:space="0" w:color="auto"/>
        <w:right w:val="none" w:sz="0" w:space="0" w:color="auto"/>
      </w:divBdr>
      <w:divsChild>
        <w:div w:id="481385583">
          <w:marLeft w:val="0"/>
          <w:marRight w:val="0"/>
          <w:marTop w:val="0"/>
          <w:marBottom w:val="0"/>
          <w:divBdr>
            <w:top w:val="none" w:sz="0" w:space="0" w:color="auto"/>
            <w:left w:val="none" w:sz="0" w:space="0" w:color="auto"/>
            <w:bottom w:val="none" w:sz="0" w:space="0" w:color="auto"/>
            <w:right w:val="none" w:sz="0" w:space="0" w:color="auto"/>
          </w:divBdr>
        </w:div>
        <w:div w:id="583297540">
          <w:marLeft w:val="0"/>
          <w:marRight w:val="0"/>
          <w:marTop w:val="0"/>
          <w:marBottom w:val="0"/>
          <w:divBdr>
            <w:top w:val="none" w:sz="0" w:space="0" w:color="auto"/>
            <w:left w:val="none" w:sz="0" w:space="0" w:color="auto"/>
            <w:bottom w:val="none" w:sz="0" w:space="0" w:color="auto"/>
            <w:right w:val="none" w:sz="0" w:space="0" w:color="auto"/>
          </w:divBdr>
        </w:div>
        <w:div w:id="885408950">
          <w:marLeft w:val="0"/>
          <w:marRight w:val="0"/>
          <w:marTop w:val="0"/>
          <w:marBottom w:val="0"/>
          <w:divBdr>
            <w:top w:val="none" w:sz="0" w:space="0" w:color="auto"/>
            <w:left w:val="none" w:sz="0" w:space="0" w:color="auto"/>
            <w:bottom w:val="none" w:sz="0" w:space="0" w:color="auto"/>
            <w:right w:val="none" w:sz="0" w:space="0" w:color="auto"/>
          </w:divBdr>
        </w:div>
        <w:div w:id="1043166915">
          <w:marLeft w:val="0"/>
          <w:marRight w:val="0"/>
          <w:marTop w:val="0"/>
          <w:marBottom w:val="0"/>
          <w:divBdr>
            <w:top w:val="none" w:sz="0" w:space="0" w:color="auto"/>
            <w:left w:val="none" w:sz="0" w:space="0" w:color="auto"/>
            <w:bottom w:val="none" w:sz="0" w:space="0" w:color="auto"/>
            <w:right w:val="none" w:sz="0" w:space="0" w:color="auto"/>
          </w:divBdr>
        </w:div>
      </w:divsChild>
    </w:div>
    <w:div w:id="1095828838">
      <w:bodyDiv w:val="1"/>
      <w:marLeft w:val="0"/>
      <w:marRight w:val="0"/>
      <w:marTop w:val="0"/>
      <w:marBottom w:val="0"/>
      <w:divBdr>
        <w:top w:val="none" w:sz="0" w:space="0" w:color="auto"/>
        <w:left w:val="none" w:sz="0" w:space="0" w:color="auto"/>
        <w:bottom w:val="none" w:sz="0" w:space="0" w:color="auto"/>
        <w:right w:val="none" w:sz="0" w:space="0" w:color="auto"/>
      </w:divBdr>
    </w:div>
    <w:div w:id="1175342825">
      <w:bodyDiv w:val="1"/>
      <w:marLeft w:val="0"/>
      <w:marRight w:val="0"/>
      <w:marTop w:val="0"/>
      <w:marBottom w:val="0"/>
      <w:divBdr>
        <w:top w:val="none" w:sz="0" w:space="0" w:color="auto"/>
        <w:left w:val="none" w:sz="0" w:space="0" w:color="auto"/>
        <w:bottom w:val="none" w:sz="0" w:space="0" w:color="auto"/>
        <w:right w:val="none" w:sz="0" w:space="0" w:color="auto"/>
      </w:divBdr>
    </w:div>
    <w:div w:id="1227377497">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sChild>
        <w:div w:id="10396">
          <w:marLeft w:val="0"/>
          <w:marRight w:val="0"/>
          <w:marTop w:val="0"/>
          <w:marBottom w:val="0"/>
          <w:divBdr>
            <w:top w:val="none" w:sz="0" w:space="0" w:color="auto"/>
            <w:left w:val="none" w:sz="0" w:space="0" w:color="auto"/>
            <w:bottom w:val="none" w:sz="0" w:space="0" w:color="auto"/>
            <w:right w:val="none" w:sz="0" w:space="0" w:color="auto"/>
          </w:divBdr>
        </w:div>
        <w:div w:id="186914335">
          <w:marLeft w:val="0"/>
          <w:marRight w:val="0"/>
          <w:marTop w:val="0"/>
          <w:marBottom w:val="0"/>
          <w:divBdr>
            <w:top w:val="none" w:sz="0" w:space="0" w:color="auto"/>
            <w:left w:val="none" w:sz="0" w:space="0" w:color="auto"/>
            <w:bottom w:val="none" w:sz="0" w:space="0" w:color="auto"/>
            <w:right w:val="none" w:sz="0" w:space="0" w:color="auto"/>
          </w:divBdr>
        </w:div>
        <w:div w:id="943878397">
          <w:marLeft w:val="0"/>
          <w:marRight w:val="0"/>
          <w:marTop w:val="0"/>
          <w:marBottom w:val="0"/>
          <w:divBdr>
            <w:top w:val="none" w:sz="0" w:space="0" w:color="auto"/>
            <w:left w:val="none" w:sz="0" w:space="0" w:color="auto"/>
            <w:bottom w:val="none" w:sz="0" w:space="0" w:color="auto"/>
            <w:right w:val="none" w:sz="0" w:space="0" w:color="auto"/>
          </w:divBdr>
        </w:div>
        <w:div w:id="1121875795">
          <w:marLeft w:val="0"/>
          <w:marRight w:val="0"/>
          <w:marTop w:val="0"/>
          <w:marBottom w:val="0"/>
          <w:divBdr>
            <w:top w:val="none" w:sz="0" w:space="0" w:color="auto"/>
            <w:left w:val="none" w:sz="0" w:space="0" w:color="auto"/>
            <w:bottom w:val="none" w:sz="0" w:space="0" w:color="auto"/>
            <w:right w:val="none" w:sz="0" w:space="0" w:color="auto"/>
          </w:divBdr>
        </w:div>
        <w:div w:id="1622301272">
          <w:marLeft w:val="0"/>
          <w:marRight w:val="0"/>
          <w:marTop w:val="0"/>
          <w:marBottom w:val="0"/>
          <w:divBdr>
            <w:top w:val="none" w:sz="0" w:space="0" w:color="auto"/>
            <w:left w:val="none" w:sz="0" w:space="0" w:color="auto"/>
            <w:bottom w:val="none" w:sz="0" w:space="0" w:color="auto"/>
            <w:right w:val="none" w:sz="0" w:space="0" w:color="auto"/>
          </w:divBdr>
        </w:div>
      </w:divsChild>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631092409">
      <w:bodyDiv w:val="1"/>
      <w:marLeft w:val="0"/>
      <w:marRight w:val="0"/>
      <w:marTop w:val="0"/>
      <w:marBottom w:val="0"/>
      <w:divBdr>
        <w:top w:val="none" w:sz="0" w:space="0" w:color="auto"/>
        <w:left w:val="none" w:sz="0" w:space="0" w:color="auto"/>
        <w:bottom w:val="none" w:sz="0" w:space="0" w:color="auto"/>
        <w:right w:val="none" w:sz="0" w:space="0" w:color="auto"/>
      </w:divBdr>
    </w:div>
    <w:div w:id="196846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cpni.gov.uk/protection-sensitive-information-and-assets" TargetMode="External"/><Relationship Id="rId39"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cpni.gov.uk/content/adopt-risk-management-approach"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guidance/implementing-cloud-security-principles" TargetMode="External"/><Relationship Id="rId20" Type="http://schemas.openxmlformats.org/officeDocument/2006/relationships/image" Target="media/image4.emf"/><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pni.gov.uk/content/adopt-risk-management-approach"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digitalmarketplace.service.gov.uk/" TargetMode="External"/><Relationship Id="rId40" Type="http://schemas.openxmlformats.org/officeDocument/2006/relationships/hyperlink" Target="https://www.gov.uk/service-manual/agile-delivery/spend-controls-check-if-you-need-approval-to-spend-money-on-a-service" TargetMode="External"/><Relationship Id="rId5" Type="http://schemas.openxmlformats.org/officeDocument/2006/relationships/customXml" Target="../customXml/item5.xml"/><Relationship Id="rId15" Type="http://schemas.openxmlformats.org/officeDocument/2006/relationships/hyperlink" Target="https://www.ncsc.gov.uk/guidance/implementing-cloud-security-principles" TargetMode="External"/><Relationship Id="rId23" Type="http://schemas.openxmlformats.org/officeDocument/2006/relationships/hyperlink" Target="https://www.gov.uk/government/publications/security-policy-framework" TargetMode="External"/><Relationship Id="rId28" Type="http://schemas.openxmlformats.org/officeDocument/2006/relationships/hyperlink" Target="https://www.ncsc.gov.uk/collection/risk-management-collection" TargetMode="External"/><Relationship Id="rId36" Type="http://schemas.openxmlformats.org/officeDocument/2006/relationships/hyperlink" Target="https://www.ncsc.gov.uk/guidance/10-steps-cyber-security" TargetMode="External"/><Relationship Id="rId10" Type="http://schemas.openxmlformats.org/officeDocument/2006/relationships/footnotes" Target="footnotes.xml"/><Relationship Id="rId19" Type="http://schemas.openxmlformats.org/officeDocument/2006/relationships/hyperlink" Target="https://www.gov.uk/government/uploads/system/uploads/attachment_data/file/365602/HMG_Baseline_Personnel_Security_Standard.pdf" TargetMode="External"/><Relationship Id="rId31" Type="http://schemas.openxmlformats.org/officeDocument/2006/relationships/hyperlink" Target="https://www.ncsc.gov.uk/guidance/implementing-cloud-security-princip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sc.gov.uk/guidance/security-design-principles-digital-services-main"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cpni.gov.uk/protection-sensitive-information-and-assets"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ncsc.gov.uk/guidance/10-steps-cyber-secur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C31362F7524B4EB74EBE3B5F5DF906" ma:contentTypeVersion="1" ma:contentTypeDescription="Create a new document." ma:contentTypeScope="" ma:versionID="09beb1bdf8d758409c99c94a4990aa2d">
  <xsd:schema xmlns:xsd="http://www.w3.org/2001/XMLSchema" xmlns:xs="http://www.w3.org/2001/XMLSchema" xmlns:p="http://schemas.microsoft.com/office/2006/metadata/properties" xmlns:ns2="94c957e0-d5d1-4095-ba29-26b8aa78bd0c" targetNamespace="http://schemas.microsoft.com/office/2006/metadata/properties" ma:root="true" ma:fieldsID="0c03a1a74babfd0394024ee073dc5812" ns2:_="">
    <xsd:import namespace="94c957e0-d5d1-4095-ba29-26b8aa78bd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957e0-d5d1-4095-ba29-26b8aa78bd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4c957e0-d5d1-4095-ba29-26b8aa78bd0c">JSMYTDNCJYXR-212737648-7</_dlc_DocId>
    <_dlc_DocIdUrl xmlns="94c957e0-d5d1-4095-ba29-26b8aa78bd0c">
      <Url>https://ensemble.ent.cgi.com/client/318425/_layouts/15/DocIdRedir.aspx?ID=JSMYTDNCJYXR-212737648-7</Url>
      <Description>JSMYTDNCJYXR-212737648-7</Description>
    </_dlc_DocIdUrl>
    <SharedWithUsers xmlns="94c957e0-d5d1-4095-ba29-26b8aa78bd0c">
      <UserInfo>
        <DisplayName>Mgbeji, Amaka (BEIS Digital)</DisplayName>
        <AccountId>872</AccountId>
        <AccountType/>
      </UserInfo>
      <UserInfo>
        <DisplayName>Wisby, Felix (Commercial &amp; Operations)</DisplayName>
        <AccountId>134</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C735D-BF94-40D5-A8BF-6DFA8450E43B}">
  <ds:schemaRefs>
    <ds:schemaRef ds:uri="http://schemas.openxmlformats.org/officeDocument/2006/bibliography"/>
  </ds:schemaRefs>
</ds:datastoreItem>
</file>

<file path=customXml/itemProps2.xml><?xml version="1.0" encoding="utf-8"?>
<ds:datastoreItem xmlns:ds="http://schemas.openxmlformats.org/officeDocument/2006/customXml" ds:itemID="{25D522F6-13C7-4891-BE91-C008A576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957e0-d5d1-4095-ba29-26b8aa78b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36AF2-FF85-4A62-88FF-0B7BD2F36AD9}">
  <ds:schemaRefs>
    <ds:schemaRef ds:uri="http://schemas.microsoft.com/office/2006/metadata/properties"/>
    <ds:schemaRef ds:uri="http://schemas.microsoft.com/office/infopath/2007/PartnerControls"/>
    <ds:schemaRef ds:uri="94c957e0-d5d1-4095-ba29-26b8aa78bd0c"/>
  </ds:schemaRefs>
</ds:datastoreItem>
</file>

<file path=customXml/itemProps4.xml><?xml version="1.0" encoding="utf-8"?>
<ds:datastoreItem xmlns:ds="http://schemas.openxmlformats.org/officeDocument/2006/customXml" ds:itemID="{C7B197AD-43D8-4B6D-825F-281548A8385E}">
  <ds:schemaRefs>
    <ds:schemaRef ds:uri="http://schemas.microsoft.com/sharepoint/events"/>
  </ds:schemaRefs>
</ds:datastoreItem>
</file>

<file path=customXml/itemProps5.xml><?xml version="1.0" encoding="utf-8"?>
<ds:datastoreItem xmlns:ds="http://schemas.openxmlformats.org/officeDocument/2006/customXml" ds:itemID="{281C025F-1935-4EA7-93D1-5582CEAA882C}">
  <ds:schemaRefs>
    <ds:schemaRef ds:uri="http://schemas.microsoft.com/sharepoint/v3/contenttype/forms"/>
  </ds:schemaRefs>
</ds:datastoreItem>
</file>

<file path=docMetadata/LabelInfo.xml><?xml version="1.0" encoding="utf-8"?>
<clbl:labelList xmlns:clbl="http://schemas.microsoft.com/office/2020/mipLabelMetadata">
  <clbl:label id="{820d33d7-bbe4-47b8-a5ad-6a3992657a09}" enabled="1" method="Privileged" siteId="{b9fec68c-c92d-461e-9a97-3d03a0f18b82}" contentBits="2" removed="0"/>
</clbl:labelList>
</file>

<file path=docProps/app.xml><?xml version="1.0" encoding="utf-8"?>
<Properties xmlns="http://schemas.openxmlformats.org/officeDocument/2006/extended-properties" xmlns:vt="http://schemas.openxmlformats.org/officeDocument/2006/docPropsVTypes">
  <Template>Normal</Template>
  <TotalTime>1145</TotalTime>
  <Pages>101</Pages>
  <Words>30958</Words>
  <Characters>167796</Characters>
  <Application>Microsoft Office Word</Application>
  <DocSecurity>0</DocSecurity>
  <Lines>5084</Lines>
  <Paragraphs>2338</Paragraphs>
  <ScaleCrop>false</ScaleCrop>
  <HeadingPairs>
    <vt:vector size="2" baseType="variant">
      <vt:variant>
        <vt:lpstr>Title</vt:lpstr>
      </vt:variant>
      <vt:variant>
        <vt:i4>1</vt:i4>
      </vt:variant>
    </vt:vector>
  </HeadingPairs>
  <TitlesOfParts>
    <vt:vector size="1" baseType="lpstr">
      <vt:lpstr>G-Cloud 12 Call-off Contract</vt:lpstr>
    </vt:vector>
  </TitlesOfParts>
  <Manager/>
  <Company/>
  <LinksUpToDate>false</LinksUpToDate>
  <CharactersWithSpaces>196416</CharactersWithSpaces>
  <SharedDoc>false</SharedDoc>
  <HLinks>
    <vt:vector size="144" baseType="variant">
      <vt:variant>
        <vt:i4>6619252</vt:i4>
      </vt:variant>
      <vt:variant>
        <vt:i4>105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102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99</vt:i4>
      </vt:variant>
      <vt:variant>
        <vt:i4>0</vt:i4>
      </vt:variant>
      <vt:variant>
        <vt:i4>5</vt:i4>
      </vt:variant>
      <vt:variant>
        <vt:lpwstr>https://www.gov.uk/guidance/check-employment-status-for-tax</vt:lpwstr>
      </vt:variant>
      <vt:variant>
        <vt:lpwstr/>
      </vt:variant>
      <vt:variant>
        <vt:i4>6357104</vt:i4>
      </vt:variant>
      <vt:variant>
        <vt:i4>96</vt:i4>
      </vt:variant>
      <vt:variant>
        <vt:i4>0</vt:i4>
      </vt:variant>
      <vt:variant>
        <vt:i4>5</vt:i4>
      </vt:variant>
      <vt:variant>
        <vt:lpwstr>https://www.digitalmarketplace.service.gov.uk/</vt:lpwstr>
      </vt:variant>
      <vt:variant>
        <vt:lpwstr/>
      </vt:variant>
      <vt:variant>
        <vt:i4>1900618</vt:i4>
      </vt:variant>
      <vt:variant>
        <vt:i4>93</vt:i4>
      </vt:variant>
      <vt:variant>
        <vt:i4>0</vt:i4>
      </vt:variant>
      <vt:variant>
        <vt:i4>5</vt:i4>
      </vt:variant>
      <vt:variant>
        <vt:lpwstr>https://www.ncsc.gov.uk/guidance/10-steps-cyber-security</vt:lpwstr>
      </vt:variant>
      <vt:variant>
        <vt:lpwstr/>
      </vt:variant>
      <vt:variant>
        <vt:i4>1900618</vt:i4>
      </vt:variant>
      <vt:variant>
        <vt:i4>90</vt:i4>
      </vt:variant>
      <vt:variant>
        <vt:i4>0</vt:i4>
      </vt:variant>
      <vt:variant>
        <vt:i4>5</vt:i4>
      </vt:variant>
      <vt:variant>
        <vt:lpwstr>https://www.ncsc.gov.uk/guidance/10-steps-cyber-security</vt:lpwstr>
      </vt:variant>
      <vt:variant>
        <vt:lpwstr/>
      </vt:variant>
      <vt:variant>
        <vt:i4>8323121</vt:i4>
      </vt:variant>
      <vt:variant>
        <vt:i4>87</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84</vt:i4>
      </vt:variant>
      <vt:variant>
        <vt:i4>0</vt:i4>
      </vt:variant>
      <vt:variant>
        <vt:i4>5</vt:i4>
      </vt:variant>
      <vt:variant>
        <vt:lpwstr>https://www.gov.uk/government/publications/technology-code-of-practice/technology-code-of-practice</vt:lpwstr>
      </vt:variant>
      <vt:variant>
        <vt:lpwstr/>
      </vt:variant>
      <vt:variant>
        <vt:i4>4128867</vt:i4>
      </vt:variant>
      <vt:variant>
        <vt:i4>81</vt:i4>
      </vt:variant>
      <vt:variant>
        <vt:i4>0</vt:i4>
      </vt:variant>
      <vt:variant>
        <vt:i4>5</vt:i4>
      </vt:variant>
      <vt:variant>
        <vt:lpwstr>https://www.gov.uk/government/publications/technology-code-of-practice/technology-code-of-practice</vt:lpwstr>
      </vt:variant>
      <vt:variant>
        <vt:lpwstr/>
      </vt:variant>
      <vt:variant>
        <vt:i4>7077948</vt:i4>
      </vt:variant>
      <vt:variant>
        <vt:i4>78</vt:i4>
      </vt:variant>
      <vt:variant>
        <vt:i4>0</vt:i4>
      </vt:variant>
      <vt:variant>
        <vt:i4>5</vt:i4>
      </vt:variant>
      <vt:variant>
        <vt:lpwstr>https://www.ncsc.gov.uk/guidance/implementing-cloud-security-principles</vt:lpwstr>
      </vt:variant>
      <vt:variant>
        <vt:lpwstr/>
      </vt:variant>
      <vt:variant>
        <vt:i4>7077948</vt:i4>
      </vt:variant>
      <vt:variant>
        <vt:i4>75</vt:i4>
      </vt:variant>
      <vt:variant>
        <vt:i4>0</vt:i4>
      </vt:variant>
      <vt:variant>
        <vt:i4>5</vt:i4>
      </vt:variant>
      <vt:variant>
        <vt:lpwstr>https://www.ncsc.gov.uk/guidance/implementing-cloud-security-principles</vt:lpwstr>
      </vt:variant>
      <vt:variant>
        <vt:lpwstr/>
      </vt:variant>
      <vt:variant>
        <vt:i4>4128867</vt:i4>
      </vt:variant>
      <vt:variant>
        <vt:i4>72</vt:i4>
      </vt:variant>
      <vt:variant>
        <vt:i4>0</vt:i4>
      </vt:variant>
      <vt:variant>
        <vt:i4>5</vt:i4>
      </vt:variant>
      <vt:variant>
        <vt:lpwstr>https://www.gov.uk/government/publications/technology-code-of-practice/technology-code-of-practice</vt:lpwstr>
      </vt:variant>
      <vt:variant>
        <vt:lpwstr/>
      </vt:variant>
      <vt:variant>
        <vt:i4>5046342</vt:i4>
      </vt:variant>
      <vt:variant>
        <vt:i4>69</vt:i4>
      </vt:variant>
      <vt:variant>
        <vt:i4>0</vt:i4>
      </vt:variant>
      <vt:variant>
        <vt:i4>5</vt:i4>
      </vt:variant>
      <vt:variant>
        <vt:lpwstr>https://www.ncsc.gov.uk/collection/risk-management-collection</vt:lpwstr>
      </vt:variant>
      <vt:variant>
        <vt:lpwstr/>
      </vt:variant>
      <vt:variant>
        <vt:i4>7864371</vt:i4>
      </vt:variant>
      <vt:variant>
        <vt:i4>66</vt:i4>
      </vt:variant>
      <vt:variant>
        <vt:i4>0</vt:i4>
      </vt:variant>
      <vt:variant>
        <vt:i4>5</vt:i4>
      </vt:variant>
      <vt:variant>
        <vt:lpwstr>https://www.cpni.gov.uk/protection-sensitive-information-and-assets</vt:lpwstr>
      </vt:variant>
      <vt:variant>
        <vt:lpwstr/>
      </vt:variant>
      <vt:variant>
        <vt:i4>7864371</vt:i4>
      </vt:variant>
      <vt:variant>
        <vt:i4>63</vt:i4>
      </vt:variant>
      <vt:variant>
        <vt:i4>0</vt:i4>
      </vt:variant>
      <vt:variant>
        <vt:i4>5</vt:i4>
      </vt:variant>
      <vt:variant>
        <vt:lpwstr>https://www.cpni.gov.uk/protection-sensitive-information-and-assets</vt:lpwstr>
      </vt:variant>
      <vt:variant>
        <vt:lpwstr/>
      </vt:variant>
      <vt:variant>
        <vt:i4>3801194</vt:i4>
      </vt:variant>
      <vt:variant>
        <vt:i4>60</vt:i4>
      </vt:variant>
      <vt:variant>
        <vt:i4>0</vt:i4>
      </vt:variant>
      <vt:variant>
        <vt:i4>5</vt:i4>
      </vt:variant>
      <vt:variant>
        <vt:lpwstr>https://www.cpni.gov.uk/content/adopt-risk-management-approach</vt:lpwstr>
      </vt:variant>
      <vt:variant>
        <vt:lpwstr/>
      </vt:variant>
      <vt:variant>
        <vt:i4>3801194</vt:i4>
      </vt:variant>
      <vt:variant>
        <vt:i4>57</vt:i4>
      </vt:variant>
      <vt:variant>
        <vt:i4>0</vt:i4>
      </vt:variant>
      <vt:variant>
        <vt:i4>5</vt:i4>
      </vt:variant>
      <vt:variant>
        <vt:lpwstr>https://www.cpni.gov.uk/content/adopt-risk-management-approach</vt:lpwstr>
      </vt:variant>
      <vt:variant>
        <vt:lpwstr/>
      </vt:variant>
      <vt:variant>
        <vt:i4>1900548</vt:i4>
      </vt:variant>
      <vt:variant>
        <vt:i4>54</vt:i4>
      </vt:variant>
      <vt:variant>
        <vt:i4>0</vt:i4>
      </vt:variant>
      <vt:variant>
        <vt:i4>5</vt:i4>
      </vt:variant>
      <vt:variant>
        <vt:lpwstr>https://www.gov.uk/government/publications/security-policy-framework</vt:lpwstr>
      </vt:variant>
      <vt:variant>
        <vt:lpwstr/>
      </vt:variant>
      <vt:variant>
        <vt:i4>1900548</vt:i4>
      </vt:variant>
      <vt:variant>
        <vt:i4>51</vt:i4>
      </vt:variant>
      <vt:variant>
        <vt:i4>0</vt:i4>
      </vt:variant>
      <vt:variant>
        <vt:i4>5</vt:i4>
      </vt:variant>
      <vt:variant>
        <vt:lpwstr>https://www.gov.uk/government/publications/security-policy-framework</vt:lpwstr>
      </vt:variant>
      <vt:variant>
        <vt:lpwstr/>
      </vt:variant>
      <vt:variant>
        <vt:i4>6291550</vt:i4>
      </vt:variant>
      <vt:variant>
        <vt:i4>45</vt:i4>
      </vt:variant>
      <vt:variant>
        <vt:i4>0</vt:i4>
      </vt:variant>
      <vt:variant>
        <vt:i4>5</vt:i4>
      </vt:variant>
      <vt:variant>
        <vt:lpwstr>https://www.gov.uk/government/uploads/system/uploads/attachment_data/file/365602/HMG_Baseline_Personnel_Security_Standard.pdf</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4784151</vt:i4>
      </vt:variant>
      <vt:variant>
        <vt:i4>33</vt:i4>
      </vt:variant>
      <vt:variant>
        <vt:i4>0</vt:i4>
      </vt:variant>
      <vt:variant>
        <vt:i4>5</vt:i4>
      </vt:variant>
      <vt:variant>
        <vt:lpwstr>https://www.ncsc.gov.uk/guidance/security-design-principles-digital-services-main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Bassaragh, Isis (Commercial &amp; Operations)</dc:creator>
  <cp:keywords/>
  <dc:description/>
  <cp:lastModifiedBy>Bassaragh, Isis (Commercial &amp; Operations)</cp:lastModifiedBy>
  <cp:revision>5</cp:revision>
  <cp:lastPrinted>2020-06-10T10:41:00Z</cp:lastPrinted>
  <dcterms:created xsi:type="dcterms:W3CDTF">2022-06-13T16:32:00Z</dcterms:created>
  <dcterms:modified xsi:type="dcterms:W3CDTF">2022-06-14T11:38:00Z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0x010100CAC31362F7524B4EB74EBE3B5F5DF906</vt:lpwstr>
  </property>
  <property fmtid="{D5CDD505-2E9C-101B-9397-08002B2CF9AE}" pid="3" name="_dlc_DocIdItemGuid">
    <vt:lpwstr>089b7495-1809-40e6-bac4-e95723409358</vt:lpwstr>
  </property>
  <property fmtid="{D5CDD505-2E9C-101B-9397-08002B2CF9AE}" pid="4" name="Business Unit">
    <vt:lpwstr>1;#BEIS|594de1fb-2f2e-49e8-a305-5172f7f325d0</vt:lpwstr>
  </property>
  <property fmtid="{D5CDD505-2E9C-101B-9397-08002B2CF9AE}" pid="5" name="Order">
    <vt:r8>6038600</vt:r8>
  </property>
  <property fmtid="{D5CDD505-2E9C-101B-9397-08002B2CF9AE}" pid="6" name="_ExtendedDescription">
    <vt:lpwstr/>
  </property>
  <property fmtid="{D5CDD505-2E9C-101B-9397-08002B2CF9AE}" pid="7" name="MSIP_Label_820d33d7-bbe4-47b8-a5ad-6a3992657a09_Enabled">
    <vt:lpwstr>true</vt:lpwstr>
  </property>
  <property fmtid="{D5CDD505-2E9C-101B-9397-08002B2CF9AE}" pid="8" name="MSIP_Label_820d33d7-bbe4-47b8-a5ad-6a3992657a09_SetDate">
    <vt:lpwstr>2022-06-10T14:14:32Z</vt:lpwstr>
  </property>
  <property fmtid="{D5CDD505-2E9C-101B-9397-08002B2CF9AE}" pid="9" name="MSIP_Label_820d33d7-bbe4-47b8-a5ad-6a3992657a09_Method">
    <vt:lpwstr>Privileged</vt:lpwstr>
  </property>
  <property fmtid="{D5CDD505-2E9C-101B-9397-08002B2CF9AE}" pid="10" name="MSIP_Label_820d33d7-bbe4-47b8-a5ad-6a3992657a09_Name">
    <vt:lpwstr>CGI Confidential</vt:lpwstr>
  </property>
  <property fmtid="{D5CDD505-2E9C-101B-9397-08002B2CF9AE}" pid="11" name="MSIP_Label_820d33d7-bbe4-47b8-a5ad-6a3992657a09_SiteId">
    <vt:lpwstr>b9fec68c-c92d-461e-9a97-3d03a0f18b82</vt:lpwstr>
  </property>
  <property fmtid="{D5CDD505-2E9C-101B-9397-08002B2CF9AE}" pid="12" name="MSIP_Label_820d33d7-bbe4-47b8-a5ad-6a3992657a09_ActionId">
    <vt:lpwstr>b3a5a524-bfe3-4450-898e-1695b4af7dc8</vt:lpwstr>
  </property>
  <property fmtid="{D5CDD505-2E9C-101B-9397-08002B2CF9AE}" pid="13" name="MSIP_Label_820d33d7-bbe4-47b8-a5ad-6a3992657a09_ContentBits">
    <vt:lpwstr>2</vt:lpwstr>
  </property>
  <property fmtid="{D5CDD505-2E9C-101B-9397-08002B2CF9AE}" pid="14" name="MSIP_Label_763276b7-4862-4157-9b1f-d4a137a1b171_Enabled">
    <vt:lpwstr>true</vt:lpwstr>
  </property>
  <property fmtid="{D5CDD505-2E9C-101B-9397-08002B2CF9AE}" pid="15" name="MSIP_Label_763276b7-4862-4157-9b1f-d4a137a1b171_SetDate">
    <vt:lpwstr>2022-06-14T11:38:00Z</vt:lpwstr>
  </property>
  <property fmtid="{D5CDD505-2E9C-101B-9397-08002B2CF9AE}" pid="16" name="MSIP_Label_763276b7-4862-4157-9b1f-d4a137a1b171_Method">
    <vt:lpwstr>Privileged</vt:lpwstr>
  </property>
  <property fmtid="{D5CDD505-2E9C-101B-9397-08002B2CF9AE}" pid="17" name="MSIP_Label_763276b7-4862-4157-9b1f-d4a137a1b171_Name">
    <vt:lpwstr>OS</vt:lpwstr>
  </property>
  <property fmtid="{D5CDD505-2E9C-101B-9397-08002B2CF9AE}" pid="18" name="MSIP_Label_763276b7-4862-4157-9b1f-d4a137a1b171_SiteId">
    <vt:lpwstr>cbac7005-02c1-43eb-b497-e6492d1b2dd8</vt:lpwstr>
  </property>
  <property fmtid="{D5CDD505-2E9C-101B-9397-08002B2CF9AE}" pid="19" name="MSIP_Label_763276b7-4862-4157-9b1f-d4a137a1b171_ActionId">
    <vt:lpwstr>348d73f5-b731-495c-911f-ffa090ae2b4b</vt:lpwstr>
  </property>
  <property fmtid="{D5CDD505-2E9C-101B-9397-08002B2CF9AE}" pid="20" name="MSIP_Label_763276b7-4862-4157-9b1f-d4a137a1b171_ContentBits">
    <vt:lpwstr>3</vt:lpwstr>
  </property>
</Properties>
</file>