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23D" w:rsidRPr="00AA4B04" w:rsidRDefault="00BC723D" w:rsidP="00BC723D">
      <w:pPr>
        <w:pStyle w:val="GPSSchTitleandNumber"/>
        <w:rPr>
          <w:rFonts w:ascii="Arial" w:hAnsi="Arial" w:cs="Arial"/>
        </w:rPr>
      </w:pPr>
      <w:bookmarkStart w:id="0" w:name="_Toc468969844"/>
      <w:r w:rsidRPr="00AA4B04">
        <w:rPr>
          <w:rFonts w:ascii="Arial" w:hAnsi="Arial" w:cs="Arial"/>
        </w:rPr>
        <w:t>CALL OFF SCHEDULE 12: VARIATION FORM</w:t>
      </w:r>
      <w:bookmarkEnd w:id="0"/>
    </w:p>
    <w:p w:rsidR="00BC723D" w:rsidRPr="00AA4B04" w:rsidRDefault="00BC723D" w:rsidP="00BC723D">
      <w:pPr>
        <w:ind w:left="0"/>
      </w:pPr>
      <w:r w:rsidRPr="00AA4B04">
        <w:t>No</w:t>
      </w:r>
      <w:r w:rsidR="001A6006">
        <w:t>.</w:t>
      </w:r>
      <w:r w:rsidRPr="00AA4B04">
        <w:t xml:space="preserve"> of Call </w:t>
      </w:r>
      <w:proofErr w:type="gramStart"/>
      <w:r w:rsidRPr="00AA4B04">
        <w:t>Off</w:t>
      </w:r>
      <w:proofErr w:type="gramEnd"/>
      <w:r w:rsidRPr="00AA4B04">
        <w:t xml:space="preserve"> Order Form being varied:</w:t>
      </w:r>
    </w:p>
    <w:p w:rsidR="00BC723D" w:rsidRPr="00AA4B04" w:rsidRDefault="00BC723D" w:rsidP="00BC723D">
      <w:pPr>
        <w:ind w:left="0"/>
      </w:pPr>
      <w:r>
        <w:t>Contract Reference: CCCC18A51</w:t>
      </w:r>
    </w:p>
    <w:p w:rsidR="00BC723D" w:rsidRDefault="00BC723D" w:rsidP="00BC723D">
      <w:pPr>
        <w:ind w:left="0"/>
      </w:pPr>
      <w:r w:rsidRPr="00AA4B04">
        <w:t>Variation Form No:</w:t>
      </w:r>
    </w:p>
    <w:p w:rsidR="00BC723D" w:rsidRPr="00AA4B04" w:rsidRDefault="001A6006" w:rsidP="00BC723D">
      <w:pPr>
        <w:ind w:left="0"/>
      </w:pPr>
      <w:r>
        <w:t>CCCC18A51-1</w:t>
      </w:r>
    </w:p>
    <w:p w:rsidR="00BC723D" w:rsidRPr="00AA4B04" w:rsidRDefault="00BC723D" w:rsidP="00BC723D">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BC723D" w:rsidRPr="00AA4B04" w:rsidTr="00F70E13">
        <w:trPr>
          <w:cantSplit/>
        </w:trPr>
        <w:tc>
          <w:tcPr>
            <w:tcW w:w="9531" w:type="dxa"/>
            <w:tcBorders>
              <w:top w:val="nil"/>
              <w:left w:val="nil"/>
              <w:bottom w:val="nil"/>
              <w:right w:val="nil"/>
            </w:tcBorders>
          </w:tcPr>
          <w:p w:rsidR="00BC723D" w:rsidRPr="00AA4B04" w:rsidRDefault="00BC723D" w:rsidP="00F70E13">
            <w:pPr>
              <w:ind w:left="-108"/>
            </w:pPr>
            <w:r>
              <w:rPr>
                <w:b/>
              </w:rPr>
              <w:t>Cabinet Office</w:t>
            </w:r>
            <w:r w:rsidRPr="00AA4B04">
              <w:t xml:space="preserve"> ("</w:t>
            </w:r>
            <w:r w:rsidRPr="00AA4B04">
              <w:rPr>
                <w:b/>
                <w:bCs/>
              </w:rPr>
              <w:t>the Customer"</w:t>
            </w:r>
            <w:r w:rsidRPr="00AA4B04">
              <w:t>)</w:t>
            </w:r>
          </w:p>
          <w:p w:rsidR="00BC723D" w:rsidRPr="00AA4B04" w:rsidRDefault="00BC723D" w:rsidP="00F70E13">
            <w:pPr>
              <w:ind w:left="-108"/>
            </w:pPr>
            <w:r w:rsidRPr="00AA4B04">
              <w:t>and</w:t>
            </w:r>
          </w:p>
          <w:p w:rsidR="00BC723D" w:rsidRPr="00AA4B04" w:rsidRDefault="00BC723D" w:rsidP="00F70E13">
            <w:pPr>
              <w:ind w:left="-108"/>
            </w:pPr>
            <w:r>
              <w:rPr>
                <w:b/>
              </w:rPr>
              <w:t>PricewaterhouseCoopers LLP</w:t>
            </w:r>
            <w:r w:rsidRPr="00AA4B04">
              <w:t xml:space="preserve"> (</w:t>
            </w:r>
            <w:r w:rsidRPr="00AA4B04">
              <w:rPr>
                <w:b/>
              </w:rPr>
              <w:t>"the Supplier"</w:t>
            </w:r>
            <w:r w:rsidRPr="00AA4B04">
              <w:t>)</w:t>
            </w:r>
          </w:p>
        </w:tc>
      </w:tr>
    </w:tbl>
    <w:p w:rsidR="00BC723D" w:rsidRDefault="00BC723D" w:rsidP="00BC723D">
      <w:pPr>
        <w:pStyle w:val="MarginText"/>
        <w:numPr>
          <w:ilvl w:val="0"/>
          <w:numId w:val="1"/>
        </w:numPr>
        <w:ind w:left="567" w:hanging="425"/>
        <w:rPr>
          <w:rFonts w:cs="Arial"/>
          <w:sz w:val="22"/>
          <w:szCs w:val="22"/>
        </w:rPr>
      </w:pPr>
      <w:r w:rsidRPr="00AA4B04">
        <w:rPr>
          <w:rFonts w:cs="Arial"/>
          <w:sz w:val="22"/>
          <w:szCs w:val="22"/>
        </w:rPr>
        <w:t xml:space="preserve">This Call Off Contract is varied as follows: </w:t>
      </w:r>
    </w:p>
    <w:p w:rsidR="001A6006" w:rsidRPr="001A6006" w:rsidRDefault="001A6006" w:rsidP="001A6006">
      <w:pPr>
        <w:pStyle w:val="ListParagraph"/>
        <w:numPr>
          <w:ilvl w:val="1"/>
          <w:numId w:val="1"/>
        </w:numPr>
        <w:rPr>
          <w:rFonts w:eastAsia="STZhongsong"/>
          <w:lang w:eastAsia="zh-CN"/>
        </w:rPr>
      </w:pPr>
      <w:r w:rsidRPr="001A6006">
        <w:rPr>
          <w:rFonts w:eastAsia="STZhongsong"/>
          <w:lang w:eastAsia="zh-CN"/>
        </w:rPr>
        <w:t>An uplift in value of an additional £1</w:t>
      </w:r>
      <w:r>
        <w:rPr>
          <w:rFonts w:eastAsia="STZhongsong"/>
          <w:lang w:eastAsia="zh-CN"/>
        </w:rPr>
        <w:t>75</w:t>
      </w:r>
      <w:r w:rsidRPr="001A6006">
        <w:rPr>
          <w:rFonts w:eastAsia="STZhongsong"/>
          <w:lang w:eastAsia="zh-CN"/>
        </w:rPr>
        <w:t>,</w:t>
      </w:r>
      <w:r>
        <w:rPr>
          <w:rFonts w:eastAsia="STZhongsong"/>
          <w:lang w:eastAsia="zh-CN"/>
        </w:rPr>
        <w:t>000.00</w:t>
      </w:r>
      <w:r w:rsidRPr="001A6006">
        <w:rPr>
          <w:rFonts w:eastAsia="STZhongsong"/>
          <w:lang w:eastAsia="zh-CN"/>
        </w:rPr>
        <w:t xml:space="preserve"> (excluding VAT) on top of t</w:t>
      </w:r>
      <w:r>
        <w:rPr>
          <w:rFonts w:eastAsia="STZhongsong"/>
          <w:lang w:eastAsia="zh-CN"/>
        </w:rPr>
        <w:t>he original £350,0</w:t>
      </w:r>
      <w:r w:rsidRPr="001A6006">
        <w:rPr>
          <w:rFonts w:eastAsia="STZhongsong"/>
          <w:lang w:eastAsia="zh-CN"/>
        </w:rPr>
        <w:t>00.00 (excluding VAT) bringing the total Contract value to £</w:t>
      </w:r>
      <w:r>
        <w:rPr>
          <w:rFonts w:eastAsia="STZhongsong"/>
          <w:lang w:eastAsia="zh-CN"/>
        </w:rPr>
        <w:t>525,000.00</w:t>
      </w:r>
      <w:r w:rsidRPr="001A6006">
        <w:rPr>
          <w:rFonts w:eastAsia="STZhongsong"/>
          <w:lang w:eastAsia="zh-CN"/>
        </w:rPr>
        <w:t xml:space="preserve"> (excluding VAT).</w:t>
      </w:r>
    </w:p>
    <w:p w:rsidR="001A6006" w:rsidRDefault="001A6006" w:rsidP="001A6006">
      <w:pPr>
        <w:pStyle w:val="MarginText"/>
        <w:numPr>
          <w:ilvl w:val="1"/>
          <w:numId w:val="1"/>
        </w:numPr>
        <w:rPr>
          <w:rFonts w:cs="Arial"/>
          <w:sz w:val="22"/>
          <w:szCs w:val="22"/>
        </w:rPr>
      </w:pPr>
      <w:r>
        <w:rPr>
          <w:rFonts w:cs="Arial"/>
          <w:sz w:val="22"/>
          <w:szCs w:val="22"/>
        </w:rPr>
        <w:t xml:space="preserve">An </w:t>
      </w:r>
      <w:r w:rsidR="00E56BD7">
        <w:rPr>
          <w:rFonts w:cs="Arial"/>
          <w:sz w:val="22"/>
          <w:szCs w:val="22"/>
        </w:rPr>
        <w:t>extension to the contract duration. The contract is due to expire on 16</w:t>
      </w:r>
      <w:r w:rsidR="00E56BD7" w:rsidRPr="00E56BD7">
        <w:rPr>
          <w:rFonts w:cs="Arial"/>
          <w:sz w:val="22"/>
          <w:szCs w:val="22"/>
          <w:vertAlign w:val="superscript"/>
        </w:rPr>
        <w:t>th</w:t>
      </w:r>
      <w:r w:rsidR="00E56BD7">
        <w:rPr>
          <w:rFonts w:cs="Arial"/>
          <w:sz w:val="22"/>
          <w:szCs w:val="22"/>
        </w:rPr>
        <w:t xml:space="preserve"> February 2019, however, the original contract provides means to extend the contract for a further two (2) months. The Customer would like to utilise this option, thus</w:t>
      </w:r>
      <w:r w:rsidR="007717BF">
        <w:rPr>
          <w:rFonts w:cs="Arial"/>
          <w:sz w:val="22"/>
          <w:szCs w:val="22"/>
        </w:rPr>
        <w:t xml:space="preserve"> meaning a new expiry date of 14</w:t>
      </w:r>
      <w:r w:rsidR="00E56BD7" w:rsidRPr="00E56BD7">
        <w:rPr>
          <w:rFonts w:cs="Arial"/>
          <w:sz w:val="22"/>
          <w:szCs w:val="22"/>
          <w:vertAlign w:val="superscript"/>
        </w:rPr>
        <w:t>th</w:t>
      </w:r>
      <w:r w:rsidR="00E56BD7">
        <w:rPr>
          <w:rFonts w:cs="Arial"/>
          <w:sz w:val="22"/>
          <w:szCs w:val="22"/>
        </w:rPr>
        <w:t xml:space="preserve"> April 2019.</w:t>
      </w:r>
    </w:p>
    <w:p w:rsidR="00E30A8A" w:rsidRDefault="00E30A8A" w:rsidP="00E30A8A">
      <w:pPr>
        <w:pStyle w:val="ListParagraph"/>
        <w:numPr>
          <w:ilvl w:val="1"/>
          <w:numId w:val="1"/>
        </w:numPr>
        <w:overflowPunct/>
        <w:autoSpaceDE/>
        <w:autoSpaceDN/>
        <w:adjustRightInd/>
        <w:spacing w:after="0"/>
        <w:contextualSpacing w:val="0"/>
        <w:jc w:val="left"/>
        <w:textAlignment w:val="auto"/>
      </w:pPr>
      <w:r>
        <w:t>The following deliverables will form part of this contract and are intrinsically linked to the scope of the original services;</w:t>
      </w:r>
    </w:p>
    <w:p w:rsidR="00E30A8A" w:rsidRPr="00CC5D3F" w:rsidRDefault="00E30A8A" w:rsidP="00E30A8A">
      <w:pPr>
        <w:pStyle w:val="ListParagraph"/>
      </w:pPr>
    </w:p>
    <w:p w:rsidR="00E30A8A" w:rsidRPr="00CC5D3F" w:rsidRDefault="00E30A8A" w:rsidP="00E30A8A">
      <w:pPr>
        <w:pStyle w:val="ListParagraph"/>
        <w:numPr>
          <w:ilvl w:val="3"/>
          <w:numId w:val="1"/>
        </w:numPr>
        <w:overflowPunct/>
        <w:autoSpaceDE/>
        <w:autoSpaceDN/>
        <w:adjustRightInd/>
        <w:spacing w:after="0"/>
        <w:ind w:left="1942"/>
        <w:contextualSpacing w:val="0"/>
        <w:jc w:val="left"/>
        <w:textAlignment w:val="auto"/>
      </w:pPr>
      <w:r w:rsidRPr="00CC5D3F">
        <w:t>Function blueprint: strategic plan to March and to June, detail for governance, shared services, capability and engagement. This will include SR planning and the analysis required for the diagnostic workshops, should they take place.</w:t>
      </w:r>
    </w:p>
    <w:p w:rsidR="00E30A8A" w:rsidRPr="00CC5D3F" w:rsidRDefault="00E30A8A" w:rsidP="00E30A8A">
      <w:pPr>
        <w:pStyle w:val="ListParagraph"/>
        <w:ind w:left="1472"/>
      </w:pPr>
    </w:p>
    <w:p w:rsidR="00E30A8A" w:rsidRPr="00E30A8A" w:rsidRDefault="00E30A8A" w:rsidP="00E30A8A">
      <w:pPr>
        <w:pStyle w:val="ListParagraph"/>
        <w:numPr>
          <w:ilvl w:val="3"/>
          <w:numId w:val="1"/>
        </w:numPr>
        <w:overflowPunct/>
        <w:autoSpaceDE/>
        <w:autoSpaceDN/>
        <w:adjustRightInd/>
        <w:spacing w:after="0"/>
        <w:ind w:left="1942"/>
        <w:contextualSpacing w:val="0"/>
        <w:jc w:val="left"/>
        <w:textAlignment w:val="auto"/>
      </w:pPr>
      <w:r w:rsidRPr="00CC5D3F">
        <w:t>Performance management: QPR3 analysis and final report to CEO, written guidance and practical support to functions in the planning process.</w:t>
      </w:r>
    </w:p>
    <w:p w:rsidR="00BC723D" w:rsidRPr="00AA4B04" w:rsidRDefault="00BC723D" w:rsidP="00BC723D">
      <w:pPr>
        <w:pStyle w:val="MarginText"/>
        <w:numPr>
          <w:ilvl w:val="0"/>
          <w:numId w:val="1"/>
        </w:numPr>
        <w:ind w:left="567" w:hanging="425"/>
        <w:rPr>
          <w:rFonts w:cs="Arial"/>
          <w:sz w:val="22"/>
          <w:szCs w:val="22"/>
        </w:rPr>
      </w:pPr>
      <w:r w:rsidRPr="00AA4B04">
        <w:rPr>
          <w:rFonts w:cs="Arial"/>
          <w:sz w:val="22"/>
          <w:szCs w:val="22"/>
        </w:rPr>
        <w:t xml:space="preserve">Words and expressions in this Variation shall have the meanings given to them in this Call </w:t>
      </w:r>
      <w:proofErr w:type="gramStart"/>
      <w:r w:rsidRPr="00AA4B04">
        <w:rPr>
          <w:rFonts w:cs="Arial"/>
          <w:sz w:val="22"/>
          <w:szCs w:val="22"/>
        </w:rPr>
        <w:t>Off</w:t>
      </w:r>
      <w:proofErr w:type="gramEnd"/>
      <w:r w:rsidRPr="00AA4B04">
        <w:rPr>
          <w:rFonts w:cs="Arial"/>
          <w:sz w:val="22"/>
          <w:szCs w:val="22"/>
        </w:rPr>
        <w:t xml:space="preserve"> Contract.</w:t>
      </w:r>
    </w:p>
    <w:p w:rsidR="00BC723D" w:rsidRPr="00AA4B04" w:rsidRDefault="00BC723D" w:rsidP="00BC723D">
      <w:pPr>
        <w:pStyle w:val="MarginText"/>
        <w:numPr>
          <w:ilvl w:val="0"/>
          <w:numId w:val="1"/>
        </w:numPr>
        <w:ind w:left="567" w:hanging="425"/>
        <w:rPr>
          <w:rFonts w:cs="Arial"/>
          <w:sz w:val="22"/>
          <w:szCs w:val="22"/>
        </w:rPr>
      </w:pPr>
      <w:r w:rsidRPr="00AA4B04">
        <w:rPr>
          <w:rFonts w:cs="Arial"/>
          <w:sz w:val="22"/>
          <w:szCs w:val="22"/>
        </w:rPr>
        <w:t xml:space="preserve">This Call </w:t>
      </w:r>
      <w:proofErr w:type="gramStart"/>
      <w:r w:rsidRPr="00AA4B04">
        <w:rPr>
          <w:rFonts w:cs="Arial"/>
          <w:sz w:val="22"/>
          <w:szCs w:val="22"/>
        </w:rPr>
        <w:t>Off</w:t>
      </w:r>
      <w:proofErr w:type="gramEnd"/>
      <w:r w:rsidRPr="00AA4B04">
        <w:rPr>
          <w:rFonts w:cs="Arial"/>
          <w:sz w:val="22"/>
          <w:szCs w:val="22"/>
        </w:rPr>
        <w:t xml:space="preserve"> Contract, including any previous Variations, shall remain effective and unaltered except as amended by this Variation.</w:t>
      </w:r>
    </w:p>
    <w:p w:rsidR="00BC723D" w:rsidRPr="00AA4B04" w:rsidRDefault="00BC723D" w:rsidP="00BC723D">
      <w:pPr>
        <w:pStyle w:val="GPSmacrorestart"/>
        <w:numPr>
          <w:ilvl w:val="0"/>
          <w:numId w:val="1"/>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rsidR="00BC723D" w:rsidRPr="00AA4B04" w:rsidRDefault="00BC723D" w:rsidP="00BC723D">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BC723D" w:rsidRPr="00AA4B04" w:rsidTr="00F70E13">
        <w:tc>
          <w:tcPr>
            <w:tcW w:w="2576" w:type="dxa"/>
            <w:tcBorders>
              <w:bottom w:val="nil"/>
            </w:tcBorders>
          </w:tcPr>
          <w:p w:rsidR="00BC723D" w:rsidRPr="00AA4B04" w:rsidRDefault="00BC723D" w:rsidP="00F70E13">
            <w:r w:rsidRPr="00AA4B04">
              <w:t>Signature</w:t>
            </w:r>
          </w:p>
        </w:tc>
        <w:tc>
          <w:tcPr>
            <w:tcW w:w="5940" w:type="dxa"/>
          </w:tcPr>
          <w:p w:rsidR="00BC723D" w:rsidRPr="0048725D" w:rsidRDefault="0048725D" w:rsidP="00F70E13">
            <w:pPr>
              <w:pStyle w:val="TSOLScheduleNormalLeft"/>
              <w:rPr>
                <w:b/>
              </w:rPr>
            </w:pPr>
            <w:r w:rsidRPr="0048725D">
              <w:rPr>
                <w:b/>
                <w:color w:val="000000"/>
              </w:rPr>
              <w:t>REDACTED TEXT</w:t>
            </w:r>
          </w:p>
        </w:tc>
      </w:tr>
      <w:tr w:rsidR="00BC723D" w:rsidRPr="00AA4B04" w:rsidTr="00F70E13">
        <w:tc>
          <w:tcPr>
            <w:tcW w:w="2576" w:type="dxa"/>
            <w:tcBorders>
              <w:top w:val="nil"/>
              <w:bottom w:val="nil"/>
            </w:tcBorders>
          </w:tcPr>
          <w:p w:rsidR="00BC723D" w:rsidRPr="00AA4B04" w:rsidRDefault="00BC723D" w:rsidP="00F70E13">
            <w:r w:rsidRPr="00AA4B04">
              <w:t>Date</w:t>
            </w:r>
          </w:p>
        </w:tc>
        <w:tc>
          <w:tcPr>
            <w:tcW w:w="5940" w:type="dxa"/>
          </w:tcPr>
          <w:p w:rsidR="00BC723D" w:rsidRPr="00AA4B04" w:rsidRDefault="00D9681B" w:rsidP="00F70E13">
            <w:pPr>
              <w:pStyle w:val="TSOLScheduleNormalLeft"/>
            </w:pPr>
            <w:r>
              <w:rPr>
                <w:color w:val="000000"/>
              </w:rPr>
              <w:t>21st December 2018</w:t>
            </w:r>
          </w:p>
        </w:tc>
      </w:tr>
      <w:tr w:rsidR="00BC723D" w:rsidRPr="00AA4B04" w:rsidTr="00D9681B">
        <w:trPr>
          <w:trHeight w:val="557"/>
        </w:trPr>
        <w:tc>
          <w:tcPr>
            <w:tcW w:w="2576" w:type="dxa"/>
            <w:tcBorders>
              <w:top w:val="nil"/>
              <w:bottom w:val="nil"/>
            </w:tcBorders>
          </w:tcPr>
          <w:p w:rsidR="00BC723D" w:rsidRPr="00AA4B04" w:rsidRDefault="00BC723D" w:rsidP="00F70E13">
            <w:pPr>
              <w:jc w:val="left"/>
            </w:pPr>
            <w:r w:rsidRPr="00AA4B04">
              <w:lastRenderedPageBreak/>
              <w:t>Name (in Capitals)</w:t>
            </w:r>
          </w:p>
        </w:tc>
        <w:tc>
          <w:tcPr>
            <w:tcW w:w="5940" w:type="dxa"/>
          </w:tcPr>
          <w:p w:rsidR="00BC723D" w:rsidRPr="00AA4B04" w:rsidRDefault="0048725D" w:rsidP="00F70E13">
            <w:pPr>
              <w:pStyle w:val="TSOLScheduleNormalLeft"/>
            </w:pPr>
            <w:r w:rsidRPr="0048725D">
              <w:rPr>
                <w:b/>
                <w:color w:val="000000"/>
              </w:rPr>
              <w:t>REDACTED TEXT</w:t>
            </w:r>
          </w:p>
        </w:tc>
      </w:tr>
      <w:tr w:rsidR="00BC723D" w:rsidRPr="00AA4B04" w:rsidTr="00F70E13">
        <w:tc>
          <w:tcPr>
            <w:tcW w:w="2576" w:type="dxa"/>
            <w:tcBorders>
              <w:top w:val="nil"/>
              <w:bottom w:val="nil"/>
            </w:tcBorders>
          </w:tcPr>
          <w:p w:rsidR="00BC723D" w:rsidRPr="00AA4B04" w:rsidRDefault="00BC723D" w:rsidP="00F70E13">
            <w:r w:rsidRPr="00AA4B04">
              <w:t>Address</w:t>
            </w:r>
          </w:p>
        </w:tc>
        <w:tc>
          <w:tcPr>
            <w:tcW w:w="5940" w:type="dxa"/>
          </w:tcPr>
          <w:p w:rsidR="00BC723D" w:rsidRPr="00AA4B04" w:rsidRDefault="0048725D" w:rsidP="00F70E13">
            <w:pPr>
              <w:pStyle w:val="TSOLScheduleNormalLeft"/>
            </w:pPr>
            <w:r w:rsidRPr="0048725D">
              <w:rPr>
                <w:b/>
                <w:color w:val="000000"/>
              </w:rPr>
              <w:t>REDACTED TEXT</w:t>
            </w:r>
          </w:p>
        </w:tc>
      </w:tr>
    </w:tbl>
    <w:p w:rsidR="00BC723D" w:rsidRPr="00AA4B04" w:rsidRDefault="00BC723D" w:rsidP="00BC723D"/>
    <w:p w:rsidR="00BC723D" w:rsidRPr="00AA4B04" w:rsidRDefault="00BC723D" w:rsidP="00BC723D">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BC723D" w:rsidRPr="00AA4B04" w:rsidTr="00F70E13">
        <w:tc>
          <w:tcPr>
            <w:tcW w:w="2576" w:type="dxa"/>
            <w:tcBorders>
              <w:bottom w:val="nil"/>
            </w:tcBorders>
          </w:tcPr>
          <w:p w:rsidR="00BC723D" w:rsidRPr="00AA4B04" w:rsidRDefault="00BC723D" w:rsidP="00F70E13">
            <w:r w:rsidRPr="00AA4B04">
              <w:t>Signature</w:t>
            </w:r>
          </w:p>
        </w:tc>
        <w:tc>
          <w:tcPr>
            <w:tcW w:w="5980" w:type="dxa"/>
          </w:tcPr>
          <w:p w:rsidR="00BC723D" w:rsidRPr="00AA4B04" w:rsidRDefault="0048725D" w:rsidP="00F70E13">
            <w:pPr>
              <w:pStyle w:val="TSOLScheduleNormalLeft"/>
            </w:pPr>
            <w:r w:rsidRPr="0048725D">
              <w:rPr>
                <w:b/>
                <w:color w:val="000000"/>
              </w:rPr>
              <w:t>REDACTED TEXT</w:t>
            </w:r>
          </w:p>
        </w:tc>
      </w:tr>
      <w:tr w:rsidR="00BC723D" w:rsidRPr="00AA4B04" w:rsidTr="00F70E13">
        <w:tc>
          <w:tcPr>
            <w:tcW w:w="2576" w:type="dxa"/>
            <w:tcBorders>
              <w:top w:val="nil"/>
              <w:bottom w:val="nil"/>
            </w:tcBorders>
          </w:tcPr>
          <w:p w:rsidR="00BC723D" w:rsidRPr="00AA4B04" w:rsidRDefault="00BC723D" w:rsidP="00F70E13">
            <w:r w:rsidRPr="00AA4B04">
              <w:t>Date</w:t>
            </w:r>
          </w:p>
        </w:tc>
        <w:tc>
          <w:tcPr>
            <w:tcW w:w="5980" w:type="dxa"/>
          </w:tcPr>
          <w:p w:rsidR="00BC723D" w:rsidRPr="00AA4B04" w:rsidRDefault="0048725D" w:rsidP="00F70E13">
            <w:pPr>
              <w:pStyle w:val="TSOLScheduleNormalLeft"/>
            </w:pPr>
            <w:r>
              <w:t>07.01.2019</w:t>
            </w:r>
            <w:bookmarkStart w:id="1" w:name="_GoBack"/>
            <w:bookmarkEnd w:id="1"/>
          </w:p>
        </w:tc>
      </w:tr>
      <w:tr w:rsidR="00BC723D" w:rsidRPr="00AA4B04" w:rsidTr="00F70E13">
        <w:tc>
          <w:tcPr>
            <w:tcW w:w="2576" w:type="dxa"/>
            <w:tcBorders>
              <w:top w:val="nil"/>
              <w:bottom w:val="nil"/>
            </w:tcBorders>
          </w:tcPr>
          <w:p w:rsidR="00BC723D" w:rsidRPr="00AA4B04" w:rsidRDefault="00BC723D" w:rsidP="00F70E13">
            <w:pPr>
              <w:jc w:val="left"/>
            </w:pPr>
            <w:r w:rsidRPr="00AA4B04">
              <w:t>Name (in Capitals)</w:t>
            </w:r>
          </w:p>
        </w:tc>
        <w:tc>
          <w:tcPr>
            <w:tcW w:w="5980" w:type="dxa"/>
          </w:tcPr>
          <w:p w:rsidR="00BC723D" w:rsidRPr="00AA4B04" w:rsidRDefault="0048725D" w:rsidP="00F70E13">
            <w:pPr>
              <w:pStyle w:val="TSOLScheduleNormalLeft"/>
            </w:pPr>
            <w:r w:rsidRPr="0048725D">
              <w:rPr>
                <w:b/>
                <w:color w:val="000000"/>
              </w:rPr>
              <w:t>REDACTED TEXT</w:t>
            </w:r>
          </w:p>
        </w:tc>
      </w:tr>
      <w:tr w:rsidR="00BC723D" w:rsidRPr="00AA4B04" w:rsidTr="00F70E13">
        <w:tc>
          <w:tcPr>
            <w:tcW w:w="2576" w:type="dxa"/>
            <w:tcBorders>
              <w:top w:val="nil"/>
              <w:bottom w:val="nil"/>
            </w:tcBorders>
          </w:tcPr>
          <w:p w:rsidR="00BC723D" w:rsidRPr="00AA4B04" w:rsidRDefault="00BC723D" w:rsidP="00F70E13">
            <w:r w:rsidRPr="00AA4B04">
              <w:t>Address</w:t>
            </w:r>
          </w:p>
        </w:tc>
        <w:tc>
          <w:tcPr>
            <w:tcW w:w="5980" w:type="dxa"/>
          </w:tcPr>
          <w:p w:rsidR="00BC723D" w:rsidRPr="00AA4B04" w:rsidRDefault="0048725D" w:rsidP="00F70E13">
            <w:pPr>
              <w:pStyle w:val="TSOLScheduleNormalLeft"/>
            </w:pPr>
            <w:r w:rsidRPr="0048725D">
              <w:rPr>
                <w:b/>
                <w:color w:val="000000"/>
              </w:rPr>
              <w:t>REDACTED TEXT</w:t>
            </w:r>
          </w:p>
        </w:tc>
      </w:tr>
    </w:tbl>
    <w:p w:rsidR="007E34AD" w:rsidRDefault="0048725D" w:rsidP="00BC723D">
      <w:pPr>
        <w:ind w:left="0"/>
      </w:pPr>
    </w:p>
    <w:sectPr w:rsidR="007E34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TZhongsong">
    <w:altName w:val="Malgun Gothic Semilight"/>
    <w:panose1 w:val="00000000000000000000"/>
    <w:charset w:val="86"/>
    <w:family w:val="auto"/>
    <w:notTrueType/>
    <w:pitch w:val="variable"/>
    <w:sig w:usb0="00000001" w:usb1="080E0000" w:usb2="00000010" w:usb3="00000000" w:csb0="00040000" w:csb1="00000000"/>
  </w:font>
  <w:font w:name="Arial Bold">
    <w:panose1 w:val="020B07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3792"/>
    <w:multiLevelType w:val="multilevel"/>
    <w:tmpl w:val="7AE89A2A"/>
    <w:lvl w:ilvl="0">
      <w:start w:val="1"/>
      <w:numFmt w:val="decimal"/>
      <w:lvlText w:val="%1."/>
      <w:lvlJc w:val="left"/>
      <w:pPr>
        <w:ind w:left="720" w:hanging="360"/>
      </w:pPr>
      <w:rPr>
        <w:rFonts w:hint="default"/>
      </w:rPr>
    </w:lvl>
    <w:lvl w:ilvl="1">
      <w:start w:val="1"/>
      <w:numFmt w:val="decimal"/>
      <w:isLgl/>
      <w:lvlText w:val="%1.%2"/>
      <w:lvlJc w:val="left"/>
      <w:pPr>
        <w:ind w:left="1215" w:hanging="855"/>
      </w:pPr>
      <w:rPr>
        <w:rFonts w:hint="default"/>
      </w:rPr>
    </w:lvl>
    <w:lvl w:ilvl="2">
      <w:start w:val="1"/>
      <w:numFmt w:val="decimal"/>
      <w:isLgl/>
      <w:lvlText w:val="%1.%2.%3"/>
      <w:lvlJc w:val="left"/>
      <w:pPr>
        <w:ind w:left="1706"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212BD7"/>
    <w:multiLevelType w:val="hybridMultilevel"/>
    <w:tmpl w:val="52FE372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start w:val="1"/>
      <w:numFmt w:val="lowerLetter"/>
      <w:lvlText w:val="%2."/>
      <w:lvlJc w:val="left"/>
      <w:pPr>
        <w:ind w:left="1582" w:hanging="360"/>
      </w:pPr>
    </w:lvl>
    <w:lvl w:ilvl="2" w:tplc="611CEB18">
      <w:start w:val="1"/>
      <w:numFmt w:val="lowerRoman"/>
      <w:lvlText w:val="%3."/>
      <w:lvlJc w:val="right"/>
      <w:pPr>
        <w:ind w:left="2302" w:hanging="180"/>
      </w:pPr>
    </w:lvl>
    <w:lvl w:ilvl="3" w:tplc="88FE1EE4">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23D"/>
    <w:rsid w:val="001A6006"/>
    <w:rsid w:val="0048725D"/>
    <w:rsid w:val="007717BF"/>
    <w:rsid w:val="00801879"/>
    <w:rsid w:val="00BC723D"/>
    <w:rsid w:val="00BD62DE"/>
    <w:rsid w:val="00D9681B"/>
    <w:rsid w:val="00E25A09"/>
    <w:rsid w:val="00E30A8A"/>
    <w:rsid w:val="00E56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0FC38"/>
  <w15:chartTrackingRefBased/>
  <w15:docId w15:val="{AEACE5EA-8B6E-4D24-91DA-2DE17EDD0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rsid w:val="00BC723D"/>
    <w:pPr>
      <w:overflowPunct w:val="0"/>
      <w:autoSpaceDE w:val="0"/>
      <w:autoSpaceDN w:val="0"/>
      <w:adjustRightInd w:val="0"/>
      <w:spacing w:after="240" w:line="240" w:lineRule="auto"/>
      <w:ind w:left="1418"/>
      <w:jc w:val="both"/>
      <w:textAlignment w:val="baseline"/>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rsid w:val="00BC723D"/>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BC723D"/>
    <w:rPr>
      <w:rFonts w:ascii="Arial" w:eastAsia="STZhongsong" w:hAnsi="Arial" w:cs="Times New Roman"/>
      <w:sz w:val="18"/>
      <w:szCs w:val="18"/>
      <w:lang w:eastAsia="zh-CN"/>
    </w:rPr>
  </w:style>
  <w:style w:type="paragraph" w:customStyle="1" w:styleId="TSOLScheduleNormalLeft">
    <w:name w:val="TSOL Schedule Normal Left"/>
    <w:basedOn w:val="Normal"/>
    <w:qFormat/>
    <w:rsid w:val="00BC723D"/>
    <w:pPr>
      <w:ind w:left="142"/>
    </w:pPr>
  </w:style>
  <w:style w:type="paragraph" w:customStyle="1" w:styleId="GPSmacrorestart">
    <w:name w:val="GPS macro restart"/>
    <w:basedOn w:val="Normal"/>
    <w:qFormat/>
    <w:rsid w:val="00BC723D"/>
    <w:pPr>
      <w:spacing w:after="0"/>
      <w:ind w:left="0"/>
    </w:pPr>
    <w:rPr>
      <w:color w:val="FFFFFF"/>
      <w:sz w:val="16"/>
      <w:szCs w:val="16"/>
    </w:rPr>
  </w:style>
  <w:style w:type="paragraph" w:customStyle="1" w:styleId="GPSL1Guidance">
    <w:name w:val="GPS L1 Guidance"/>
    <w:basedOn w:val="Normal"/>
    <w:link w:val="GPSL1GuidanceChar"/>
    <w:qFormat/>
    <w:rsid w:val="00BC723D"/>
    <w:pPr>
      <w:spacing w:before="240" w:after="120"/>
      <w:ind w:left="567"/>
    </w:pPr>
    <w:rPr>
      <w:b/>
      <w:i/>
    </w:rPr>
  </w:style>
  <w:style w:type="character" w:customStyle="1" w:styleId="GPSL1GuidanceChar">
    <w:name w:val="GPS L1 Guidance Char"/>
    <w:link w:val="GPSL1Guidance"/>
    <w:rsid w:val="00BC723D"/>
    <w:rPr>
      <w:rFonts w:ascii="Arial" w:eastAsia="Times New Roman" w:hAnsi="Arial" w:cs="Arial"/>
      <w:b/>
      <w:i/>
    </w:rPr>
  </w:style>
  <w:style w:type="paragraph" w:customStyle="1" w:styleId="GPSSchTitleandNumber">
    <w:name w:val="GPS Sch Title and Number"/>
    <w:basedOn w:val="Normal"/>
    <w:link w:val="GPSSchTitleandNumberChar"/>
    <w:qFormat/>
    <w:rsid w:val="00BC723D"/>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sid w:val="00BC723D"/>
    <w:rPr>
      <w:rFonts w:ascii="Arial Bold" w:eastAsia="STZhongsong" w:hAnsi="Arial Bold" w:cs="Times New Roman"/>
      <w:b/>
      <w:caps/>
      <w:lang w:eastAsia="zh-CN"/>
    </w:rPr>
  </w:style>
  <w:style w:type="paragraph" w:styleId="ListParagraph">
    <w:name w:val="List Paragraph"/>
    <w:basedOn w:val="Normal"/>
    <w:link w:val="ListParagraphChar"/>
    <w:uiPriority w:val="34"/>
    <w:qFormat/>
    <w:rsid w:val="001A6006"/>
    <w:pPr>
      <w:ind w:left="720"/>
      <w:contextualSpacing/>
    </w:pPr>
  </w:style>
  <w:style w:type="character" w:customStyle="1" w:styleId="ListParagraphChar">
    <w:name w:val="List Paragraph Char"/>
    <w:link w:val="ListParagraph"/>
    <w:uiPriority w:val="34"/>
    <w:locked/>
    <w:rsid w:val="00E30A8A"/>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Phoebe Gajic</dc:creator>
  <cp:keywords/>
  <dc:description/>
  <cp:lastModifiedBy>Phoebe Gajic</cp:lastModifiedBy>
  <cp:revision>2</cp:revision>
  <dcterms:created xsi:type="dcterms:W3CDTF">2019-01-10T15:42:00Z</dcterms:created>
  <dcterms:modified xsi:type="dcterms:W3CDTF">2019-01-10T15:42:00Z</dcterms:modified>
</cp:coreProperties>
</file>