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7B" w:rsidRDefault="004B207B" w:rsidP="004B207B"/>
    <w:p w:rsidR="00233C9C" w:rsidRDefault="004B207B">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56273164" w:history="1">
        <w:r w:rsidR="00233C9C" w:rsidRPr="005A6FE2">
          <w:rPr>
            <w:rStyle w:val="Hyperlink"/>
            <w:noProof/>
          </w:rPr>
          <w:t>1.</w:t>
        </w:r>
        <w:r w:rsidR="00233C9C">
          <w:rPr>
            <w:rFonts w:asciiTheme="minorHAnsi" w:eastAsiaTheme="minorEastAsia" w:hAnsiTheme="minorHAnsi" w:cstheme="minorBidi"/>
            <w:caps w:val="0"/>
            <w:noProof/>
            <w:szCs w:val="22"/>
            <w:lang w:eastAsia="en-GB"/>
          </w:rPr>
          <w:tab/>
        </w:r>
        <w:r w:rsidR="00233C9C" w:rsidRPr="005A6FE2">
          <w:rPr>
            <w:rStyle w:val="Hyperlink"/>
            <w:noProof/>
          </w:rPr>
          <w:t>PURPOSE</w:t>
        </w:r>
        <w:r w:rsidR="00233C9C">
          <w:rPr>
            <w:noProof/>
            <w:webHidden/>
          </w:rPr>
          <w:tab/>
        </w:r>
        <w:r w:rsidR="00233C9C">
          <w:rPr>
            <w:noProof/>
            <w:webHidden/>
          </w:rPr>
          <w:fldChar w:fldCharType="begin"/>
        </w:r>
        <w:r w:rsidR="00233C9C">
          <w:rPr>
            <w:noProof/>
            <w:webHidden/>
          </w:rPr>
          <w:instrText xml:space="preserve"> PAGEREF _Toc456273164 \h </w:instrText>
        </w:r>
        <w:r w:rsidR="00233C9C">
          <w:rPr>
            <w:noProof/>
            <w:webHidden/>
          </w:rPr>
        </w:r>
        <w:r w:rsidR="00233C9C">
          <w:rPr>
            <w:noProof/>
            <w:webHidden/>
          </w:rPr>
          <w:fldChar w:fldCharType="separate"/>
        </w:r>
        <w:r w:rsidR="00233C9C">
          <w:rPr>
            <w:noProof/>
            <w:webHidden/>
          </w:rPr>
          <w:t>2</w:t>
        </w:r>
        <w:r w:rsidR="00233C9C">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65" w:history="1">
        <w:r w:rsidRPr="005A6FE2">
          <w:rPr>
            <w:rStyle w:val="Hyperlink"/>
            <w:noProof/>
          </w:rPr>
          <w:t>2.</w:t>
        </w:r>
        <w:r>
          <w:rPr>
            <w:rFonts w:asciiTheme="minorHAnsi" w:eastAsiaTheme="minorEastAsia" w:hAnsiTheme="minorHAnsi" w:cstheme="minorBidi"/>
            <w:caps w:val="0"/>
            <w:noProof/>
            <w:szCs w:val="22"/>
            <w:lang w:eastAsia="en-GB"/>
          </w:rPr>
          <w:tab/>
        </w:r>
        <w:r w:rsidRPr="005A6FE2">
          <w:rPr>
            <w:rStyle w:val="Hyperlink"/>
            <w:noProof/>
          </w:rPr>
          <w:t>BACKGROUND TO THE CONTRACTING aUTHORITY</w:t>
        </w:r>
        <w:r>
          <w:rPr>
            <w:noProof/>
            <w:webHidden/>
          </w:rPr>
          <w:tab/>
        </w:r>
        <w:r>
          <w:rPr>
            <w:noProof/>
            <w:webHidden/>
          </w:rPr>
          <w:fldChar w:fldCharType="begin"/>
        </w:r>
        <w:r>
          <w:rPr>
            <w:noProof/>
            <w:webHidden/>
          </w:rPr>
          <w:instrText xml:space="preserve"> PAGEREF _Toc456273165 \h </w:instrText>
        </w:r>
        <w:r>
          <w:rPr>
            <w:noProof/>
            <w:webHidden/>
          </w:rPr>
        </w:r>
        <w:r>
          <w:rPr>
            <w:noProof/>
            <w:webHidden/>
          </w:rPr>
          <w:fldChar w:fldCharType="separate"/>
        </w:r>
        <w:r>
          <w:rPr>
            <w:noProof/>
            <w:webHidden/>
          </w:rPr>
          <w:t>2</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66" w:history="1">
        <w:r w:rsidRPr="005A6FE2">
          <w:rPr>
            <w:rStyle w:val="Hyperlink"/>
            <w:noProof/>
          </w:rPr>
          <w:t>3.</w:t>
        </w:r>
        <w:r>
          <w:rPr>
            <w:rFonts w:asciiTheme="minorHAnsi" w:eastAsiaTheme="minorEastAsia" w:hAnsiTheme="minorHAnsi" w:cstheme="minorBidi"/>
            <w:caps w:val="0"/>
            <w:noProof/>
            <w:szCs w:val="22"/>
            <w:lang w:eastAsia="en-GB"/>
          </w:rPr>
          <w:tab/>
        </w:r>
        <w:r w:rsidRPr="005A6FE2">
          <w:rPr>
            <w:rStyle w:val="Hyperlink"/>
            <w:noProof/>
          </w:rPr>
          <w:t>Background to requirement/OVERVIEW of requirement</w:t>
        </w:r>
        <w:r>
          <w:rPr>
            <w:noProof/>
            <w:webHidden/>
          </w:rPr>
          <w:tab/>
        </w:r>
        <w:r>
          <w:rPr>
            <w:noProof/>
            <w:webHidden/>
          </w:rPr>
          <w:fldChar w:fldCharType="begin"/>
        </w:r>
        <w:r>
          <w:rPr>
            <w:noProof/>
            <w:webHidden/>
          </w:rPr>
          <w:instrText xml:space="preserve"> PAGEREF _Toc456273166 \h </w:instrText>
        </w:r>
        <w:r>
          <w:rPr>
            <w:noProof/>
            <w:webHidden/>
          </w:rPr>
        </w:r>
        <w:r>
          <w:rPr>
            <w:noProof/>
            <w:webHidden/>
          </w:rPr>
          <w:fldChar w:fldCharType="separate"/>
        </w:r>
        <w:r>
          <w:rPr>
            <w:noProof/>
            <w:webHidden/>
          </w:rPr>
          <w:t>2</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67" w:history="1">
        <w:r w:rsidRPr="005A6FE2">
          <w:rPr>
            <w:rStyle w:val="Hyperlink"/>
            <w:noProof/>
          </w:rPr>
          <w:t>4.</w:t>
        </w:r>
        <w:r>
          <w:rPr>
            <w:rFonts w:asciiTheme="minorHAnsi" w:eastAsiaTheme="minorEastAsia" w:hAnsiTheme="minorHAnsi" w:cstheme="minorBidi"/>
            <w:caps w:val="0"/>
            <w:noProof/>
            <w:szCs w:val="22"/>
            <w:lang w:eastAsia="en-GB"/>
          </w:rPr>
          <w:tab/>
        </w:r>
        <w:r w:rsidRPr="005A6FE2">
          <w:rPr>
            <w:rStyle w:val="Hyperlink"/>
            <w:noProof/>
          </w:rPr>
          <w:t>The requirement</w:t>
        </w:r>
        <w:r>
          <w:rPr>
            <w:noProof/>
            <w:webHidden/>
          </w:rPr>
          <w:tab/>
        </w:r>
        <w:r>
          <w:rPr>
            <w:noProof/>
            <w:webHidden/>
          </w:rPr>
          <w:fldChar w:fldCharType="begin"/>
        </w:r>
        <w:r>
          <w:rPr>
            <w:noProof/>
            <w:webHidden/>
          </w:rPr>
          <w:instrText xml:space="preserve"> PAGEREF _Toc456273167 \h </w:instrText>
        </w:r>
        <w:r>
          <w:rPr>
            <w:noProof/>
            <w:webHidden/>
          </w:rPr>
        </w:r>
        <w:r>
          <w:rPr>
            <w:noProof/>
            <w:webHidden/>
          </w:rPr>
          <w:fldChar w:fldCharType="separate"/>
        </w:r>
        <w:r>
          <w:rPr>
            <w:noProof/>
            <w:webHidden/>
          </w:rPr>
          <w:t>2</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68" w:history="1">
        <w:r w:rsidRPr="005A6FE2">
          <w:rPr>
            <w:rStyle w:val="Hyperlink"/>
            <w:noProof/>
          </w:rPr>
          <w:t>5.</w:t>
        </w:r>
        <w:r>
          <w:rPr>
            <w:rFonts w:asciiTheme="minorHAnsi" w:eastAsiaTheme="minorEastAsia" w:hAnsiTheme="minorHAnsi" w:cstheme="minorBidi"/>
            <w:caps w:val="0"/>
            <w:noProof/>
            <w:szCs w:val="22"/>
            <w:lang w:eastAsia="en-GB"/>
          </w:rPr>
          <w:tab/>
        </w:r>
        <w:r w:rsidRPr="005A6FE2">
          <w:rPr>
            <w:rStyle w:val="Hyperlink"/>
            <w:noProof/>
          </w:rPr>
          <w:t>key milestones and performance measures</w:t>
        </w:r>
        <w:r>
          <w:rPr>
            <w:noProof/>
            <w:webHidden/>
          </w:rPr>
          <w:tab/>
        </w:r>
        <w:r>
          <w:rPr>
            <w:noProof/>
            <w:webHidden/>
          </w:rPr>
          <w:fldChar w:fldCharType="begin"/>
        </w:r>
        <w:r>
          <w:rPr>
            <w:noProof/>
            <w:webHidden/>
          </w:rPr>
          <w:instrText xml:space="preserve"> PAGEREF _Toc456273168 \h </w:instrText>
        </w:r>
        <w:r>
          <w:rPr>
            <w:noProof/>
            <w:webHidden/>
          </w:rPr>
        </w:r>
        <w:r>
          <w:rPr>
            <w:noProof/>
            <w:webHidden/>
          </w:rPr>
          <w:fldChar w:fldCharType="separate"/>
        </w:r>
        <w:r>
          <w:rPr>
            <w:noProof/>
            <w:webHidden/>
          </w:rPr>
          <w:t>5</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69" w:history="1">
        <w:r w:rsidRPr="005A6FE2">
          <w:rPr>
            <w:rStyle w:val="Hyperlink"/>
            <w:rFonts w:cs="Arial"/>
            <w:noProof/>
          </w:rPr>
          <w:t>6.</w:t>
        </w:r>
        <w:r>
          <w:rPr>
            <w:rFonts w:asciiTheme="minorHAnsi" w:eastAsiaTheme="minorEastAsia" w:hAnsiTheme="minorHAnsi" w:cstheme="minorBidi"/>
            <w:caps w:val="0"/>
            <w:noProof/>
            <w:szCs w:val="22"/>
            <w:lang w:eastAsia="en-GB"/>
          </w:rPr>
          <w:tab/>
        </w:r>
        <w:r w:rsidRPr="005A6FE2">
          <w:rPr>
            <w:rStyle w:val="Hyperlink"/>
            <w:rFonts w:cs="Arial"/>
            <w:noProof/>
          </w:rPr>
          <w:t>authority’s responsibilities</w:t>
        </w:r>
        <w:r>
          <w:rPr>
            <w:noProof/>
            <w:webHidden/>
          </w:rPr>
          <w:tab/>
        </w:r>
        <w:r>
          <w:rPr>
            <w:noProof/>
            <w:webHidden/>
          </w:rPr>
          <w:fldChar w:fldCharType="begin"/>
        </w:r>
        <w:r>
          <w:rPr>
            <w:noProof/>
            <w:webHidden/>
          </w:rPr>
          <w:instrText xml:space="preserve"> PAGEREF _Toc456273169 \h </w:instrText>
        </w:r>
        <w:r>
          <w:rPr>
            <w:noProof/>
            <w:webHidden/>
          </w:rPr>
        </w:r>
        <w:r>
          <w:rPr>
            <w:noProof/>
            <w:webHidden/>
          </w:rPr>
          <w:fldChar w:fldCharType="separate"/>
        </w:r>
        <w:r>
          <w:rPr>
            <w:noProof/>
            <w:webHidden/>
          </w:rPr>
          <w:t>6</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70" w:history="1">
        <w:r w:rsidRPr="005A6FE2">
          <w:rPr>
            <w:rStyle w:val="Hyperlink"/>
            <w:rFonts w:cs="Arial"/>
            <w:noProof/>
          </w:rPr>
          <w:t>7.</w:t>
        </w:r>
        <w:r>
          <w:rPr>
            <w:rFonts w:asciiTheme="minorHAnsi" w:eastAsiaTheme="minorEastAsia" w:hAnsiTheme="minorHAnsi" w:cstheme="minorBidi"/>
            <w:caps w:val="0"/>
            <w:noProof/>
            <w:szCs w:val="22"/>
            <w:lang w:eastAsia="en-GB"/>
          </w:rPr>
          <w:tab/>
        </w:r>
        <w:r w:rsidRPr="005A6FE2">
          <w:rPr>
            <w:rStyle w:val="Hyperlink"/>
            <w:rFonts w:cs="Arial"/>
            <w:noProof/>
          </w:rPr>
          <w:t>reporting</w:t>
        </w:r>
        <w:r>
          <w:rPr>
            <w:noProof/>
            <w:webHidden/>
          </w:rPr>
          <w:tab/>
        </w:r>
        <w:r>
          <w:rPr>
            <w:noProof/>
            <w:webHidden/>
          </w:rPr>
          <w:fldChar w:fldCharType="begin"/>
        </w:r>
        <w:r>
          <w:rPr>
            <w:noProof/>
            <w:webHidden/>
          </w:rPr>
          <w:instrText xml:space="preserve"> PAGEREF _Toc456273170 \h </w:instrText>
        </w:r>
        <w:r>
          <w:rPr>
            <w:noProof/>
            <w:webHidden/>
          </w:rPr>
        </w:r>
        <w:r>
          <w:rPr>
            <w:noProof/>
            <w:webHidden/>
          </w:rPr>
          <w:fldChar w:fldCharType="separate"/>
        </w:r>
        <w:r>
          <w:rPr>
            <w:noProof/>
            <w:webHidden/>
          </w:rPr>
          <w:t>6</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71" w:history="1">
        <w:r w:rsidRPr="005A6FE2">
          <w:rPr>
            <w:rStyle w:val="Hyperlink"/>
            <w:rFonts w:cs="Arial"/>
            <w:noProof/>
          </w:rPr>
          <w:t>8.</w:t>
        </w:r>
        <w:r>
          <w:rPr>
            <w:rFonts w:asciiTheme="minorHAnsi" w:eastAsiaTheme="minorEastAsia" w:hAnsiTheme="minorHAnsi" w:cstheme="minorBidi"/>
            <w:caps w:val="0"/>
            <w:noProof/>
            <w:szCs w:val="22"/>
            <w:lang w:eastAsia="en-GB"/>
          </w:rPr>
          <w:tab/>
        </w:r>
        <w:r w:rsidRPr="005A6FE2">
          <w:rPr>
            <w:rStyle w:val="Hyperlink"/>
            <w:rFonts w:cs="Arial"/>
            <w:noProof/>
          </w:rPr>
          <w:t>volumes</w:t>
        </w:r>
        <w:r>
          <w:rPr>
            <w:noProof/>
            <w:webHidden/>
          </w:rPr>
          <w:tab/>
        </w:r>
        <w:r>
          <w:rPr>
            <w:noProof/>
            <w:webHidden/>
          </w:rPr>
          <w:fldChar w:fldCharType="begin"/>
        </w:r>
        <w:r>
          <w:rPr>
            <w:noProof/>
            <w:webHidden/>
          </w:rPr>
          <w:instrText xml:space="preserve"> PAGEREF _Toc456273171 \h </w:instrText>
        </w:r>
        <w:r>
          <w:rPr>
            <w:noProof/>
            <w:webHidden/>
          </w:rPr>
        </w:r>
        <w:r>
          <w:rPr>
            <w:noProof/>
            <w:webHidden/>
          </w:rPr>
          <w:fldChar w:fldCharType="separate"/>
        </w:r>
        <w:r>
          <w:rPr>
            <w:noProof/>
            <w:webHidden/>
          </w:rPr>
          <w:t>7</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72" w:history="1">
        <w:r w:rsidRPr="005A6FE2">
          <w:rPr>
            <w:rStyle w:val="Hyperlink"/>
            <w:rFonts w:cs="Arial"/>
            <w:noProof/>
          </w:rPr>
          <w:t>9.</w:t>
        </w:r>
        <w:r>
          <w:rPr>
            <w:rFonts w:asciiTheme="minorHAnsi" w:eastAsiaTheme="minorEastAsia" w:hAnsiTheme="minorHAnsi" w:cstheme="minorBidi"/>
            <w:caps w:val="0"/>
            <w:noProof/>
            <w:szCs w:val="22"/>
            <w:lang w:eastAsia="en-GB"/>
          </w:rPr>
          <w:tab/>
        </w:r>
        <w:r w:rsidRPr="005A6FE2">
          <w:rPr>
            <w:rStyle w:val="Hyperlink"/>
            <w:rFonts w:cs="Arial"/>
            <w:noProof/>
          </w:rPr>
          <w:t>continuous improvement</w:t>
        </w:r>
        <w:r>
          <w:rPr>
            <w:noProof/>
            <w:webHidden/>
          </w:rPr>
          <w:tab/>
        </w:r>
        <w:r>
          <w:rPr>
            <w:noProof/>
            <w:webHidden/>
          </w:rPr>
          <w:fldChar w:fldCharType="begin"/>
        </w:r>
        <w:r>
          <w:rPr>
            <w:noProof/>
            <w:webHidden/>
          </w:rPr>
          <w:instrText xml:space="preserve"> PAGEREF _Toc456273172 \h </w:instrText>
        </w:r>
        <w:r>
          <w:rPr>
            <w:noProof/>
            <w:webHidden/>
          </w:rPr>
        </w:r>
        <w:r>
          <w:rPr>
            <w:noProof/>
            <w:webHidden/>
          </w:rPr>
          <w:fldChar w:fldCharType="separate"/>
        </w:r>
        <w:r>
          <w:rPr>
            <w:noProof/>
            <w:webHidden/>
          </w:rPr>
          <w:t>7</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73" w:history="1">
        <w:r w:rsidRPr="005A6FE2">
          <w:rPr>
            <w:rStyle w:val="Hyperlink"/>
            <w:rFonts w:cs="Arial"/>
            <w:noProof/>
          </w:rPr>
          <w:t>10.</w:t>
        </w:r>
        <w:r>
          <w:rPr>
            <w:rFonts w:asciiTheme="minorHAnsi" w:eastAsiaTheme="minorEastAsia" w:hAnsiTheme="minorHAnsi" w:cstheme="minorBidi"/>
            <w:caps w:val="0"/>
            <w:noProof/>
            <w:szCs w:val="22"/>
            <w:lang w:eastAsia="en-GB"/>
          </w:rPr>
          <w:tab/>
        </w:r>
        <w:r w:rsidRPr="005A6FE2">
          <w:rPr>
            <w:rStyle w:val="Hyperlink"/>
            <w:rFonts w:cs="Arial"/>
            <w:noProof/>
          </w:rPr>
          <w:t>PRICE</w:t>
        </w:r>
        <w:r>
          <w:rPr>
            <w:noProof/>
            <w:webHidden/>
          </w:rPr>
          <w:tab/>
        </w:r>
        <w:r>
          <w:rPr>
            <w:noProof/>
            <w:webHidden/>
          </w:rPr>
          <w:fldChar w:fldCharType="begin"/>
        </w:r>
        <w:r>
          <w:rPr>
            <w:noProof/>
            <w:webHidden/>
          </w:rPr>
          <w:instrText xml:space="preserve"> PAGEREF _Toc456273173 \h </w:instrText>
        </w:r>
        <w:r>
          <w:rPr>
            <w:noProof/>
            <w:webHidden/>
          </w:rPr>
        </w:r>
        <w:r>
          <w:rPr>
            <w:noProof/>
            <w:webHidden/>
          </w:rPr>
          <w:fldChar w:fldCharType="separate"/>
        </w:r>
        <w:r>
          <w:rPr>
            <w:noProof/>
            <w:webHidden/>
          </w:rPr>
          <w:t>7</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74" w:history="1">
        <w:r w:rsidRPr="005A6FE2">
          <w:rPr>
            <w:rStyle w:val="Hyperlink"/>
            <w:rFonts w:cs="Arial"/>
            <w:noProof/>
          </w:rPr>
          <w:t>11.</w:t>
        </w:r>
        <w:r>
          <w:rPr>
            <w:rFonts w:asciiTheme="minorHAnsi" w:eastAsiaTheme="minorEastAsia" w:hAnsiTheme="minorHAnsi" w:cstheme="minorBidi"/>
            <w:caps w:val="0"/>
            <w:noProof/>
            <w:szCs w:val="22"/>
            <w:lang w:eastAsia="en-GB"/>
          </w:rPr>
          <w:tab/>
        </w:r>
        <w:r w:rsidRPr="005A6FE2">
          <w:rPr>
            <w:rStyle w:val="Hyperlink"/>
            <w:rFonts w:cs="Arial"/>
            <w:noProof/>
          </w:rPr>
          <w:t>STAFF AND CUSTOMER SERVICE</w:t>
        </w:r>
        <w:r>
          <w:rPr>
            <w:noProof/>
            <w:webHidden/>
          </w:rPr>
          <w:tab/>
        </w:r>
        <w:r>
          <w:rPr>
            <w:noProof/>
            <w:webHidden/>
          </w:rPr>
          <w:fldChar w:fldCharType="begin"/>
        </w:r>
        <w:r>
          <w:rPr>
            <w:noProof/>
            <w:webHidden/>
          </w:rPr>
          <w:instrText xml:space="preserve"> PAGEREF _Toc456273174 \h </w:instrText>
        </w:r>
        <w:r>
          <w:rPr>
            <w:noProof/>
            <w:webHidden/>
          </w:rPr>
        </w:r>
        <w:r>
          <w:rPr>
            <w:noProof/>
            <w:webHidden/>
          </w:rPr>
          <w:fldChar w:fldCharType="separate"/>
        </w:r>
        <w:r>
          <w:rPr>
            <w:noProof/>
            <w:webHidden/>
          </w:rPr>
          <w:t>7</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75" w:history="1">
        <w:r w:rsidRPr="005A6FE2">
          <w:rPr>
            <w:rStyle w:val="Hyperlink"/>
            <w:noProof/>
          </w:rPr>
          <w:t>12.</w:t>
        </w:r>
        <w:r>
          <w:rPr>
            <w:rFonts w:asciiTheme="minorHAnsi" w:eastAsiaTheme="minorEastAsia" w:hAnsiTheme="minorHAnsi" w:cstheme="minorBidi"/>
            <w:caps w:val="0"/>
            <w:noProof/>
            <w:szCs w:val="22"/>
            <w:lang w:eastAsia="en-GB"/>
          </w:rPr>
          <w:tab/>
        </w:r>
        <w:r w:rsidRPr="005A6FE2">
          <w:rPr>
            <w:rStyle w:val="Hyperlink"/>
            <w:noProof/>
          </w:rPr>
          <w:t>Security requirements</w:t>
        </w:r>
        <w:r>
          <w:rPr>
            <w:noProof/>
            <w:webHidden/>
          </w:rPr>
          <w:tab/>
        </w:r>
        <w:r>
          <w:rPr>
            <w:noProof/>
            <w:webHidden/>
          </w:rPr>
          <w:fldChar w:fldCharType="begin"/>
        </w:r>
        <w:r>
          <w:rPr>
            <w:noProof/>
            <w:webHidden/>
          </w:rPr>
          <w:instrText xml:space="preserve"> PAGEREF _Toc456273175 \h </w:instrText>
        </w:r>
        <w:r>
          <w:rPr>
            <w:noProof/>
            <w:webHidden/>
          </w:rPr>
        </w:r>
        <w:r>
          <w:rPr>
            <w:noProof/>
            <w:webHidden/>
          </w:rPr>
          <w:fldChar w:fldCharType="separate"/>
        </w:r>
        <w:r>
          <w:rPr>
            <w:noProof/>
            <w:webHidden/>
          </w:rPr>
          <w:t>7</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76" w:history="1">
        <w:r w:rsidRPr="005A6FE2">
          <w:rPr>
            <w:rStyle w:val="Hyperlink"/>
            <w:rFonts w:cs="Arial"/>
            <w:noProof/>
          </w:rPr>
          <w:t>13.</w:t>
        </w:r>
        <w:r>
          <w:rPr>
            <w:rFonts w:asciiTheme="minorHAnsi" w:eastAsiaTheme="minorEastAsia" w:hAnsiTheme="minorHAnsi" w:cstheme="minorBidi"/>
            <w:caps w:val="0"/>
            <w:noProof/>
            <w:szCs w:val="22"/>
            <w:lang w:eastAsia="en-GB"/>
          </w:rPr>
          <w:tab/>
        </w:r>
        <w:r w:rsidRPr="005A6FE2">
          <w:rPr>
            <w:rStyle w:val="Hyperlink"/>
            <w:rFonts w:cs="Arial"/>
            <w:noProof/>
          </w:rPr>
          <w:t>payment</w:t>
        </w:r>
        <w:r>
          <w:rPr>
            <w:noProof/>
            <w:webHidden/>
          </w:rPr>
          <w:tab/>
        </w:r>
        <w:r>
          <w:rPr>
            <w:noProof/>
            <w:webHidden/>
          </w:rPr>
          <w:fldChar w:fldCharType="begin"/>
        </w:r>
        <w:r>
          <w:rPr>
            <w:noProof/>
            <w:webHidden/>
          </w:rPr>
          <w:instrText xml:space="preserve"> PAGEREF _Toc456273176 \h </w:instrText>
        </w:r>
        <w:r>
          <w:rPr>
            <w:noProof/>
            <w:webHidden/>
          </w:rPr>
        </w:r>
        <w:r>
          <w:rPr>
            <w:noProof/>
            <w:webHidden/>
          </w:rPr>
          <w:fldChar w:fldCharType="separate"/>
        </w:r>
        <w:r>
          <w:rPr>
            <w:noProof/>
            <w:webHidden/>
          </w:rPr>
          <w:t>8</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77" w:history="1">
        <w:r w:rsidRPr="005A6FE2">
          <w:rPr>
            <w:rStyle w:val="Hyperlink"/>
            <w:noProof/>
          </w:rPr>
          <w:t>14.</w:t>
        </w:r>
        <w:r>
          <w:rPr>
            <w:rFonts w:asciiTheme="minorHAnsi" w:eastAsiaTheme="minorEastAsia" w:hAnsiTheme="minorHAnsi" w:cstheme="minorBidi"/>
            <w:caps w:val="0"/>
            <w:noProof/>
            <w:szCs w:val="22"/>
            <w:lang w:eastAsia="en-GB"/>
          </w:rPr>
          <w:tab/>
        </w:r>
        <w:r w:rsidRPr="005A6FE2">
          <w:rPr>
            <w:rStyle w:val="Hyperlink"/>
            <w:noProof/>
          </w:rPr>
          <w:t>Location</w:t>
        </w:r>
        <w:r>
          <w:rPr>
            <w:noProof/>
            <w:webHidden/>
          </w:rPr>
          <w:tab/>
        </w:r>
        <w:r>
          <w:rPr>
            <w:noProof/>
            <w:webHidden/>
          </w:rPr>
          <w:fldChar w:fldCharType="begin"/>
        </w:r>
        <w:r>
          <w:rPr>
            <w:noProof/>
            <w:webHidden/>
          </w:rPr>
          <w:instrText xml:space="preserve"> PAGEREF _Toc456273177 \h </w:instrText>
        </w:r>
        <w:r>
          <w:rPr>
            <w:noProof/>
            <w:webHidden/>
          </w:rPr>
        </w:r>
        <w:r>
          <w:rPr>
            <w:noProof/>
            <w:webHidden/>
          </w:rPr>
          <w:fldChar w:fldCharType="separate"/>
        </w:r>
        <w:r>
          <w:rPr>
            <w:noProof/>
            <w:webHidden/>
          </w:rPr>
          <w:t>8</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78" w:history="1">
        <w:r w:rsidRPr="005A6FE2">
          <w:rPr>
            <w:rStyle w:val="Hyperlink"/>
            <w:noProof/>
          </w:rPr>
          <w:t>15.</w:t>
        </w:r>
        <w:r>
          <w:rPr>
            <w:rFonts w:asciiTheme="minorHAnsi" w:eastAsiaTheme="minorEastAsia" w:hAnsiTheme="minorHAnsi" w:cstheme="minorBidi"/>
            <w:caps w:val="0"/>
            <w:noProof/>
            <w:szCs w:val="22"/>
            <w:lang w:eastAsia="en-GB"/>
          </w:rPr>
          <w:tab/>
        </w:r>
        <w:r w:rsidRPr="005A6FE2">
          <w:rPr>
            <w:rStyle w:val="Hyperlink"/>
            <w:noProof/>
          </w:rPr>
          <w:t>ANNEX A – OVERVIEW OF CCS CATEGORIES AND THEIR GOODS AND/OR SERVICES</w:t>
        </w:r>
        <w:r>
          <w:rPr>
            <w:noProof/>
            <w:webHidden/>
          </w:rPr>
          <w:tab/>
        </w:r>
        <w:r>
          <w:rPr>
            <w:noProof/>
            <w:webHidden/>
          </w:rPr>
          <w:fldChar w:fldCharType="begin"/>
        </w:r>
        <w:r>
          <w:rPr>
            <w:noProof/>
            <w:webHidden/>
          </w:rPr>
          <w:instrText xml:space="preserve"> PAGEREF _Toc456273178 \h </w:instrText>
        </w:r>
        <w:r>
          <w:rPr>
            <w:noProof/>
            <w:webHidden/>
          </w:rPr>
        </w:r>
        <w:r>
          <w:rPr>
            <w:noProof/>
            <w:webHidden/>
          </w:rPr>
          <w:fldChar w:fldCharType="separate"/>
        </w:r>
        <w:r>
          <w:rPr>
            <w:noProof/>
            <w:webHidden/>
          </w:rPr>
          <w:t>8</w:t>
        </w:r>
        <w:r>
          <w:rPr>
            <w:noProof/>
            <w:webHidden/>
          </w:rPr>
          <w:fldChar w:fldCharType="end"/>
        </w:r>
      </w:hyperlink>
    </w:p>
    <w:p w:rsidR="00233C9C" w:rsidRDefault="00233C9C">
      <w:pPr>
        <w:pStyle w:val="TOC1"/>
        <w:rPr>
          <w:rFonts w:asciiTheme="minorHAnsi" w:eastAsiaTheme="minorEastAsia" w:hAnsiTheme="minorHAnsi" w:cstheme="minorBidi"/>
          <w:caps w:val="0"/>
          <w:noProof/>
          <w:szCs w:val="22"/>
          <w:lang w:eastAsia="en-GB"/>
        </w:rPr>
      </w:pPr>
      <w:hyperlink w:anchor="_Toc456273179" w:history="1">
        <w:r w:rsidRPr="005A6FE2">
          <w:rPr>
            <w:rStyle w:val="Hyperlink"/>
            <w:noProof/>
          </w:rPr>
          <w:t>16.</w:t>
        </w:r>
        <w:r>
          <w:rPr>
            <w:rFonts w:asciiTheme="minorHAnsi" w:eastAsiaTheme="minorEastAsia" w:hAnsiTheme="minorHAnsi" w:cstheme="minorBidi"/>
            <w:caps w:val="0"/>
            <w:noProof/>
            <w:szCs w:val="22"/>
            <w:lang w:eastAsia="en-GB"/>
          </w:rPr>
          <w:tab/>
        </w:r>
        <w:r w:rsidRPr="005A6FE2">
          <w:rPr>
            <w:rStyle w:val="Hyperlink"/>
            <w:noProof/>
          </w:rPr>
          <w:t>ANNEX B – NON-DISCLOSURE AGREEMENT (FOR INFORMATION PURPOSES ONLY</w:t>
        </w:r>
        <w:r>
          <w:rPr>
            <w:noProof/>
            <w:webHidden/>
          </w:rPr>
          <w:tab/>
        </w:r>
        <w:r>
          <w:rPr>
            <w:noProof/>
            <w:webHidden/>
          </w:rPr>
          <w:fldChar w:fldCharType="begin"/>
        </w:r>
        <w:r>
          <w:rPr>
            <w:noProof/>
            <w:webHidden/>
          </w:rPr>
          <w:instrText xml:space="preserve"> PAGEREF _Toc456273179 \h </w:instrText>
        </w:r>
        <w:r>
          <w:rPr>
            <w:noProof/>
            <w:webHidden/>
          </w:rPr>
        </w:r>
        <w:r>
          <w:rPr>
            <w:noProof/>
            <w:webHidden/>
          </w:rPr>
          <w:fldChar w:fldCharType="separate"/>
        </w:r>
        <w:r>
          <w:rPr>
            <w:noProof/>
            <w:webHidden/>
          </w:rPr>
          <w:t>11</w:t>
        </w:r>
        <w:r>
          <w:rPr>
            <w:noProof/>
            <w:webHidden/>
          </w:rPr>
          <w:fldChar w:fldCharType="end"/>
        </w:r>
      </w:hyperlink>
    </w:p>
    <w:p w:rsidR="004B207B" w:rsidRPr="00D37BAC" w:rsidRDefault="004B207B" w:rsidP="004B207B">
      <w:pPr>
        <w:spacing w:after="120"/>
        <w:jc w:val="center"/>
        <w:rPr>
          <w:b/>
        </w:rPr>
      </w:pPr>
      <w:r w:rsidRPr="00FA5229">
        <w:rPr>
          <w:rFonts w:cs="Arial"/>
          <w:caps/>
        </w:rPr>
        <w:fldChar w:fldCharType="end"/>
      </w:r>
    </w:p>
    <w:p w:rsidR="004B207B" w:rsidRDefault="004B207B" w:rsidP="004B207B">
      <w:pPr>
        <w:adjustRightInd w:val="0"/>
        <w:spacing w:before="60" w:after="60"/>
        <w:jc w:val="center"/>
        <w:rPr>
          <w:rFonts w:eastAsia="STZhongsong" w:cs="Arial"/>
          <w:b/>
          <w:szCs w:val="22"/>
        </w:rPr>
      </w:pPr>
      <w:bookmarkStart w:id="0" w:name="_Toc297554772"/>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Default="004B207B" w:rsidP="004B207B">
      <w:pPr>
        <w:adjustRightInd w:val="0"/>
        <w:spacing w:before="60" w:after="60"/>
        <w:jc w:val="center"/>
        <w:rPr>
          <w:rFonts w:eastAsia="STZhongsong" w:cs="Arial"/>
          <w:b/>
          <w:szCs w:val="22"/>
        </w:rPr>
      </w:pPr>
    </w:p>
    <w:p w:rsidR="004B207B" w:rsidRPr="003D4CF3" w:rsidRDefault="004B207B" w:rsidP="004B207B">
      <w:pPr>
        <w:adjustRightInd w:val="0"/>
        <w:spacing w:before="60" w:after="60"/>
        <w:jc w:val="center"/>
        <w:rPr>
          <w:rFonts w:eastAsia="STZhongsong" w:cs="Arial"/>
          <w:b/>
          <w:szCs w:val="22"/>
        </w:rPr>
      </w:pPr>
      <w:bookmarkStart w:id="1" w:name="_GoBack"/>
      <w:bookmarkEnd w:id="1"/>
    </w:p>
    <w:p w:rsidR="004B207B" w:rsidRPr="00AF6938" w:rsidRDefault="004B207B" w:rsidP="004B207B">
      <w:pPr>
        <w:pStyle w:val="Heading1"/>
        <w:numPr>
          <w:ilvl w:val="0"/>
          <w:numId w:val="2"/>
        </w:numPr>
        <w:tabs>
          <w:tab w:val="clear" w:pos="720"/>
        </w:tabs>
        <w:overflowPunct w:val="0"/>
        <w:autoSpaceDE w:val="0"/>
        <w:autoSpaceDN w:val="0"/>
        <w:spacing w:after="120"/>
        <w:textAlignment w:val="baseline"/>
        <w:rPr>
          <w:szCs w:val="22"/>
        </w:rPr>
      </w:pPr>
      <w:bookmarkStart w:id="2" w:name="_Toc368573027"/>
      <w:bookmarkStart w:id="3" w:name="_Toc456273164"/>
      <w:r w:rsidRPr="00AF6938">
        <w:rPr>
          <w:caps w:val="0"/>
          <w:szCs w:val="22"/>
        </w:rPr>
        <w:lastRenderedPageBreak/>
        <w:t>PURPOSE</w:t>
      </w:r>
      <w:bookmarkEnd w:id="0"/>
      <w:bookmarkEnd w:id="2"/>
      <w:bookmarkEnd w:id="3"/>
    </w:p>
    <w:p w:rsidR="004B207B" w:rsidRPr="00AF6938" w:rsidRDefault="004B207B" w:rsidP="004B207B">
      <w:pPr>
        <w:pStyle w:val="Heading2"/>
        <w:overflowPunct w:val="0"/>
        <w:autoSpaceDE w:val="0"/>
        <w:autoSpaceDN w:val="0"/>
        <w:spacing w:after="111"/>
        <w:ind w:left="709" w:hanging="709"/>
        <w:textAlignment w:val="baseline"/>
      </w:pPr>
      <w:bookmarkStart w:id="4" w:name="_Toc296415791"/>
      <w:r w:rsidRPr="00AF6938">
        <w:t>The purpose of this Procurement is to appoint a single Supplier to deliver Price Benchmarking Services, across all Crown Commercial Service common goods and services Categories.</w:t>
      </w:r>
    </w:p>
    <w:p w:rsidR="004B207B" w:rsidRPr="00AF6938" w:rsidRDefault="004B207B" w:rsidP="004B207B">
      <w:pPr>
        <w:pStyle w:val="Heading1"/>
        <w:tabs>
          <w:tab w:val="clear" w:pos="720"/>
        </w:tabs>
        <w:overflowPunct w:val="0"/>
        <w:autoSpaceDE w:val="0"/>
        <w:autoSpaceDN w:val="0"/>
        <w:spacing w:after="120"/>
        <w:textAlignment w:val="baseline"/>
      </w:pPr>
      <w:bookmarkStart w:id="5" w:name="_Toc368573028"/>
      <w:bookmarkStart w:id="6" w:name="_Toc297554773"/>
      <w:bookmarkStart w:id="7" w:name="_Toc296415805"/>
      <w:bookmarkStart w:id="8" w:name="_Toc296415793"/>
      <w:bookmarkStart w:id="9" w:name="_Toc456273165"/>
      <w:bookmarkEnd w:id="4"/>
      <w:r w:rsidRPr="00AF6938">
        <w:rPr>
          <w:szCs w:val="22"/>
        </w:rPr>
        <w:t>BACKGROUND TO THE CONTRACTING aUTHORITY</w:t>
      </w:r>
      <w:bookmarkEnd w:id="5"/>
      <w:bookmarkEnd w:id="9"/>
      <w:r w:rsidRPr="00AF6938">
        <w:rPr>
          <w:szCs w:val="22"/>
        </w:rPr>
        <w:t xml:space="preserve"> </w:t>
      </w:r>
    </w:p>
    <w:p w:rsidR="004B207B" w:rsidRPr="0027067F" w:rsidRDefault="004B207B" w:rsidP="004B207B">
      <w:pPr>
        <w:pStyle w:val="Heading2"/>
      </w:pPr>
      <w:r w:rsidRPr="00AF6938">
        <w:rPr>
          <w:lang w:val="en"/>
        </w:rPr>
        <w:t>The Crown Commercial Service’s (CCS) role is to bring together policy, advice and direct buying; providing commercial services to the public sector and saving money for the taxpayer across</w:t>
      </w:r>
      <w:r w:rsidRPr="0027067F">
        <w:rPr>
          <w:lang w:val="en"/>
        </w:rPr>
        <w:t xml:space="preserve"> a variety of Government departments.  </w:t>
      </w:r>
    </w:p>
    <w:p w:rsidR="004B207B" w:rsidRPr="004E78BC" w:rsidRDefault="004B207B" w:rsidP="004B207B">
      <w:pPr>
        <w:pStyle w:val="Heading2"/>
        <w:numPr>
          <w:ilvl w:val="0"/>
          <w:numId w:val="0"/>
        </w:numPr>
        <w:spacing w:after="120"/>
        <w:ind w:left="720" w:hanging="720"/>
        <w:rPr>
          <w:highlight w:val="yellow"/>
        </w:rPr>
      </w:pPr>
    </w:p>
    <w:p w:rsidR="004B207B" w:rsidRPr="002C546C" w:rsidRDefault="004B207B" w:rsidP="004B207B">
      <w:pPr>
        <w:pStyle w:val="Heading1"/>
        <w:tabs>
          <w:tab w:val="clear" w:pos="720"/>
        </w:tabs>
        <w:overflowPunct w:val="0"/>
        <w:autoSpaceDE w:val="0"/>
        <w:autoSpaceDN w:val="0"/>
        <w:spacing w:after="120"/>
        <w:textAlignment w:val="baseline"/>
        <w:rPr>
          <w:szCs w:val="22"/>
        </w:rPr>
      </w:pPr>
      <w:bookmarkStart w:id="10" w:name="_Toc368573029"/>
      <w:bookmarkStart w:id="11" w:name="_Toc456273166"/>
      <w:r>
        <w:rPr>
          <w:szCs w:val="22"/>
        </w:rPr>
        <w:t>Background to requirement/</w:t>
      </w:r>
      <w:r w:rsidRPr="002C546C">
        <w:rPr>
          <w:szCs w:val="22"/>
        </w:rPr>
        <w:t>OVERVIEW</w:t>
      </w:r>
      <w:bookmarkEnd w:id="6"/>
      <w:r>
        <w:rPr>
          <w:szCs w:val="22"/>
        </w:rPr>
        <w:t xml:space="preserve"> of requirement</w:t>
      </w:r>
      <w:bookmarkEnd w:id="10"/>
      <w:bookmarkEnd w:id="11"/>
    </w:p>
    <w:p w:rsidR="004B207B" w:rsidRDefault="004B207B" w:rsidP="004B207B">
      <w:pPr>
        <w:pStyle w:val="Heading2"/>
        <w:spacing w:after="111"/>
        <w:ind w:left="709" w:hanging="709"/>
      </w:pPr>
      <w:bookmarkStart w:id="12" w:name="_Toc297554774"/>
      <w:bookmarkEnd w:id="7"/>
      <w:r>
        <w:t xml:space="preserve">The aim of the Price Benchmarking Services Contract is to demonstrate Government’s commercial capability and achievements through independent evidence, which is to be provided by a suitable Supplier. </w:t>
      </w:r>
    </w:p>
    <w:p w:rsidR="004B207B" w:rsidRDefault="004B207B" w:rsidP="004B207B">
      <w:pPr>
        <w:pStyle w:val="Heading2"/>
        <w:spacing w:after="111"/>
        <w:ind w:left="709" w:hanging="709"/>
      </w:pPr>
      <w:r>
        <w:t xml:space="preserve">The benchmarking exercises will also encourage suppliers to provide the best value for money for the products and/or services they offer in the marketplace, in order to win tenders/contracts.   </w:t>
      </w:r>
    </w:p>
    <w:p w:rsidR="004B207B" w:rsidRDefault="004B207B" w:rsidP="004B207B">
      <w:pPr>
        <w:pStyle w:val="Heading2"/>
        <w:spacing w:after="231"/>
        <w:ind w:left="709" w:hanging="709"/>
      </w:pPr>
      <w:r>
        <w:t>The list below is supplied to give an indication of the type of Category to be benchmarked. These include, but are not limited, to:</w:t>
      </w:r>
    </w:p>
    <w:p w:rsidR="004B207B" w:rsidRPr="009A5C19" w:rsidRDefault="004B207B" w:rsidP="004B207B">
      <w:pPr>
        <w:pStyle w:val="ListParagraph"/>
        <w:numPr>
          <w:ilvl w:val="0"/>
          <w:numId w:val="3"/>
        </w:numPr>
        <w:spacing w:after="111" w:line="247" w:lineRule="auto"/>
        <w:ind w:left="1276" w:hanging="425"/>
        <w:contextualSpacing/>
        <w:jc w:val="both"/>
      </w:pPr>
      <w:r w:rsidRPr="009A5C19">
        <w:t>Cloud and Digital</w:t>
      </w:r>
    </w:p>
    <w:p w:rsidR="004B207B" w:rsidRPr="009A5C19" w:rsidRDefault="004B207B" w:rsidP="004B207B">
      <w:pPr>
        <w:pStyle w:val="ListParagraph"/>
        <w:numPr>
          <w:ilvl w:val="0"/>
          <w:numId w:val="3"/>
        </w:numPr>
        <w:spacing w:after="111" w:line="247" w:lineRule="auto"/>
        <w:ind w:left="1276" w:hanging="425"/>
        <w:contextualSpacing/>
        <w:jc w:val="both"/>
      </w:pPr>
      <w:r w:rsidRPr="009A5C19">
        <w:t>Communications</w:t>
      </w:r>
    </w:p>
    <w:p w:rsidR="004B207B" w:rsidRPr="009A5C19" w:rsidRDefault="004B207B" w:rsidP="004B207B">
      <w:pPr>
        <w:pStyle w:val="ListParagraph"/>
        <w:numPr>
          <w:ilvl w:val="0"/>
          <w:numId w:val="3"/>
        </w:numPr>
        <w:spacing w:after="111" w:line="247" w:lineRule="auto"/>
        <w:ind w:left="1276" w:hanging="425"/>
        <w:contextualSpacing/>
        <w:jc w:val="both"/>
      </w:pPr>
      <w:r>
        <w:t>Construction</w:t>
      </w:r>
    </w:p>
    <w:p w:rsidR="004B207B" w:rsidRPr="009A5C19" w:rsidRDefault="004B207B" w:rsidP="004B207B">
      <w:pPr>
        <w:pStyle w:val="ListParagraph"/>
        <w:numPr>
          <w:ilvl w:val="0"/>
          <w:numId w:val="3"/>
        </w:numPr>
        <w:spacing w:after="111" w:line="247" w:lineRule="auto"/>
        <w:ind w:left="1276" w:hanging="425"/>
        <w:contextualSpacing/>
        <w:jc w:val="both"/>
      </w:pPr>
      <w:r w:rsidRPr="009A5C19">
        <w:t>Consulting</w:t>
      </w:r>
    </w:p>
    <w:p w:rsidR="004B207B" w:rsidRDefault="004B207B" w:rsidP="004B207B">
      <w:pPr>
        <w:pStyle w:val="ListParagraph"/>
        <w:numPr>
          <w:ilvl w:val="0"/>
          <w:numId w:val="3"/>
        </w:numPr>
        <w:spacing w:after="111" w:line="247" w:lineRule="auto"/>
        <w:ind w:left="1276" w:hanging="425"/>
        <w:contextualSpacing/>
        <w:jc w:val="both"/>
      </w:pPr>
      <w:r w:rsidRPr="009A5C19">
        <w:t>Contingent Labour</w:t>
      </w:r>
    </w:p>
    <w:p w:rsidR="004B207B" w:rsidRPr="009A5C19" w:rsidRDefault="004B207B" w:rsidP="004B207B">
      <w:pPr>
        <w:pStyle w:val="ListParagraph"/>
        <w:numPr>
          <w:ilvl w:val="0"/>
          <w:numId w:val="3"/>
        </w:numPr>
        <w:spacing w:after="111" w:line="247" w:lineRule="auto"/>
        <w:ind w:left="1276" w:hanging="425"/>
        <w:contextualSpacing/>
        <w:jc w:val="both"/>
      </w:pPr>
      <w:r w:rsidRPr="009A5C19">
        <w:t>Document Storage</w:t>
      </w:r>
    </w:p>
    <w:p w:rsidR="004B207B" w:rsidRPr="009A5C19" w:rsidRDefault="004B207B" w:rsidP="004B207B">
      <w:pPr>
        <w:pStyle w:val="ListParagraph"/>
        <w:numPr>
          <w:ilvl w:val="0"/>
          <w:numId w:val="3"/>
        </w:numPr>
        <w:spacing w:after="111" w:line="247" w:lineRule="auto"/>
        <w:ind w:left="1276" w:hanging="425"/>
        <w:contextualSpacing/>
        <w:jc w:val="both"/>
      </w:pPr>
      <w:r w:rsidRPr="009A5C19">
        <w:t>Energy</w:t>
      </w:r>
    </w:p>
    <w:p w:rsidR="004B207B" w:rsidRPr="009A5C19" w:rsidRDefault="004B207B" w:rsidP="004B207B">
      <w:pPr>
        <w:pStyle w:val="ListParagraph"/>
        <w:numPr>
          <w:ilvl w:val="0"/>
          <w:numId w:val="3"/>
        </w:numPr>
        <w:spacing w:after="111" w:line="247" w:lineRule="auto"/>
        <w:ind w:left="1276" w:hanging="425"/>
        <w:contextualSpacing/>
        <w:jc w:val="both"/>
      </w:pPr>
      <w:r w:rsidRPr="009A5C19">
        <w:t>Facilities Management</w:t>
      </w:r>
    </w:p>
    <w:p w:rsidR="004B207B" w:rsidRPr="009A5C19" w:rsidRDefault="004B207B" w:rsidP="004B207B">
      <w:pPr>
        <w:pStyle w:val="ListParagraph"/>
        <w:numPr>
          <w:ilvl w:val="0"/>
          <w:numId w:val="3"/>
        </w:numPr>
        <w:spacing w:after="111" w:line="247" w:lineRule="auto"/>
        <w:ind w:left="1276" w:hanging="425"/>
        <w:contextualSpacing/>
        <w:jc w:val="both"/>
      </w:pPr>
      <w:r w:rsidRPr="009A5C19">
        <w:t>Fleet</w:t>
      </w:r>
    </w:p>
    <w:p w:rsidR="004B207B" w:rsidRPr="009A5C19" w:rsidRDefault="004B207B" w:rsidP="004B207B">
      <w:pPr>
        <w:pStyle w:val="ListParagraph"/>
        <w:numPr>
          <w:ilvl w:val="0"/>
          <w:numId w:val="3"/>
        </w:numPr>
        <w:spacing w:after="111" w:line="247" w:lineRule="auto"/>
        <w:ind w:left="1276" w:hanging="425"/>
        <w:contextualSpacing/>
        <w:jc w:val="both"/>
      </w:pPr>
      <w:r w:rsidRPr="009A5C19">
        <w:t>Health</w:t>
      </w:r>
    </w:p>
    <w:p w:rsidR="004B207B" w:rsidRPr="009A5C19" w:rsidRDefault="004B207B" w:rsidP="004B207B">
      <w:pPr>
        <w:pStyle w:val="ListParagraph"/>
        <w:numPr>
          <w:ilvl w:val="0"/>
          <w:numId w:val="3"/>
        </w:numPr>
        <w:spacing w:after="120" w:line="247" w:lineRule="auto"/>
        <w:ind w:left="1276" w:hanging="425"/>
        <w:jc w:val="both"/>
      </w:pPr>
      <w:r w:rsidRPr="009A5C19">
        <w:t>HR Services</w:t>
      </w:r>
    </w:p>
    <w:p w:rsidR="004B207B" w:rsidRPr="009A5C19" w:rsidRDefault="004B207B" w:rsidP="004B207B">
      <w:pPr>
        <w:pStyle w:val="ListParagraph"/>
        <w:numPr>
          <w:ilvl w:val="0"/>
          <w:numId w:val="3"/>
        </w:numPr>
        <w:spacing w:after="111" w:line="247" w:lineRule="auto"/>
        <w:ind w:left="1276" w:hanging="425"/>
        <w:contextualSpacing/>
        <w:jc w:val="both"/>
      </w:pPr>
      <w:r w:rsidRPr="009A5C19">
        <w:t>Insurance</w:t>
      </w:r>
    </w:p>
    <w:p w:rsidR="004B207B" w:rsidRPr="009A5C19" w:rsidRDefault="004B207B" w:rsidP="004B207B">
      <w:pPr>
        <w:pStyle w:val="ListParagraph"/>
        <w:numPr>
          <w:ilvl w:val="0"/>
          <w:numId w:val="3"/>
        </w:numPr>
        <w:spacing w:after="111" w:line="247" w:lineRule="auto"/>
        <w:ind w:left="1276" w:hanging="425"/>
        <w:contextualSpacing/>
        <w:jc w:val="both"/>
      </w:pPr>
      <w:r w:rsidRPr="009A5C19">
        <w:t>Legal</w:t>
      </w:r>
    </w:p>
    <w:p w:rsidR="004B207B" w:rsidRPr="009A5C19" w:rsidRDefault="004B207B" w:rsidP="004B207B">
      <w:pPr>
        <w:pStyle w:val="ListParagraph"/>
        <w:numPr>
          <w:ilvl w:val="0"/>
          <w:numId w:val="3"/>
        </w:numPr>
        <w:spacing w:after="111" w:line="247" w:lineRule="auto"/>
        <w:ind w:left="1276" w:hanging="425"/>
        <w:contextualSpacing/>
        <w:jc w:val="both"/>
      </w:pPr>
      <w:r w:rsidRPr="009A5C19">
        <w:t>Networks</w:t>
      </w:r>
    </w:p>
    <w:p w:rsidR="004B207B" w:rsidRPr="009A5C19" w:rsidRDefault="004B207B" w:rsidP="004B207B">
      <w:pPr>
        <w:pStyle w:val="ListParagraph"/>
        <w:numPr>
          <w:ilvl w:val="0"/>
          <w:numId w:val="3"/>
        </w:numPr>
        <w:spacing w:after="111" w:line="247" w:lineRule="auto"/>
        <w:ind w:left="1276" w:hanging="425"/>
        <w:contextualSpacing/>
        <w:jc w:val="both"/>
      </w:pPr>
      <w:r w:rsidRPr="009A5C19">
        <w:t>Office Supplies</w:t>
      </w:r>
    </w:p>
    <w:p w:rsidR="004B207B" w:rsidRPr="009A5C19" w:rsidRDefault="004B207B" w:rsidP="004B207B">
      <w:pPr>
        <w:pStyle w:val="ListParagraph"/>
        <w:numPr>
          <w:ilvl w:val="0"/>
          <w:numId w:val="3"/>
        </w:numPr>
        <w:spacing w:after="111" w:line="247" w:lineRule="auto"/>
        <w:ind w:left="1276" w:hanging="425"/>
        <w:contextualSpacing/>
        <w:jc w:val="both"/>
      </w:pPr>
      <w:r w:rsidRPr="009A5C19">
        <w:t>Post and Courier</w:t>
      </w:r>
    </w:p>
    <w:p w:rsidR="004B207B" w:rsidRPr="009A5C19" w:rsidRDefault="004B207B" w:rsidP="004B207B">
      <w:pPr>
        <w:pStyle w:val="ListParagraph"/>
        <w:numPr>
          <w:ilvl w:val="0"/>
          <w:numId w:val="3"/>
        </w:numPr>
        <w:spacing w:after="111" w:line="247" w:lineRule="auto"/>
        <w:ind w:left="1276" w:hanging="425"/>
        <w:contextualSpacing/>
        <w:jc w:val="both"/>
      </w:pPr>
      <w:r w:rsidRPr="009A5C19">
        <w:t>Print and Paper</w:t>
      </w:r>
    </w:p>
    <w:p w:rsidR="004B207B" w:rsidRPr="009A5C19" w:rsidRDefault="004B207B" w:rsidP="004B207B">
      <w:pPr>
        <w:pStyle w:val="ListParagraph"/>
        <w:numPr>
          <w:ilvl w:val="0"/>
          <w:numId w:val="3"/>
        </w:numPr>
        <w:spacing w:after="111" w:line="247" w:lineRule="auto"/>
        <w:ind w:left="1276" w:hanging="425"/>
        <w:contextualSpacing/>
        <w:jc w:val="both"/>
      </w:pPr>
      <w:r w:rsidRPr="009A5C19">
        <w:t>Property</w:t>
      </w:r>
    </w:p>
    <w:p w:rsidR="004B207B" w:rsidRPr="009A5C19" w:rsidRDefault="004B207B" w:rsidP="004B207B">
      <w:pPr>
        <w:pStyle w:val="ListParagraph"/>
        <w:numPr>
          <w:ilvl w:val="0"/>
          <w:numId w:val="3"/>
        </w:numPr>
        <w:spacing w:after="111" w:line="247" w:lineRule="auto"/>
        <w:ind w:left="1276" w:hanging="425"/>
        <w:contextualSpacing/>
        <w:jc w:val="both"/>
      </w:pPr>
      <w:r w:rsidRPr="009A5C19">
        <w:t>Software</w:t>
      </w:r>
    </w:p>
    <w:p w:rsidR="004B207B" w:rsidRPr="009A5C19" w:rsidRDefault="004B207B" w:rsidP="004B207B">
      <w:pPr>
        <w:pStyle w:val="ListParagraph"/>
        <w:numPr>
          <w:ilvl w:val="0"/>
          <w:numId w:val="3"/>
        </w:numPr>
        <w:spacing w:after="111" w:line="247" w:lineRule="auto"/>
        <w:ind w:left="1276" w:hanging="425"/>
        <w:contextualSpacing/>
        <w:jc w:val="both"/>
      </w:pPr>
      <w:r w:rsidRPr="009A5C19">
        <w:t>Technology Products</w:t>
      </w:r>
    </w:p>
    <w:p w:rsidR="004B207B" w:rsidRPr="009A5C19" w:rsidRDefault="004B207B" w:rsidP="004B207B">
      <w:pPr>
        <w:pStyle w:val="ListParagraph"/>
        <w:numPr>
          <w:ilvl w:val="0"/>
          <w:numId w:val="3"/>
        </w:numPr>
        <w:spacing w:after="120" w:line="247" w:lineRule="auto"/>
        <w:ind w:left="1276" w:hanging="425"/>
        <w:jc w:val="both"/>
      </w:pPr>
      <w:r w:rsidRPr="009A5C19">
        <w:t>Travel</w:t>
      </w:r>
    </w:p>
    <w:p w:rsidR="004B207B" w:rsidRDefault="004B207B" w:rsidP="004B207B">
      <w:pPr>
        <w:pStyle w:val="Heading1"/>
      </w:pPr>
      <w:bookmarkStart w:id="13" w:name="_Toc368573031"/>
      <w:bookmarkStart w:id="14" w:name="_Toc456273167"/>
      <w:bookmarkEnd w:id="8"/>
      <w:bookmarkEnd w:id="12"/>
      <w:r w:rsidRPr="00BE6EE0">
        <w:t>The requirement</w:t>
      </w:r>
      <w:bookmarkEnd w:id="13"/>
      <w:bookmarkEnd w:id="14"/>
    </w:p>
    <w:p w:rsidR="004B207B" w:rsidRDefault="004B207B" w:rsidP="004B207B">
      <w:pPr>
        <w:pStyle w:val="Heading2"/>
        <w:spacing w:after="231"/>
        <w:ind w:left="709" w:hanging="709"/>
      </w:pPr>
      <w:r w:rsidRPr="00870A67">
        <w:t>GENERAL REQUIREMENTS</w:t>
      </w:r>
    </w:p>
    <w:p w:rsidR="004B207B" w:rsidRDefault="004B207B" w:rsidP="004B207B">
      <w:pPr>
        <w:pStyle w:val="Heading3"/>
      </w:pPr>
      <w:r>
        <w:t xml:space="preserve">The Authority wishes to compare the prices paid via the Authority’s commercial procurement solutions against those prices being paid by organisations in the private sector. </w:t>
      </w:r>
    </w:p>
    <w:p w:rsidR="004B207B" w:rsidRDefault="004B207B" w:rsidP="004B207B">
      <w:pPr>
        <w:pStyle w:val="Heading3"/>
      </w:pPr>
      <w:r>
        <w:lastRenderedPageBreak/>
        <w:t xml:space="preserve">A basket of up to 200 items will be established for each Category. </w:t>
      </w:r>
    </w:p>
    <w:p w:rsidR="004B207B" w:rsidRDefault="004B207B" w:rsidP="004B207B">
      <w:pPr>
        <w:pStyle w:val="Heading3"/>
      </w:pPr>
      <w:r>
        <w:t xml:space="preserve">The Supplier must be able to obtain the prices paid by the private sector for the items in the basket for each category. </w:t>
      </w:r>
    </w:p>
    <w:p w:rsidR="004B207B" w:rsidRDefault="004B207B" w:rsidP="004B207B">
      <w:pPr>
        <w:pStyle w:val="Heading3"/>
      </w:pPr>
      <w:r>
        <w:t xml:space="preserve">The Authority will provide the Supplier with details of the quantities purchased and the prices paid by its customers across the range of its procurement portfolio. </w:t>
      </w:r>
    </w:p>
    <w:p w:rsidR="004B207B" w:rsidRDefault="004B207B" w:rsidP="004B207B">
      <w:pPr>
        <w:pStyle w:val="Heading3"/>
      </w:pPr>
      <w:r>
        <w:t xml:space="preserve">The Supplier must be able to ascertain the actual ‘price paid’ for the product and/or service by organisations in the private sector, in a comparable period, as those purchased via the Authority’s commercial procurement solutions, and to then provide a report detailing this comparison. </w:t>
      </w:r>
    </w:p>
    <w:p w:rsidR="004B207B" w:rsidRDefault="004B207B" w:rsidP="004B207B">
      <w:pPr>
        <w:pStyle w:val="Heading3"/>
      </w:pPr>
      <w:r>
        <w:t xml:space="preserve">Where appropriate, the Authority may suggest and/or agree prices derived from public sector organisations, to be included in the comparison. </w:t>
      </w:r>
    </w:p>
    <w:p w:rsidR="004B207B" w:rsidRDefault="004B207B" w:rsidP="004B207B">
      <w:pPr>
        <w:pStyle w:val="Heading3"/>
      </w:pPr>
      <w:r>
        <w:t xml:space="preserve">The Supplier must be able to provide a price benchmarking service for all Categories. </w:t>
      </w:r>
    </w:p>
    <w:p w:rsidR="004B207B" w:rsidRDefault="004B207B" w:rsidP="004B207B">
      <w:pPr>
        <w:pStyle w:val="Heading3"/>
      </w:pPr>
      <w:r>
        <w:t xml:space="preserve">Price Benchmarking surveys will be completed separately for each Category. </w:t>
      </w:r>
    </w:p>
    <w:p w:rsidR="004B207B" w:rsidRDefault="004B207B" w:rsidP="004B207B">
      <w:pPr>
        <w:pStyle w:val="Heading3"/>
      </w:pPr>
      <w:r>
        <w:t>The Price Benchmarking surveys will be carried out over the year of the Contract, as agreed between the Authority and the Supplier, and this will be determined on a call off basis as required by the Authority</w:t>
      </w:r>
    </w:p>
    <w:p w:rsidR="004B207B" w:rsidRDefault="004B207B" w:rsidP="004B207B">
      <w:pPr>
        <w:pStyle w:val="Heading3"/>
      </w:pPr>
      <w:r>
        <w:t>Before the commencement of each Price Benchmarking survey, the Supplier shall supply to, and agree with, the Authority a plan showing the completion dates of the major milestones below:</w:t>
      </w:r>
    </w:p>
    <w:p w:rsidR="004B207B" w:rsidRDefault="004B207B" w:rsidP="004B207B">
      <w:pPr>
        <w:pStyle w:val="ListParagraph"/>
        <w:numPr>
          <w:ilvl w:val="0"/>
          <w:numId w:val="4"/>
        </w:numPr>
        <w:tabs>
          <w:tab w:val="center" w:pos="2100"/>
          <w:tab w:val="center" w:pos="4440"/>
        </w:tabs>
        <w:spacing w:after="229" w:line="247" w:lineRule="auto"/>
        <w:ind w:left="2625" w:hanging="357"/>
        <w:contextualSpacing/>
      </w:pPr>
      <w:r>
        <w:t>Finalisation of items in the basket;</w:t>
      </w:r>
    </w:p>
    <w:p w:rsidR="004B207B" w:rsidRDefault="004B207B" w:rsidP="004B207B">
      <w:pPr>
        <w:pStyle w:val="ListParagraph"/>
        <w:numPr>
          <w:ilvl w:val="0"/>
          <w:numId w:val="4"/>
        </w:numPr>
        <w:tabs>
          <w:tab w:val="center" w:pos="2100"/>
          <w:tab w:val="center" w:pos="4734"/>
        </w:tabs>
        <w:spacing w:after="229" w:line="247" w:lineRule="auto"/>
        <w:ind w:left="2625" w:hanging="357"/>
        <w:contextualSpacing/>
      </w:pPr>
      <w:r>
        <w:t>Complete private sector price gathering;</w:t>
      </w:r>
    </w:p>
    <w:p w:rsidR="004B207B" w:rsidRDefault="004B207B" w:rsidP="004B207B">
      <w:pPr>
        <w:pStyle w:val="ListParagraph"/>
        <w:numPr>
          <w:ilvl w:val="0"/>
          <w:numId w:val="4"/>
        </w:numPr>
        <w:tabs>
          <w:tab w:val="center" w:pos="2100"/>
          <w:tab w:val="center" w:pos="4960"/>
        </w:tabs>
        <w:spacing w:after="229" w:line="247" w:lineRule="auto"/>
        <w:ind w:left="2625" w:hanging="357"/>
        <w:contextualSpacing/>
      </w:pPr>
      <w:r>
        <w:t>Interim Report available to the Authority; and</w:t>
      </w:r>
    </w:p>
    <w:p w:rsidR="004B207B" w:rsidRDefault="004B207B" w:rsidP="004B207B">
      <w:pPr>
        <w:pStyle w:val="ListParagraph"/>
        <w:numPr>
          <w:ilvl w:val="0"/>
          <w:numId w:val="4"/>
        </w:numPr>
        <w:tabs>
          <w:tab w:val="center" w:pos="2100"/>
          <w:tab w:val="center" w:pos="4647"/>
        </w:tabs>
        <w:spacing w:after="231" w:line="247" w:lineRule="auto"/>
        <w:ind w:left="2625" w:hanging="357"/>
        <w:contextualSpacing/>
      </w:pPr>
      <w:r>
        <w:t>Final Report available to the Authority;</w:t>
      </w:r>
    </w:p>
    <w:p w:rsidR="004B207B" w:rsidRDefault="004B207B" w:rsidP="004B207B">
      <w:pPr>
        <w:pStyle w:val="Heading3"/>
      </w:pPr>
      <w:r>
        <w:t xml:space="preserve">The Authority will work with the Supplier to continually improve the quality of the benchmarking process, and will require the Supplier to recommend amendments and enhancements to the process that will improve the accuracy of the results. </w:t>
      </w:r>
    </w:p>
    <w:p w:rsidR="004B207B" w:rsidRDefault="004B207B" w:rsidP="004B207B">
      <w:pPr>
        <w:pStyle w:val="Heading2"/>
        <w:tabs>
          <w:tab w:val="center" w:pos="966"/>
          <w:tab w:val="center" w:pos="2100"/>
          <w:tab w:val="center" w:pos="4647"/>
          <w:tab w:val="center" w:pos="4969"/>
        </w:tabs>
        <w:spacing w:after="231" w:line="247" w:lineRule="auto"/>
        <w:ind w:left="709" w:hanging="709"/>
      </w:pPr>
      <w:r>
        <w:t>ESTABLISHING AND MAINTAINING THE BASKETS</w:t>
      </w:r>
    </w:p>
    <w:p w:rsidR="004B207B" w:rsidRDefault="004B207B" w:rsidP="004B207B">
      <w:pPr>
        <w:pStyle w:val="Heading3"/>
      </w:pPr>
      <w:r>
        <w:t xml:space="preserve">Price benchmarking will be calculated with reference to a typical ‘basket of goods’, which may include up to 200 goods and/ or services within any given Category from the portfolio of contracts offered to the market by the Authority. For an indication as to which goods and services may be included, please </w:t>
      </w:r>
      <w:r w:rsidRPr="001331B9">
        <w:t>see Annex A.</w:t>
      </w:r>
      <w:r>
        <w:t xml:space="preserve">  </w:t>
      </w:r>
    </w:p>
    <w:p w:rsidR="004B207B" w:rsidRDefault="004B207B" w:rsidP="004B207B">
      <w:pPr>
        <w:pStyle w:val="Heading3"/>
      </w:pPr>
      <w:r>
        <w:t>The Authority may seek input from the Supplier regarding the most appropriate goods and/or services to benchmark.</w:t>
      </w:r>
    </w:p>
    <w:p w:rsidR="004B207B" w:rsidRDefault="004B207B" w:rsidP="004B207B">
      <w:pPr>
        <w:pStyle w:val="Heading3"/>
      </w:pPr>
      <w:r>
        <w:t xml:space="preserve">The Supplier shall work with the Authority’s Category teams via a designated person responsible, supplied by the Authority, to identify </w:t>
      </w:r>
      <w:r>
        <w:lastRenderedPageBreak/>
        <w:t xml:space="preserve">appropriate goods and/or services to include in the baskets. For some Categories, this may simply consist of a health check regarding the items put forward by the Category team to ensure their suitability.  For other Categories, more work may be needed and the Supplier may be required to take more of a lead role to identify suitable items. The contents of each basket must be agreed with the Authority before the commencement of each benchmarking survey. </w:t>
      </w:r>
    </w:p>
    <w:p w:rsidR="004B207B" w:rsidRDefault="004B207B" w:rsidP="004B207B">
      <w:pPr>
        <w:pStyle w:val="Heading3"/>
      </w:pPr>
      <w:r>
        <w:t>The Authority and the Supplier will collectively ensure that the basket of goods and/or services identified for each Category is stat</w:t>
      </w:r>
      <w:r w:rsidR="00AF56E8">
        <w:t xml:space="preserve">istically representative of the </w:t>
      </w:r>
      <w:r>
        <w:t xml:space="preserve">spend within the Category, both in terms of value and volume, and representative of general market demand. </w:t>
      </w:r>
    </w:p>
    <w:p w:rsidR="004B207B" w:rsidRDefault="004B207B" w:rsidP="004B207B">
      <w:pPr>
        <w:pStyle w:val="Heading3"/>
      </w:pPr>
      <w:r>
        <w:t xml:space="preserve">The Supplier will be expected to review the content of the baskets with the Category team before each survey begins, to ensure that the items are still relevant. </w:t>
      </w:r>
    </w:p>
    <w:p w:rsidR="004B207B" w:rsidRDefault="004B207B" w:rsidP="004B207B">
      <w:pPr>
        <w:pStyle w:val="Heading2"/>
        <w:tabs>
          <w:tab w:val="center" w:pos="966"/>
          <w:tab w:val="center" w:pos="1277"/>
          <w:tab w:val="center" w:pos="2100"/>
          <w:tab w:val="center" w:pos="4647"/>
          <w:tab w:val="center" w:pos="4969"/>
        </w:tabs>
        <w:spacing w:after="231" w:line="247" w:lineRule="auto"/>
        <w:ind w:left="709" w:hanging="709"/>
      </w:pPr>
      <w:r>
        <w:t>PRICES PAID</w:t>
      </w:r>
    </w:p>
    <w:p w:rsidR="004B207B" w:rsidRDefault="004B207B" w:rsidP="004B207B">
      <w:pPr>
        <w:pStyle w:val="Heading3"/>
      </w:pPr>
      <w:r>
        <w:t xml:space="preserve">The Supplier must be able to ascertain the actual ‘price paid’ for the product and/or service by organisations in the private sector, in a comparable period as those purchased via the Authority’s commercial procurement solutions, for each good and/or service in the basket.  </w:t>
      </w:r>
    </w:p>
    <w:p w:rsidR="004B207B" w:rsidRDefault="004B207B" w:rsidP="004B207B">
      <w:pPr>
        <w:pStyle w:val="Heading3"/>
      </w:pPr>
      <w:r>
        <w:t xml:space="preserve">The price paid must be for equivalent quantities in the same units of measure as those purchased via the Authority’s commercial procurement solutions.  </w:t>
      </w:r>
    </w:p>
    <w:p w:rsidR="004B207B" w:rsidRDefault="004B207B" w:rsidP="004B207B">
      <w:pPr>
        <w:pStyle w:val="Heading3"/>
      </w:pPr>
      <w:r>
        <w:t xml:space="preserve">The price paid must include all known discounts and rebates. </w:t>
      </w:r>
    </w:p>
    <w:p w:rsidR="004B207B" w:rsidRDefault="004B207B" w:rsidP="004B207B">
      <w:pPr>
        <w:pStyle w:val="Heading3"/>
      </w:pPr>
      <w:r>
        <w:t>Information relating to price paid must exclude VAT.</w:t>
      </w:r>
    </w:p>
    <w:p w:rsidR="004B207B" w:rsidRDefault="004B207B" w:rsidP="004B207B">
      <w:pPr>
        <w:pStyle w:val="Heading3"/>
      </w:pPr>
      <w:r>
        <w:t xml:space="preserve">Private sector prices obtained must be for the same brand, make and model as the item specified in the basket of items. </w:t>
      </w:r>
    </w:p>
    <w:p w:rsidR="004B207B" w:rsidRDefault="004B207B" w:rsidP="004B207B">
      <w:pPr>
        <w:pStyle w:val="Heading3"/>
      </w:pPr>
      <w:r>
        <w:t xml:space="preserve">The price paid for the item by at least three (3) separate organisations in the private sector must be obtained for an item to appear in the report. Any changes to this must be by agreement of the Authority. </w:t>
      </w:r>
    </w:p>
    <w:p w:rsidR="004B207B" w:rsidRDefault="004B207B" w:rsidP="004B207B">
      <w:pPr>
        <w:pStyle w:val="Heading3"/>
      </w:pPr>
      <w:r>
        <w:t xml:space="preserve">At least 85% of items in the basket must be included in the results. </w:t>
      </w:r>
    </w:p>
    <w:p w:rsidR="004B207B" w:rsidRDefault="004B207B" w:rsidP="004B207B">
      <w:pPr>
        <w:pStyle w:val="Heading2"/>
        <w:tabs>
          <w:tab w:val="center" w:pos="966"/>
          <w:tab w:val="center" w:pos="2100"/>
          <w:tab w:val="center" w:pos="4647"/>
          <w:tab w:val="center" w:pos="4969"/>
        </w:tabs>
        <w:spacing w:after="231" w:line="247" w:lineRule="auto"/>
        <w:ind w:left="709" w:hanging="709"/>
      </w:pPr>
      <w:r>
        <w:t>CUSTOMER BENCHMARKING SERVICES</w:t>
      </w:r>
    </w:p>
    <w:p w:rsidR="004B207B" w:rsidRDefault="004B207B" w:rsidP="004B207B">
      <w:pPr>
        <w:pStyle w:val="Heading3"/>
        <w:tabs>
          <w:tab w:val="center" w:pos="4456"/>
        </w:tabs>
        <w:spacing w:after="228"/>
      </w:pPr>
      <w:r>
        <w:t xml:space="preserve">In addition, it is envisaged that the Authority </w:t>
      </w:r>
      <w:r w:rsidRPr="00334E8B">
        <w:t>may</w:t>
      </w:r>
      <w:r>
        <w:t xml:space="preserve"> wish to offer customers the opportunity to check the prices they are paying against those available in the private sector or through the Authority’s commercial arrangements.  </w:t>
      </w:r>
    </w:p>
    <w:p w:rsidR="004B207B" w:rsidRDefault="004B207B" w:rsidP="004B207B">
      <w:pPr>
        <w:pStyle w:val="Heading3"/>
        <w:tabs>
          <w:tab w:val="center" w:pos="4456"/>
        </w:tabs>
        <w:spacing w:after="228"/>
      </w:pPr>
      <w:r>
        <w:t xml:space="preserve">It is envisaged that the process for Customer Benchmarking Services will be: </w:t>
      </w:r>
    </w:p>
    <w:p w:rsidR="004B207B" w:rsidRDefault="004B207B" w:rsidP="004B207B">
      <w:pPr>
        <w:pStyle w:val="ListParagraph"/>
        <w:numPr>
          <w:ilvl w:val="0"/>
          <w:numId w:val="5"/>
        </w:numPr>
        <w:spacing w:after="231" w:line="248" w:lineRule="auto"/>
        <w:ind w:left="2625" w:hanging="357"/>
        <w:contextualSpacing/>
        <w:jc w:val="both"/>
      </w:pPr>
      <w:r>
        <w:t>The Customer, Authority and the Supplier agree a baskets of up to 200 items;</w:t>
      </w:r>
    </w:p>
    <w:p w:rsidR="004B207B" w:rsidRDefault="004B207B" w:rsidP="004B207B">
      <w:pPr>
        <w:pStyle w:val="ListParagraph"/>
        <w:numPr>
          <w:ilvl w:val="0"/>
          <w:numId w:val="5"/>
        </w:numPr>
        <w:spacing w:after="231" w:line="248" w:lineRule="auto"/>
        <w:ind w:left="2625" w:hanging="357"/>
        <w:contextualSpacing/>
        <w:jc w:val="both"/>
      </w:pPr>
      <w:r>
        <w:t xml:space="preserve">The Customer will provide details of the prices they are paying for the items to the Authority;  </w:t>
      </w:r>
    </w:p>
    <w:p w:rsidR="004B207B" w:rsidRDefault="004B207B" w:rsidP="004B207B">
      <w:pPr>
        <w:pStyle w:val="ListParagraph"/>
        <w:numPr>
          <w:ilvl w:val="0"/>
          <w:numId w:val="5"/>
        </w:numPr>
        <w:spacing w:after="12" w:line="248" w:lineRule="auto"/>
        <w:ind w:left="2625" w:hanging="357"/>
        <w:contextualSpacing/>
        <w:jc w:val="both"/>
      </w:pPr>
      <w:r>
        <w:lastRenderedPageBreak/>
        <w:t>If the prices are to be compared against the Authority’s commercial arrangements, the Authority will provide details of the prices paid via the Authority’s commercial procurement solutions;</w:t>
      </w:r>
    </w:p>
    <w:p w:rsidR="004B207B" w:rsidRDefault="004B207B" w:rsidP="004B207B">
      <w:pPr>
        <w:pStyle w:val="ListParagraph"/>
        <w:numPr>
          <w:ilvl w:val="0"/>
          <w:numId w:val="5"/>
        </w:numPr>
        <w:tabs>
          <w:tab w:val="center" w:pos="1028"/>
          <w:tab w:val="center" w:pos="5128"/>
        </w:tabs>
        <w:spacing w:after="218" w:line="259" w:lineRule="auto"/>
        <w:ind w:left="2625" w:hanging="357"/>
        <w:contextualSpacing/>
      </w:pPr>
      <w:r>
        <w:t xml:space="preserve">The Supplier will then obtain prices paid by the private sector; and </w:t>
      </w:r>
    </w:p>
    <w:p w:rsidR="004B207B" w:rsidRDefault="004B207B" w:rsidP="004B207B">
      <w:pPr>
        <w:pStyle w:val="ListParagraph"/>
        <w:numPr>
          <w:ilvl w:val="0"/>
          <w:numId w:val="5"/>
        </w:numPr>
        <w:spacing w:after="231" w:line="248" w:lineRule="auto"/>
        <w:ind w:left="2625" w:hanging="357"/>
        <w:contextualSpacing/>
        <w:jc w:val="both"/>
      </w:pPr>
      <w:r>
        <w:t xml:space="preserve">The Supplier will produce a report to the Authority giving details of how the prices compared. </w:t>
      </w:r>
    </w:p>
    <w:p w:rsidR="004B207B" w:rsidRPr="00E97006" w:rsidRDefault="004B207B" w:rsidP="004B207B">
      <w:pPr>
        <w:pStyle w:val="Heading3"/>
        <w:spacing w:after="233"/>
        <w:ind w:left="1800"/>
      </w:pPr>
      <w:r>
        <w:t xml:space="preserve">The cost of each survey of this service will be agreed between the Supplier and the Authority. </w:t>
      </w:r>
    </w:p>
    <w:p w:rsidR="004B207B" w:rsidRDefault="004B207B" w:rsidP="004B207B">
      <w:pPr>
        <w:pStyle w:val="Heading1"/>
        <w:spacing w:after="120"/>
      </w:pPr>
      <w:bookmarkStart w:id="15" w:name="_Toc368573032"/>
      <w:bookmarkStart w:id="16" w:name="_Toc456273168"/>
      <w:r>
        <w:t>key milestones</w:t>
      </w:r>
      <w:bookmarkEnd w:id="15"/>
      <w:r>
        <w:t xml:space="preserve"> and performance measures</w:t>
      </w:r>
      <w:bookmarkEnd w:id="16"/>
    </w:p>
    <w:p w:rsidR="004B207B" w:rsidRDefault="004B207B" w:rsidP="004B207B">
      <w:pPr>
        <w:pStyle w:val="Heading2"/>
        <w:spacing w:after="109"/>
        <w:ind w:left="709" w:hanging="709"/>
      </w:pPr>
      <w:r>
        <w:t xml:space="preserve">The Supplier should note the following project milestones that the Authority will measure the quality of delivery against: </w:t>
      </w:r>
    </w:p>
    <w:p w:rsidR="004B207B" w:rsidRDefault="004B207B" w:rsidP="004B207B"/>
    <w:p w:rsidR="004B207B" w:rsidRDefault="004B207B" w:rsidP="004B207B">
      <w:pPr>
        <w:pStyle w:val="Heading3"/>
        <w:numPr>
          <w:ilvl w:val="0"/>
          <w:numId w:val="0"/>
        </w:numPr>
        <w:spacing w:after="0"/>
        <w:ind w:left="-5"/>
      </w:pPr>
      <w:r>
        <w:t xml:space="preserve">Table 1 – Project Milestone and Performance Measures </w:t>
      </w:r>
    </w:p>
    <w:tbl>
      <w:tblPr>
        <w:tblStyle w:val="TableGrid"/>
        <w:tblW w:w="9247" w:type="dxa"/>
        <w:tblInd w:w="-109" w:type="dxa"/>
        <w:tblCellMar>
          <w:top w:w="54" w:type="dxa"/>
          <w:left w:w="107" w:type="dxa"/>
          <w:right w:w="53" w:type="dxa"/>
        </w:tblCellMar>
        <w:tblLook w:val="04A0" w:firstRow="1" w:lastRow="0" w:firstColumn="1" w:lastColumn="0" w:noHBand="0" w:noVBand="1"/>
      </w:tblPr>
      <w:tblGrid>
        <w:gridCol w:w="1244"/>
        <w:gridCol w:w="3431"/>
        <w:gridCol w:w="2245"/>
        <w:gridCol w:w="2327"/>
      </w:tblGrid>
      <w:tr w:rsidR="004B207B" w:rsidTr="005A7742">
        <w:trPr>
          <w:trHeight w:val="630"/>
        </w:trPr>
        <w:tc>
          <w:tcPr>
            <w:tcW w:w="1244" w:type="dxa"/>
            <w:tcBorders>
              <w:top w:val="single" w:sz="4" w:space="0" w:color="000000"/>
              <w:left w:val="single" w:sz="4" w:space="0" w:color="000000"/>
              <w:bottom w:val="nil"/>
              <w:right w:val="single" w:sz="4" w:space="0" w:color="000000"/>
            </w:tcBorders>
            <w:shd w:val="clear" w:color="auto" w:fill="BFBFBF"/>
            <w:vAlign w:val="center"/>
          </w:tcPr>
          <w:p w:rsidR="004B207B" w:rsidRDefault="004B207B" w:rsidP="005A7742">
            <w:pPr>
              <w:spacing w:line="259" w:lineRule="auto"/>
              <w:ind w:left="6"/>
            </w:pPr>
            <w:r>
              <w:rPr>
                <w:b/>
                <w:color w:val="FFFFFF"/>
              </w:rPr>
              <w:t xml:space="preserve">Milestone </w:t>
            </w:r>
          </w:p>
        </w:tc>
        <w:tc>
          <w:tcPr>
            <w:tcW w:w="3431" w:type="dxa"/>
            <w:tcBorders>
              <w:top w:val="single" w:sz="4" w:space="0" w:color="000000"/>
              <w:left w:val="single" w:sz="4" w:space="0" w:color="000000"/>
              <w:bottom w:val="nil"/>
              <w:right w:val="single" w:sz="4" w:space="0" w:color="000000"/>
            </w:tcBorders>
            <w:shd w:val="clear" w:color="auto" w:fill="BFBFBF"/>
            <w:vAlign w:val="center"/>
          </w:tcPr>
          <w:p w:rsidR="004B207B" w:rsidRDefault="004B207B" w:rsidP="005A7742">
            <w:pPr>
              <w:spacing w:line="259" w:lineRule="auto"/>
              <w:ind w:right="54"/>
              <w:jc w:val="center"/>
            </w:pPr>
            <w:r>
              <w:rPr>
                <w:b/>
                <w:color w:val="FFFFFF"/>
              </w:rPr>
              <w:t xml:space="preserve">Description </w:t>
            </w:r>
          </w:p>
        </w:tc>
        <w:tc>
          <w:tcPr>
            <w:tcW w:w="2245" w:type="dxa"/>
            <w:tcBorders>
              <w:top w:val="single" w:sz="4" w:space="0" w:color="000000"/>
              <w:left w:val="single" w:sz="4" w:space="0" w:color="000000"/>
              <w:bottom w:val="nil"/>
              <w:right w:val="single" w:sz="4" w:space="0" w:color="000000"/>
            </w:tcBorders>
            <w:shd w:val="clear" w:color="auto" w:fill="BFBFBF"/>
            <w:vAlign w:val="center"/>
          </w:tcPr>
          <w:p w:rsidR="004B207B" w:rsidRDefault="004B207B" w:rsidP="005A7742">
            <w:pPr>
              <w:spacing w:line="259" w:lineRule="auto"/>
              <w:ind w:right="57"/>
              <w:jc w:val="center"/>
            </w:pPr>
            <w:r>
              <w:rPr>
                <w:b/>
                <w:color w:val="FFFFFF"/>
              </w:rPr>
              <w:t xml:space="preserve">Timeframe </w:t>
            </w:r>
          </w:p>
        </w:tc>
        <w:tc>
          <w:tcPr>
            <w:tcW w:w="2327" w:type="dxa"/>
            <w:tcBorders>
              <w:top w:val="single" w:sz="4" w:space="0" w:color="000000"/>
              <w:left w:val="single" w:sz="4" w:space="0" w:color="000000"/>
              <w:bottom w:val="nil"/>
              <w:right w:val="single" w:sz="4" w:space="0" w:color="000000"/>
            </w:tcBorders>
            <w:shd w:val="clear" w:color="auto" w:fill="BFBFBF"/>
          </w:tcPr>
          <w:p w:rsidR="004B207B" w:rsidRDefault="004B207B" w:rsidP="005A7742">
            <w:pPr>
              <w:spacing w:line="259" w:lineRule="auto"/>
              <w:jc w:val="center"/>
            </w:pPr>
            <w:r>
              <w:rPr>
                <w:b/>
                <w:color w:val="FFFFFF"/>
              </w:rPr>
              <w:t xml:space="preserve">Performance Measure </w:t>
            </w:r>
          </w:p>
        </w:tc>
      </w:tr>
      <w:tr w:rsidR="004B207B" w:rsidTr="005A7742">
        <w:trPr>
          <w:trHeight w:val="394"/>
        </w:trPr>
        <w:tc>
          <w:tcPr>
            <w:tcW w:w="9247" w:type="dxa"/>
            <w:gridSpan w:val="4"/>
            <w:tcBorders>
              <w:top w:val="nil"/>
              <w:left w:val="nil"/>
              <w:bottom w:val="nil"/>
              <w:right w:val="nil"/>
            </w:tcBorders>
            <w:shd w:val="clear" w:color="auto" w:fill="000000"/>
          </w:tcPr>
          <w:p w:rsidR="004B207B" w:rsidRDefault="004B207B" w:rsidP="005A7742">
            <w:pPr>
              <w:spacing w:line="259" w:lineRule="auto"/>
              <w:ind w:right="55"/>
              <w:jc w:val="center"/>
            </w:pPr>
            <w:r>
              <w:rPr>
                <w:b/>
                <w:color w:val="FFFFFF"/>
              </w:rPr>
              <w:t>Commencement of the Contract</w:t>
            </w:r>
          </w:p>
        </w:tc>
      </w:tr>
      <w:tr w:rsidR="004B207B" w:rsidTr="005A7742">
        <w:trPr>
          <w:trHeight w:val="1390"/>
        </w:trPr>
        <w:tc>
          <w:tcPr>
            <w:tcW w:w="1244" w:type="dxa"/>
            <w:tcBorders>
              <w:top w:val="nil"/>
              <w:left w:val="single" w:sz="4" w:space="0" w:color="000000"/>
              <w:bottom w:val="single" w:sz="4" w:space="0" w:color="000000"/>
              <w:right w:val="single" w:sz="4" w:space="0" w:color="000000"/>
            </w:tcBorders>
            <w:vAlign w:val="center"/>
          </w:tcPr>
          <w:p w:rsidR="004B207B" w:rsidRDefault="004B207B" w:rsidP="005A7742">
            <w:pPr>
              <w:spacing w:line="259" w:lineRule="auto"/>
              <w:ind w:right="55"/>
              <w:jc w:val="center"/>
            </w:pPr>
            <w:r>
              <w:t xml:space="preserve">1 </w:t>
            </w:r>
          </w:p>
        </w:tc>
        <w:tc>
          <w:tcPr>
            <w:tcW w:w="3431" w:type="dxa"/>
            <w:tcBorders>
              <w:top w:val="nil"/>
              <w:left w:val="single" w:sz="4" w:space="0" w:color="000000"/>
              <w:bottom w:val="single" w:sz="4" w:space="0" w:color="000000"/>
              <w:right w:val="single" w:sz="4" w:space="0" w:color="000000"/>
            </w:tcBorders>
            <w:vAlign w:val="center"/>
          </w:tcPr>
          <w:p w:rsidR="004B207B" w:rsidRDefault="004B207B" w:rsidP="005A7742">
            <w:pPr>
              <w:spacing w:line="259" w:lineRule="auto"/>
            </w:pPr>
            <w:r>
              <w:t>Attendance at Contract Commencement Meeting (can be held by telephone or videoconference)</w:t>
            </w:r>
          </w:p>
        </w:tc>
        <w:tc>
          <w:tcPr>
            <w:tcW w:w="2245" w:type="dxa"/>
            <w:tcBorders>
              <w:top w:val="nil"/>
              <w:left w:val="single" w:sz="4" w:space="0" w:color="000000"/>
              <w:bottom w:val="single" w:sz="4" w:space="0" w:color="000000"/>
              <w:right w:val="single" w:sz="4" w:space="0" w:color="000000"/>
            </w:tcBorders>
            <w:vAlign w:val="center"/>
          </w:tcPr>
          <w:p w:rsidR="004B207B" w:rsidRDefault="004B207B" w:rsidP="005A7742">
            <w:pPr>
              <w:spacing w:line="259" w:lineRule="auto"/>
              <w:jc w:val="center"/>
            </w:pPr>
            <w:r>
              <w:t xml:space="preserve">Within week 1 of Contract Award  </w:t>
            </w:r>
          </w:p>
        </w:tc>
        <w:tc>
          <w:tcPr>
            <w:tcW w:w="2327" w:type="dxa"/>
            <w:tcBorders>
              <w:top w:val="nil"/>
              <w:left w:val="single" w:sz="4" w:space="0" w:color="000000"/>
              <w:bottom w:val="single" w:sz="4" w:space="0" w:color="000000"/>
              <w:right w:val="single" w:sz="4" w:space="0" w:color="000000"/>
            </w:tcBorders>
          </w:tcPr>
          <w:p w:rsidR="004B207B" w:rsidRDefault="004B207B" w:rsidP="005A7742">
            <w:pPr>
              <w:spacing w:line="239" w:lineRule="auto"/>
              <w:ind w:firstLine="16"/>
              <w:jc w:val="center"/>
            </w:pPr>
            <w:r>
              <w:t xml:space="preserve">Completion of Milestone 1 to the satisfaction of the </w:t>
            </w:r>
          </w:p>
          <w:p w:rsidR="004B207B" w:rsidRDefault="004B207B" w:rsidP="005A7742">
            <w:pPr>
              <w:spacing w:line="259" w:lineRule="auto"/>
              <w:ind w:left="23"/>
            </w:pPr>
            <w:r>
              <w:t xml:space="preserve">Authority within week </w:t>
            </w:r>
          </w:p>
          <w:p w:rsidR="004B207B" w:rsidRDefault="004B207B" w:rsidP="005A7742">
            <w:pPr>
              <w:spacing w:line="259" w:lineRule="auto"/>
              <w:ind w:left="83"/>
            </w:pPr>
            <w:r>
              <w:t xml:space="preserve">1 of Contract Award </w:t>
            </w:r>
          </w:p>
        </w:tc>
      </w:tr>
      <w:tr w:rsidR="004B207B" w:rsidTr="005A7742">
        <w:trPr>
          <w:trHeight w:val="1394"/>
        </w:trPr>
        <w:tc>
          <w:tcPr>
            <w:tcW w:w="1244" w:type="dxa"/>
            <w:tcBorders>
              <w:top w:val="single" w:sz="4" w:space="0" w:color="000000"/>
              <w:left w:val="single" w:sz="4" w:space="0" w:color="000000"/>
              <w:bottom w:val="single" w:sz="4" w:space="0" w:color="000000"/>
              <w:right w:val="single" w:sz="4" w:space="0" w:color="000000"/>
            </w:tcBorders>
            <w:vAlign w:val="center"/>
          </w:tcPr>
          <w:p w:rsidR="004B207B" w:rsidRDefault="004B207B" w:rsidP="005A7742">
            <w:pPr>
              <w:spacing w:line="259" w:lineRule="auto"/>
              <w:ind w:right="55"/>
              <w:jc w:val="center"/>
            </w:pPr>
            <w:r>
              <w:t xml:space="preserve">2 </w:t>
            </w:r>
          </w:p>
        </w:tc>
        <w:tc>
          <w:tcPr>
            <w:tcW w:w="3431" w:type="dxa"/>
            <w:tcBorders>
              <w:top w:val="single" w:sz="4" w:space="0" w:color="000000"/>
              <w:left w:val="single" w:sz="4" w:space="0" w:color="000000"/>
              <w:bottom w:val="single" w:sz="4" w:space="0" w:color="000000"/>
              <w:right w:val="single" w:sz="4" w:space="0" w:color="000000"/>
            </w:tcBorders>
            <w:vAlign w:val="center"/>
          </w:tcPr>
          <w:p w:rsidR="004B207B" w:rsidRDefault="004B207B" w:rsidP="005A7742">
            <w:pPr>
              <w:spacing w:line="259" w:lineRule="auto"/>
              <w:ind w:right="54"/>
            </w:pPr>
            <w:r>
              <w:t xml:space="preserve">Agree the Authority’s data format </w:t>
            </w:r>
          </w:p>
        </w:tc>
        <w:tc>
          <w:tcPr>
            <w:tcW w:w="2245" w:type="dxa"/>
            <w:tcBorders>
              <w:top w:val="single" w:sz="4" w:space="0" w:color="000000"/>
              <w:left w:val="single" w:sz="4" w:space="0" w:color="000000"/>
              <w:bottom w:val="single" w:sz="4" w:space="0" w:color="000000"/>
              <w:right w:val="single" w:sz="4" w:space="0" w:color="000000"/>
            </w:tcBorders>
            <w:vAlign w:val="center"/>
          </w:tcPr>
          <w:p w:rsidR="004B207B" w:rsidRDefault="004B207B" w:rsidP="005A7742">
            <w:pPr>
              <w:spacing w:line="259" w:lineRule="auto"/>
              <w:jc w:val="center"/>
            </w:pPr>
            <w:r>
              <w:t xml:space="preserve">Within week 2 of Contract Award </w:t>
            </w:r>
          </w:p>
        </w:tc>
        <w:tc>
          <w:tcPr>
            <w:tcW w:w="2327" w:type="dxa"/>
            <w:tcBorders>
              <w:top w:val="single" w:sz="4" w:space="0" w:color="000000"/>
              <w:left w:val="single" w:sz="4" w:space="0" w:color="000000"/>
              <w:bottom w:val="single" w:sz="4" w:space="0" w:color="000000"/>
              <w:right w:val="single" w:sz="4" w:space="0" w:color="000000"/>
            </w:tcBorders>
          </w:tcPr>
          <w:p w:rsidR="004B207B" w:rsidRDefault="004B207B" w:rsidP="005A7742">
            <w:pPr>
              <w:spacing w:line="239" w:lineRule="auto"/>
              <w:ind w:firstLine="16"/>
              <w:jc w:val="center"/>
            </w:pPr>
            <w:r>
              <w:t xml:space="preserve">Completion of Milestone 2 to the satisfaction of the </w:t>
            </w:r>
          </w:p>
          <w:p w:rsidR="004B207B" w:rsidRDefault="004B207B" w:rsidP="005A7742">
            <w:pPr>
              <w:spacing w:line="259" w:lineRule="auto"/>
              <w:ind w:left="23"/>
            </w:pPr>
            <w:r>
              <w:t xml:space="preserve">Authority within week </w:t>
            </w:r>
          </w:p>
          <w:p w:rsidR="004B207B" w:rsidRDefault="004B207B" w:rsidP="005A7742">
            <w:pPr>
              <w:spacing w:line="259" w:lineRule="auto"/>
              <w:ind w:left="83"/>
            </w:pPr>
            <w:r>
              <w:t xml:space="preserve">2 of Contract Award </w:t>
            </w:r>
          </w:p>
        </w:tc>
      </w:tr>
      <w:tr w:rsidR="004B207B" w:rsidTr="005A7742">
        <w:tblPrEx>
          <w:tblCellMar>
            <w:top w:w="0" w:type="dxa"/>
            <w:left w:w="106" w:type="dxa"/>
            <w:right w:w="26" w:type="dxa"/>
          </w:tblCellMar>
        </w:tblPrEx>
        <w:trPr>
          <w:trHeight w:val="394"/>
        </w:trPr>
        <w:tc>
          <w:tcPr>
            <w:tcW w:w="9247" w:type="dxa"/>
            <w:gridSpan w:val="4"/>
            <w:tcBorders>
              <w:top w:val="nil"/>
              <w:left w:val="nil"/>
              <w:bottom w:val="nil"/>
              <w:right w:val="nil"/>
            </w:tcBorders>
            <w:shd w:val="clear" w:color="auto" w:fill="000000"/>
          </w:tcPr>
          <w:p w:rsidR="004B207B" w:rsidRDefault="004B207B" w:rsidP="005A7742">
            <w:pPr>
              <w:spacing w:line="259" w:lineRule="auto"/>
              <w:ind w:right="77"/>
              <w:jc w:val="center"/>
            </w:pPr>
            <w:r>
              <w:rPr>
                <w:b/>
                <w:color w:val="FFFFFF"/>
              </w:rPr>
              <w:t xml:space="preserve">Completion of Benchmarks </w:t>
            </w:r>
          </w:p>
        </w:tc>
      </w:tr>
      <w:tr w:rsidR="004B207B" w:rsidTr="005A7742">
        <w:tblPrEx>
          <w:tblCellMar>
            <w:top w:w="0" w:type="dxa"/>
            <w:left w:w="106" w:type="dxa"/>
            <w:right w:w="26" w:type="dxa"/>
          </w:tblCellMar>
        </w:tblPrEx>
        <w:trPr>
          <w:trHeight w:val="1390"/>
        </w:trPr>
        <w:tc>
          <w:tcPr>
            <w:tcW w:w="1244" w:type="dxa"/>
            <w:tcBorders>
              <w:top w:val="nil"/>
              <w:left w:val="single" w:sz="4" w:space="0" w:color="000000"/>
              <w:bottom w:val="single" w:sz="4" w:space="0" w:color="000000"/>
              <w:right w:val="single" w:sz="4" w:space="0" w:color="000000"/>
            </w:tcBorders>
            <w:vAlign w:val="center"/>
          </w:tcPr>
          <w:p w:rsidR="004B207B" w:rsidRDefault="004B207B" w:rsidP="005A7742">
            <w:pPr>
              <w:spacing w:line="259" w:lineRule="auto"/>
              <w:ind w:right="80"/>
              <w:jc w:val="center"/>
            </w:pPr>
            <w:r>
              <w:t xml:space="preserve">3 </w:t>
            </w:r>
          </w:p>
        </w:tc>
        <w:tc>
          <w:tcPr>
            <w:tcW w:w="3431" w:type="dxa"/>
            <w:tcBorders>
              <w:top w:val="nil"/>
              <w:left w:val="single" w:sz="4" w:space="0" w:color="000000"/>
              <w:bottom w:val="single" w:sz="4" w:space="0" w:color="000000"/>
              <w:right w:val="single" w:sz="4" w:space="0" w:color="000000"/>
            </w:tcBorders>
            <w:vAlign w:val="center"/>
          </w:tcPr>
          <w:p w:rsidR="004B207B" w:rsidRDefault="004B207B" w:rsidP="005A7742">
            <w:pPr>
              <w:spacing w:line="259" w:lineRule="auto"/>
            </w:pPr>
            <w:r>
              <w:t>Attendance at the Authority’s location to agree the  basket of goods/services for each Benchmarking survey (can be held by telephone or videoconference)</w:t>
            </w:r>
          </w:p>
        </w:tc>
        <w:tc>
          <w:tcPr>
            <w:tcW w:w="2245" w:type="dxa"/>
            <w:tcBorders>
              <w:top w:val="nil"/>
              <w:left w:val="single" w:sz="4" w:space="0" w:color="000000"/>
              <w:bottom w:val="single" w:sz="4" w:space="0" w:color="000000"/>
              <w:right w:val="single" w:sz="4" w:space="0" w:color="000000"/>
            </w:tcBorders>
            <w:vAlign w:val="center"/>
          </w:tcPr>
          <w:p w:rsidR="004B207B" w:rsidRDefault="004B207B" w:rsidP="005A7742">
            <w:pPr>
              <w:spacing w:line="259" w:lineRule="auto"/>
              <w:jc w:val="center"/>
            </w:pPr>
            <w:r>
              <w:t>Within 2 weeks of benchmarking request</w:t>
            </w:r>
          </w:p>
        </w:tc>
        <w:tc>
          <w:tcPr>
            <w:tcW w:w="2327" w:type="dxa"/>
            <w:tcBorders>
              <w:top w:val="nil"/>
              <w:left w:val="single" w:sz="4" w:space="0" w:color="000000"/>
              <w:bottom w:val="single" w:sz="4" w:space="0" w:color="000000"/>
              <w:right w:val="single" w:sz="4" w:space="0" w:color="000000"/>
            </w:tcBorders>
          </w:tcPr>
          <w:p w:rsidR="004B207B" w:rsidRDefault="004B207B" w:rsidP="005A7742">
            <w:pPr>
              <w:spacing w:line="239" w:lineRule="auto"/>
              <w:ind w:firstLine="16"/>
              <w:jc w:val="center"/>
            </w:pPr>
            <w:r>
              <w:t xml:space="preserve">Completion of Milestone 3 to the satisfaction of the </w:t>
            </w:r>
          </w:p>
          <w:p w:rsidR="004B207B" w:rsidRDefault="004B207B" w:rsidP="005A7742">
            <w:pPr>
              <w:spacing w:line="259" w:lineRule="auto"/>
              <w:ind w:left="24"/>
            </w:pPr>
            <w:r>
              <w:t xml:space="preserve">Authority within week </w:t>
            </w:r>
          </w:p>
          <w:p w:rsidR="004B207B" w:rsidRDefault="004B207B" w:rsidP="005A7742">
            <w:pPr>
              <w:spacing w:line="259" w:lineRule="auto"/>
              <w:ind w:left="43"/>
            </w:pPr>
            <w:r>
              <w:t xml:space="preserve">2 of Benchmark activity  </w:t>
            </w:r>
          </w:p>
        </w:tc>
      </w:tr>
      <w:tr w:rsidR="004B207B" w:rsidTr="005A7742">
        <w:tblPrEx>
          <w:tblCellMar>
            <w:top w:w="0" w:type="dxa"/>
            <w:left w:w="106" w:type="dxa"/>
            <w:right w:w="26" w:type="dxa"/>
          </w:tblCellMar>
        </w:tblPrEx>
        <w:trPr>
          <w:trHeight w:val="1901"/>
        </w:trPr>
        <w:tc>
          <w:tcPr>
            <w:tcW w:w="1244" w:type="dxa"/>
            <w:tcBorders>
              <w:top w:val="single" w:sz="4" w:space="0" w:color="000000"/>
              <w:left w:val="single" w:sz="4" w:space="0" w:color="000000"/>
              <w:bottom w:val="single" w:sz="4" w:space="0" w:color="000000"/>
              <w:right w:val="single" w:sz="4" w:space="0" w:color="000000"/>
            </w:tcBorders>
            <w:vAlign w:val="center"/>
          </w:tcPr>
          <w:p w:rsidR="004B207B" w:rsidRDefault="004B207B" w:rsidP="005A7742">
            <w:pPr>
              <w:spacing w:line="259" w:lineRule="auto"/>
              <w:ind w:right="80"/>
              <w:jc w:val="center"/>
            </w:pPr>
            <w:r>
              <w:t xml:space="preserve">4 </w:t>
            </w:r>
          </w:p>
        </w:tc>
        <w:tc>
          <w:tcPr>
            <w:tcW w:w="3431" w:type="dxa"/>
            <w:tcBorders>
              <w:top w:val="single" w:sz="4" w:space="0" w:color="000000"/>
              <w:left w:val="single" w:sz="4" w:space="0" w:color="000000"/>
              <w:bottom w:val="single" w:sz="4" w:space="0" w:color="000000"/>
              <w:right w:val="single" w:sz="4" w:space="0" w:color="000000"/>
            </w:tcBorders>
          </w:tcPr>
          <w:p w:rsidR="004B207B" w:rsidRDefault="004B207B" w:rsidP="005A7742">
            <w:pPr>
              <w:spacing w:line="259" w:lineRule="auto"/>
              <w:ind w:right="57"/>
            </w:pPr>
            <w:r>
              <w:t xml:space="preserve">Obtain private sector pricing information for the goods/services that are contained within the basket (the Authority to provide data related to prices paid by their customers) </w:t>
            </w:r>
          </w:p>
        </w:tc>
        <w:tc>
          <w:tcPr>
            <w:tcW w:w="2245" w:type="dxa"/>
            <w:tcBorders>
              <w:top w:val="single" w:sz="4" w:space="0" w:color="000000"/>
              <w:left w:val="single" w:sz="4" w:space="0" w:color="000000"/>
              <w:bottom w:val="single" w:sz="4" w:space="0" w:color="000000"/>
              <w:right w:val="single" w:sz="4" w:space="0" w:color="000000"/>
            </w:tcBorders>
            <w:vAlign w:val="center"/>
          </w:tcPr>
          <w:p w:rsidR="004B207B" w:rsidRDefault="004B207B" w:rsidP="005A7742">
            <w:pPr>
              <w:spacing w:line="259" w:lineRule="auto"/>
              <w:jc w:val="center"/>
            </w:pPr>
            <w:r>
              <w:t xml:space="preserve">Within 4 weeks of completion of milestone three  </w:t>
            </w:r>
          </w:p>
        </w:tc>
        <w:tc>
          <w:tcPr>
            <w:tcW w:w="2327" w:type="dxa"/>
            <w:tcBorders>
              <w:top w:val="single" w:sz="4" w:space="0" w:color="000000"/>
              <w:left w:val="single" w:sz="4" w:space="0" w:color="000000"/>
              <w:bottom w:val="single" w:sz="4" w:space="0" w:color="000000"/>
              <w:right w:val="single" w:sz="4" w:space="0" w:color="000000"/>
            </w:tcBorders>
            <w:vAlign w:val="center"/>
          </w:tcPr>
          <w:p w:rsidR="004B207B" w:rsidRDefault="004B207B" w:rsidP="005A7742">
            <w:pPr>
              <w:spacing w:after="2" w:line="238" w:lineRule="auto"/>
              <w:ind w:firstLine="16"/>
              <w:jc w:val="center"/>
            </w:pPr>
            <w:r>
              <w:t xml:space="preserve">Completion of Milestone 4 to the satisfaction of the </w:t>
            </w:r>
          </w:p>
          <w:p w:rsidR="004B207B" w:rsidRDefault="004B207B" w:rsidP="005A7742">
            <w:pPr>
              <w:spacing w:after="2" w:line="238" w:lineRule="auto"/>
              <w:ind w:right="19"/>
              <w:jc w:val="center"/>
            </w:pPr>
            <w:r>
              <w:t xml:space="preserve">Authority within 4 weeks of completion of milestone three </w:t>
            </w:r>
          </w:p>
          <w:p w:rsidR="004B207B" w:rsidRDefault="004B207B" w:rsidP="005A7742">
            <w:pPr>
              <w:spacing w:line="259" w:lineRule="auto"/>
              <w:ind w:right="81"/>
              <w:jc w:val="center"/>
            </w:pPr>
            <w:r>
              <w:t xml:space="preserve"> </w:t>
            </w:r>
          </w:p>
        </w:tc>
      </w:tr>
      <w:tr w:rsidR="004B207B" w:rsidTr="005A7742">
        <w:tblPrEx>
          <w:tblCellMar>
            <w:top w:w="0" w:type="dxa"/>
            <w:left w:w="106" w:type="dxa"/>
            <w:right w:w="26" w:type="dxa"/>
          </w:tblCellMar>
        </w:tblPrEx>
        <w:trPr>
          <w:trHeight w:val="2730"/>
        </w:trPr>
        <w:tc>
          <w:tcPr>
            <w:tcW w:w="1244" w:type="dxa"/>
            <w:tcBorders>
              <w:top w:val="single" w:sz="4" w:space="0" w:color="000000"/>
              <w:left w:val="single" w:sz="4" w:space="0" w:color="000000"/>
              <w:right w:val="single" w:sz="4" w:space="0" w:color="000000"/>
            </w:tcBorders>
            <w:vAlign w:val="center"/>
          </w:tcPr>
          <w:p w:rsidR="004B207B" w:rsidRDefault="004B207B" w:rsidP="005A7742">
            <w:pPr>
              <w:spacing w:line="259" w:lineRule="auto"/>
              <w:ind w:right="80"/>
              <w:jc w:val="center"/>
            </w:pPr>
            <w:r>
              <w:lastRenderedPageBreak/>
              <w:t>5</w:t>
            </w:r>
          </w:p>
        </w:tc>
        <w:tc>
          <w:tcPr>
            <w:tcW w:w="3431" w:type="dxa"/>
            <w:tcBorders>
              <w:top w:val="single" w:sz="4" w:space="0" w:color="000000"/>
              <w:left w:val="single" w:sz="4" w:space="0" w:color="000000"/>
              <w:right w:val="single" w:sz="4" w:space="0" w:color="000000"/>
            </w:tcBorders>
          </w:tcPr>
          <w:p w:rsidR="004B207B" w:rsidRDefault="004B207B" w:rsidP="005A7742">
            <w:pPr>
              <w:spacing w:line="259" w:lineRule="auto"/>
            </w:pPr>
            <w:r>
              <w:t xml:space="preserve">Production and presentation of an Interim Report providing a summary of information of the findings related to the basket of goods/services that have been benchmarked (e.g. Overall prices </w:t>
            </w:r>
          </w:p>
          <w:p w:rsidR="004B207B" w:rsidRDefault="004B207B" w:rsidP="005A7742">
            <w:pPr>
              <w:spacing w:line="259" w:lineRule="auto"/>
              <w:ind w:right="13"/>
            </w:pPr>
            <w:r>
              <w:t xml:space="preserve">paid were 5% lower than those paid by the private sector, 30% of prices in the lower quartile) </w:t>
            </w:r>
          </w:p>
        </w:tc>
        <w:tc>
          <w:tcPr>
            <w:tcW w:w="2245" w:type="dxa"/>
            <w:tcBorders>
              <w:top w:val="single" w:sz="4" w:space="0" w:color="000000"/>
              <w:left w:val="single" w:sz="4" w:space="0" w:color="000000"/>
              <w:right w:val="single" w:sz="4" w:space="0" w:color="000000"/>
            </w:tcBorders>
            <w:vAlign w:val="center"/>
          </w:tcPr>
          <w:p w:rsidR="004B207B" w:rsidRDefault="004B207B" w:rsidP="005A7742">
            <w:pPr>
              <w:spacing w:line="259" w:lineRule="auto"/>
              <w:jc w:val="center"/>
            </w:pPr>
            <w:r>
              <w:t xml:space="preserve">Within 2 weeks of completion of milestone four  </w:t>
            </w:r>
          </w:p>
        </w:tc>
        <w:tc>
          <w:tcPr>
            <w:tcW w:w="2327" w:type="dxa"/>
            <w:tcBorders>
              <w:top w:val="single" w:sz="4" w:space="0" w:color="000000"/>
              <w:left w:val="single" w:sz="4" w:space="0" w:color="000000"/>
              <w:right w:val="single" w:sz="4" w:space="0" w:color="000000"/>
            </w:tcBorders>
            <w:vAlign w:val="center"/>
          </w:tcPr>
          <w:p w:rsidR="004B207B" w:rsidRDefault="004B207B" w:rsidP="005A7742">
            <w:pPr>
              <w:spacing w:line="239" w:lineRule="auto"/>
              <w:ind w:firstLine="16"/>
              <w:jc w:val="center"/>
            </w:pPr>
            <w:r>
              <w:t xml:space="preserve">Completion of Milestone 5 to the satisfaction of the </w:t>
            </w:r>
          </w:p>
          <w:p w:rsidR="004B207B" w:rsidRDefault="004B207B" w:rsidP="005A7742">
            <w:pPr>
              <w:spacing w:line="259" w:lineRule="auto"/>
              <w:ind w:left="24"/>
            </w:pPr>
            <w:r>
              <w:t xml:space="preserve">Authority within 2 weeks of completion of milestone four </w:t>
            </w:r>
          </w:p>
          <w:p w:rsidR="004B207B" w:rsidRDefault="004B207B" w:rsidP="005A7742">
            <w:pPr>
              <w:spacing w:line="259" w:lineRule="auto"/>
              <w:ind w:right="83"/>
              <w:jc w:val="center"/>
            </w:pPr>
            <w:r>
              <w:t xml:space="preserve"> </w:t>
            </w:r>
          </w:p>
          <w:p w:rsidR="004B207B" w:rsidRDefault="004B207B" w:rsidP="005A7742">
            <w:pPr>
              <w:spacing w:line="259" w:lineRule="auto"/>
              <w:ind w:right="83"/>
              <w:jc w:val="center"/>
            </w:pPr>
            <w:r>
              <w:t xml:space="preserve"> </w:t>
            </w:r>
          </w:p>
        </w:tc>
      </w:tr>
      <w:tr w:rsidR="004B207B" w:rsidTr="005A7742">
        <w:tblPrEx>
          <w:tblCellMar>
            <w:top w:w="0" w:type="dxa"/>
            <w:left w:w="106" w:type="dxa"/>
            <w:right w:w="26" w:type="dxa"/>
          </w:tblCellMar>
        </w:tblPrEx>
        <w:trPr>
          <w:trHeight w:val="3986"/>
        </w:trPr>
        <w:tc>
          <w:tcPr>
            <w:tcW w:w="1244" w:type="dxa"/>
            <w:tcBorders>
              <w:top w:val="single" w:sz="4" w:space="0" w:color="000000"/>
              <w:left w:val="single" w:sz="4" w:space="0" w:color="000000"/>
              <w:bottom w:val="single" w:sz="4" w:space="0" w:color="000000"/>
              <w:right w:val="single" w:sz="4" w:space="0" w:color="000000"/>
            </w:tcBorders>
            <w:vAlign w:val="center"/>
          </w:tcPr>
          <w:p w:rsidR="004B207B" w:rsidRDefault="004B207B" w:rsidP="005A7742">
            <w:pPr>
              <w:spacing w:line="259" w:lineRule="auto"/>
              <w:ind w:right="56"/>
              <w:jc w:val="center"/>
            </w:pPr>
            <w:r>
              <w:t>6</w:t>
            </w:r>
          </w:p>
        </w:tc>
        <w:tc>
          <w:tcPr>
            <w:tcW w:w="3431" w:type="dxa"/>
            <w:tcBorders>
              <w:top w:val="single" w:sz="4" w:space="0" w:color="000000"/>
              <w:left w:val="single" w:sz="4" w:space="0" w:color="000000"/>
              <w:bottom w:val="single" w:sz="4" w:space="0" w:color="000000"/>
              <w:right w:val="single" w:sz="4" w:space="0" w:color="000000"/>
            </w:tcBorders>
            <w:vAlign w:val="center"/>
          </w:tcPr>
          <w:p w:rsidR="004B207B" w:rsidRDefault="004B207B" w:rsidP="005A7742">
            <w:pPr>
              <w:spacing w:line="259" w:lineRule="auto"/>
            </w:pPr>
            <w:r>
              <w:t xml:space="preserve">Production and presentation of a detailed report providing price comparison information for the individual goods/services in the basket. </w:t>
            </w:r>
          </w:p>
        </w:tc>
        <w:tc>
          <w:tcPr>
            <w:tcW w:w="2245" w:type="dxa"/>
            <w:tcBorders>
              <w:top w:val="single" w:sz="4" w:space="0" w:color="000000"/>
              <w:left w:val="single" w:sz="4" w:space="0" w:color="000000"/>
              <w:bottom w:val="single" w:sz="4" w:space="0" w:color="000000"/>
              <w:right w:val="single" w:sz="4" w:space="0" w:color="000000"/>
            </w:tcBorders>
            <w:vAlign w:val="center"/>
          </w:tcPr>
          <w:p w:rsidR="004B207B" w:rsidRDefault="004B207B" w:rsidP="005A7742">
            <w:pPr>
              <w:tabs>
                <w:tab w:val="center" w:pos="911"/>
                <w:tab w:val="center" w:pos="1348"/>
                <w:tab w:val="right" w:pos="2112"/>
              </w:tabs>
              <w:spacing w:line="259" w:lineRule="auto"/>
            </w:pPr>
            <w:r>
              <w:t>Within 1 week of completion of milestone five</w:t>
            </w:r>
          </w:p>
          <w:p w:rsidR="004B207B" w:rsidRDefault="004B207B" w:rsidP="005A7742">
            <w:pPr>
              <w:spacing w:line="259" w:lineRule="auto"/>
            </w:pPr>
            <w:r>
              <w:t xml:space="preserve">    </w:t>
            </w:r>
          </w:p>
        </w:tc>
        <w:tc>
          <w:tcPr>
            <w:tcW w:w="2327" w:type="dxa"/>
            <w:tcBorders>
              <w:top w:val="single" w:sz="4" w:space="0" w:color="000000"/>
              <w:left w:val="single" w:sz="4" w:space="0" w:color="000000"/>
              <w:bottom w:val="single" w:sz="4" w:space="0" w:color="000000"/>
              <w:right w:val="single" w:sz="4" w:space="0" w:color="000000"/>
            </w:tcBorders>
          </w:tcPr>
          <w:p w:rsidR="004B207B" w:rsidRDefault="004B207B" w:rsidP="005A7742">
            <w:pPr>
              <w:spacing w:line="259" w:lineRule="auto"/>
              <w:ind w:right="60"/>
              <w:jc w:val="center"/>
            </w:pPr>
            <w:r>
              <w:t xml:space="preserve">Completion of </w:t>
            </w:r>
          </w:p>
          <w:p w:rsidR="004B207B" w:rsidRDefault="004B207B" w:rsidP="005A7742">
            <w:pPr>
              <w:spacing w:after="2" w:line="238" w:lineRule="auto"/>
              <w:jc w:val="center"/>
            </w:pPr>
            <w:r>
              <w:t xml:space="preserve">Milestone 6 to the satisfaction of the </w:t>
            </w:r>
          </w:p>
          <w:p w:rsidR="004B207B" w:rsidRDefault="004B207B" w:rsidP="005A7742">
            <w:pPr>
              <w:spacing w:line="259" w:lineRule="auto"/>
              <w:ind w:left="24"/>
            </w:pPr>
            <w:r>
              <w:t>Authority within 1 week of completion of milestone five</w:t>
            </w:r>
          </w:p>
          <w:p w:rsidR="004B207B" w:rsidRDefault="004B207B" w:rsidP="005A7742">
            <w:pPr>
              <w:spacing w:line="259" w:lineRule="auto"/>
              <w:ind w:right="59"/>
              <w:jc w:val="center"/>
            </w:pPr>
            <w:r>
              <w:t xml:space="preserve">, including </w:t>
            </w:r>
          </w:p>
          <w:p w:rsidR="004B207B" w:rsidRDefault="004B207B" w:rsidP="005A7742">
            <w:pPr>
              <w:spacing w:after="62" w:line="238" w:lineRule="auto"/>
              <w:jc w:val="center"/>
            </w:pPr>
            <w:r>
              <w:t xml:space="preserve">meeting the following Service Level of: </w:t>
            </w:r>
          </w:p>
          <w:p w:rsidR="004B207B" w:rsidRDefault="004B207B" w:rsidP="005A7742">
            <w:pPr>
              <w:spacing w:after="2" w:line="238" w:lineRule="auto"/>
              <w:jc w:val="center"/>
            </w:pPr>
            <w:r>
              <w:t xml:space="preserve">Price Comparison information to be </w:t>
            </w:r>
          </w:p>
          <w:p w:rsidR="004B207B" w:rsidRDefault="004B207B" w:rsidP="005A7742">
            <w:pPr>
              <w:spacing w:line="259" w:lineRule="auto"/>
              <w:ind w:right="60"/>
              <w:jc w:val="center"/>
            </w:pPr>
            <w:r>
              <w:t xml:space="preserve">provided for at least </w:t>
            </w:r>
          </w:p>
          <w:p w:rsidR="004B207B" w:rsidRDefault="004B207B" w:rsidP="005A7742">
            <w:pPr>
              <w:spacing w:line="259" w:lineRule="auto"/>
              <w:ind w:right="60"/>
              <w:jc w:val="center"/>
            </w:pPr>
            <w:r>
              <w:t xml:space="preserve">eighty-five percent </w:t>
            </w:r>
          </w:p>
          <w:p w:rsidR="004B207B" w:rsidRDefault="004B207B" w:rsidP="005A7742">
            <w:pPr>
              <w:spacing w:line="259" w:lineRule="auto"/>
              <w:jc w:val="center"/>
            </w:pPr>
            <w:r>
              <w:t xml:space="preserve">(85%) of the goods/services within the basket </w:t>
            </w:r>
          </w:p>
        </w:tc>
      </w:tr>
    </w:tbl>
    <w:p w:rsidR="004B207B" w:rsidRDefault="004B207B" w:rsidP="004B207B">
      <w:pPr>
        <w:pStyle w:val="Heading1"/>
        <w:numPr>
          <w:ilvl w:val="0"/>
          <w:numId w:val="0"/>
        </w:numPr>
        <w:overflowPunct w:val="0"/>
        <w:autoSpaceDE w:val="0"/>
        <w:autoSpaceDN w:val="0"/>
        <w:spacing w:after="120"/>
        <w:textAlignment w:val="baseline"/>
        <w:rPr>
          <w:rFonts w:cs="Arial"/>
          <w:szCs w:val="22"/>
        </w:rPr>
      </w:pPr>
      <w:bookmarkStart w:id="17" w:name="_Toc302637211"/>
    </w:p>
    <w:p w:rsidR="004B207B" w:rsidRDefault="004B207B" w:rsidP="004B207B">
      <w:pPr>
        <w:pStyle w:val="Heading1"/>
        <w:tabs>
          <w:tab w:val="clear" w:pos="720"/>
          <w:tab w:val="num" w:pos="0"/>
        </w:tabs>
        <w:overflowPunct w:val="0"/>
        <w:autoSpaceDE w:val="0"/>
        <w:autoSpaceDN w:val="0"/>
        <w:spacing w:after="120"/>
        <w:ind w:left="709" w:hanging="709"/>
        <w:textAlignment w:val="baseline"/>
        <w:rPr>
          <w:rFonts w:cs="Arial"/>
          <w:szCs w:val="22"/>
        </w:rPr>
      </w:pPr>
      <w:bookmarkStart w:id="18" w:name="_Toc368573033"/>
      <w:bookmarkStart w:id="19" w:name="_Toc456273169"/>
      <w:r>
        <w:rPr>
          <w:rFonts w:cs="Arial"/>
          <w:szCs w:val="22"/>
        </w:rPr>
        <w:t>authority’s responsibilities</w:t>
      </w:r>
      <w:bookmarkEnd w:id="19"/>
      <w:r>
        <w:rPr>
          <w:rFonts w:cs="Arial"/>
          <w:szCs w:val="22"/>
        </w:rPr>
        <w:t xml:space="preserve"> </w:t>
      </w:r>
    </w:p>
    <w:p w:rsidR="004B207B" w:rsidRDefault="004B207B" w:rsidP="004B207B">
      <w:pPr>
        <w:pStyle w:val="Heading2"/>
      </w:pPr>
      <w:r>
        <w:t>The Authority is responsible for identifying the category to be benchmarked (alongside any specific sub-categories or individual areas of analysis), and for providing data related to prices paid by its customers for integration into the benchmarking exercises and reports.</w:t>
      </w:r>
    </w:p>
    <w:p w:rsidR="004B207B" w:rsidRPr="00AF6938" w:rsidRDefault="004B207B" w:rsidP="004B207B">
      <w:pPr>
        <w:pStyle w:val="Heading2"/>
      </w:pPr>
      <w:r w:rsidRPr="00AF6938">
        <w:t>The Authority is also responsible for approving each Price Benchmarking report at their appropriate stages of development and presentation, as stated in the Performance Measure column of Table 1 in Section 5.1.</w:t>
      </w:r>
    </w:p>
    <w:p w:rsidR="004B207B" w:rsidRDefault="004B207B" w:rsidP="004B207B">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56273170"/>
      <w:r w:rsidRPr="00BE6EE0">
        <w:rPr>
          <w:rFonts w:cs="Arial"/>
          <w:szCs w:val="22"/>
        </w:rPr>
        <w:t>reporting</w:t>
      </w:r>
      <w:bookmarkEnd w:id="18"/>
      <w:bookmarkEnd w:id="20"/>
    </w:p>
    <w:p w:rsidR="004B207B" w:rsidRDefault="004B207B" w:rsidP="004B207B">
      <w:pPr>
        <w:pStyle w:val="Heading2"/>
        <w:spacing w:after="233"/>
        <w:ind w:left="709" w:hanging="709"/>
      </w:pPr>
      <w:r>
        <w:t xml:space="preserve">The Potential Provider will be required to provide the Authority with reports showing how the unit price paid for items in each of the basket of goods and/or services compared against the unit price paid by organisations in the private sector. </w:t>
      </w:r>
    </w:p>
    <w:p w:rsidR="004B207B" w:rsidRDefault="004B207B" w:rsidP="004B207B">
      <w:pPr>
        <w:pStyle w:val="Heading2"/>
        <w:spacing w:after="233"/>
        <w:ind w:left="709" w:hanging="709"/>
      </w:pPr>
      <w:r>
        <w:t xml:space="preserve">Reports shall indicate the competiveness of the Authority prices against a stratified benchmark, indicating the quartile of the Authority’s price. </w:t>
      </w:r>
    </w:p>
    <w:p w:rsidR="004B207B" w:rsidRDefault="004B207B" w:rsidP="004B207B">
      <w:pPr>
        <w:pStyle w:val="Heading2"/>
        <w:spacing w:after="236"/>
        <w:ind w:left="709" w:hanging="709"/>
      </w:pPr>
      <w:r>
        <w:t xml:space="preserve">The Authority must be able to use the Price Benchmarking reports as they wish and to make them available to customers at no additional cost to either the Authority or Customer. </w:t>
      </w:r>
    </w:p>
    <w:p w:rsidR="004B207B" w:rsidRDefault="004B207B" w:rsidP="004B207B">
      <w:pPr>
        <w:pStyle w:val="Heading2"/>
        <w:spacing w:after="236"/>
        <w:ind w:left="709" w:hanging="709"/>
      </w:pPr>
      <w:r w:rsidRPr="001331B9">
        <w:lastRenderedPageBreak/>
        <w:t xml:space="preserve">The Supplier must provide the Authority with all </w:t>
      </w:r>
      <w:r>
        <w:t xml:space="preserve">of </w:t>
      </w:r>
      <w:r w:rsidRPr="001331B9">
        <w:t xml:space="preserve">the data (in granular detail) used to produce the reports for use and storage by the Authority. The </w:t>
      </w:r>
      <w:r>
        <w:t>Supplier</w:t>
      </w:r>
      <w:r w:rsidRPr="001331B9">
        <w:t xml:space="preserve"> shall supply the data in</w:t>
      </w:r>
      <w:r w:rsidRPr="00430230">
        <w:rPr>
          <w:b/>
        </w:rPr>
        <w:t xml:space="preserve"> </w:t>
      </w:r>
      <w:r w:rsidRPr="001331B9">
        <w:t>Comma-Separated Values (CSV) format.</w:t>
      </w:r>
      <w:r>
        <w:t xml:space="preserve">  </w:t>
      </w:r>
    </w:p>
    <w:p w:rsidR="004B207B" w:rsidRDefault="004B207B" w:rsidP="004B207B">
      <w:pPr>
        <w:pStyle w:val="Heading2"/>
        <w:spacing w:after="229"/>
        <w:ind w:left="709" w:hanging="709"/>
      </w:pPr>
      <w:r>
        <w:t>The information will be subject to the appropriate statutory provisions included within   the Data Protection Act 1998.</w:t>
      </w:r>
    </w:p>
    <w:p w:rsidR="004B207B" w:rsidRPr="00430230" w:rsidRDefault="004B207B" w:rsidP="004B207B">
      <w:pPr>
        <w:pStyle w:val="Heading2"/>
        <w:spacing w:after="229"/>
        <w:ind w:left="709" w:hanging="709"/>
      </w:pPr>
      <w:r>
        <w:t xml:space="preserve">In order to derive greater commercial outcomes with the supply base, Price Benchmarking reports will be used as a resource when conducting informed negotiations with suppliers of goods and/or services offered to the market by the Authority. </w:t>
      </w:r>
    </w:p>
    <w:p w:rsidR="004B207B" w:rsidRPr="00BE6EE0" w:rsidRDefault="004B207B" w:rsidP="004B207B">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368573034"/>
      <w:bookmarkStart w:id="22" w:name="_Toc456273171"/>
      <w:r w:rsidRPr="00BE6EE0">
        <w:rPr>
          <w:rFonts w:cs="Arial"/>
          <w:szCs w:val="22"/>
        </w:rPr>
        <w:t>volumes</w:t>
      </w:r>
      <w:bookmarkEnd w:id="21"/>
      <w:bookmarkEnd w:id="22"/>
      <w:r>
        <w:rPr>
          <w:rFonts w:cs="Arial"/>
          <w:szCs w:val="22"/>
        </w:rPr>
        <w:t xml:space="preserve"> </w:t>
      </w:r>
    </w:p>
    <w:p w:rsidR="004B207B" w:rsidRPr="00EF1C01" w:rsidRDefault="004B207B" w:rsidP="004B207B">
      <w:pPr>
        <w:pStyle w:val="Heading2"/>
        <w:tabs>
          <w:tab w:val="clear" w:pos="720"/>
          <w:tab w:val="num" w:pos="709"/>
        </w:tabs>
        <w:spacing w:after="120"/>
        <w:ind w:left="709" w:hanging="709"/>
      </w:pPr>
      <w:r w:rsidRPr="00EF1C01">
        <w:t xml:space="preserve">Volumes of work cannot be guaranteed.  The level of work and number of exercises that are required to be conducted by the Supplier are based on a call off basis, as requested by the Authority.  </w:t>
      </w:r>
    </w:p>
    <w:p w:rsidR="004B207B" w:rsidRPr="00BE6EE0" w:rsidRDefault="004B207B" w:rsidP="004B207B">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5"/>
      <w:bookmarkStart w:id="24" w:name="_Toc456273172"/>
      <w:r w:rsidRPr="00BE6EE0">
        <w:rPr>
          <w:rFonts w:cs="Arial"/>
          <w:szCs w:val="22"/>
        </w:rPr>
        <w:t>continuous improvement</w:t>
      </w:r>
      <w:bookmarkEnd w:id="23"/>
      <w:bookmarkEnd w:id="24"/>
    </w:p>
    <w:p w:rsidR="004B207B" w:rsidRDefault="004B207B" w:rsidP="004B207B">
      <w:pPr>
        <w:pStyle w:val="Heading2"/>
        <w:spacing w:after="231"/>
        <w:ind w:left="709" w:hanging="709"/>
      </w:pPr>
      <w:r>
        <w:t xml:space="preserve">The Supplier will be expected to continually improve the way in which the required Services are delivered, throughout the duration of the Contract. </w:t>
      </w:r>
    </w:p>
    <w:p w:rsidR="004B207B" w:rsidRDefault="004B207B" w:rsidP="004B207B">
      <w:pPr>
        <w:pStyle w:val="Heading2"/>
        <w:spacing w:after="228"/>
        <w:ind w:left="709" w:hanging="709"/>
      </w:pPr>
      <w:r>
        <w:t xml:space="preserve">The Authority and the Supplier will discuss alternative ways of working during quarterly Contract review meetings (may be held by telephone or videoconference). </w:t>
      </w:r>
    </w:p>
    <w:p w:rsidR="004B207B" w:rsidRDefault="004B207B" w:rsidP="004B207B">
      <w:pPr>
        <w:pStyle w:val="Heading2"/>
        <w:spacing w:after="228"/>
        <w:ind w:left="709" w:hanging="709"/>
      </w:pPr>
      <w:r>
        <w:t>The Supplier must bring to the Authority’s attention any changes or improvements it identifies to the way in which the Services are delivered. Such changes must be expressly agreed by the Authority prior to any changes being implemented.</w:t>
      </w:r>
    </w:p>
    <w:p w:rsidR="004B207B" w:rsidRPr="00BE6EE0" w:rsidRDefault="004B207B" w:rsidP="004B207B">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7"/>
      <w:bookmarkStart w:id="26" w:name="_Toc456273173"/>
      <w:r w:rsidRPr="00BE6EE0">
        <w:rPr>
          <w:rFonts w:cs="Arial"/>
          <w:szCs w:val="22"/>
        </w:rPr>
        <w:t>PRICE</w:t>
      </w:r>
      <w:bookmarkEnd w:id="25"/>
      <w:bookmarkEnd w:id="26"/>
    </w:p>
    <w:p w:rsidR="004B207B" w:rsidRPr="00977D76" w:rsidRDefault="004B207B" w:rsidP="004B207B">
      <w:pPr>
        <w:pStyle w:val="Heading2"/>
        <w:tabs>
          <w:tab w:val="clear" w:pos="720"/>
          <w:tab w:val="num" w:pos="709"/>
        </w:tabs>
        <w:spacing w:after="120"/>
        <w:ind w:left="709" w:hanging="709"/>
      </w:pPr>
      <w:r w:rsidRPr="00977D76">
        <w:t xml:space="preserve">The </w:t>
      </w:r>
      <w:r>
        <w:t>Supplier</w:t>
      </w:r>
      <w:r w:rsidRPr="00977D76">
        <w:t xml:space="preserve"> is requested to </w:t>
      </w:r>
      <w:r>
        <w:t>complete  Appendix E – Pricing Matrix</w:t>
      </w:r>
      <w:r w:rsidRPr="00977D76">
        <w:t>.</w:t>
      </w:r>
    </w:p>
    <w:p w:rsidR="004B207B" w:rsidRDefault="004B207B" w:rsidP="004B207B">
      <w:pPr>
        <w:pStyle w:val="Heading2"/>
        <w:tabs>
          <w:tab w:val="clear" w:pos="720"/>
          <w:tab w:val="num" w:pos="709"/>
        </w:tabs>
        <w:spacing w:after="120"/>
        <w:ind w:left="709" w:hanging="709"/>
      </w:pPr>
      <w:r>
        <w:t xml:space="preserve">Prices are to be submitted via </w:t>
      </w:r>
      <w:r w:rsidRPr="00977D76">
        <w:t>the e-Sourcing Suite</w:t>
      </w:r>
      <w:r>
        <w:t xml:space="preserve"> excluding VAT.</w:t>
      </w:r>
    </w:p>
    <w:p w:rsidR="004B207B" w:rsidRPr="00BE6EE0" w:rsidRDefault="004B207B" w:rsidP="004B207B">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368573038"/>
      <w:bookmarkStart w:id="28" w:name="_Toc456273174"/>
      <w:r w:rsidRPr="00BE6EE0">
        <w:rPr>
          <w:rFonts w:cs="Arial"/>
          <w:szCs w:val="22"/>
        </w:rPr>
        <w:t>STAFF AND CUSTOMER SERVICE</w:t>
      </w:r>
      <w:bookmarkEnd w:id="27"/>
      <w:bookmarkEnd w:id="28"/>
    </w:p>
    <w:p w:rsidR="004B207B" w:rsidRDefault="004B207B" w:rsidP="004B207B">
      <w:pPr>
        <w:pStyle w:val="Heading2"/>
        <w:spacing w:after="231"/>
        <w:ind w:left="709" w:hanging="709"/>
      </w:pPr>
      <w:r>
        <w:t>The Supplier shall provide a team that has relevant qualifications skills and experience to successfully deliver the Price Benchmarking Services Contract that is able to engage on a professional level with the Authority when required to do so</w:t>
      </w:r>
    </w:p>
    <w:p w:rsidR="004B207B" w:rsidRPr="00977D76" w:rsidRDefault="004B207B" w:rsidP="004B207B">
      <w:pPr>
        <w:pStyle w:val="Heading2"/>
        <w:spacing w:after="228"/>
        <w:ind w:left="709" w:hanging="709"/>
      </w:pPr>
      <w:r>
        <w:t>The Supplier shall ensure that a consistent level of customer service is delivered to the Authority, by ensuring it will provide</w:t>
      </w:r>
      <w:r w:rsidRPr="002E7082">
        <w:t xml:space="preserve"> excellent customer service to the Authority throughout </w:t>
      </w:r>
      <w:r>
        <w:t>the duration of the Contract.</w:t>
      </w:r>
      <w:r w:rsidRPr="002E7082">
        <w:t xml:space="preserve"> </w:t>
      </w:r>
      <w:r>
        <w:t xml:space="preserve"> </w:t>
      </w:r>
    </w:p>
    <w:p w:rsidR="004B207B" w:rsidRDefault="004B207B" w:rsidP="004B207B">
      <w:pPr>
        <w:pStyle w:val="Heading2"/>
        <w:tabs>
          <w:tab w:val="clear" w:pos="720"/>
          <w:tab w:val="num" w:pos="709"/>
        </w:tabs>
        <w:spacing w:after="120"/>
        <w:ind w:left="709" w:hanging="709"/>
      </w:pPr>
    </w:p>
    <w:p w:rsidR="004B207B" w:rsidRDefault="004B207B" w:rsidP="004B207B">
      <w:pPr>
        <w:pStyle w:val="Heading1"/>
        <w:spacing w:after="120"/>
      </w:pPr>
      <w:bookmarkStart w:id="29" w:name="_Toc368573040"/>
      <w:bookmarkStart w:id="30" w:name="_Toc456273175"/>
      <w:r>
        <w:t>Security requirements</w:t>
      </w:r>
      <w:bookmarkEnd w:id="29"/>
      <w:bookmarkEnd w:id="30"/>
    </w:p>
    <w:p w:rsidR="004B207B" w:rsidRDefault="004B207B" w:rsidP="004B207B">
      <w:pPr>
        <w:pStyle w:val="Heading2"/>
        <w:tabs>
          <w:tab w:val="center" w:pos="4476"/>
        </w:tabs>
        <w:spacing w:after="233"/>
      </w:pPr>
      <w:r>
        <w:t xml:space="preserve">A Non-Disclosure Agreement is included at </w:t>
      </w:r>
      <w:r w:rsidRPr="001331B9">
        <w:t>Annex B</w:t>
      </w:r>
      <w:r>
        <w:t xml:space="preserve"> </w:t>
      </w:r>
    </w:p>
    <w:p w:rsidR="004B207B" w:rsidRDefault="004B207B" w:rsidP="004B207B">
      <w:pPr>
        <w:pStyle w:val="Heading2"/>
        <w:tabs>
          <w:tab w:val="center" w:pos="4476"/>
        </w:tabs>
        <w:spacing w:after="231"/>
      </w:pPr>
      <w:r>
        <w:t xml:space="preserve">The successful Supplier shall sign a Non-Disclosure Agreement in the event of an award of the Contract.  </w:t>
      </w:r>
    </w:p>
    <w:p w:rsidR="004B207B" w:rsidRDefault="004B207B" w:rsidP="004B207B">
      <w:pPr>
        <w:pStyle w:val="Heading2"/>
        <w:tabs>
          <w:tab w:val="center" w:pos="4476"/>
        </w:tabs>
        <w:spacing w:after="233"/>
      </w:pPr>
      <w:r>
        <w:t xml:space="preserve">The Supplier shall ensure that all the Authority’s data and information remains stored in a safe, secure environment. Access is to be permitted only to those personnel who are an assigned member of the Suppliers Price Benchmarking Services project team. </w:t>
      </w:r>
    </w:p>
    <w:p w:rsidR="004B207B" w:rsidRDefault="004B207B" w:rsidP="004B207B">
      <w:pPr>
        <w:pStyle w:val="Heading2"/>
        <w:tabs>
          <w:tab w:val="center" w:pos="4476"/>
          <w:tab w:val="right" w:pos="9034"/>
        </w:tabs>
        <w:spacing w:after="228"/>
      </w:pPr>
      <w:r>
        <w:lastRenderedPageBreak/>
        <w:t xml:space="preserve">The Supplier must have sufficient IT systems, firewalls and back-up systems in place to ensure the protection of the Authority’s information and data throughout the duration of the Contract. </w:t>
      </w:r>
    </w:p>
    <w:p w:rsidR="004B207B" w:rsidRDefault="004B207B" w:rsidP="004B207B">
      <w:pPr>
        <w:pStyle w:val="Heading2"/>
        <w:tabs>
          <w:tab w:val="center" w:pos="4476"/>
          <w:tab w:val="right" w:pos="9034"/>
        </w:tabs>
        <w:spacing w:after="229"/>
      </w:pPr>
      <w:r>
        <w:t>Data cannot be held off shore, outside of the United Kingdom, without the prior written agreement from the Authority.</w:t>
      </w:r>
    </w:p>
    <w:p w:rsidR="004B207B" w:rsidRDefault="004B207B" w:rsidP="004B207B">
      <w:pPr>
        <w:pStyle w:val="Heading2"/>
        <w:tabs>
          <w:tab w:val="center" w:pos="4476"/>
          <w:tab w:val="right" w:pos="9034"/>
        </w:tabs>
        <w:spacing w:after="229"/>
      </w:pPr>
      <w:r>
        <w:t>The Supplier shall afford any appointed auditor from the Authority, access to the records at the Supplier premises. They will provide copies of such records as may be required, and from time to time agree with any of the auditors that the auditor may carry out an inspection to review the integrity, confidentiality and security of the Data held or used by the Supplier.</w:t>
      </w:r>
    </w:p>
    <w:p w:rsidR="004B207B" w:rsidRDefault="004B207B" w:rsidP="004B207B">
      <w:pPr>
        <w:pStyle w:val="Heading2"/>
        <w:tabs>
          <w:tab w:val="center" w:pos="4476"/>
          <w:tab w:val="right" w:pos="9034"/>
        </w:tabs>
        <w:spacing w:after="229"/>
      </w:pPr>
      <w:r>
        <w:t xml:space="preserve">A copy of the Non-Disclosure Agreement has been provided at Annex B of this document for information purposes only.  </w:t>
      </w:r>
    </w:p>
    <w:p w:rsidR="004B207B" w:rsidRPr="00874062" w:rsidRDefault="004B207B" w:rsidP="004B207B">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42"/>
      <w:bookmarkStart w:id="32" w:name="_Toc456273176"/>
      <w:r w:rsidRPr="00874062">
        <w:rPr>
          <w:rFonts w:cs="Arial"/>
          <w:szCs w:val="22"/>
        </w:rPr>
        <w:t>payment</w:t>
      </w:r>
      <w:bookmarkEnd w:id="32"/>
    </w:p>
    <w:p w:rsidR="004B207B" w:rsidRPr="00F45855" w:rsidRDefault="004B207B" w:rsidP="004B207B">
      <w:pPr>
        <w:pStyle w:val="Heading2"/>
        <w:spacing w:after="231"/>
      </w:pPr>
      <w:r>
        <w:t>The Supplier will invoice the Authority based on the prices provided for the appropriate volume range.  It is the responsibility of the Supplier to ensure that the volume range prices are used when the Price Benchmarking Surveys are completed and invoiced.</w:t>
      </w:r>
    </w:p>
    <w:p w:rsidR="004B207B" w:rsidRPr="00D62949" w:rsidRDefault="004B207B" w:rsidP="004B207B">
      <w:pPr>
        <w:pStyle w:val="Heading2"/>
        <w:rPr>
          <w:szCs w:val="22"/>
        </w:rPr>
      </w:pPr>
      <w:r w:rsidRPr="00D62949">
        <w:rPr>
          <w:rFonts w:cs="Arial"/>
          <w:color w:val="000000"/>
          <w:szCs w:val="22"/>
          <w:shd w:val="clear" w:color="auto" w:fill="FFFFFF"/>
        </w:rPr>
        <w:t xml:space="preserve">Payment can only be made following satisfactory delivery of pre-agreed certified products and deliverables. </w:t>
      </w:r>
    </w:p>
    <w:p w:rsidR="004B207B" w:rsidRPr="00D62949" w:rsidRDefault="004B207B" w:rsidP="004B207B">
      <w:pPr>
        <w:pStyle w:val="Heading2"/>
        <w:rPr>
          <w:szCs w:val="22"/>
        </w:rPr>
      </w:pPr>
      <w:r w:rsidRPr="00D62949">
        <w:rPr>
          <w:rFonts w:cs="Arial"/>
          <w:color w:val="000000"/>
          <w:szCs w:val="22"/>
          <w:shd w:val="clear" w:color="auto" w:fill="FFFFFF"/>
        </w:rPr>
        <w:t xml:space="preserve">Before payment can be considered, each invoice must include a detailed elemental breakdown of work completed and the associated costs. </w:t>
      </w:r>
    </w:p>
    <w:p w:rsidR="004B207B" w:rsidRDefault="004B207B" w:rsidP="004B207B">
      <w:pPr>
        <w:pStyle w:val="Heading1"/>
        <w:spacing w:after="120"/>
      </w:pPr>
      <w:bookmarkStart w:id="33" w:name="_Toc368573043"/>
      <w:bookmarkStart w:id="34" w:name="_Toc456273177"/>
      <w:bookmarkEnd w:id="17"/>
      <w:bookmarkEnd w:id="31"/>
      <w:r>
        <w:t>Location</w:t>
      </w:r>
      <w:bookmarkEnd w:id="33"/>
      <w:bookmarkEnd w:id="34"/>
      <w:r>
        <w:t xml:space="preserve"> </w:t>
      </w:r>
    </w:p>
    <w:p w:rsidR="004B207B" w:rsidRDefault="004B207B" w:rsidP="004B207B">
      <w:pPr>
        <w:pStyle w:val="Heading2"/>
        <w:spacing w:after="231"/>
        <w:ind w:left="709" w:hanging="709"/>
      </w:pPr>
      <w:r>
        <w:t xml:space="preserve">The Supplier will be expected to attend meetings at any of the Authority’s offices in Liverpool, Norwich, London, Newport, Bristol and Leeds.  </w:t>
      </w:r>
    </w:p>
    <w:p w:rsidR="004B207B" w:rsidRDefault="004B207B" w:rsidP="004B207B">
      <w:pPr>
        <w:pStyle w:val="Heading1"/>
      </w:pPr>
      <w:bookmarkStart w:id="35" w:name="_Toc456273178"/>
      <w:r>
        <w:t>ANNEX A – OVERVIEW OF CCS CATEGORIES AND THEIR GOODS AND/OR SERVICES</w:t>
      </w:r>
      <w:bookmarkEnd w:id="35"/>
    </w:p>
    <w:p w:rsidR="004B207B" w:rsidRDefault="004B207B" w:rsidP="004B207B">
      <w:pPr>
        <w:spacing w:after="231"/>
      </w:pPr>
      <w:r>
        <w:t>The list below is supplied to give an indication of the type of items in each Category to be benchmarked. Items include, but are not limited, to:</w:t>
      </w:r>
    </w:p>
    <w:p w:rsidR="004B207B" w:rsidRDefault="004B207B" w:rsidP="004B207B">
      <w:pPr>
        <w:rPr>
          <w:b/>
          <w:sz w:val="24"/>
        </w:rPr>
      </w:pPr>
      <w:r>
        <w:rPr>
          <w:b/>
          <w:sz w:val="24"/>
        </w:rPr>
        <w:t>Cloud and Digital</w:t>
      </w:r>
    </w:p>
    <w:p w:rsidR="004B207B" w:rsidRDefault="004B207B" w:rsidP="004B207B">
      <w:pPr>
        <w:pStyle w:val="ListParagraph"/>
        <w:numPr>
          <w:ilvl w:val="0"/>
          <w:numId w:val="6"/>
        </w:numPr>
        <w:spacing w:after="12" w:line="247" w:lineRule="auto"/>
        <w:ind w:left="1208" w:hanging="357"/>
        <w:contextualSpacing/>
        <w:jc w:val="both"/>
      </w:pPr>
      <w:r>
        <w:t>IT services</w:t>
      </w:r>
    </w:p>
    <w:p w:rsidR="004B207B" w:rsidRDefault="004B207B" w:rsidP="004B207B">
      <w:pPr>
        <w:pStyle w:val="ListParagraph"/>
        <w:numPr>
          <w:ilvl w:val="0"/>
          <w:numId w:val="6"/>
        </w:numPr>
        <w:spacing w:after="12" w:line="247" w:lineRule="auto"/>
        <w:ind w:left="1208" w:hanging="357"/>
        <w:contextualSpacing/>
        <w:jc w:val="both"/>
      </w:pPr>
      <w:r>
        <w:t>Agile development</w:t>
      </w:r>
    </w:p>
    <w:p w:rsidR="004B207B" w:rsidRDefault="004B207B" w:rsidP="004B207B">
      <w:pPr>
        <w:pStyle w:val="ListParagraph"/>
        <w:numPr>
          <w:ilvl w:val="0"/>
          <w:numId w:val="6"/>
        </w:numPr>
        <w:spacing w:after="12" w:line="247" w:lineRule="auto"/>
        <w:ind w:left="1208" w:hanging="357"/>
        <w:contextualSpacing/>
        <w:jc w:val="both"/>
      </w:pPr>
      <w:r>
        <w:t>Infrastructure as a Service (IaaS)</w:t>
      </w:r>
    </w:p>
    <w:p w:rsidR="004B207B" w:rsidRDefault="004B207B" w:rsidP="004B207B">
      <w:pPr>
        <w:pStyle w:val="ListParagraph"/>
        <w:numPr>
          <w:ilvl w:val="0"/>
          <w:numId w:val="6"/>
        </w:numPr>
        <w:spacing w:after="12" w:line="247" w:lineRule="auto"/>
        <w:ind w:left="1208" w:hanging="357"/>
        <w:contextualSpacing/>
        <w:jc w:val="both"/>
      </w:pPr>
      <w:r>
        <w:t>Platforms as a Service (PaaS)</w:t>
      </w:r>
    </w:p>
    <w:p w:rsidR="004B207B" w:rsidRDefault="004B207B" w:rsidP="004B207B">
      <w:pPr>
        <w:pStyle w:val="ListParagraph"/>
        <w:numPr>
          <w:ilvl w:val="0"/>
          <w:numId w:val="6"/>
        </w:numPr>
        <w:spacing w:after="240" w:line="247" w:lineRule="auto"/>
        <w:ind w:left="1208" w:hanging="357"/>
        <w:jc w:val="both"/>
      </w:pPr>
      <w:r>
        <w:t>Specialist cloud services</w:t>
      </w:r>
    </w:p>
    <w:p w:rsidR="004B207B" w:rsidRDefault="004B207B" w:rsidP="004B207B">
      <w:pPr>
        <w:spacing w:line="247" w:lineRule="auto"/>
      </w:pPr>
      <w:r>
        <w:rPr>
          <w:b/>
          <w:sz w:val="24"/>
        </w:rPr>
        <w:t>Communications</w:t>
      </w:r>
    </w:p>
    <w:p w:rsidR="004B207B" w:rsidRDefault="004B207B" w:rsidP="004B207B">
      <w:pPr>
        <w:pStyle w:val="ListParagraph"/>
        <w:numPr>
          <w:ilvl w:val="0"/>
          <w:numId w:val="6"/>
        </w:numPr>
        <w:spacing w:after="12" w:line="247" w:lineRule="auto"/>
        <w:ind w:left="1208" w:hanging="357"/>
        <w:contextualSpacing/>
        <w:jc w:val="both"/>
      </w:pPr>
      <w:r>
        <w:t>Events</w:t>
      </w:r>
    </w:p>
    <w:p w:rsidR="004B207B" w:rsidRDefault="004B207B" w:rsidP="004B207B">
      <w:pPr>
        <w:pStyle w:val="ListParagraph"/>
        <w:numPr>
          <w:ilvl w:val="0"/>
          <w:numId w:val="6"/>
        </w:numPr>
        <w:spacing w:after="12" w:line="247" w:lineRule="auto"/>
        <w:ind w:left="1208" w:hanging="357"/>
        <w:contextualSpacing/>
        <w:jc w:val="both"/>
      </w:pPr>
      <w:r>
        <w:t>Media Monitoring</w:t>
      </w:r>
    </w:p>
    <w:p w:rsidR="004B207B" w:rsidRDefault="004B207B" w:rsidP="004B207B">
      <w:pPr>
        <w:pStyle w:val="ListParagraph"/>
        <w:numPr>
          <w:ilvl w:val="0"/>
          <w:numId w:val="6"/>
        </w:numPr>
        <w:spacing w:after="12" w:line="247" w:lineRule="auto"/>
        <w:ind w:left="1208" w:hanging="357"/>
        <w:contextualSpacing/>
        <w:jc w:val="both"/>
      </w:pPr>
      <w:r>
        <w:t>Media Buying</w:t>
      </w:r>
    </w:p>
    <w:p w:rsidR="004B207B" w:rsidRDefault="004B207B" w:rsidP="004B207B">
      <w:pPr>
        <w:pStyle w:val="ListParagraph"/>
        <w:numPr>
          <w:ilvl w:val="0"/>
          <w:numId w:val="6"/>
        </w:numPr>
        <w:spacing w:after="240" w:line="247" w:lineRule="auto"/>
        <w:ind w:left="1208" w:hanging="357"/>
        <w:jc w:val="both"/>
      </w:pPr>
      <w:r>
        <w:t>PR</w:t>
      </w:r>
    </w:p>
    <w:p w:rsidR="004B207B" w:rsidRDefault="004B207B" w:rsidP="004B207B">
      <w:pPr>
        <w:rPr>
          <w:b/>
          <w:sz w:val="24"/>
        </w:rPr>
      </w:pPr>
      <w:r>
        <w:rPr>
          <w:b/>
          <w:sz w:val="24"/>
        </w:rPr>
        <w:t>Construction</w:t>
      </w:r>
    </w:p>
    <w:p w:rsidR="004B207B" w:rsidRDefault="004B207B" w:rsidP="004B207B">
      <w:pPr>
        <w:pStyle w:val="ListParagraph"/>
        <w:numPr>
          <w:ilvl w:val="0"/>
          <w:numId w:val="6"/>
        </w:numPr>
        <w:spacing w:after="12" w:line="247" w:lineRule="auto"/>
        <w:ind w:left="1208" w:hanging="357"/>
        <w:contextualSpacing/>
        <w:jc w:val="both"/>
      </w:pPr>
      <w:r>
        <w:t>Building materials</w:t>
      </w:r>
    </w:p>
    <w:p w:rsidR="004B207B" w:rsidRDefault="004B207B" w:rsidP="004B207B">
      <w:pPr>
        <w:pStyle w:val="ListParagraph"/>
        <w:numPr>
          <w:ilvl w:val="0"/>
          <w:numId w:val="6"/>
        </w:numPr>
        <w:spacing w:after="12" w:line="247" w:lineRule="auto"/>
        <w:ind w:left="1208" w:hanging="357"/>
        <w:contextualSpacing/>
        <w:jc w:val="both"/>
      </w:pPr>
      <w:r>
        <w:lastRenderedPageBreak/>
        <w:t>Construction management</w:t>
      </w:r>
    </w:p>
    <w:p w:rsidR="004B207B" w:rsidRDefault="004B207B" w:rsidP="004B207B">
      <w:pPr>
        <w:pStyle w:val="ListParagraph"/>
        <w:numPr>
          <w:ilvl w:val="0"/>
          <w:numId w:val="6"/>
        </w:numPr>
        <w:spacing w:after="240" w:line="247" w:lineRule="auto"/>
        <w:ind w:left="1208" w:hanging="357"/>
        <w:jc w:val="both"/>
      </w:pPr>
      <w:r>
        <w:t>Building project management</w:t>
      </w:r>
    </w:p>
    <w:p w:rsidR="004B207B" w:rsidRPr="00D62949" w:rsidRDefault="004B207B" w:rsidP="004B207B">
      <w:pPr>
        <w:pStyle w:val="Heading3"/>
        <w:numPr>
          <w:ilvl w:val="0"/>
          <w:numId w:val="0"/>
        </w:numPr>
        <w:spacing w:after="20"/>
        <w:ind w:left="-5"/>
        <w:rPr>
          <w:b/>
          <w:sz w:val="24"/>
        </w:rPr>
      </w:pPr>
      <w:r w:rsidRPr="00D62949">
        <w:rPr>
          <w:b/>
          <w:sz w:val="24"/>
        </w:rPr>
        <w:t>Consulting</w:t>
      </w:r>
    </w:p>
    <w:p w:rsidR="004B207B" w:rsidRDefault="004B207B" w:rsidP="004B207B">
      <w:pPr>
        <w:pStyle w:val="ListParagraph"/>
        <w:numPr>
          <w:ilvl w:val="0"/>
          <w:numId w:val="6"/>
        </w:numPr>
        <w:spacing w:after="12" w:line="247" w:lineRule="auto"/>
        <w:ind w:left="1208" w:hanging="357"/>
        <w:contextualSpacing/>
        <w:jc w:val="both"/>
      </w:pPr>
      <w:r>
        <w:t>Audit and assurance</w:t>
      </w:r>
    </w:p>
    <w:p w:rsidR="004B207B" w:rsidRDefault="004B207B" w:rsidP="004B207B">
      <w:pPr>
        <w:pStyle w:val="ListParagraph"/>
        <w:numPr>
          <w:ilvl w:val="0"/>
          <w:numId w:val="6"/>
        </w:numPr>
        <w:spacing w:after="12" w:line="247" w:lineRule="auto"/>
        <w:ind w:left="1208" w:hanging="357"/>
        <w:contextualSpacing/>
        <w:jc w:val="both"/>
      </w:pPr>
      <w:r>
        <w:t>Consulting services</w:t>
      </w:r>
    </w:p>
    <w:p w:rsidR="004B207B" w:rsidRDefault="004B207B" w:rsidP="004B207B">
      <w:pPr>
        <w:pStyle w:val="ListParagraph"/>
        <w:numPr>
          <w:ilvl w:val="0"/>
          <w:numId w:val="6"/>
        </w:numPr>
        <w:spacing w:after="12" w:line="247" w:lineRule="auto"/>
        <w:ind w:left="1208" w:hanging="357"/>
        <w:contextualSpacing/>
        <w:jc w:val="both"/>
      </w:pPr>
      <w:r>
        <w:t>Corporate strategy</w:t>
      </w:r>
    </w:p>
    <w:p w:rsidR="004B207B" w:rsidRDefault="004B207B" w:rsidP="004B207B">
      <w:pPr>
        <w:pStyle w:val="ListParagraph"/>
        <w:numPr>
          <w:ilvl w:val="0"/>
          <w:numId w:val="6"/>
        </w:numPr>
        <w:spacing w:after="240" w:line="247" w:lineRule="auto"/>
        <w:ind w:left="1208" w:hanging="357"/>
        <w:jc w:val="both"/>
      </w:pPr>
      <w:r>
        <w:t>Organisational design</w:t>
      </w:r>
    </w:p>
    <w:p w:rsidR="004B207B" w:rsidRPr="005117E9" w:rsidRDefault="004B207B" w:rsidP="004B207B">
      <w:pPr>
        <w:rPr>
          <w:b/>
          <w:sz w:val="24"/>
        </w:rPr>
      </w:pPr>
      <w:r w:rsidRPr="005117E9">
        <w:rPr>
          <w:b/>
          <w:sz w:val="24"/>
        </w:rPr>
        <w:t>Contingent Labour</w:t>
      </w:r>
    </w:p>
    <w:p w:rsidR="004B207B" w:rsidRDefault="004B207B" w:rsidP="004B207B">
      <w:pPr>
        <w:pStyle w:val="ListParagraph"/>
        <w:numPr>
          <w:ilvl w:val="0"/>
          <w:numId w:val="6"/>
        </w:numPr>
        <w:spacing w:after="12" w:line="247" w:lineRule="auto"/>
        <w:ind w:left="1208" w:hanging="357"/>
        <w:contextualSpacing/>
        <w:jc w:val="both"/>
      </w:pPr>
      <w:r>
        <w:t>Agency workers</w:t>
      </w:r>
    </w:p>
    <w:p w:rsidR="004B207B" w:rsidRDefault="004B207B" w:rsidP="004B207B">
      <w:pPr>
        <w:pStyle w:val="ListParagraph"/>
        <w:numPr>
          <w:ilvl w:val="0"/>
          <w:numId w:val="6"/>
        </w:numPr>
        <w:spacing w:after="12" w:line="247" w:lineRule="auto"/>
        <w:ind w:left="1208" w:hanging="357"/>
        <w:contextualSpacing/>
        <w:jc w:val="both"/>
      </w:pPr>
      <w:r>
        <w:t>Casual workers</w:t>
      </w:r>
    </w:p>
    <w:p w:rsidR="004B207B" w:rsidRDefault="004B207B" w:rsidP="004B207B">
      <w:pPr>
        <w:pStyle w:val="ListParagraph"/>
        <w:numPr>
          <w:ilvl w:val="0"/>
          <w:numId w:val="6"/>
        </w:numPr>
        <w:spacing w:after="240" w:line="247" w:lineRule="auto"/>
        <w:ind w:left="1208" w:hanging="357"/>
        <w:jc w:val="both"/>
      </w:pPr>
      <w:r>
        <w:t>Fixed-term temporary workers</w:t>
      </w:r>
    </w:p>
    <w:p w:rsidR="004B207B" w:rsidRPr="005117E9" w:rsidRDefault="004B207B" w:rsidP="004B207B">
      <w:pPr>
        <w:rPr>
          <w:b/>
          <w:sz w:val="24"/>
        </w:rPr>
      </w:pPr>
      <w:r w:rsidRPr="005117E9">
        <w:rPr>
          <w:b/>
          <w:sz w:val="24"/>
        </w:rPr>
        <w:t>Document Storage</w:t>
      </w:r>
    </w:p>
    <w:p w:rsidR="004B207B" w:rsidRDefault="004B207B" w:rsidP="004B207B">
      <w:pPr>
        <w:pStyle w:val="ListParagraph"/>
        <w:numPr>
          <w:ilvl w:val="0"/>
          <w:numId w:val="6"/>
        </w:numPr>
        <w:spacing w:after="12" w:line="247" w:lineRule="auto"/>
        <w:ind w:left="1208" w:hanging="357"/>
        <w:contextualSpacing/>
        <w:jc w:val="both"/>
      </w:pPr>
      <w:r>
        <w:t>Document storage</w:t>
      </w:r>
    </w:p>
    <w:p w:rsidR="004B207B" w:rsidRDefault="004B207B" w:rsidP="004B207B">
      <w:pPr>
        <w:pStyle w:val="ListParagraph"/>
        <w:numPr>
          <w:ilvl w:val="0"/>
          <w:numId w:val="6"/>
        </w:numPr>
        <w:spacing w:after="12" w:line="247" w:lineRule="auto"/>
        <w:ind w:left="1208" w:hanging="357"/>
        <w:contextualSpacing/>
        <w:jc w:val="both"/>
      </w:pPr>
      <w:r>
        <w:t>Digitisation and scanning</w:t>
      </w:r>
    </w:p>
    <w:p w:rsidR="004B207B" w:rsidRDefault="004B207B" w:rsidP="004B207B">
      <w:pPr>
        <w:pStyle w:val="ListParagraph"/>
        <w:numPr>
          <w:ilvl w:val="0"/>
          <w:numId w:val="6"/>
        </w:numPr>
        <w:spacing w:after="240" w:line="247" w:lineRule="auto"/>
        <w:ind w:left="1208" w:hanging="357"/>
        <w:jc w:val="both"/>
      </w:pPr>
      <w:r>
        <w:t>Document destruction</w:t>
      </w:r>
    </w:p>
    <w:p w:rsidR="004B207B" w:rsidRDefault="004B207B" w:rsidP="004B207B">
      <w:pPr>
        <w:rPr>
          <w:b/>
          <w:sz w:val="24"/>
        </w:rPr>
      </w:pPr>
      <w:r>
        <w:rPr>
          <w:b/>
          <w:sz w:val="24"/>
        </w:rPr>
        <w:t>Energy</w:t>
      </w:r>
    </w:p>
    <w:p w:rsidR="004B207B" w:rsidRDefault="004B207B" w:rsidP="004B207B">
      <w:pPr>
        <w:pStyle w:val="ListParagraph"/>
        <w:numPr>
          <w:ilvl w:val="0"/>
          <w:numId w:val="6"/>
        </w:numPr>
        <w:spacing w:after="12" w:line="247" w:lineRule="auto"/>
        <w:ind w:left="1208" w:hanging="357"/>
        <w:contextualSpacing/>
        <w:jc w:val="both"/>
      </w:pPr>
      <w:r>
        <w:t>Electricity</w:t>
      </w:r>
    </w:p>
    <w:p w:rsidR="004B207B" w:rsidRDefault="004B207B" w:rsidP="004B207B">
      <w:pPr>
        <w:pStyle w:val="ListParagraph"/>
        <w:numPr>
          <w:ilvl w:val="0"/>
          <w:numId w:val="6"/>
        </w:numPr>
        <w:spacing w:after="12" w:line="247" w:lineRule="auto"/>
        <w:ind w:left="1208" w:hanging="357"/>
        <w:contextualSpacing/>
        <w:jc w:val="both"/>
      </w:pPr>
      <w:r>
        <w:t>Gas</w:t>
      </w:r>
    </w:p>
    <w:p w:rsidR="004B207B" w:rsidRDefault="004B207B" w:rsidP="004B207B">
      <w:pPr>
        <w:pStyle w:val="ListParagraph"/>
        <w:numPr>
          <w:ilvl w:val="0"/>
          <w:numId w:val="6"/>
        </w:numPr>
        <w:spacing w:after="12" w:line="247" w:lineRule="auto"/>
        <w:ind w:left="1208" w:hanging="357"/>
        <w:contextualSpacing/>
        <w:jc w:val="both"/>
      </w:pPr>
      <w:r>
        <w:t>Heating Oils</w:t>
      </w:r>
    </w:p>
    <w:p w:rsidR="004B207B" w:rsidRDefault="004B207B" w:rsidP="004B207B">
      <w:pPr>
        <w:pStyle w:val="ListParagraph"/>
        <w:numPr>
          <w:ilvl w:val="0"/>
          <w:numId w:val="6"/>
        </w:numPr>
        <w:spacing w:after="12" w:line="247" w:lineRule="auto"/>
        <w:ind w:left="1208" w:hanging="357"/>
        <w:contextualSpacing/>
        <w:jc w:val="both"/>
      </w:pPr>
      <w:r>
        <w:t>Automotive Fuels</w:t>
      </w:r>
    </w:p>
    <w:p w:rsidR="004B207B" w:rsidRDefault="004B207B" w:rsidP="004B207B">
      <w:pPr>
        <w:pStyle w:val="ListParagraph"/>
        <w:numPr>
          <w:ilvl w:val="0"/>
          <w:numId w:val="6"/>
        </w:numPr>
        <w:spacing w:after="12" w:line="247" w:lineRule="auto"/>
        <w:ind w:left="1208" w:hanging="357"/>
        <w:contextualSpacing/>
        <w:jc w:val="both"/>
      </w:pPr>
      <w:r>
        <w:t>Marine Fuels</w:t>
      </w:r>
    </w:p>
    <w:p w:rsidR="004B207B" w:rsidRDefault="004B207B" w:rsidP="004B207B">
      <w:pPr>
        <w:pStyle w:val="ListParagraph"/>
        <w:numPr>
          <w:ilvl w:val="0"/>
          <w:numId w:val="6"/>
        </w:numPr>
        <w:spacing w:after="12" w:line="247" w:lineRule="auto"/>
        <w:ind w:left="1208" w:hanging="357"/>
        <w:contextualSpacing/>
        <w:jc w:val="both"/>
      </w:pPr>
      <w:r>
        <w:t>Aviation Fuels</w:t>
      </w:r>
    </w:p>
    <w:p w:rsidR="004B207B" w:rsidRDefault="004B207B" w:rsidP="004B207B">
      <w:pPr>
        <w:pStyle w:val="ListParagraph"/>
        <w:numPr>
          <w:ilvl w:val="0"/>
          <w:numId w:val="6"/>
        </w:numPr>
        <w:spacing w:after="240" w:line="247" w:lineRule="auto"/>
        <w:ind w:left="1208" w:hanging="357"/>
        <w:jc w:val="both"/>
      </w:pPr>
      <w:r>
        <w:t>Energy Demand Management</w:t>
      </w:r>
    </w:p>
    <w:p w:rsidR="004B207B" w:rsidRPr="005117E9" w:rsidRDefault="004B207B" w:rsidP="004B207B">
      <w:pPr>
        <w:rPr>
          <w:b/>
          <w:sz w:val="24"/>
        </w:rPr>
      </w:pPr>
      <w:r w:rsidRPr="005117E9">
        <w:rPr>
          <w:b/>
          <w:sz w:val="24"/>
        </w:rPr>
        <w:t>Facilities Management</w:t>
      </w:r>
    </w:p>
    <w:p w:rsidR="004B207B" w:rsidRDefault="004B207B" w:rsidP="004B207B">
      <w:pPr>
        <w:pStyle w:val="ListParagraph"/>
        <w:numPr>
          <w:ilvl w:val="0"/>
          <w:numId w:val="6"/>
        </w:numPr>
        <w:spacing w:after="12" w:line="247" w:lineRule="auto"/>
        <w:ind w:left="1208" w:hanging="357"/>
        <w:contextualSpacing/>
        <w:jc w:val="both"/>
      </w:pPr>
      <w:r>
        <w:t>Cleaning</w:t>
      </w:r>
    </w:p>
    <w:p w:rsidR="004B207B" w:rsidRDefault="004B207B" w:rsidP="004B207B">
      <w:pPr>
        <w:pStyle w:val="ListParagraph"/>
        <w:numPr>
          <w:ilvl w:val="0"/>
          <w:numId w:val="6"/>
        </w:numPr>
        <w:spacing w:after="12" w:line="247" w:lineRule="auto"/>
        <w:ind w:left="1208" w:hanging="357"/>
        <w:contextualSpacing/>
        <w:jc w:val="both"/>
      </w:pPr>
      <w:r>
        <w:t>Security</w:t>
      </w:r>
    </w:p>
    <w:p w:rsidR="004B207B" w:rsidRDefault="004B207B" w:rsidP="004B207B">
      <w:pPr>
        <w:pStyle w:val="ListParagraph"/>
        <w:numPr>
          <w:ilvl w:val="0"/>
          <w:numId w:val="6"/>
        </w:numPr>
        <w:spacing w:after="12" w:line="247" w:lineRule="auto"/>
        <w:ind w:left="1208" w:hanging="357"/>
        <w:contextualSpacing/>
        <w:jc w:val="both"/>
      </w:pPr>
      <w:r>
        <w:t>Catering services</w:t>
      </w:r>
    </w:p>
    <w:p w:rsidR="004B207B" w:rsidRDefault="004B207B" w:rsidP="004B207B">
      <w:pPr>
        <w:pStyle w:val="ListParagraph"/>
        <w:numPr>
          <w:ilvl w:val="0"/>
          <w:numId w:val="6"/>
        </w:numPr>
        <w:spacing w:after="12" w:line="247" w:lineRule="auto"/>
        <w:ind w:left="1208" w:hanging="357"/>
        <w:contextualSpacing/>
        <w:jc w:val="both"/>
      </w:pPr>
      <w:r>
        <w:t>Waste management</w:t>
      </w:r>
    </w:p>
    <w:p w:rsidR="004B207B" w:rsidRDefault="004B207B" w:rsidP="004B207B">
      <w:pPr>
        <w:pStyle w:val="ListParagraph"/>
        <w:numPr>
          <w:ilvl w:val="0"/>
          <w:numId w:val="6"/>
        </w:numPr>
        <w:spacing w:after="12" w:line="247" w:lineRule="auto"/>
        <w:ind w:left="1208" w:hanging="357"/>
        <w:contextualSpacing/>
        <w:jc w:val="both"/>
      </w:pPr>
      <w:r>
        <w:t>Reception services</w:t>
      </w:r>
    </w:p>
    <w:p w:rsidR="004B207B" w:rsidRDefault="004B207B" w:rsidP="004B207B">
      <w:pPr>
        <w:pStyle w:val="ListParagraph"/>
        <w:numPr>
          <w:ilvl w:val="0"/>
          <w:numId w:val="6"/>
        </w:numPr>
        <w:spacing w:after="12" w:line="247" w:lineRule="auto"/>
        <w:ind w:left="1208" w:hanging="357"/>
        <w:contextualSpacing/>
        <w:jc w:val="both"/>
      </w:pPr>
      <w:r>
        <w:t>Pest control</w:t>
      </w:r>
    </w:p>
    <w:p w:rsidR="004B207B" w:rsidRDefault="004B207B" w:rsidP="004B207B">
      <w:pPr>
        <w:pStyle w:val="ListParagraph"/>
        <w:numPr>
          <w:ilvl w:val="0"/>
          <w:numId w:val="6"/>
        </w:numPr>
        <w:spacing w:after="120" w:line="247" w:lineRule="auto"/>
        <w:ind w:left="1208" w:hanging="357"/>
        <w:jc w:val="both"/>
      </w:pPr>
      <w:r>
        <w:t>Repairs and maintenance</w:t>
      </w:r>
    </w:p>
    <w:p w:rsidR="004B207B" w:rsidRPr="005117E9" w:rsidRDefault="004B207B" w:rsidP="004B207B">
      <w:pPr>
        <w:rPr>
          <w:b/>
          <w:sz w:val="24"/>
        </w:rPr>
      </w:pPr>
      <w:r w:rsidRPr="005117E9">
        <w:rPr>
          <w:b/>
          <w:sz w:val="24"/>
        </w:rPr>
        <w:t>Fleet</w:t>
      </w:r>
    </w:p>
    <w:p w:rsidR="004B207B" w:rsidRDefault="004B207B" w:rsidP="004B207B">
      <w:pPr>
        <w:pStyle w:val="ListParagraph"/>
        <w:numPr>
          <w:ilvl w:val="0"/>
          <w:numId w:val="6"/>
        </w:numPr>
        <w:spacing w:after="12" w:line="247" w:lineRule="auto"/>
        <w:ind w:left="1208" w:hanging="357"/>
        <w:contextualSpacing/>
        <w:jc w:val="both"/>
      </w:pPr>
      <w:r>
        <w:t>Motor vehicles</w:t>
      </w:r>
    </w:p>
    <w:p w:rsidR="004B207B" w:rsidRDefault="004B207B" w:rsidP="004B207B">
      <w:pPr>
        <w:pStyle w:val="ListParagraph"/>
        <w:numPr>
          <w:ilvl w:val="0"/>
          <w:numId w:val="6"/>
        </w:numPr>
        <w:spacing w:after="12" w:line="247" w:lineRule="auto"/>
        <w:ind w:left="1208" w:hanging="357"/>
        <w:contextualSpacing/>
        <w:jc w:val="both"/>
      </w:pPr>
      <w:r>
        <w:t>Tyres</w:t>
      </w:r>
    </w:p>
    <w:p w:rsidR="004B207B" w:rsidRDefault="004B207B" w:rsidP="004B207B">
      <w:pPr>
        <w:pStyle w:val="ListParagraph"/>
        <w:numPr>
          <w:ilvl w:val="0"/>
          <w:numId w:val="6"/>
        </w:numPr>
        <w:spacing w:after="240" w:line="247" w:lineRule="auto"/>
        <w:ind w:left="1208" w:hanging="357"/>
        <w:jc w:val="both"/>
      </w:pPr>
      <w:r>
        <w:t>Vehicle rental</w:t>
      </w:r>
    </w:p>
    <w:p w:rsidR="004B207B" w:rsidRPr="005117E9" w:rsidRDefault="004B207B" w:rsidP="004B207B">
      <w:pPr>
        <w:rPr>
          <w:b/>
          <w:sz w:val="24"/>
        </w:rPr>
      </w:pPr>
      <w:r w:rsidRPr="005117E9">
        <w:rPr>
          <w:b/>
          <w:sz w:val="24"/>
        </w:rPr>
        <w:t>Health</w:t>
      </w:r>
    </w:p>
    <w:p w:rsidR="004B207B" w:rsidRDefault="004B207B" w:rsidP="004B207B">
      <w:pPr>
        <w:pStyle w:val="ListParagraph"/>
        <w:numPr>
          <w:ilvl w:val="0"/>
          <w:numId w:val="6"/>
        </w:numPr>
        <w:spacing w:after="12" w:line="247" w:lineRule="auto"/>
        <w:ind w:left="1208" w:hanging="357"/>
        <w:contextualSpacing/>
        <w:jc w:val="both"/>
      </w:pPr>
      <w:r>
        <w:t>Clinical staffing</w:t>
      </w:r>
    </w:p>
    <w:p w:rsidR="004B207B" w:rsidRDefault="004B207B" w:rsidP="004B207B">
      <w:pPr>
        <w:pStyle w:val="ListParagraph"/>
        <w:numPr>
          <w:ilvl w:val="0"/>
          <w:numId w:val="6"/>
        </w:numPr>
        <w:spacing w:after="12" w:line="247" w:lineRule="auto"/>
        <w:ind w:left="1208" w:hanging="357"/>
        <w:contextualSpacing/>
        <w:jc w:val="both"/>
      </w:pPr>
      <w:r>
        <w:t>Agency nursing and social care</w:t>
      </w:r>
    </w:p>
    <w:p w:rsidR="004B207B" w:rsidRDefault="004B207B" w:rsidP="004B207B">
      <w:pPr>
        <w:pStyle w:val="ListParagraph"/>
        <w:numPr>
          <w:ilvl w:val="0"/>
          <w:numId w:val="6"/>
        </w:numPr>
        <w:spacing w:after="240" w:line="247" w:lineRule="auto"/>
        <w:ind w:left="1208" w:hanging="357"/>
        <w:jc w:val="both"/>
      </w:pPr>
      <w:r>
        <w:t>Health professionals</w:t>
      </w:r>
    </w:p>
    <w:p w:rsidR="004B207B" w:rsidRPr="005117E9" w:rsidRDefault="004B207B" w:rsidP="004B207B">
      <w:pPr>
        <w:rPr>
          <w:b/>
          <w:sz w:val="24"/>
        </w:rPr>
      </w:pPr>
      <w:r w:rsidRPr="005117E9">
        <w:rPr>
          <w:b/>
          <w:sz w:val="24"/>
        </w:rPr>
        <w:t>HR Services</w:t>
      </w:r>
    </w:p>
    <w:p w:rsidR="004B207B" w:rsidRDefault="004B207B" w:rsidP="004B207B">
      <w:pPr>
        <w:pStyle w:val="ListParagraph"/>
        <w:numPr>
          <w:ilvl w:val="0"/>
          <w:numId w:val="6"/>
        </w:numPr>
        <w:spacing w:after="12" w:line="247" w:lineRule="auto"/>
        <w:ind w:left="1208" w:hanging="357"/>
        <w:contextualSpacing/>
        <w:jc w:val="both"/>
      </w:pPr>
      <w:r>
        <w:t>HR support</w:t>
      </w:r>
    </w:p>
    <w:p w:rsidR="004B207B" w:rsidRDefault="004B207B" w:rsidP="004B207B">
      <w:pPr>
        <w:pStyle w:val="ListParagraph"/>
        <w:numPr>
          <w:ilvl w:val="0"/>
          <w:numId w:val="6"/>
        </w:numPr>
        <w:spacing w:after="12" w:line="247" w:lineRule="auto"/>
        <w:ind w:left="1208" w:hanging="357"/>
        <w:contextualSpacing/>
        <w:jc w:val="both"/>
      </w:pPr>
      <w:r>
        <w:t>HR consultancy</w:t>
      </w:r>
    </w:p>
    <w:p w:rsidR="004B207B" w:rsidRDefault="004B207B" w:rsidP="004B207B">
      <w:pPr>
        <w:pStyle w:val="ListParagraph"/>
        <w:numPr>
          <w:ilvl w:val="0"/>
          <w:numId w:val="6"/>
        </w:numPr>
        <w:spacing w:after="240" w:line="247" w:lineRule="auto"/>
        <w:ind w:left="1208" w:hanging="357"/>
        <w:jc w:val="both"/>
      </w:pPr>
      <w:r>
        <w:t>Education and training services</w:t>
      </w:r>
    </w:p>
    <w:p w:rsidR="004B207B" w:rsidRPr="005117E9" w:rsidRDefault="004B207B" w:rsidP="004B207B">
      <w:pPr>
        <w:rPr>
          <w:b/>
          <w:sz w:val="24"/>
        </w:rPr>
      </w:pPr>
      <w:r w:rsidRPr="005117E9">
        <w:rPr>
          <w:b/>
          <w:sz w:val="24"/>
        </w:rPr>
        <w:lastRenderedPageBreak/>
        <w:t>Insurance</w:t>
      </w:r>
    </w:p>
    <w:p w:rsidR="004B207B" w:rsidRDefault="004B207B" w:rsidP="004B207B">
      <w:pPr>
        <w:pStyle w:val="ListParagraph"/>
        <w:numPr>
          <w:ilvl w:val="0"/>
          <w:numId w:val="6"/>
        </w:numPr>
        <w:spacing w:after="12" w:line="247" w:lineRule="auto"/>
        <w:ind w:left="1208" w:hanging="357"/>
        <w:contextualSpacing/>
        <w:jc w:val="both"/>
      </w:pPr>
      <w:r>
        <w:t>Insurance services</w:t>
      </w:r>
    </w:p>
    <w:p w:rsidR="004B207B" w:rsidRDefault="004B207B" w:rsidP="004B207B">
      <w:pPr>
        <w:pStyle w:val="ListParagraph"/>
        <w:numPr>
          <w:ilvl w:val="0"/>
          <w:numId w:val="6"/>
        </w:numPr>
        <w:spacing w:after="12" w:line="247" w:lineRule="auto"/>
        <w:ind w:left="1208" w:hanging="357"/>
        <w:contextualSpacing/>
        <w:jc w:val="both"/>
      </w:pPr>
      <w:r>
        <w:t>Property insurance</w:t>
      </w:r>
    </w:p>
    <w:p w:rsidR="004B207B" w:rsidRDefault="004B207B" w:rsidP="004B207B">
      <w:pPr>
        <w:pStyle w:val="ListParagraph"/>
        <w:numPr>
          <w:ilvl w:val="0"/>
          <w:numId w:val="6"/>
        </w:numPr>
        <w:spacing w:after="12" w:line="247" w:lineRule="auto"/>
        <w:ind w:left="1208" w:hanging="357"/>
        <w:contextualSpacing/>
        <w:jc w:val="both"/>
      </w:pPr>
      <w:r>
        <w:t>Re-insurance</w:t>
      </w:r>
    </w:p>
    <w:p w:rsidR="004B207B" w:rsidRDefault="004B207B" w:rsidP="004B207B">
      <w:pPr>
        <w:pStyle w:val="ListParagraph"/>
        <w:numPr>
          <w:ilvl w:val="0"/>
          <w:numId w:val="6"/>
        </w:numPr>
        <w:spacing w:after="240" w:line="247" w:lineRule="auto"/>
        <w:ind w:left="1208" w:hanging="357"/>
        <w:jc w:val="both"/>
      </w:pPr>
      <w:r>
        <w:t>Insurance brokerage</w:t>
      </w:r>
    </w:p>
    <w:p w:rsidR="004B207B" w:rsidRPr="005117E9" w:rsidRDefault="004B207B" w:rsidP="004B207B">
      <w:pPr>
        <w:rPr>
          <w:b/>
          <w:sz w:val="24"/>
        </w:rPr>
      </w:pPr>
      <w:r w:rsidRPr="005117E9">
        <w:rPr>
          <w:b/>
          <w:sz w:val="24"/>
        </w:rPr>
        <w:t>Legal</w:t>
      </w:r>
    </w:p>
    <w:p w:rsidR="004B207B" w:rsidRPr="00334E8B" w:rsidRDefault="004B207B" w:rsidP="004B207B">
      <w:pPr>
        <w:pStyle w:val="ListParagraph"/>
        <w:numPr>
          <w:ilvl w:val="0"/>
          <w:numId w:val="6"/>
        </w:numPr>
        <w:spacing w:after="240" w:line="247" w:lineRule="auto"/>
        <w:ind w:left="1208" w:hanging="357"/>
        <w:jc w:val="both"/>
      </w:pPr>
      <w:r>
        <w:t>Legal services</w:t>
      </w:r>
    </w:p>
    <w:p w:rsidR="004B207B" w:rsidRPr="005117E9" w:rsidRDefault="004B207B" w:rsidP="004B207B">
      <w:pPr>
        <w:rPr>
          <w:b/>
          <w:sz w:val="24"/>
        </w:rPr>
      </w:pPr>
      <w:r w:rsidRPr="005117E9">
        <w:rPr>
          <w:b/>
          <w:sz w:val="24"/>
        </w:rPr>
        <w:t>Networks</w:t>
      </w:r>
    </w:p>
    <w:p w:rsidR="004B207B" w:rsidRDefault="004B207B" w:rsidP="004B207B">
      <w:pPr>
        <w:pStyle w:val="ListParagraph"/>
        <w:numPr>
          <w:ilvl w:val="0"/>
          <w:numId w:val="6"/>
        </w:numPr>
        <w:spacing w:after="12" w:line="247" w:lineRule="auto"/>
        <w:ind w:left="1208" w:hanging="357"/>
        <w:contextualSpacing/>
        <w:jc w:val="both"/>
      </w:pPr>
      <w:r>
        <w:t>Wired telecoms</w:t>
      </w:r>
    </w:p>
    <w:p w:rsidR="004B207B" w:rsidRDefault="004B207B" w:rsidP="004B207B">
      <w:pPr>
        <w:pStyle w:val="ListParagraph"/>
        <w:numPr>
          <w:ilvl w:val="0"/>
          <w:numId w:val="6"/>
        </w:numPr>
        <w:spacing w:after="12" w:line="247" w:lineRule="auto"/>
        <w:ind w:left="1208" w:hanging="357"/>
        <w:contextualSpacing/>
        <w:jc w:val="both"/>
      </w:pPr>
      <w:r>
        <w:t>Wireless telecoms</w:t>
      </w:r>
    </w:p>
    <w:p w:rsidR="004B207B" w:rsidRDefault="004B207B" w:rsidP="004B207B">
      <w:pPr>
        <w:pStyle w:val="ListParagraph"/>
        <w:numPr>
          <w:ilvl w:val="0"/>
          <w:numId w:val="6"/>
        </w:numPr>
        <w:spacing w:after="12" w:line="247" w:lineRule="auto"/>
        <w:ind w:left="1208" w:hanging="357"/>
        <w:contextualSpacing/>
        <w:jc w:val="both"/>
      </w:pPr>
      <w:r>
        <w:t>Networks</w:t>
      </w:r>
    </w:p>
    <w:p w:rsidR="004B207B" w:rsidRDefault="004B207B" w:rsidP="004B207B">
      <w:pPr>
        <w:pStyle w:val="ListParagraph"/>
        <w:numPr>
          <w:ilvl w:val="0"/>
          <w:numId w:val="6"/>
        </w:numPr>
        <w:spacing w:after="12" w:line="247" w:lineRule="auto"/>
        <w:ind w:left="1208" w:hanging="357"/>
        <w:contextualSpacing/>
        <w:jc w:val="both"/>
      </w:pPr>
      <w:r>
        <w:t>Installation and maintenance</w:t>
      </w:r>
    </w:p>
    <w:p w:rsidR="004B207B" w:rsidRDefault="004B207B" w:rsidP="004B207B">
      <w:pPr>
        <w:pStyle w:val="ListParagraph"/>
        <w:numPr>
          <w:ilvl w:val="0"/>
          <w:numId w:val="6"/>
        </w:numPr>
        <w:spacing w:after="12" w:line="247" w:lineRule="auto"/>
        <w:ind w:left="1208" w:hanging="357"/>
        <w:contextualSpacing/>
        <w:jc w:val="both"/>
      </w:pPr>
      <w:r>
        <w:t>Managed services</w:t>
      </w:r>
    </w:p>
    <w:p w:rsidR="004B207B" w:rsidRDefault="004B207B" w:rsidP="004B207B">
      <w:pPr>
        <w:pStyle w:val="ListParagraph"/>
        <w:numPr>
          <w:ilvl w:val="0"/>
          <w:numId w:val="6"/>
        </w:numPr>
        <w:spacing w:after="240" w:line="247" w:lineRule="auto"/>
        <w:ind w:left="1208" w:hanging="357"/>
        <w:jc w:val="both"/>
      </w:pPr>
      <w:r>
        <w:t>WAN/LAN</w:t>
      </w:r>
    </w:p>
    <w:p w:rsidR="004B207B" w:rsidRPr="005117E9" w:rsidRDefault="004B207B" w:rsidP="004B207B">
      <w:pPr>
        <w:rPr>
          <w:b/>
          <w:sz w:val="24"/>
        </w:rPr>
      </w:pPr>
      <w:r w:rsidRPr="005117E9">
        <w:rPr>
          <w:b/>
          <w:sz w:val="24"/>
        </w:rPr>
        <w:t>Office Supplies</w:t>
      </w:r>
    </w:p>
    <w:p w:rsidR="004B207B" w:rsidRDefault="004B207B" w:rsidP="004B207B">
      <w:pPr>
        <w:pStyle w:val="ListParagraph"/>
        <w:numPr>
          <w:ilvl w:val="0"/>
          <w:numId w:val="6"/>
        </w:numPr>
        <w:spacing w:after="12" w:line="247" w:lineRule="auto"/>
        <w:ind w:left="1208" w:hanging="357"/>
        <w:contextualSpacing/>
        <w:jc w:val="both"/>
      </w:pPr>
      <w:r>
        <w:t>Stationery</w:t>
      </w:r>
    </w:p>
    <w:p w:rsidR="004B207B" w:rsidRDefault="004B207B" w:rsidP="004B207B">
      <w:pPr>
        <w:pStyle w:val="ListParagraph"/>
        <w:numPr>
          <w:ilvl w:val="0"/>
          <w:numId w:val="6"/>
        </w:numPr>
        <w:spacing w:after="12" w:line="247" w:lineRule="auto"/>
        <w:ind w:left="1208" w:hanging="357"/>
        <w:contextualSpacing/>
        <w:jc w:val="both"/>
      </w:pPr>
      <w:r>
        <w:t>Multifunction devices</w:t>
      </w:r>
    </w:p>
    <w:p w:rsidR="004B207B" w:rsidRDefault="004B207B" w:rsidP="004B207B">
      <w:pPr>
        <w:pStyle w:val="ListParagraph"/>
        <w:numPr>
          <w:ilvl w:val="0"/>
          <w:numId w:val="6"/>
        </w:numPr>
        <w:spacing w:after="12" w:line="247" w:lineRule="auto"/>
        <w:ind w:left="1208" w:hanging="357"/>
        <w:contextualSpacing/>
        <w:jc w:val="both"/>
      </w:pPr>
      <w:r>
        <w:t>Electronic office supplies</w:t>
      </w:r>
    </w:p>
    <w:p w:rsidR="004B207B" w:rsidRDefault="004B207B" w:rsidP="004B207B">
      <w:pPr>
        <w:pStyle w:val="ListParagraph"/>
        <w:numPr>
          <w:ilvl w:val="0"/>
          <w:numId w:val="6"/>
        </w:numPr>
        <w:spacing w:after="12" w:line="247" w:lineRule="auto"/>
        <w:ind w:left="1208" w:hanging="357"/>
        <w:contextualSpacing/>
        <w:jc w:val="both"/>
      </w:pPr>
      <w:r>
        <w:t>Ink and toner</w:t>
      </w:r>
    </w:p>
    <w:p w:rsidR="004B207B" w:rsidRDefault="004B207B" w:rsidP="004B207B">
      <w:pPr>
        <w:pStyle w:val="ListParagraph"/>
        <w:numPr>
          <w:ilvl w:val="0"/>
          <w:numId w:val="6"/>
        </w:numPr>
        <w:spacing w:after="240" w:line="247" w:lineRule="auto"/>
        <w:ind w:left="1208" w:hanging="357"/>
        <w:jc w:val="both"/>
      </w:pPr>
      <w:r>
        <w:t>Personal protective equipment</w:t>
      </w:r>
    </w:p>
    <w:p w:rsidR="004B207B" w:rsidRPr="005117E9" w:rsidRDefault="004B207B" w:rsidP="004B207B">
      <w:pPr>
        <w:rPr>
          <w:b/>
          <w:sz w:val="24"/>
        </w:rPr>
      </w:pPr>
      <w:r w:rsidRPr="005117E9">
        <w:rPr>
          <w:b/>
          <w:sz w:val="24"/>
        </w:rPr>
        <w:t>Post and Courier</w:t>
      </w:r>
    </w:p>
    <w:p w:rsidR="004B207B" w:rsidRDefault="004B207B" w:rsidP="004B207B">
      <w:pPr>
        <w:pStyle w:val="ListParagraph"/>
        <w:numPr>
          <w:ilvl w:val="0"/>
          <w:numId w:val="6"/>
        </w:numPr>
        <w:spacing w:after="12" w:line="247" w:lineRule="auto"/>
        <w:ind w:left="1208" w:hanging="357"/>
        <w:contextualSpacing/>
        <w:jc w:val="both"/>
      </w:pPr>
      <w:r>
        <w:t>Letter delivery</w:t>
      </w:r>
    </w:p>
    <w:p w:rsidR="004B207B" w:rsidRDefault="004B207B" w:rsidP="004B207B">
      <w:pPr>
        <w:pStyle w:val="ListParagraph"/>
        <w:numPr>
          <w:ilvl w:val="0"/>
          <w:numId w:val="6"/>
        </w:numPr>
        <w:spacing w:after="12" w:line="247" w:lineRule="auto"/>
        <w:ind w:left="1208" w:hanging="357"/>
        <w:contextualSpacing/>
        <w:jc w:val="both"/>
      </w:pPr>
      <w:r>
        <w:t>Parcel delivery</w:t>
      </w:r>
    </w:p>
    <w:p w:rsidR="004B207B" w:rsidRDefault="004B207B" w:rsidP="004B207B">
      <w:pPr>
        <w:pStyle w:val="ListParagraph"/>
        <w:numPr>
          <w:ilvl w:val="0"/>
          <w:numId w:val="6"/>
        </w:numPr>
        <w:spacing w:after="240" w:line="247" w:lineRule="auto"/>
        <w:ind w:left="1208" w:hanging="357"/>
        <w:jc w:val="both"/>
      </w:pPr>
      <w:r>
        <w:t>Courier services</w:t>
      </w:r>
    </w:p>
    <w:p w:rsidR="004B207B" w:rsidRPr="005117E9" w:rsidRDefault="004B207B" w:rsidP="004B207B">
      <w:pPr>
        <w:rPr>
          <w:b/>
          <w:sz w:val="24"/>
        </w:rPr>
      </w:pPr>
      <w:r w:rsidRPr="005117E9">
        <w:rPr>
          <w:b/>
          <w:sz w:val="24"/>
        </w:rPr>
        <w:t>Print and Paper</w:t>
      </w:r>
    </w:p>
    <w:p w:rsidR="004B207B" w:rsidRDefault="004B207B" w:rsidP="004B207B">
      <w:pPr>
        <w:pStyle w:val="ListParagraph"/>
        <w:numPr>
          <w:ilvl w:val="0"/>
          <w:numId w:val="6"/>
        </w:numPr>
        <w:spacing w:after="12" w:line="247" w:lineRule="auto"/>
        <w:ind w:left="1208" w:hanging="357"/>
        <w:contextualSpacing/>
        <w:jc w:val="both"/>
      </w:pPr>
      <w:r>
        <w:t>Paper including closed loop</w:t>
      </w:r>
    </w:p>
    <w:p w:rsidR="004B207B" w:rsidRDefault="004B207B" w:rsidP="004B207B">
      <w:pPr>
        <w:pStyle w:val="ListParagraph"/>
        <w:numPr>
          <w:ilvl w:val="0"/>
          <w:numId w:val="6"/>
        </w:numPr>
        <w:spacing w:after="12" w:line="247" w:lineRule="auto"/>
        <w:ind w:left="1208" w:hanging="357"/>
        <w:contextualSpacing/>
        <w:jc w:val="both"/>
      </w:pPr>
      <w:r>
        <w:t>Brochures and leaflets</w:t>
      </w:r>
    </w:p>
    <w:p w:rsidR="004B207B" w:rsidRDefault="004B207B" w:rsidP="004B207B">
      <w:pPr>
        <w:pStyle w:val="ListParagraph"/>
        <w:numPr>
          <w:ilvl w:val="0"/>
          <w:numId w:val="6"/>
        </w:numPr>
        <w:spacing w:after="12" w:line="247" w:lineRule="auto"/>
        <w:ind w:left="1208" w:hanging="357"/>
        <w:contextualSpacing/>
        <w:jc w:val="both"/>
      </w:pPr>
      <w:r>
        <w:t>Bulk mail</w:t>
      </w:r>
    </w:p>
    <w:p w:rsidR="004B207B" w:rsidRDefault="004B207B" w:rsidP="004B207B">
      <w:pPr>
        <w:pStyle w:val="ListParagraph"/>
        <w:numPr>
          <w:ilvl w:val="0"/>
          <w:numId w:val="6"/>
        </w:numPr>
        <w:spacing w:after="240" w:line="247" w:lineRule="auto"/>
        <w:ind w:left="1208" w:hanging="357"/>
        <w:jc w:val="both"/>
      </w:pPr>
      <w:r>
        <w:t>Security printing</w:t>
      </w:r>
    </w:p>
    <w:p w:rsidR="004B207B" w:rsidRPr="005117E9" w:rsidRDefault="004B207B" w:rsidP="004B207B">
      <w:pPr>
        <w:rPr>
          <w:b/>
          <w:sz w:val="24"/>
        </w:rPr>
      </w:pPr>
      <w:r w:rsidRPr="005117E9">
        <w:rPr>
          <w:b/>
          <w:sz w:val="24"/>
        </w:rPr>
        <w:t>Property</w:t>
      </w:r>
    </w:p>
    <w:p w:rsidR="004B207B" w:rsidRDefault="004B207B" w:rsidP="004B207B">
      <w:pPr>
        <w:pStyle w:val="ListParagraph"/>
        <w:numPr>
          <w:ilvl w:val="0"/>
          <w:numId w:val="6"/>
        </w:numPr>
        <w:spacing w:after="12" w:line="247" w:lineRule="auto"/>
        <w:ind w:left="1208" w:hanging="357"/>
        <w:contextualSpacing/>
        <w:jc w:val="both"/>
      </w:pPr>
      <w:r>
        <w:t>Office furniture</w:t>
      </w:r>
    </w:p>
    <w:p w:rsidR="004B207B" w:rsidRDefault="004B207B" w:rsidP="004B207B">
      <w:pPr>
        <w:pStyle w:val="ListParagraph"/>
        <w:numPr>
          <w:ilvl w:val="0"/>
          <w:numId w:val="6"/>
        </w:numPr>
        <w:spacing w:after="12" w:line="247" w:lineRule="auto"/>
        <w:ind w:left="1208" w:hanging="357"/>
        <w:contextualSpacing/>
        <w:jc w:val="both"/>
      </w:pPr>
      <w:r>
        <w:t>Modular buildings</w:t>
      </w:r>
    </w:p>
    <w:p w:rsidR="004B207B" w:rsidRDefault="004B207B" w:rsidP="004B207B">
      <w:pPr>
        <w:pStyle w:val="ListParagraph"/>
        <w:numPr>
          <w:ilvl w:val="0"/>
          <w:numId w:val="6"/>
        </w:numPr>
        <w:spacing w:after="12" w:line="247" w:lineRule="auto"/>
        <w:ind w:left="1208" w:hanging="357"/>
        <w:contextualSpacing/>
        <w:jc w:val="both"/>
      </w:pPr>
      <w:r>
        <w:t>Catering equipment</w:t>
      </w:r>
    </w:p>
    <w:p w:rsidR="004B207B" w:rsidRPr="00E90B43" w:rsidRDefault="004B207B" w:rsidP="004B207B">
      <w:pPr>
        <w:pStyle w:val="ListParagraph"/>
        <w:numPr>
          <w:ilvl w:val="0"/>
          <w:numId w:val="6"/>
        </w:numPr>
        <w:spacing w:after="240" w:line="247" w:lineRule="auto"/>
        <w:ind w:left="1208" w:hanging="357"/>
        <w:jc w:val="both"/>
      </w:pPr>
      <w:r>
        <w:t>Laundry and linen services</w:t>
      </w:r>
    </w:p>
    <w:p w:rsidR="004B207B" w:rsidRPr="005117E9" w:rsidRDefault="004B207B" w:rsidP="004B207B">
      <w:pPr>
        <w:rPr>
          <w:b/>
          <w:sz w:val="24"/>
        </w:rPr>
      </w:pPr>
      <w:r w:rsidRPr="005117E9">
        <w:rPr>
          <w:b/>
          <w:sz w:val="24"/>
        </w:rPr>
        <w:t>Software</w:t>
      </w:r>
    </w:p>
    <w:p w:rsidR="004B207B" w:rsidRDefault="004B207B" w:rsidP="004B207B">
      <w:pPr>
        <w:pStyle w:val="ListParagraph"/>
        <w:numPr>
          <w:ilvl w:val="0"/>
          <w:numId w:val="6"/>
        </w:numPr>
        <w:spacing w:after="12" w:line="247" w:lineRule="auto"/>
        <w:ind w:left="1208" w:hanging="357"/>
        <w:contextualSpacing/>
        <w:jc w:val="both"/>
      </w:pPr>
      <w:r>
        <w:t>Packaged</w:t>
      </w:r>
    </w:p>
    <w:p w:rsidR="004B207B" w:rsidRDefault="004B207B" w:rsidP="004B207B">
      <w:pPr>
        <w:pStyle w:val="ListParagraph"/>
        <w:numPr>
          <w:ilvl w:val="0"/>
          <w:numId w:val="6"/>
        </w:numPr>
        <w:spacing w:after="12" w:line="247" w:lineRule="auto"/>
        <w:ind w:left="1208" w:hanging="357"/>
        <w:contextualSpacing/>
        <w:jc w:val="both"/>
      </w:pPr>
      <w:r>
        <w:t>Commercial Off The Shelf (COTS)</w:t>
      </w:r>
    </w:p>
    <w:p w:rsidR="004B207B" w:rsidRDefault="004B207B" w:rsidP="004B207B">
      <w:pPr>
        <w:pStyle w:val="ListParagraph"/>
        <w:numPr>
          <w:ilvl w:val="0"/>
          <w:numId w:val="6"/>
        </w:numPr>
        <w:spacing w:after="12" w:line="247" w:lineRule="auto"/>
        <w:ind w:left="1208" w:hanging="357"/>
        <w:contextualSpacing/>
        <w:jc w:val="both"/>
      </w:pPr>
      <w:r>
        <w:t>Open Source</w:t>
      </w:r>
    </w:p>
    <w:p w:rsidR="004B207B" w:rsidRDefault="004B207B" w:rsidP="004B207B">
      <w:pPr>
        <w:pStyle w:val="ListParagraph"/>
        <w:numPr>
          <w:ilvl w:val="0"/>
          <w:numId w:val="6"/>
        </w:numPr>
        <w:spacing w:after="12" w:line="247" w:lineRule="auto"/>
        <w:ind w:left="1208" w:hanging="357"/>
        <w:contextualSpacing/>
        <w:jc w:val="both"/>
      </w:pPr>
      <w:r>
        <w:t>Licences</w:t>
      </w:r>
    </w:p>
    <w:p w:rsidR="004B207B" w:rsidRDefault="004B207B" w:rsidP="004B207B">
      <w:pPr>
        <w:pStyle w:val="ListParagraph"/>
        <w:numPr>
          <w:ilvl w:val="0"/>
          <w:numId w:val="6"/>
        </w:numPr>
        <w:spacing w:after="12" w:line="247" w:lineRule="auto"/>
        <w:ind w:left="1208" w:hanging="357"/>
        <w:contextualSpacing/>
        <w:jc w:val="both"/>
      </w:pPr>
      <w:r>
        <w:t>Operating systems</w:t>
      </w:r>
    </w:p>
    <w:p w:rsidR="004B207B" w:rsidRDefault="004B207B" w:rsidP="004B207B">
      <w:pPr>
        <w:pStyle w:val="ListParagraph"/>
        <w:numPr>
          <w:ilvl w:val="0"/>
          <w:numId w:val="6"/>
        </w:numPr>
        <w:spacing w:after="12" w:line="247" w:lineRule="auto"/>
        <w:ind w:left="1208" w:hanging="357"/>
        <w:contextualSpacing/>
        <w:jc w:val="both"/>
      </w:pPr>
      <w:r>
        <w:t>Desktop applications</w:t>
      </w:r>
    </w:p>
    <w:p w:rsidR="004B207B" w:rsidRPr="00334E8B" w:rsidRDefault="004B207B" w:rsidP="004B207B">
      <w:pPr>
        <w:pStyle w:val="ListParagraph"/>
        <w:numPr>
          <w:ilvl w:val="0"/>
          <w:numId w:val="6"/>
        </w:numPr>
        <w:spacing w:after="240" w:line="247" w:lineRule="auto"/>
        <w:ind w:left="1208" w:hanging="357"/>
        <w:jc w:val="both"/>
      </w:pPr>
      <w:r>
        <w:t>Software as a Service (SaaS)</w:t>
      </w:r>
    </w:p>
    <w:p w:rsidR="004B207B" w:rsidRPr="005117E9" w:rsidRDefault="004B207B" w:rsidP="004B207B">
      <w:pPr>
        <w:rPr>
          <w:b/>
          <w:sz w:val="24"/>
        </w:rPr>
      </w:pPr>
      <w:r w:rsidRPr="005117E9">
        <w:rPr>
          <w:b/>
          <w:sz w:val="24"/>
        </w:rPr>
        <w:t>Technology Products</w:t>
      </w:r>
    </w:p>
    <w:p w:rsidR="004B207B" w:rsidRDefault="004B207B" w:rsidP="004B207B">
      <w:pPr>
        <w:pStyle w:val="ListParagraph"/>
        <w:numPr>
          <w:ilvl w:val="0"/>
          <w:numId w:val="6"/>
        </w:numPr>
        <w:spacing w:after="12" w:line="247" w:lineRule="auto"/>
        <w:ind w:left="1208" w:hanging="357"/>
        <w:contextualSpacing/>
        <w:jc w:val="both"/>
      </w:pPr>
      <w:r>
        <w:t>Desktop computers</w:t>
      </w:r>
    </w:p>
    <w:p w:rsidR="004B207B" w:rsidRDefault="004B207B" w:rsidP="004B207B">
      <w:pPr>
        <w:pStyle w:val="ListParagraph"/>
        <w:numPr>
          <w:ilvl w:val="0"/>
          <w:numId w:val="6"/>
        </w:numPr>
        <w:spacing w:after="12" w:line="247" w:lineRule="auto"/>
        <w:ind w:left="1208" w:hanging="357"/>
        <w:contextualSpacing/>
        <w:jc w:val="both"/>
      </w:pPr>
      <w:r>
        <w:lastRenderedPageBreak/>
        <w:t>Laptop and notebook computers</w:t>
      </w:r>
    </w:p>
    <w:p w:rsidR="004B207B" w:rsidRDefault="004B207B" w:rsidP="004B207B">
      <w:pPr>
        <w:pStyle w:val="ListParagraph"/>
        <w:numPr>
          <w:ilvl w:val="0"/>
          <w:numId w:val="6"/>
        </w:numPr>
        <w:spacing w:after="12" w:line="247" w:lineRule="auto"/>
        <w:ind w:left="1208" w:hanging="357"/>
        <w:contextualSpacing/>
        <w:jc w:val="both"/>
      </w:pPr>
      <w:r>
        <w:t>Tablets</w:t>
      </w:r>
    </w:p>
    <w:p w:rsidR="004B207B" w:rsidRDefault="004B207B" w:rsidP="004B207B">
      <w:pPr>
        <w:pStyle w:val="ListParagraph"/>
        <w:numPr>
          <w:ilvl w:val="0"/>
          <w:numId w:val="6"/>
        </w:numPr>
        <w:spacing w:after="12" w:line="247" w:lineRule="auto"/>
        <w:ind w:left="1208" w:hanging="357"/>
        <w:contextualSpacing/>
        <w:jc w:val="both"/>
      </w:pPr>
      <w:r>
        <w:t>Displays and monitors</w:t>
      </w:r>
    </w:p>
    <w:p w:rsidR="004B207B" w:rsidRDefault="004B207B" w:rsidP="004B207B">
      <w:pPr>
        <w:pStyle w:val="ListParagraph"/>
        <w:numPr>
          <w:ilvl w:val="0"/>
          <w:numId w:val="6"/>
        </w:numPr>
        <w:spacing w:after="12" w:line="247" w:lineRule="auto"/>
        <w:ind w:left="1208" w:hanging="357"/>
        <w:contextualSpacing/>
        <w:jc w:val="both"/>
      </w:pPr>
      <w:r>
        <w:t>Peripherals</w:t>
      </w:r>
    </w:p>
    <w:p w:rsidR="004B207B" w:rsidRDefault="004B207B" w:rsidP="004B207B">
      <w:pPr>
        <w:pStyle w:val="ListParagraph"/>
        <w:numPr>
          <w:ilvl w:val="0"/>
          <w:numId w:val="6"/>
        </w:numPr>
        <w:spacing w:after="240" w:line="247" w:lineRule="auto"/>
        <w:ind w:left="1208" w:hanging="357"/>
        <w:jc w:val="both"/>
      </w:pPr>
      <w:r>
        <w:t>Vendor neutral hardware</w:t>
      </w:r>
    </w:p>
    <w:p w:rsidR="004B207B" w:rsidRPr="005117E9" w:rsidRDefault="004B207B" w:rsidP="004B207B">
      <w:pPr>
        <w:rPr>
          <w:b/>
          <w:sz w:val="24"/>
        </w:rPr>
      </w:pPr>
      <w:r w:rsidRPr="005117E9">
        <w:rPr>
          <w:b/>
          <w:sz w:val="24"/>
        </w:rPr>
        <w:t>Travel</w:t>
      </w:r>
    </w:p>
    <w:p w:rsidR="004B207B" w:rsidRDefault="004B207B" w:rsidP="004B207B">
      <w:pPr>
        <w:pStyle w:val="ListParagraph"/>
        <w:numPr>
          <w:ilvl w:val="0"/>
          <w:numId w:val="6"/>
        </w:numPr>
        <w:spacing w:after="12" w:line="247" w:lineRule="auto"/>
        <w:ind w:left="1208" w:hanging="357"/>
        <w:contextualSpacing/>
        <w:jc w:val="both"/>
      </w:pPr>
      <w:r>
        <w:t>Hotel rooms</w:t>
      </w:r>
    </w:p>
    <w:p w:rsidR="004B207B" w:rsidRDefault="004B207B" w:rsidP="004B207B">
      <w:pPr>
        <w:pStyle w:val="ListParagraph"/>
        <w:numPr>
          <w:ilvl w:val="0"/>
          <w:numId w:val="6"/>
        </w:numPr>
        <w:spacing w:after="12" w:line="247" w:lineRule="auto"/>
        <w:ind w:left="1208" w:hanging="357"/>
        <w:contextualSpacing/>
        <w:jc w:val="both"/>
      </w:pPr>
      <w:r>
        <w:t>Passenger air transportation</w:t>
      </w:r>
    </w:p>
    <w:p w:rsidR="004B207B" w:rsidRDefault="004B207B" w:rsidP="004B207B">
      <w:pPr>
        <w:pStyle w:val="ListParagraph"/>
        <w:numPr>
          <w:ilvl w:val="0"/>
          <w:numId w:val="6"/>
        </w:numPr>
        <w:spacing w:after="12" w:line="247" w:lineRule="auto"/>
        <w:ind w:left="1208" w:hanging="357"/>
        <w:contextualSpacing/>
        <w:jc w:val="both"/>
      </w:pPr>
      <w:r>
        <w:t>Meeting facilities</w:t>
      </w:r>
    </w:p>
    <w:p w:rsidR="004B207B" w:rsidRDefault="004B207B" w:rsidP="004B207B">
      <w:pPr>
        <w:pStyle w:val="ListParagraph"/>
        <w:numPr>
          <w:ilvl w:val="0"/>
          <w:numId w:val="6"/>
        </w:numPr>
        <w:spacing w:after="12" w:line="247" w:lineRule="auto"/>
        <w:ind w:left="1208" w:hanging="357"/>
        <w:contextualSpacing/>
        <w:jc w:val="both"/>
      </w:pPr>
      <w:r>
        <w:t>Events</w:t>
      </w:r>
    </w:p>
    <w:p w:rsidR="004B207B" w:rsidRDefault="004B207B" w:rsidP="004B207B">
      <w:pPr>
        <w:pStyle w:val="ListParagraph"/>
        <w:numPr>
          <w:ilvl w:val="0"/>
          <w:numId w:val="6"/>
        </w:numPr>
        <w:spacing w:after="12" w:line="247" w:lineRule="auto"/>
        <w:ind w:left="1208" w:hanging="357"/>
        <w:contextualSpacing/>
        <w:jc w:val="both"/>
      </w:pPr>
      <w:r>
        <w:t>Vehicle rental</w:t>
      </w:r>
    </w:p>
    <w:p w:rsidR="004B207B" w:rsidRDefault="004B207B" w:rsidP="004B207B">
      <w:pPr>
        <w:pStyle w:val="ListParagraph"/>
        <w:numPr>
          <w:ilvl w:val="0"/>
          <w:numId w:val="6"/>
        </w:numPr>
        <w:spacing w:after="240" w:line="247" w:lineRule="auto"/>
        <w:ind w:left="1208" w:hanging="357"/>
        <w:jc w:val="both"/>
      </w:pPr>
      <w:r>
        <w:t>Visa document services</w:t>
      </w:r>
    </w:p>
    <w:p w:rsidR="004B207B" w:rsidRDefault="004B207B" w:rsidP="004B207B">
      <w:pPr>
        <w:tabs>
          <w:tab w:val="left" w:pos="1392"/>
        </w:tabs>
        <w:rPr>
          <w:rFonts w:eastAsia="STZhongsong"/>
          <w:szCs w:val="20"/>
        </w:rPr>
      </w:pPr>
    </w:p>
    <w:p w:rsidR="004B207B" w:rsidRDefault="004B207B" w:rsidP="004B207B">
      <w:pPr>
        <w:tabs>
          <w:tab w:val="left" w:pos="1392"/>
        </w:tabs>
        <w:rPr>
          <w:rFonts w:eastAsia="STZhongsong"/>
          <w:szCs w:val="20"/>
        </w:rPr>
      </w:pPr>
    </w:p>
    <w:p w:rsidR="004B207B" w:rsidRDefault="004B207B" w:rsidP="004B207B">
      <w:pPr>
        <w:tabs>
          <w:tab w:val="left" w:pos="1392"/>
        </w:tabs>
        <w:rPr>
          <w:rFonts w:eastAsia="STZhongsong"/>
          <w:szCs w:val="20"/>
        </w:rPr>
      </w:pPr>
    </w:p>
    <w:p w:rsidR="004B207B" w:rsidRDefault="004B207B" w:rsidP="004B207B">
      <w:pPr>
        <w:tabs>
          <w:tab w:val="left" w:pos="1392"/>
        </w:tabs>
        <w:rPr>
          <w:rFonts w:eastAsia="STZhongsong"/>
          <w:szCs w:val="20"/>
        </w:rPr>
      </w:pPr>
    </w:p>
    <w:p w:rsidR="004B207B" w:rsidRDefault="004B207B" w:rsidP="004B207B">
      <w:pPr>
        <w:tabs>
          <w:tab w:val="left" w:pos="1392"/>
        </w:tabs>
        <w:rPr>
          <w:rFonts w:eastAsia="STZhongsong"/>
          <w:szCs w:val="20"/>
        </w:rPr>
      </w:pPr>
    </w:p>
    <w:p w:rsidR="004B207B" w:rsidRDefault="004B207B" w:rsidP="004B207B">
      <w:pPr>
        <w:tabs>
          <w:tab w:val="left" w:pos="1392"/>
        </w:tabs>
        <w:rPr>
          <w:rFonts w:eastAsia="STZhongsong"/>
          <w:szCs w:val="20"/>
        </w:rPr>
      </w:pPr>
    </w:p>
    <w:p w:rsidR="004B207B" w:rsidRDefault="004B207B" w:rsidP="004B207B">
      <w:pPr>
        <w:pStyle w:val="Heading1"/>
      </w:pPr>
      <w:bookmarkStart w:id="36" w:name="_Toc456273179"/>
      <w:r w:rsidRPr="0030673E">
        <w:t>ANNEX B – NON-DISCLOSURE AGREEMENT (FOR INFORMATION PURPOSES ONLY</w:t>
      </w:r>
      <w:bookmarkEnd w:id="36"/>
    </w:p>
    <w:p w:rsidR="004B207B" w:rsidRDefault="004B207B" w:rsidP="004B207B">
      <w:pPr>
        <w:pStyle w:val="Heading2"/>
      </w:pPr>
      <w:r>
        <w:t>The Non-Disclosure Agreement has been included as an embedded document, please see below:</w:t>
      </w:r>
    </w:p>
    <w:p w:rsidR="00A9592F" w:rsidRDefault="00A9592F" w:rsidP="00A9592F">
      <w:pPr>
        <w:pStyle w:val="Heading2"/>
        <w:numPr>
          <w:ilvl w:val="0"/>
          <w:numId w:val="0"/>
        </w:numPr>
        <w:ind w:left="720"/>
      </w:pPr>
    </w:p>
    <w:bookmarkStart w:id="37" w:name="_MON_1529843373"/>
    <w:bookmarkEnd w:id="37"/>
    <w:p w:rsidR="00A9592F" w:rsidRDefault="00A9592F" w:rsidP="00A9592F">
      <w:pPr>
        <w:pStyle w:val="Heading2"/>
        <w:numPr>
          <w:ilvl w:val="0"/>
          <w:numId w:val="0"/>
        </w:numPr>
        <w:ind w:left="720"/>
      </w:pPr>
      <w:r>
        <w:object w:dxaOrig="1503"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15pt" o:ole="">
            <v:imagedata r:id="rId7" o:title=""/>
          </v:shape>
          <o:OLEObject Type="Embed" ProgID="Word.Document.12" ShapeID="_x0000_i1025" DrawAspect="Icon" ObjectID="_1530015030" r:id="rId8">
            <o:FieldCodes>\s</o:FieldCodes>
          </o:OLEObject>
        </w:object>
      </w:r>
    </w:p>
    <w:p w:rsidR="00741192" w:rsidRDefault="0072111D"/>
    <w:sectPr w:rsidR="00741192">
      <w:headerReference w:type="default"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11D" w:rsidRDefault="0072111D" w:rsidP="004B207B">
      <w:r>
        <w:separator/>
      </w:r>
    </w:p>
  </w:endnote>
  <w:endnote w:type="continuationSeparator" w:id="0">
    <w:p w:rsidR="0072111D" w:rsidRDefault="0072111D" w:rsidP="004B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224202"/>
      <w:docPartObj>
        <w:docPartGallery w:val="Page Numbers (Bottom of Page)"/>
        <w:docPartUnique/>
      </w:docPartObj>
    </w:sdtPr>
    <w:sdtEndPr>
      <w:rPr>
        <w:noProof/>
      </w:rPr>
    </w:sdtEndPr>
    <w:sdtContent>
      <w:p w:rsidR="004B207B" w:rsidRDefault="004B207B">
        <w:pPr>
          <w:pStyle w:val="Footer"/>
          <w:jc w:val="center"/>
        </w:pPr>
        <w:r>
          <w:fldChar w:fldCharType="begin"/>
        </w:r>
        <w:r>
          <w:instrText xml:space="preserve"> PAGE   \* MERGEFORMAT </w:instrText>
        </w:r>
        <w:r>
          <w:fldChar w:fldCharType="separate"/>
        </w:r>
        <w:r w:rsidR="00233C9C">
          <w:rPr>
            <w:noProof/>
          </w:rPr>
          <w:t>4</w:t>
        </w:r>
        <w:r>
          <w:rPr>
            <w:noProof/>
          </w:rPr>
          <w:fldChar w:fldCharType="end"/>
        </w:r>
      </w:p>
    </w:sdtContent>
  </w:sdt>
  <w:p w:rsidR="004B207B" w:rsidRDefault="00233C9C" w:rsidP="00233C9C">
    <w:pPr>
      <w:pStyle w:val="Footer"/>
      <w:tabs>
        <w:tab w:val="clear" w:pos="4153"/>
        <w:tab w:val="clear" w:pos="8306"/>
        <w:tab w:val="left" w:pos="5738"/>
      </w:tabs>
    </w:pPr>
    <w:r>
      <w:t>Jonathan Bloomer</w:t>
    </w:r>
    <w:r>
      <w:tab/>
      <w:t xml:space="preserve">V1.0 </w:t>
    </w:r>
    <w:r>
      <w:tab/>
      <w:t>14/07/2016</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880859"/>
      <w:docPartObj>
        <w:docPartGallery w:val="Page Numbers (Bottom of Page)"/>
        <w:docPartUnique/>
      </w:docPartObj>
    </w:sdtPr>
    <w:sdtEndPr>
      <w:rPr>
        <w:noProof/>
      </w:rPr>
    </w:sdtEndPr>
    <w:sdtContent>
      <w:p w:rsidR="00433C27" w:rsidRDefault="002E4FCE" w:rsidP="00433C27">
        <w:pPr>
          <w:pStyle w:val="Footer"/>
          <w:jc w:val="center"/>
        </w:pPr>
        <w:r>
          <w:rPr>
            <w:noProof/>
            <w:lang w:eastAsia="en-GB"/>
          </w:rPr>
          <mc:AlternateContent>
            <mc:Choice Requires="wps">
              <w:drawing>
                <wp:anchor distT="0" distB="0" distL="114300" distR="114300" simplePos="0" relativeHeight="251659264" behindDoc="0" locked="0" layoutInCell="1" allowOverlap="1" wp14:anchorId="31FEB05C" wp14:editId="12C07F8F">
                  <wp:simplePos x="0" y="0"/>
                  <wp:positionH relativeFrom="column">
                    <wp:posOffset>-28575</wp:posOffset>
                  </wp:positionH>
                  <wp:positionV relativeFrom="paragraph">
                    <wp:posOffset>46355</wp:posOffset>
                  </wp:positionV>
                  <wp:extent cx="574357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548D9"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" strokecolor="black [3200]" strokeweight=".5pt">
                  <v:stroke joinstyle="miter"/>
                </v:line>
              </w:pict>
            </mc:Fallback>
          </mc:AlternateContent>
        </w:r>
      </w:p>
      <w:p w:rsidR="00433C27" w:rsidRPr="00985B4D" w:rsidRDefault="002E4FCE" w:rsidP="00433C27">
        <w:pPr>
          <w:pStyle w:val="Footer"/>
          <w:jc w:val="center"/>
          <w:rPr>
            <w:sz w:val="20"/>
            <w:szCs w:val="20"/>
          </w:rPr>
        </w:pPr>
        <w:r w:rsidRPr="00985B4D">
          <w:rPr>
            <w:sz w:val="20"/>
            <w:szCs w:val="20"/>
          </w:rPr>
          <w:t>OFFICIAL</w:t>
        </w:r>
      </w:p>
      <w:p w:rsidR="00433C27" w:rsidRPr="00985B4D" w:rsidRDefault="002E4FCE" w:rsidP="00433C27">
        <w:pPr>
          <w:pStyle w:val="Footer"/>
          <w:rPr>
            <w:sz w:val="20"/>
            <w:szCs w:val="20"/>
          </w:rPr>
        </w:pPr>
        <w:r w:rsidRPr="00985B4D">
          <w:rPr>
            <w:sz w:val="20"/>
            <w:szCs w:val="20"/>
          </w:rPr>
          <w:t>Appendix B – Statement of Requirements</w:t>
        </w:r>
      </w:p>
      <w:p w:rsidR="00433C27" w:rsidRPr="00985B4D" w:rsidRDefault="002E4FCE" w:rsidP="00433C27">
        <w:pPr>
          <w:pStyle w:val="Footer"/>
          <w:jc w:val="right"/>
          <w:rPr>
            <w:sz w:val="20"/>
            <w:szCs w:val="20"/>
          </w:rPr>
        </w:pPr>
        <w:r>
          <w:rPr>
            <w:sz w:val="20"/>
            <w:szCs w:val="20"/>
          </w:rPr>
          <w:t>V1.0 04/07/2016</w:t>
        </w:r>
      </w:p>
      <w:p w:rsidR="00433C27" w:rsidRDefault="002E4FCE" w:rsidP="00433C27">
        <w:pPr>
          <w:pStyle w:val="Footer"/>
          <w:jc w:val="center"/>
        </w:pPr>
        <w:r>
          <w:rPr>
            <w:sz w:val="20"/>
            <w:szCs w:val="20"/>
          </w:rPr>
          <w:t>3</w:t>
        </w:r>
      </w:p>
    </w:sdtContent>
  </w:sdt>
  <w:p w:rsidR="00433C27" w:rsidRDefault="00721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11D" w:rsidRDefault="0072111D" w:rsidP="004B207B">
      <w:r>
        <w:separator/>
      </w:r>
    </w:p>
  </w:footnote>
  <w:footnote w:type="continuationSeparator" w:id="0">
    <w:p w:rsidR="0072111D" w:rsidRDefault="0072111D" w:rsidP="004B2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07B" w:rsidRPr="00F44D62" w:rsidRDefault="004B207B" w:rsidP="004B207B">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61312" behindDoc="1" locked="0" layoutInCell="1" allowOverlap="1" wp14:anchorId="4E8CE300" wp14:editId="0DED56FD">
          <wp:simplePos x="0" y="0"/>
          <wp:positionH relativeFrom="column">
            <wp:posOffset>-661988</wp:posOffset>
          </wp:positionH>
          <wp:positionV relativeFrom="page">
            <wp:posOffset>167640</wp:posOffset>
          </wp:positionV>
          <wp:extent cx="876300" cy="723900"/>
          <wp:effectExtent l="0" t="0" r="0" b="0"/>
          <wp:wrapSquare wrapText="bothSides"/>
          <wp:docPr id="12" name="Picture 1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rsidR="004B207B" w:rsidRDefault="004B207B" w:rsidP="004B207B">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rsidR="004B207B" w:rsidRPr="00C96FD6" w:rsidRDefault="004B207B" w:rsidP="004B207B">
    <w:pPr>
      <w:tabs>
        <w:tab w:val="center" w:pos="4153"/>
        <w:tab w:val="right" w:pos="8306"/>
      </w:tabs>
      <w:ind w:left="720"/>
      <w:jc w:val="center"/>
      <w:rPr>
        <w:rFonts w:cs="Arial"/>
        <w:sz w:val="20"/>
        <w:szCs w:val="20"/>
      </w:rPr>
    </w:pPr>
    <w:r w:rsidRPr="00C96FD6">
      <w:rPr>
        <w:rFonts w:cs="Arial"/>
        <w:sz w:val="20"/>
        <w:szCs w:val="20"/>
      </w:rPr>
      <w:t xml:space="preserve">Provision of Benchmarking Service Requirements </w:t>
    </w:r>
  </w:p>
  <w:p w:rsidR="004B207B" w:rsidRPr="00C96FD6" w:rsidRDefault="004B207B" w:rsidP="004B207B">
    <w:pPr>
      <w:tabs>
        <w:tab w:val="center" w:pos="4153"/>
        <w:tab w:val="right" w:pos="8306"/>
      </w:tabs>
      <w:rPr>
        <w:rFonts w:cs="Arial"/>
        <w:sz w:val="20"/>
        <w:szCs w:val="20"/>
      </w:rPr>
    </w:pPr>
    <w:r w:rsidRPr="00C96FD6">
      <w:rPr>
        <w:rFonts w:cs="Arial"/>
        <w:sz w:val="20"/>
        <w:szCs w:val="20"/>
        <w:shd w:val="clear" w:color="auto" w:fill="FFFFFF"/>
      </w:rPr>
      <w:tab/>
    </w:r>
    <w:r w:rsidRPr="00C96FD6">
      <w:rPr>
        <w:rFonts w:cs="Arial"/>
        <w:sz w:val="20"/>
        <w:szCs w:val="20"/>
      </w:rPr>
      <w:t xml:space="preserve">              CCLL16A01</w:t>
    </w:r>
  </w:p>
  <w:p w:rsidR="004B207B" w:rsidRDefault="004B20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B57CD"/>
    <w:multiLevelType w:val="hybridMultilevel"/>
    <w:tmpl w:val="5CE67784"/>
    <w:lvl w:ilvl="0" w:tplc="08090005">
      <w:start w:val="1"/>
      <w:numFmt w:val="bullet"/>
      <w:lvlText w:val=""/>
      <w:lvlJc w:val="left"/>
      <w:pPr>
        <w:ind w:left="1527" w:hanging="360"/>
      </w:pPr>
      <w:rPr>
        <w:rFonts w:ascii="Wingdings" w:hAnsi="Wingdings" w:hint="default"/>
      </w:rPr>
    </w:lvl>
    <w:lvl w:ilvl="1" w:tplc="08090003" w:tentative="1">
      <w:start w:val="1"/>
      <w:numFmt w:val="bullet"/>
      <w:lvlText w:val="o"/>
      <w:lvlJc w:val="left"/>
      <w:pPr>
        <w:ind w:left="2247" w:hanging="360"/>
      </w:pPr>
      <w:rPr>
        <w:rFonts w:ascii="Courier New" w:hAnsi="Courier New" w:cs="Courier New" w:hint="default"/>
      </w:rPr>
    </w:lvl>
    <w:lvl w:ilvl="2" w:tplc="08090005" w:tentative="1">
      <w:start w:val="1"/>
      <w:numFmt w:val="bullet"/>
      <w:lvlText w:val=""/>
      <w:lvlJc w:val="left"/>
      <w:pPr>
        <w:ind w:left="2967" w:hanging="360"/>
      </w:pPr>
      <w:rPr>
        <w:rFonts w:ascii="Wingdings" w:hAnsi="Wingdings" w:hint="default"/>
      </w:rPr>
    </w:lvl>
    <w:lvl w:ilvl="3" w:tplc="08090001" w:tentative="1">
      <w:start w:val="1"/>
      <w:numFmt w:val="bullet"/>
      <w:lvlText w:val=""/>
      <w:lvlJc w:val="left"/>
      <w:pPr>
        <w:ind w:left="3687" w:hanging="360"/>
      </w:pPr>
      <w:rPr>
        <w:rFonts w:ascii="Symbol" w:hAnsi="Symbol" w:hint="default"/>
      </w:rPr>
    </w:lvl>
    <w:lvl w:ilvl="4" w:tplc="08090003" w:tentative="1">
      <w:start w:val="1"/>
      <w:numFmt w:val="bullet"/>
      <w:lvlText w:val="o"/>
      <w:lvlJc w:val="left"/>
      <w:pPr>
        <w:ind w:left="4407" w:hanging="360"/>
      </w:pPr>
      <w:rPr>
        <w:rFonts w:ascii="Courier New" w:hAnsi="Courier New" w:cs="Courier New" w:hint="default"/>
      </w:rPr>
    </w:lvl>
    <w:lvl w:ilvl="5" w:tplc="08090005" w:tentative="1">
      <w:start w:val="1"/>
      <w:numFmt w:val="bullet"/>
      <w:lvlText w:val=""/>
      <w:lvlJc w:val="left"/>
      <w:pPr>
        <w:ind w:left="5127" w:hanging="360"/>
      </w:pPr>
      <w:rPr>
        <w:rFonts w:ascii="Wingdings" w:hAnsi="Wingdings" w:hint="default"/>
      </w:rPr>
    </w:lvl>
    <w:lvl w:ilvl="6" w:tplc="08090001" w:tentative="1">
      <w:start w:val="1"/>
      <w:numFmt w:val="bullet"/>
      <w:lvlText w:val=""/>
      <w:lvlJc w:val="left"/>
      <w:pPr>
        <w:ind w:left="5847" w:hanging="360"/>
      </w:pPr>
      <w:rPr>
        <w:rFonts w:ascii="Symbol" w:hAnsi="Symbol" w:hint="default"/>
      </w:rPr>
    </w:lvl>
    <w:lvl w:ilvl="7" w:tplc="08090003" w:tentative="1">
      <w:start w:val="1"/>
      <w:numFmt w:val="bullet"/>
      <w:lvlText w:val="o"/>
      <w:lvlJc w:val="left"/>
      <w:pPr>
        <w:ind w:left="6567" w:hanging="360"/>
      </w:pPr>
      <w:rPr>
        <w:rFonts w:ascii="Courier New" w:hAnsi="Courier New" w:cs="Courier New" w:hint="default"/>
      </w:rPr>
    </w:lvl>
    <w:lvl w:ilvl="8" w:tplc="08090005" w:tentative="1">
      <w:start w:val="1"/>
      <w:numFmt w:val="bullet"/>
      <w:lvlText w:val=""/>
      <w:lvlJc w:val="left"/>
      <w:pPr>
        <w:ind w:left="7287" w:hanging="360"/>
      </w:pPr>
      <w:rPr>
        <w:rFonts w:ascii="Wingdings" w:hAnsi="Wingdings" w:hint="default"/>
      </w:rPr>
    </w:lvl>
  </w:abstractNum>
  <w:abstractNum w:abstractNumId="1" w15:restartNumberingAfterBreak="0">
    <w:nsid w:val="17B520DE"/>
    <w:multiLevelType w:val="hybridMultilevel"/>
    <w:tmpl w:val="53D2011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E6174E0"/>
    <w:multiLevelType w:val="hybridMultilevel"/>
    <w:tmpl w:val="0A827352"/>
    <w:lvl w:ilvl="0" w:tplc="08090005">
      <w:start w:val="1"/>
      <w:numFmt w:val="bullet"/>
      <w:lvlText w:val=""/>
      <w:lvlJc w:val="left"/>
      <w:pPr>
        <w:ind w:left="1092"/>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789"/>
        </w:tabs>
        <w:ind w:left="1789"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 w15:restartNumberingAfterBreak="0">
    <w:nsid w:val="700F3156"/>
    <w:multiLevelType w:val="hybridMultilevel"/>
    <w:tmpl w:val="352C4D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7B"/>
    <w:rsid w:val="000A0BC9"/>
    <w:rsid w:val="00150DDA"/>
    <w:rsid w:val="00233C9C"/>
    <w:rsid w:val="002E4FCE"/>
    <w:rsid w:val="004B207B"/>
    <w:rsid w:val="0072111D"/>
    <w:rsid w:val="00835A60"/>
    <w:rsid w:val="00836F16"/>
    <w:rsid w:val="00A71CA9"/>
    <w:rsid w:val="00A9592F"/>
    <w:rsid w:val="00AF56E8"/>
    <w:rsid w:val="00C16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DE0459-397F-464D-8654-7516D99D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07B"/>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B207B"/>
    <w:pPr>
      <w:keepNext/>
      <w:numPr>
        <w:numId w:val="1"/>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4B207B"/>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4B207B"/>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B207B"/>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4B207B"/>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4B207B"/>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uiPriority w:val="99"/>
    <w:qFormat/>
    <w:rsid w:val="004B207B"/>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uiPriority w:val="99"/>
    <w:qFormat/>
    <w:rsid w:val="004B207B"/>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uiPriority w:val="99"/>
    <w:qFormat/>
    <w:rsid w:val="004B207B"/>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B207B"/>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B207B"/>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B207B"/>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B207B"/>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4B207B"/>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4B207B"/>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4B207B"/>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4B207B"/>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B207B"/>
    <w:rPr>
      <w:rFonts w:ascii="Arial" w:eastAsia="STZhongsong" w:hAnsi="Arial" w:cs="Times New Roman"/>
      <w:szCs w:val="20"/>
      <w:lang w:eastAsia="zh-CN"/>
    </w:rPr>
  </w:style>
  <w:style w:type="paragraph" w:styleId="TOC1">
    <w:name w:val="toc 1"/>
    <w:uiPriority w:val="39"/>
    <w:rsid w:val="004B207B"/>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Footer">
    <w:name w:val="footer"/>
    <w:basedOn w:val="Normal"/>
    <w:link w:val="FooterChar"/>
    <w:uiPriority w:val="99"/>
    <w:rsid w:val="004B207B"/>
    <w:pPr>
      <w:tabs>
        <w:tab w:val="center" w:pos="4153"/>
        <w:tab w:val="right" w:pos="8306"/>
      </w:tabs>
    </w:pPr>
  </w:style>
  <w:style w:type="character" w:customStyle="1" w:styleId="FooterChar">
    <w:name w:val="Footer Char"/>
    <w:basedOn w:val="DefaultParagraphFont"/>
    <w:link w:val="Footer"/>
    <w:uiPriority w:val="99"/>
    <w:rsid w:val="004B207B"/>
    <w:rPr>
      <w:rFonts w:ascii="Arial" w:eastAsia="SimSun" w:hAnsi="Arial" w:cs="Times New Roman"/>
      <w:szCs w:val="24"/>
      <w:lang w:eastAsia="zh-CN"/>
    </w:rPr>
  </w:style>
  <w:style w:type="character" w:styleId="Hyperlink">
    <w:name w:val="Hyperlink"/>
    <w:basedOn w:val="DefaultParagraphFont"/>
    <w:uiPriority w:val="99"/>
    <w:rsid w:val="004B207B"/>
    <w:rPr>
      <w:color w:val="0000FF"/>
      <w:u w:val="single"/>
    </w:rPr>
  </w:style>
  <w:style w:type="paragraph" w:styleId="ListParagraph">
    <w:name w:val="List Paragraph"/>
    <w:basedOn w:val="Normal"/>
    <w:uiPriority w:val="34"/>
    <w:qFormat/>
    <w:rsid w:val="004B207B"/>
    <w:pPr>
      <w:ind w:left="720"/>
    </w:pPr>
  </w:style>
  <w:style w:type="table" w:customStyle="1" w:styleId="TableGrid">
    <w:name w:val="TableGrid"/>
    <w:rsid w:val="004B207B"/>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4B207B"/>
    <w:pPr>
      <w:tabs>
        <w:tab w:val="center" w:pos="4513"/>
        <w:tab w:val="right" w:pos="9026"/>
      </w:tabs>
    </w:pPr>
  </w:style>
  <w:style w:type="character" w:customStyle="1" w:styleId="HeaderChar">
    <w:name w:val="Header Char"/>
    <w:basedOn w:val="DefaultParagraphFont"/>
    <w:link w:val="Header"/>
    <w:uiPriority w:val="99"/>
    <w:rsid w:val="004B207B"/>
    <w:rPr>
      <w:rFonts w:ascii="Arial" w:eastAsia="SimSun" w:hAnsi="Arial"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Thomson</dc:creator>
  <cp:keywords/>
  <dc:description/>
  <cp:lastModifiedBy>Rachael Thomson</cp:lastModifiedBy>
  <cp:revision>3</cp:revision>
  <dcterms:created xsi:type="dcterms:W3CDTF">2016-07-14T14:24:00Z</dcterms:created>
  <dcterms:modified xsi:type="dcterms:W3CDTF">2016-07-14T14:24:00Z</dcterms:modified>
</cp:coreProperties>
</file>