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ABA9B" w14:textId="77777777" w:rsidR="000450A0" w:rsidRDefault="00A0373C">
      <w:pPr>
        <w:rPr>
          <w:rFonts w:ascii="Arial" w:hAnsi="Arial" w:cs="Arial"/>
          <w:b/>
          <w:sz w:val="36"/>
          <w:szCs w:val="36"/>
        </w:rPr>
      </w:pPr>
      <w:r>
        <w:rPr>
          <w:rFonts w:ascii="Arial" w:hAnsi="Arial" w:cs="Arial"/>
          <w:b/>
          <w:sz w:val="36"/>
          <w:szCs w:val="36"/>
        </w:rPr>
        <w:t>Schedule 18 (Supply Chain Visibility)</w:t>
      </w:r>
    </w:p>
    <w:p w14:paraId="62E58554" w14:textId="77777777" w:rsidR="000450A0" w:rsidRDefault="00A0373C">
      <w:pPr>
        <w:pStyle w:val="GPSL1CLAUSEHEADING"/>
      </w:pPr>
      <w:bookmarkStart w:id="0" w:name="_Hlk45181850"/>
      <w:r>
        <w:t>Definitions</w:t>
      </w:r>
    </w:p>
    <w:p w14:paraId="1A38CA20" w14:textId="77777777" w:rsidR="000450A0" w:rsidRDefault="00A0373C">
      <w:pPr>
        <w:pStyle w:val="GPSL2numberedclause"/>
        <w:keepNext/>
      </w:pPr>
      <w:r>
        <w:t>In this Schedule, the following words shall have the following meanings and they shall supplement Schedule 1 (Definitions):</w:t>
      </w:r>
    </w:p>
    <w:tbl>
      <w:tblPr>
        <w:tblStyle w:val="TableGrid"/>
        <w:tblW w:w="0" w:type="auto"/>
        <w:tblInd w:w="6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2"/>
        <w:gridCol w:w="4856"/>
      </w:tblGrid>
      <w:tr w:rsidR="000450A0" w14:paraId="5439C21A" w14:textId="77777777">
        <w:trPr>
          <w:trHeight w:val="20"/>
        </w:trPr>
        <w:tc>
          <w:tcPr>
            <w:tcW w:w="3342" w:type="dxa"/>
          </w:tcPr>
          <w:p w14:paraId="0FAEE29A" w14:textId="77777777" w:rsidR="000450A0" w:rsidRDefault="00A0373C">
            <w:pPr>
              <w:pStyle w:val="GPSL2Numbered"/>
              <w:ind w:firstLine="0"/>
              <w:rPr>
                <w:rFonts w:ascii="Arial" w:hAnsi="Arial"/>
                <w:b/>
                <w:sz w:val="24"/>
                <w:szCs w:val="24"/>
              </w:rPr>
            </w:pPr>
            <w:r>
              <w:rPr>
                <w:rFonts w:ascii="Arial" w:hAnsi="Arial"/>
                <w:b/>
                <w:sz w:val="24"/>
                <w:szCs w:val="24"/>
              </w:rPr>
              <w:t>"Contracts Finder"</w:t>
            </w:r>
          </w:p>
        </w:tc>
        <w:tc>
          <w:tcPr>
            <w:tcW w:w="4856" w:type="dxa"/>
          </w:tcPr>
          <w:p w14:paraId="4337F188" w14:textId="77777777" w:rsidR="000450A0" w:rsidRDefault="00A0373C">
            <w:pPr>
              <w:pStyle w:val="GPSL2Numbered"/>
              <w:ind w:firstLine="0"/>
              <w:rPr>
                <w:rFonts w:ascii="Arial" w:hAnsi="Arial"/>
                <w:sz w:val="24"/>
                <w:szCs w:val="24"/>
              </w:rPr>
            </w:pPr>
            <w:r>
              <w:rPr>
                <w:rFonts w:ascii="Arial" w:hAnsi="Arial"/>
                <w:sz w:val="24"/>
                <w:szCs w:val="24"/>
              </w:rPr>
              <w:t xml:space="preserve">the Government’s publishing portal for public sector procurement opportunities; </w:t>
            </w:r>
          </w:p>
        </w:tc>
      </w:tr>
      <w:tr w:rsidR="000450A0" w14:paraId="113AAC35" w14:textId="77777777">
        <w:trPr>
          <w:trHeight w:val="20"/>
        </w:trPr>
        <w:tc>
          <w:tcPr>
            <w:tcW w:w="3342" w:type="dxa"/>
          </w:tcPr>
          <w:p w14:paraId="46D8352A" w14:textId="77777777" w:rsidR="000450A0" w:rsidRDefault="00A0373C">
            <w:pPr>
              <w:pStyle w:val="GPSL2Numbered"/>
              <w:ind w:firstLine="0"/>
              <w:rPr>
                <w:rFonts w:ascii="Arial" w:hAnsi="Arial"/>
                <w:b/>
                <w:sz w:val="24"/>
                <w:szCs w:val="24"/>
              </w:rPr>
            </w:pPr>
            <w:r>
              <w:rPr>
                <w:rFonts w:ascii="Arial" w:hAnsi="Arial"/>
                <w:b/>
                <w:sz w:val="24"/>
                <w:szCs w:val="24"/>
              </w:rPr>
              <w:t>"SME"</w:t>
            </w:r>
          </w:p>
        </w:tc>
        <w:tc>
          <w:tcPr>
            <w:tcW w:w="4856" w:type="dxa"/>
          </w:tcPr>
          <w:p w14:paraId="6F7C5E4D" w14:textId="77777777" w:rsidR="000450A0" w:rsidRDefault="00A0373C">
            <w:pPr>
              <w:pStyle w:val="GPSL2Numbered"/>
              <w:ind w:firstLine="0"/>
              <w:rPr>
                <w:rFonts w:ascii="Arial" w:hAnsi="Arial"/>
                <w:sz w:val="24"/>
                <w:szCs w:val="24"/>
              </w:rPr>
            </w:pPr>
            <w:r>
              <w:rPr>
                <w:rFonts w:ascii="Arial" w:hAnsi="Arial"/>
                <w:sz w:val="24"/>
                <w:szCs w:val="24"/>
              </w:rPr>
              <w:t xml:space="preserve">an enterprise falling within the category of micro, small and medium sized enterprises defined by the Commission Recommendation of 6 May 2003 concerning the definition of micro, small and medium sized enterprises; </w:t>
            </w:r>
          </w:p>
        </w:tc>
      </w:tr>
      <w:tr w:rsidR="000450A0" w14:paraId="04CD0D85" w14:textId="77777777">
        <w:trPr>
          <w:trHeight w:val="20"/>
        </w:trPr>
        <w:tc>
          <w:tcPr>
            <w:tcW w:w="3342" w:type="dxa"/>
          </w:tcPr>
          <w:p w14:paraId="12ED2707" w14:textId="77777777" w:rsidR="000450A0" w:rsidRDefault="00A0373C">
            <w:pPr>
              <w:pStyle w:val="GPSL2Numbered"/>
              <w:ind w:firstLine="0"/>
              <w:rPr>
                <w:rFonts w:ascii="Arial" w:hAnsi="Arial"/>
                <w:b/>
                <w:sz w:val="24"/>
                <w:szCs w:val="24"/>
              </w:rPr>
            </w:pPr>
            <w:r>
              <w:rPr>
                <w:rFonts w:ascii="Arial" w:hAnsi="Arial"/>
                <w:b/>
                <w:sz w:val="24"/>
                <w:szCs w:val="24"/>
              </w:rPr>
              <w:t>"Supply Chain Information Report Template"</w:t>
            </w:r>
          </w:p>
        </w:tc>
        <w:tc>
          <w:tcPr>
            <w:tcW w:w="4856" w:type="dxa"/>
          </w:tcPr>
          <w:p w14:paraId="2EFEECBE" w14:textId="1F15B4CA" w:rsidR="000450A0" w:rsidRDefault="00A0373C">
            <w:pPr>
              <w:pStyle w:val="GPSL2Numbered"/>
              <w:ind w:firstLine="0"/>
              <w:rPr>
                <w:rFonts w:ascii="Arial" w:hAnsi="Arial"/>
                <w:sz w:val="24"/>
                <w:szCs w:val="24"/>
              </w:rPr>
            </w:pPr>
            <w:r>
              <w:rPr>
                <w:rFonts w:ascii="Arial" w:hAnsi="Arial"/>
                <w:sz w:val="24"/>
                <w:szCs w:val="24"/>
              </w:rPr>
              <w:t xml:space="preserve">the document at Annex </w:t>
            </w:r>
            <w:r>
              <w:rPr>
                <w:rFonts w:ascii="Arial" w:hAnsi="Arial"/>
                <w:sz w:val="24"/>
                <w:szCs w:val="24"/>
              </w:rPr>
              <w:fldChar w:fldCharType="begin"/>
            </w:r>
            <w:r>
              <w:rPr>
                <w:rFonts w:ascii="Arial" w:hAnsi="Arial"/>
                <w:sz w:val="24"/>
                <w:szCs w:val="24"/>
              </w:rPr>
              <w:instrText xml:space="preserve"> REF bmannex1 \h  \* MERGEFORMAT </w:instrText>
            </w:r>
            <w:r>
              <w:rPr>
                <w:rFonts w:ascii="Arial" w:hAnsi="Arial"/>
                <w:sz w:val="24"/>
                <w:szCs w:val="24"/>
              </w:rPr>
            </w:r>
            <w:r>
              <w:rPr>
                <w:rFonts w:ascii="Arial" w:hAnsi="Arial"/>
                <w:sz w:val="24"/>
                <w:szCs w:val="24"/>
              </w:rPr>
              <w:fldChar w:fldCharType="separate"/>
            </w:r>
            <w:r w:rsidR="00322F4D" w:rsidRPr="00322F4D">
              <w:rPr>
                <w:rFonts w:ascii="Arial" w:hAnsi="Arial"/>
                <w:sz w:val="24"/>
                <w:szCs w:val="24"/>
              </w:rPr>
              <w:t>1</w:t>
            </w:r>
            <w:r>
              <w:rPr>
                <w:rFonts w:ascii="Arial" w:hAnsi="Arial"/>
                <w:sz w:val="24"/>
                <w:szCs w:val="24"/>
              </w:rPr>
              <w:fldChar w:fldCharType="end"/>
            </w:r>
            <w:r>
              <w:rPr>
                <w:rFonts w:ascii="Arial" w:hAnsi="Arial"/>
                <w:sz w:val="24"/>
                <w:szCs w:val="24"/>
              </w:rPr>
              <w:t xml:space="preserve"> of this Schedule 18; and</w:t>
            </w:r>
          </w:p>
        </w:tc>
      </w:tr>
      <w:tr w:rsidR="000450A0" w14:paraId="02948A45" w14:textId="77777777">
        <w:trPr>
          <w:trHeight w:val="20"/>
        </w:trPr>
        <w:tc>
          <w:tcPr>
            <w:tcW w:w="3342" w:type="dxa"/>
          </w:tcPr>
          <w:p w14:paraId="498C4849" w14:textId="77777777" w:rsidR="000450A0" w:rsidRDefault="00A0373C">
            <w:pPr>
              <w:pStyle w:val="GPSL2Numbered"/>
              <w:ind w:firstLine="0"/>
              <w:rPr>
                <w:rFonts w:ascii="Arial" w:hAnsi="Arial"/>
                <w:b/>
                <w:sz w:val="24"/>
                <w:szCs w:val="24"/>
              </w:rPr>
            </w:pPr>
            <w:r>
              <w:rPr>
                <w:rFonts w:ascii="Arial" w:hAnsi="Arial"/>
                <w:b/>
                <w:sz w:val="24"/>
                <w:szCs w:val="24"/>
              </w:rPr>
              <w:t>“Unconnected Sub-contract”</w:t>
            </w:r>
          </w:p>
        </w:tc>
        <w:tc>
          <w:tcPr>
            <w:tcW w:w="4856" w:type="dxa"/>
          </w:tcPr>
          <w:p w14:paraId="25BDEF5D" w14:textId="77777777" w:rsidR="000450A0" w:rsidRDefault="00A0373C">
            <w:pPr>
              <w:pStyle w:val="GPSL2Numbered"/>
              <w:ind w:firstLine="0"/>
              <w:rPr>
                <w:rFonts w:ascii="Arial" w:hAnsi="Arial"/>
                <w:sz w:val="24"/>
                <w:szCs w:val="24"/>
              </w:rPr>
            </w:pPr>
            <w:r>
              <w:rPr>
                <w:rFonts w:ascii="Arial" w:hAnsi="Arial"/>
                <w:sz w:val="24"/>
                <w:szCs w:val="24"/>
              </w:rPr>
              <w:t xml:space="preserve">any contract or agreement which is not a Sub-contract and is between the Supplier and a third party (which is not an Affiliate of the Supplier) and is a qualifying contract under regulation 6 of The </w:t>
            </w:r>
            <w:bookmarkStart w:id="1" w:name="_9kR3WTr277DIHfKp0391wvx5hP5Iz1Hun5rBI2z"/>
            <w:r>
              <w:rPr>
                <w:rFonts w:ascii="Arial" w:hAnsi="Arial"/>
                <w:sz w:val="24"/>
                <w:szCs w:val="24"/>
              </w:rPr>
              <w:t>Reporting on Payment Practices and Performance Regulations 2017</w:t>
            </w:r>
            <w:bookmarkEnd w:id="1"/>
          </w:p>
        </w:tc>
      </w:tr>
      <w:tr w:rsidR="000450A0" w14:paraId="6D48A00C" w14:textId="77777777">
        <w:trPr>
          <w:trHeight w:val="20"/>
        </w:trPr>
        <w:tc>
          <w:tcPr>
            <w:tcW w:w="3342" w:type="dxa"/>
          </w:tcPr>
          <w:p w14:paraId="1789377C" w14:textId="77777777" w:rsidR="000450A0" w:rsidRDefault="00A0373C">
            <w:pPr>
              <w:pStyle w:val="GPSL2Numbered"/>
              <w:ind w:firstLine="0"/>
              <w:rPr>
                <w:rFonts w:ascii="Arial" w:hAnsi="Arial"/>
                <w:b/>
                <w:sz w:val="24"/>
                <w:szCs w:val="24"/>
              </w:rPr>
            </w:pPr>
            <w:r>
              <w:rPr>
                <w:rFonts w:ascii="Arial" w:hAnsi="Arial"/>
                <w:b/>
                <w:sz w:val="24"/>
                <w:szCs w:val="24"/>
              </w:rPr>
              <w:t>“Unconnected Sub-contractor”</w:t>
            </w:r>
          </w:p>
        </w:tc>
        <w:tc>
          <w:tcPr>
            <w:tcW w:w="4856" w:type="dxa"/>
          </w:tcPr>
          <w:p w14:paraId="06224F4B" w14:textId="77777777" w:rsidR="000450A0" w:rsidRDefault="00A0373C">
            <w:pPr>
              <w:pStyle w:val="GPSL2Numbered"/>
              <w:ind w:firstLine="0"/>
              <w:rPr>
                <w:rFonts w:ascii="Arial" w:hAnsi="Arial"/>
                <w:sz w:val="24"/>
                <w:szCs w:val="24"/>
              </w:rPr>
            </w:pPr>
            <w:r>
              <w:rPr>
                <w:rFonts w:ascii="Arial" w:hAnsi="Arial"/>
                <w:sz w:val="24"/>
                <w:szCs w:val="24"/>
              </w:rPr>
              <w:t>any third party with whom the Supplier enters into an Unconnected Sub-contract</w:t>
            </w:r>
          </w:p>
        </w:tc>
      </w:tr>
    </w:tbl>
    <w:p w14:paraId="1630E838" w14:textId="201D85B3" w:rsidR="000450A0" w:rsidRDefault="00A0373C">
      <w:pPr>
        <w:pStyle w:val="GPSL1CLAUSEHEADING"/>
      </w:pPr>
      <w:r>
        <w:t>Visibility of Sub-Contract Opportunities in the Supply Chain</w:t>
      </w:r>
    </w:p>
    <w:p w14:paraId="6D49698F" w14:textId="77777777" w:rsidR="000450A0" w:rsidRDefault="00A0373C">
      <w:pPr>
        <w:pStyle w:val="GPSL2numberedclause"/>
        <w:keepNext/>
      </w:pPr>
      <w:bookmarkStart w:id="2" w:name="_Ref43389876"/>
      <w:r>
        <w:t>The Supplier shall:</w:t>
      </w:r>
      <w:bookmarkEnd w:id="2"/>
    </w:p>
    <w:p w14:paraId="34637C26" w14:textId="2E5CBD99" w:rsidR="000450A0" w:rsidRDefault="00A0373C">
      <w:pPr>
        <w:pStyle w:val="GPSL3numberedclause"/>
      </w:pPr>
      <w:bookmarkStart w:id="3" w:name="_Ref43389871"/>
      <w:r>
        <w:t>subject to Paragraph </w:t>
      </w:r>
      <w:r>
        <w:fldChar w:fldCharType="begin"/>
      </w:r>
      <w:r>
        <w:instrText xml:space="preserve"> REF _Ref43389859 \w \h </w:instrText>
      </w:r>
      <w:r>
        <w:fldChar w:fldCharType="separate"/>
      </w:r>
      <w:r w:rsidR="00322F4D">
        <w:t>2.3</w:t>
      </w:r>
      <w:r>
        <w:fldChar w:fldCharType="end"/>
      </w:r>
      <w:r>
        <w:t>, advertise on Contracts Finder all Sub-Contract opportunities arising from or in connection with the provision of the Deliverables above a minimum threshold of £25,000 that arise during the Contract Period;</w:t>
      </w:r>
      <w:bookmarkEnd w:id="3"/>
    </w:p>
    <w:p w14:paraId="679E988A" w14:textId="23607A59" w:rsidR="000450A0" w:rsidRDefault="00A0373C">
      <w:pPr>
        <w:pStyle w:val="GPSL3numberedclause"/>
      </w:pPr>
      <w:r>
        <w:t>within 90 days of awarding a Sub-Contract to a Subcontractor, update the notice on Contract Finder with details of the successful Subcontractor;</w:t>
      </w:r>
    </w:p>
    <w:p w14:paraId="4A4EE510" w14:textId="025AF7FF" w:rsidR="000450A0" w:rsidRDefault="00A0373C">
      <w:pPr>
        <w:pStyle w:val="GPSL3numberedclause"/>
      </w:pPr>
      <w:bookmarkStart w:id="4" w:name="_Ref43389865"/>
      <w:r>
        <w:t>monitor the number, type and value of the Sub-Contract opportunities placed on Contracts Finder advertised and awarded in its supply chain during the Contract Period;</w:t>
      </w:r>
      <w:bookmarkEnd w:id="4"/>
    </w:p>
    <w:p w14:paraId="4FB6651D" w14:textId="27F7114C" w:rsidR="000450A0" w:rsidRDefault="00A0373C">
      <w:pPr>
        <w:pStyle w:val="GPSL3numberedclause"/>
      </w:pPr>
      <w:r>
        <w:t>provide reports on the information at Paragraph </w:t>
      </w:r>
      <w:r>
        <w:fldChar w:fldCharType="begin"/>
      </w:r>
      <w:r>
        <w:instrText xml:space="preserve"> REF _Ref43389865 \w \h </w:instrText>
      </w:r>
      <w:r>
        <w:fldChar w:fldCharType="separate"/>
      </w:r>
      <w:r w:rsidR="00322F4D">
        <w:t>2.1.3</w:t>
      </w:r>
      <w:r>
        <w:fldChar w:fldCharType="end"/>
      </w:r>
      <w:r>
        <w:t xml:space="preserve"> to the Buyer in the format and frequency as reasonably specified by the Buyer; and</w:t>
      </w:r>
    </w:p>
    <w:p w14:paraId="2351DC42" w14:textId="03F54A6B" w:rsidR="000450A0" w:rsidRDefault="00A0373C">
      <w:pPr>
        <w:pStyle w:val="GPSL3numberedclause"/>
      </w:pPr>
      <w:r>
        <w:lastRenderedPageBreak/>
        <w:t>promote Contracts Finder to its suppliers and encourage those organisations to register on Contracts Finder.</w:t>
      </w:r>
    </w:p>
    <w:p w14:paraId="167B97D6" w14:textId="7F8CDD19" w:rsidR="000450A0" w:rsidRDefault="00A0373C">
      <w:pPr>
        <w:pStyle w:val="GPSL2numberedclause"/>
      </w:pPr>
      <w:r>
        <w:t>Each advert referred to at Paragraph </w:t>
      </w:r>
      <w:r>
        <w:fldChar w:fldCharType="begin"/>
      </w:r>
      <w:r>
        <w:instrText xml:space="preserve"> REF _Ref43389871 \w \h </w:instrText>
      </w:r>
      <w:r>
        <w:fldChar w:fldCharType="separate"/>
      </w:r>
      <w:r w:rsidR="00322F4D">
        <w:t>2.1.1</w:t>
      </w:r>
      <w:r>
        <w:fldChar w:fldCharType="end"/>
      </w:r>
      <w:r>
        <w:t xml:space="preserve"> of this Schedule 18 shall provide a full and detailed description of the Sub-Contract opportunity with each of the mandatory fields being completed on Contracts Finder by the Supplier.</w:t>
      </w:r>
    </w:p>
    <w:p w14:paraId="1E7CA7A3" w14:textId="222F91A5" w:rsidR="000450A0" w:rsidRDefault="00A0373C">
      <w:pPr>
        <w:pStyle w:val="GPSL2numberedclause"/>
      </w:pPr>
      <w:bookmarkStart w:id="5" w:name="_Ref43389859"/>
      <w:r>
        <w:t>The obligations on the Supplier set out at Paragraph </w:t>
      </w:r>
      <w:r>
        <w:fldChar w:fldCharType="begin"/>
      </w:r>
      <w:r>
        <w:instrText xml:space="preserve"> REF _Ref43389876 \w \h </w:instrText>
      </w:r>
      <w:r>
        <w:fldChar w:fldCharType="separate"/>
      </w:r>
      <w:r w:rsidR="00322F4D">
        <w:t>2.1</w:t>
      </w:r>
      <w:r>
        <w:fldChar w:fldCharType="end"/>
      </w:r>
      <w:r>
        <w:t xml:space="preserve"> shall only apply in respect of Sub-Contract opportunities arising after the Effective Date.</w:t>
      </w:r>
      <w:bookmarkEnd w:id="5"/>
    </w:p>
    <w:p w14:paraId="2F37E937" w14:textId="100CC7C5" w:rsidR="000450A0" w:rsidRDefault="00A0373C">
      <w:pPr>
        <w:pStyle w:val="GPSL2numberedclause"/>
      </w:pPr>
      <w:r>
        <w:t>Notwithstanding Paragraph </w:t>
      </w:r>
      <w:r>
        <w:fldChar w:fldCharType="begin"/>
      </w:r>
      <w:r>
        <w:instrText xml:space="preserve"> REF _Ref43389876 \w \h </w:instrText>
      </w:r>
      <w:r>
        <w:fldChar w:fldCharType="separate"/>
      </w:r>
      <w:r w:rsidR="00322F4D">
        <w:t>2.1</w:t>
      </w:r>
      <w:r>
        <w:fldChar w:fldCharType="end"/>
      </w:r>
      <w:r>
        <w:t>, the Buyer may by giving its prior Approval, agree that a Sub-Contract opportunity is not required to be advertised by the Supplier on Contracts Finder.</w:t>
      </w:r>
    </w:p>
    <w:p w14:paraId="0EFAA406" w14:textId="77777777" w:rsidR="000450A0" w:rsidRDefault="00A0373C">
      <w:pPr>
        <w:pStyle w:val="GPSL1CLAUSEHEADING"/>
      </w:pPr>
      <w:r>
        <w:t>Visibility of Supply Chain Spend</w:t>
      </w:r>
    </w:p>
    <w:p w14:paraId="407320C5" w14:textId="33ABC992" w:rsidR="000450A0" w:rsidRDefault="00A0373C">
      <w:pPr>
        <w:pStyle w:val="GPSL2numberedclause"/>
        <w:keepNext/>
      </w:pPr>
      <w:r>
        <w:t xml:space="preserve">In addition to any other management information requirements set out in </w:t>
      </w:r>
      <w:r w:rsidR="00505A27">
        <w:t>this Contract</w:t>
      </w:r>
      <w:r>
        <w:t>, the Supplier agrees and acknowledges that it shall, at no charge, provide timely, full, accurate and complete SME management information reports (the “SME Management Information Reports”) to the Buyer which incorporates the data described in the Supply Chain Information Report Template which is:</w:t>
      </w:r>
    </w:p>
    <w:p w14:paraId="1BBCEDF3" w14:textId="7ADBEA56" w:rsidR="000450A0" w:rsidRDefault="00A0373C">
      <w:pPr>
        <w:pStyle w:val="GPSL3numberedclause"/>
      </w:pPr>
      <w:bookmarkStart w:id="6" w:name="_Ref43389907"/>
      <w:r>
        <w:t xml:space="preserve">the total contract revenue received directly on </w:t>
      </w:r>
      <w:r w:rsidR="00505A27">
        <w:t>this Contract</w:t>
      </w:r>
      <w:r>
        <w:t>;</w:t>
      </w:r>
      <w:bookmarkEnd w:id="6"/>
    </w:p>
    <w:p w14:paraId="3A014896" w14:textId="61A9E7E4" w:rsidR="000450A0" w:rsidRDefault="00A0373C">
      <w:pPr>
        <w:pStyle w:val="GPSL3numberedclause"/>
      </w:pPr>
      <w:r>
        <w:t xml:space="preserve">the total value of sub-contracted revenues under </w:t>
      </w:r>
      <w:r w:rsidR="00505A27">
        <w:t>this Contract</w:t>
      </w:r>
      <w:r>
        <w:t xml:space="preserve"> (including revenues for non-SMEs/non-VCSEs); and</w:t>
      </w:r>
    </w:p>
    <w:p w14:paraId="5E4A7D01" w14:textId="77777777" w:rsidR="000450A0" w:rsidRDefault="00A0373C">
      <w:pPr>
        <w:pStyle w:val="GPSL3numberedclause"/>
      </w:pPr>
      <w:bookmarkStart w:id="7" w:name="_Ref43389913"/>
      <w:r>
        <w:t>the total value of sub-contracted revenues to SMEs and VCSEs.</w:t>
      </w:r>
      <w:bookmarkEnd w:id="7"/>
    </w:p>
    <w:p w14:paraId="6AAA7962" w14:textId="661EAE48" w:rsidR="000450A0" w:rsidRDefault="00A0373C">
      <w:pPr>
        <w:pStyle w:val="GPSL2numberedclause"/>
      </w:pPr>
      <w:r>
        <w:t>The SME Management Information Reports shall be provided by the Supplier in the correct format as required by the Supply Chain Information Report Template and any guidance issued by the Buyer from time to time. The Supplier agrees that it shall use the Supply Chain Information Report Template to provide the information detailed at Paragraph </w:t>
      </w:r>
      <w:r>
        <w:fldChar w:fldCharType="begin"/>
      </w:r>
      <w:r>
        <w:instrText xml:space="preserve"> REF _Ref43389907 \w \h </w:instrText>
      </w:r>
      <w:r>
        <w:fldChar w:fldCharType="separate"/>
      </w:r>
      <w:r w:rsidR="00322F4D">
        <w:t>3.1.1</w:t>
      </w:r>
      <w:r>
        <w:fldChar w:fldCharType="end"/>
      </w:r>
      <w:r>
        <w:t xml:space="preserve"> –</w:t>
      </w:r>
      <w:r w:rsidR="009567C1">
        <w:t xml:space="preserve"> </w:t>
      </w:r>
      <w:r>
        <w:fldChar w:fldCharType="begin"/>
      </w:r>
      <w:r>
        <w:instrText xml:space="preserve"> REF _Ref43389913 \w \h </w:instrText>
      </w:r>
      <w:r>
        <w:fldChar w:fldCharType="separate"/>
      </w:r>
      <w:r w:rsidR="00322F4D">
        <w:t>3.1.3</w:t>
      </w:r>
      <w:r>
        <w:fldChar w:fldCharType="end"/>
      </w:r>
      <w:r>
        <w:t xml:space="preserve"> and acknowledges that the template may be changed from time to time (including the data required and/or format) by the Buyer issuing a replacement version. The Buyer agrees to give at least thirty (30) days’ notice in writing of any such change and shall specify the date from which it must be used.</w:t>
      </w:r>
    </w:p>
    <w:p w14:paraId="28FFA5A1" w14:textId="2A0063FA" w:rsidR="000450A0" w:rsidRDefault="00A0373C">
      <w:pPr>
        <w:pStyle w:val="GPSL2numberedclause"/>
      </w:pPr>
      <w:r>
        <w:t>The Supplier further agrees and acknowledges that it may not make any amendment to the Supply Chain Information Report Template without the prior Approval of the Buyer.</w:t>
      </w:r>
    </w:p>
    <w:p w14:paraId="7281E315" w14:textId="77777777" w:rsidR="000450A0" w:rsidRDefault="00A0373C" w:rsidP="009567C1">
      <w:pPr>
        <w:pStyle w:val="AppendixText2"/>
        <w:keepNext/>
        <w:rPr>
          <w:rFonts w:ascii="Arial" w:hAnsi="Arial" w:cs="Arial"/>
          <w:b/>
          <w:sz w:val="24"/>
          <w:szCs w:val="24"/>
        </w:rPr>
      </w:pPr>
      <w:bookmarkStart w:id="8" w:name="_Ref89430154"/>
      <w:r>
        <w:rPr>
          <w:rFonts w:ascii="Arial" w:hAnsi="Arial" w:cs="Arial"/>
          <w:b/>
          <w:sz w:val="24"/>
          <w:szCs w:val="24"/>
        </w:rPr>
        <w:t>Visibility of Payment Practice</w:t>
      </w:r>
      <w:bookmarkEnd w:id="8"/>
    </w:p>
    <w:p w14:paraId="7BF19569" w14:textId="4E320000" w:rsidR="000450A0" w:rsidRDefault="00A0373C" w:rsidP="009567C1">
      <w:pPr>
        <w:pStyle w:val="Level2"/>
        <w:keepNext/>
      </w:pPr>
      <w:r>
        <w:rPr>
          <w:rFonts w:eastAsia="Arial"/>
        </w:rPr>
        <w:t xml:space="preserve">If this Contract has at the Effective Date an anticipated contract value in excess of £5 million per annum (excluding VAT) averaged over </w:t>
      </w:r>
      <w:r w:rsidR="00505A27">
        <w:rPr>
          <w:rFonts w:eastAsia="Arial"/>
        </w:rPr>
        <w:t>this Contract</w:t>
      </w:r>
      <w:r>
        <w:rPr>
          <w:rFonts w:eastAsia="Arial"/>
        </w:rPr>
        <w:t xml:space="preserve"> </w:t>
      </w:r>
      <w:r>
        <w:rPr>
          <w:rFonts w:eastAsia="Arial"/>
        </w:rPr>
        <w:lastRenderedPageBreak/>
        <w:t xml:space="preserve">Period </w:t>
      </w:r>
      <w:r>
        <w:t xml:space="preserve">and without prejudice to Clause 4.6, </w:t>
      </w:r>
      <w:bookmarkStart w:id="9" w:name="_9kMIH5YVtCIAEFFHGHIsqr12sHPFzvBJMRCxCUP"/>
      <w:r>
        <w:t>Clau</w:t>
      </w:r>
      <w:bookmarkEnd w:id="9"/>
      <w:r>
        <w:t>se 8.2.1(b) and 8.2.2(b), the Supplier shall:</w:t>
      </w:r>
    </w:p>
    <w:p w14:paraId="7DFDD5DA" w14:textId="77777777" w:rsidR="000450A0" w:rsidRDefault="00A0373C" w:rsidP="009567C1">
      <w:pPr>
        <w:pStyle w:val="Level4"/>
        <w:keepNext/>
      </w:pPr>
      <w:bookmarkStart w:id="10" w:name="_Ref_ContractCompanion_9kb9Ur894"/>
      <w:bookmarkStart w:id="11" w:name="_9kR3WTrAG8CDACEFHropz0qFLIDCND0wwv6ByFH"/>
      <w:r>
        <w:t>pay any sums which are due from it to any Sub-contractor or Unconnected Sub-contractor pursuant to any invoice (or other notice of an amount for payment) on the earlier of:</w:t>
      </w:r>
      <w:bookmarkEnd w:id="10"/>
      <w:bookmarkEnd w:id="11"/>
    </w:p>
    <w:p w14:paraId="0E01FE04" w14:textId="77777777" w:rsidR="000450A0" w:rsidRDefault="00A0373C">
      <w:pPr>
        <w:pStyle w:val="Level5"/>
      </w:pPr>
      <w:r>
        <w:t>the date set out for payment in the relevant Sub-contract or Unconnected Sub-contract; or</w:t>
      </w:r>
    </w:p>
    <w:p w14:paraId="7D7A8FA1" w14:textId="77777777" w:rsidR="000450A0" w:rsidRDefault="00A0373C">
      <w:pPr>
        <w:pStyle w:val="Level5"/>
      </w:pPr>
      <w:r>
        <w:t>the date that falls sixty (60) days after the day on which the Supplier receives an invoice (or otherwise has notice of an amount for payment); and</w:t>
      </w:r>
    </w:p>
    <w:p w14:paraId="61E50BD2" w14:textId="20F9FE96" w:rsidR="000450A0" w:rsidRDefault="00A0373C">
      <w:pPr>
        <w:pStyle w:val="Level4"/>
      </w:pPr>
      <w:r>
        <w:t xml:space="preserve">include within the Supply Chain Information Report a summary of its compliance with </w:t>
      </w:r>
      <w:bookmarkStart w:id="12" w:name="_9kMHG5YVtCIAEFCEGHJtqr12sHNKFEPF2yyx8D0"/>
      <w:r>
        <w:t xml:space="preserve">this Paragraph </w:t>
      </w:r>
      <w:r>
        <w:fldChar w:fldCharType="begin"/>
      </w:r>
      <w:r>
        <w:instrText xml:space="preserve"> REF _Ref89430154 \r \h </w:instrText>
      </w:r>
      <w:r>
        <w:fldChar w:fldCharType="separate"/>
      </w:r>
      <w:r w:rsidR="00322F4D">
        <w:t>4.4</w:t>
      </w:r>
      <w:r>
        <w:fldChar w:fldCharType="end"/>
      </w:r>
      <w:bookmarkEnd w:id="12"/>
      <w:r>
        <w:t>, such data to be certified every six months by a director of the Supplier as being accurate and not misleading.</w:t>
      </w:r>
    </w:p>
    <w:p w14:paraId="2B036CB4" w14:textId="06D01EE6" w:rsidR="000450A0" w:rsidRDefault="00A0373C" w:rsidP="009567C1">
      <w:pPr>
        <w:pStyle w:val="Level2"/>
        <w:keepNext/>
      </w:pPr>
      <w:r>
        <w:t xml:space="preserve">If any Supply Chain Information Report shows that in either of the last two six month periods the Supplier failed to pay 95% or above of all Sub-contractor or Unconnected Sub-contractor invoices (or other notice of an amount for payment) within sixty (60) days of receipt, the Supplier shall provide to the Buyer </w:t>
      </w:r>
      <w:r w:rsidRPr="00942879">
        <w:t>within 15</w:t>
      </w:r>
      <w:r>
        <w:t xml:space="preserve"> Working Days of submission of the latest Supply Chain Information Report an action plan (the “</w:t>
      </w:r>
      <w:r>
        <w:rPr>
          <w:rStyle w:val="StdBodyTextBoldChar"/>
        </w:rPr>
        <w:t>Action Plan</w:t>
      </w:r>
      <w:r>
        <w:t>”) for improvement. The Action Plan shall include, but not be limited to, the following:</w:t>
      </w:r>
    </w:p>
    <w:p w14:paraId="3D6E0112" w14:textId="77777777" w:rsidR="000450A0" w:rsidRDefault="00A0373C">
      <w:pPr>
        <w:pStyle w:val="Level4"/>
      </w:pPr>
      <w:bookmarkStart w:id="13" w:name="_Ref_ContractCompanion_9kb9Ur268"/>
      <w:r>
        <w:t>identification of the primary causes of failure to pay 95% or above of all Sub-contractor or Unconnected Sub-contractor invoices (or other notice of an amount for payment) within sixty (60) days of receipt;</w:t>
      </w:r>
      <w:bookmarkEnd w:id="13"/>
    </w:p>
    <w:p w14:paraId="402BD48C" w14:textId="03CA5C2F" w:rsidR="000450A0" w:rsidRDefault="00A0373C">
      <w:pPr>
        <w:pStyle w:val="Level4"/>
      </w:pPr>
      <w:r>
        <w:t xml:space="preserve">actions to address each of the causes set out in </w:t>
      </w:r>
      <w:bookmarkStart w:id="14" w:name="_9kR3WTr2BB6AE47rnnqrhzut1n"/>
      <w:r>
        <w:t>Sub-Paragraph </w:t>
      </w:r>
      <w:r>
        <w:fldChar w:fldCharType="begin"/>
      </w:r>
      <w:r>
        <w:instrText xml:space="preserve"> REF _Ref_ContractCompanion_9kb9Ur268 \w \n \h \t \* MERGEFORMAT </w:instrText>
      </w:r>
      <w:r>
        <w:fldChar w:fldCharType="separate"/>
      </w:r>
      <w:r w:rsidR="00322F4D">
        <w:t>(a)</w:t>
      </w:r>
      <w:r>
        <w:fldChar w:fldCharType="end"/>
      </w:r>
      <w:bookmarkEnd w:id="14"/>
      <w:r>
        <w:t>; and</w:t>
      </w:r>
    </w:p>
    <w:p w14:paraId="6C85E3DC" w14:textId="77777777" w:rsidR="000450A0" w:rsidRDefault="00A0373C">
      <w:pPr>
        <w:pStyle w:val="Level4"/>
      </w:pPr>
      <w:r>
        <w:t>mechanism for and commitment to regular reporting on progress to the Supplier’s Board.</w:t>
      </w:r>
    </w:p>
    <w:p w14:paraId="6783696D" w14:textId="6C08403D" w:rsidR="000450A0" w:rsidRDefault="00A0373C">
      <w:pPr>
        <w:pStyle w:val="Level2"/>
      </w:pPr>
      <w:r>
        <w:t>Where the Supplier fails to pay any sums due to any Sub-contractor or Unconnected Sub-contractor in accordance with the terms set out in the relevant Sub-contract or Unconnected Sub-contract, the Action Plan shall include details of the steps the Supplier will take to address this.</w:t>
      </w:r>
    </w:p>
    <w:p w14:paraId="37707A34" w14:textId="13955CDF" w:rsidR="000450A0" w:rsidRDefault="00A0373C">
      <w:pPr>
        <w:pStyle w:val="Level2"/>
      </w:pPr>
      <w:r>
        <w:t>The Supplier shall comply with the Action Plan or any similar action plan connected to the payment of Sub-contractors or Unconnected Sub-contractors which is required to be submitted to the Authority as part of the procurement process and such action plan shall be included as part of the Supplier’s Solution (to the extent it is not already included).</w:t>
      </w:r>
    </w:p>
    <w:p w14:paraId="710CDD2D" w14:textId="77777777" w:rsidR="000450A0" w:rsidRDefault="00A0373C">
      <w:pPr>
        <w:pStyle w:val="Level2"/>
      </w:pPr>
      <w:r>
        <w:t xml:space="preserve">If the Supplier notifies the Buyer (whether in a Supply Chain Report or otherwise) that the Supplier has failed to pay 95% or above of its Unconnected Sub-contractors within sixty (60) days after the day on which the </w:t>
      </w:r>
      <w:r>
        <w:lastRenderedPageBreak/>
        <w:t>Supplier receives an invoice or otherwise has notice of an amount for payment, or the Buyer otherwise discovers the same, the Buyer shall be entitled to publish the details of the late or non-payment (including on government websites and in the press).</w:t>
      </w:r>
    </w:p>
    <w:p w14:paraId="158E01B5" w14:textId="77777777" w:rsidR="000450A0" w:rsidRDefault="000450A0">
      <w:pPr>
        <w:rPr>
          <w:rFonts w:ascii="Arial" w:hAnsi="Arial" w:cs="Arial"/>
          <w:sz w:val="24"/>
          <w:szCs w:val="24"/>
        </w:rPr>
      </w:pPr>
    </w:p>
    <w:p w14:paraId="4CBCE53B" w14:textId="77777777" w:rsidR="000450A0" w:rsidRDefault="00A0373C">
      <w:pPr>
        <w:rPr>
          <w:rFonts w:ascii="Arial" w:hAnsi="Arial" w:cs="Arial"/>
          <w:b/>
          <w:sz w:val="24"/>
          <w:szCs w:val="24"/>
        </w:rPr>
      </w:pPr>
      <w:r>
        <w:rPr>
          <w:rFonts w:ascii="Arial" w:hAnsi="Arial" w:cs="Arial"/>
          <w:b/>
          <w:sz w:val="24"/>
          <w:szCs w:val="24"/>
        </w:rPr>
        <w:br w:type="page"/>
      </w:r>
    </w:p>
    <w:p w14:paraId="05B2F35C" w14:textId="77777777" w:rsidR="000450A0" w:rsidRDefault="000450A0">
      <w:pPr>
        <w:rPr>
          <w:rFonts w:ascii="Arial" w:hAnsi="Arial" w:cs="Arial"/>
          <w:b/>
          <w:sz w:val="36"/>
          <w:szCs w:val="36"/>
        </w:rPr>
        <w:sectPr w:rsidR="000450A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3D2ECB9E" w14:textId="77777777" w:rsidR="000450A0" w:rsidRDefault="00A0373C">
      <w:pPr>
        <w:rPr>
          <w:rFonts w:ascii="Arial" w:hAnsi="Arial" w:cs="Arial"/>
          <w:b/>
          <w:sz w:val="36"/>
          <w:szCs w:val="36"/>
        </w:rPr>
      </w:pPr>
      <w:r>
        <w:rPr>
          <w:rFonts w:ascii="Arial" w:hAnsi="Arial" w:cs="Arial"/>
          <w:b/>
          <w:sz w:val="36"/>
          <w:szCs w:val="36"/>
        </w:rPr>
        <w:lastRenderedPageBreak/>
        <w:t xml:space="preserve">Annex </w:t>
      </w:r>
      <w:bookmarkStart w:id="15" w:name="bmannex1"/>
      <w:r>
        <w:rPr>
          <w:rFonts w:ascii="Arial" w:hAnsi="Arial" w:cs="Arial"/>
          <w:b/>
          <w:sz w:val="36"/>
          <w:szCs w:val="36"/>
        </w:rPr>
        <w:t>1</w:t>
      </w:r>
      <w:bookmarkEnd w:id="15"/>
      <w:r>
        <w:rPr>
          <w:rFonts w:ascii="Arial" w:hAnsi="Arial" w:cs="Arial"/>
          <w:b/>
          <w:sz w:val="36"/>
          <w:szCs w:val="36"/>
        </w:rPr>
        <w:t xml:space="preserve"> - Supply Chain Information Report template</w:t>
      </w:r>
    </w:p>
    <w:p w14:paraId="474632E8" w14:textId="77777777" w:rsidR="000450A0" w:rsidRDefault="000450A0">
      <w:pPr>
        <w:rPr>
          <w:rFonts w:ascii="Arial" w:hAnsi="Arial" w:cs="Arial"/>
          <w:sz w:val="24"/>
          <w:szCs w:val="24"/>
        </w:rPr>
      </w:pPr>
    </w:p>
    <w:tbl>
      <w:tblPr>
        <w:tblStyle w:val="TableGrid"/>
        <w:tblW w:w="0" w:type="auto"/>
        <w:tblLayout w:type="fixed"/>
        <w:tblLook w:val="04A0" w:firstRow="1" w:lastRow="0" w:firstColumn="1" w:lastColumn="0" w:noHBand="0" w:noVBand="1"/>
      </w:tblPr>
      <w:tblGrid>
        <w:gridCol w:w="4390"/>
        <w:gridCol w:w="2399"/>
        <w:gridCol w:w="2400"/>
        <w:gridCol w:w="2399"/>
        <w:gridCol w:w="2400"/>
      </w:tblGrid>
      <w:tr w:rsidR="000450A0" w14:paraId="0ECA6E8E" w14:textId="77777777">
        <w:tc>
          <w:tcPr>
            <w:tcW w:w="4390" w:type="dxa"/>
            <w:vMerge w:val="restart"/>
          </w:tcPr>
          <w:p w14:paraId="6B1BC532" w14:textId="77777777" w:rsidR="000450A0" w:rsidRDefault="000450A0">
            <w:pPr>
              <w:pStyle w:val="StdBodyText"/>
              <w:rPr>
                <w:rFonts w:cs="Arial"/>
              </w:rPr>
            </w:pPr>
          </w:p>
        </w:tc>
        <w:tc>
          <w:tcPr>
            <w:tcW w:w="9598" w:type="dxa"/>
            <w:gridSpan w:val="4"/>
          </w:tcPr>
          <w:p w14:paraId="236903FB" w14:textId="77777777" w:rsidR="000450A0" w:rsidRDefault="00A0373C">
            <w:pPr>
              <w:pStyle w:val="StdBodyTextBold"/>
              <w:jc w:val="center"/>
              <w:rPr>
                <w:rFonts w:cs="Arial"/>
              </w:rPr>
            </w:pPr>
            <w:r>
              <w:rPr>
                <w:rFonts w:cs="Arial"/>
              </w:rPr>
              <w:t>Contract Year 20</w:t>
            </w:r>
            <w:r>
              <w:rPr>
                <w:rFonts w:cs="Arial"/>
                <w:highlight w:val="yellow"/>
              </w:rPr>
              <w:t>[    ]</w:t>
            </w:r>
          </w:p>
        </w:tc>
      </w:tr>
      <w:tr w:rsidR="000450A0" w14:paraId="26B5549F" w14:textId="77777777">
        <w:tc>
          <w:tcPr>
            <w:tcW w:w="4390" w:type="dxa"/>
            <w:vMerge/>
          </w:tcPr>
          <w:p w14:paraId="0700042C" w14:textId="77777777" w:rsidR="000450A0" w:rsidRDefault="000450A0">
            <w:pPr>
              <w:pStyle w:val="StdBodyText"/>
              <w:rPr>
                <w:rFonts w:cs="Arial"/>
              </w:rPr>
            </w:pPr>
          </w:p>
        </w:tc>
        <w:tc>
          <w:tcPr>
            <w:tcW w:w="4799" w:type="dxa"/>
            <w:gridSpan w:val="2"/>
          </w:tcPr>
          <w:p w14:paraId="26ACC382" w14:textId="77777777" w:rsidR="000450A0" w:rsidRDefault="00A0373C">
            <w:pPr>
              <w:pStyle w:val="StdBodyTextBold"/>
              <w:jc w:val="center"/>
              <w:rPr>
                <w:rFonts w:cs="Arial"/>
              </w:rPr>
            </w:pPr>
            <w:r>
              <w:rPr>
                <w:rFonts w:cs="Arial"/>
              </w:rPr>
              <w:t>Under this Contract</w:t>
            </w:r>
          </w:p>
        </w:tc>
        <w:tc>
          <w:tcPr>
            <w:tcW w:w="4799" w:type="dxa"/>
            <w:gridSpan w:val="2"/>
          </w:tcPr>
          <w:p w14:paraId="4CD51C8E" w14:textId="77777777" w:rsidR="000450A0" w:rsidRDefault="00A0373C">
            <w:pPr>
              <w:pStyle w:val="StdBodyTextBold"/>
              <w:jc w:val="center"/>
              <w:rPr>
                <w:rFonts w:cs="Arial"/>
              </w:rPr>
            </w:pPr>
            <w:r>
              <w:rPr>
                <w:rFonts w:cs="Arial"/>
              </w:rPr>
              <w:t>Supplier as a whole</w:t>
            </w:r>
          </w:p>
        </w:tc>
      </w:tr>
      <w:tr w:rsidR="000450A0" w14:paraId="7FD936B7" w14:textId="77777777">
        <w:tc>
          <w:tcPr>
            <w:tcW w:w="4390" w:type="dxa"/>
            <w:vMerge/>
          </w:tcPr>
          <w:p w14:paraId="157C13DB" w14:textId="77777777" w:rsidR="000450A0" w:rsidRDefault="000450A0">
            <w:pPr>
              <w:pStyle w:val="StdBodyText"/>
              <w:rPr>
                <w:rFonts w:cs="Arial"/>
              </w:rPr>
            </w:pPr>
          </w:p>
        </w:tc>
        <w:tc>
          <w:tcPr>
            <w:tcW w:w="2399" w:type="dxa"/>
          </w:tcPr>
          <w:p w14:paraId="541285F5" w14:textId="77777777" w:rsidR="000450A0" w:rsidRDefault="00A0373C">
            <w:pPr>
              <w:pStyle w:val="StdBodyTextBold"/>
              <w:jc w:val="center"/>
              <w:rPr>
                <w:rFonts w:cs="Arial"/>
              </w:rPr>
            </w:pPr>
            <w:r>
              <w:rPr>
                <w:rFonts w:cs="Arial"/>
              </w:rPr>
              <w:t>£</w:t>
            </w:r>
          </w:p>
        </w:tc>
        <w:tc>
          <w:tcPr>
            <w:tcW w:w="2400" w:type="dxa"/>
          </w:tcPr>
          <w:p w14:paraId="65A9FA31" w14:textId="77777777" w:rsidR="000450A0" w:rsidRDefault="00A0373C">
            <w:pPr>
              <w:pStyle w:val="StdBodyTextBold"/>
              <w:jc w:val="center"/>
              <w:rPr>
                <w:rFonts w:cs="Arial"/>
              </w:rPr>
            </w:pPr>
            <w:r>
              <w:rPr>
                <w:rFonts w:cs="Arial"/>
              </w:rPr>
              <w:t>%</w:t>
            </w:r>
          </w:p>
        </w:tc>
        <w:tc>
          <w:tcPr>
            <w:tcW w:w="2399" w:type="dxa"/>
          </w:tcPr>
          <w:p w14:paraId="44F0231C" w14:textId="77777777" w:rsidR="000450A0" w:rsidRDefault="00A0373C">
            <w:pPr>
              <w:pStyle w:val="StdBodyTextBold"/>
              <w:jc w:val="center"/>
              <w:rPr>
                <w:rFonts w:cs="Arial"/>
              </w:rPr>
            </w:pPr>
            <w:r>
              <w:rPr>
                <w:rFonts w:cs="Arial"/>
              </w:rPr>
              <w:t>£</w:t>
            </w:r>
          </w:p>
        </w:tc>
        <w:tc>
          <w:tcPr>
            <w:tcW w:w="2400" w:type="dxa"/>
          </w:tcPr>
          <w:p w14:paraId="4B7FC5EF" w14:textId="77777777" w:rsidR="000450A0" w:rsidRDefault="00A0373C">
            <w:pPr>
              <w:pStyle w:val="StdBodyTextBold"/>
              <w:jc w:val="center"/>
              <w:rPr>
                <w:rFonts w:cs="Arial"/>
              </w:rPr>
            </w:pPr>
            <w:r>
              <w:rPr>
                <w:rFonts w:cs="Arial"/>
              </w:rPr>
              <w:t>%</w:t>
            </w:r>
          </w:p>
        </w:tc>
      </w:tr>
      <w:tr w:rsidR="000450A0" w14:paraId="66A458D2" w14:textId="77777777">
        <w:tc>
          <w:tcPr>
            <w:tcW w:w="4390" w:type="dxa"/>
          </w:tcPr>
          <w:p w14:paraId="4B1502F7" w14:textId="77777777" w:rsidR="000450A0" w:rsidRDefault="00A0373C">
            <w:pPr>
              <w:pStyle w:val="StdBodyText"/>
              <w:rPr>
                <w:rFonts w:cs="Arial"/>
              </w:rPr>
            </w:pPr>
            <w:r>
              <w:rPr>
                <w:rFonts w:cs="Arial"/>
              </w:rPr>
              <w:t>Estimated total contract revenue (£) to be received in this Contract Year</w:t>
            </w:r>
          </w:p>
        </w:tc>
        <w:tc>
          <w:tcPr>
            <w:tcW w:w="2399" w:type="dxa"/>
          </w:tcPr>
          <w:p w14:paraId="001F9A92" w14:textId="77777777" w:rsidR="000450A0" w:rsidRDefault="00A0373C">
            <w:pPr>
              <w:pStyle w:val="StdBodyText"/>
              <w:jc w:val="center"/>
              <w:rPr>
                <w:rFonts w:cs="Arial"/>
              </w:rPr>
            </w:pPr>
            <w:r>
              <w:rPr>
                <w:rFonts w:cs="Arial"/>
                <w:highlight w:val="yellow"/>
              </w:rPr>
              <w:t>£[    ]</w:t>
            </w:r>
          </w:p>
        </w:tc>
        <w:tc>
          <w:tcPr>
            <w:tcW w:w="2400" w:type="dxa"/>
          </w:tcPr>
          <w:p w14:paraId="57798889" w14:textId="77777777" w:rsidR="000450A0" w:rsidRDefault="00A0373C">
            <w:pPr>
              <w:pStyle w:val="StdBodyText"/>
              <w:jc w:val="center"/>
              <w:rPr>
                <w:rFonts w:cs="Arial"/>
              </w:rPr>
            </w:pPr>
            <w:r>
              <w:rPr>
                <w:rFonts w:cs="Arial"/>
              </w:rPr>
              <w:t>100%</w:t>
            </w:r>
          </w:p>
        </w:tc>
        <w:tc>
          <w:tcPr>
            <w:tcW w:w="2399" w:type="dxa"/>
          </w:tcPr>
          <w:p w14:paraId="6C77E422" w14:textId="77777777" w:rsidR="000450A0" w:rsidRDefault="00A0373C">
            <w:pPr>
              <w:pStyle w:val="StdBodyText"/>
              <w:jc w:val="center"/>
              <w:rPr>
                <w:rFonts w:cs="Arial"/>
              </w:rPr>
            </w:pPr>
            <w:r>
              <w:rPr>
                <w:rFonts w:cs="Arial"/>
                <w:highlight w:val="yellow"/>
              </w:rPr>
              <w:t>£[    ]</w:t>
            </w:r>
          </w:p>
        </w:tc>
        <w:tc>
          <w:tcPr>
            <w:tcW w:w="2400" w:type="dxa"/>
          </w:tcPr>
          <w:p w14:paraId="4E77D7F3" w14:textId="77777777" w:rsidR="000450A0" w:rsidRDefault="00A0373C">
            <w:pPr>
              <w:pStyle w:val="StdBodyText"/>
              <w:jc w:val="center"/>
              <w:rPr>
                <w:rFonts w:cs="Arial"/>
              </w:rPr>
            </w:pPr>
            <w:r>
              <w:rPr>
                <w:rFonts w:cs="Arial"/>
              </w:rPr>
              <w:t>100%</w:t>
            </w:r>
          </w:p>
        </w:tc>
      </w:tr>
      <w:tr w:rsidR="000450A0" w14:paraId="2EF28513" w14:textId="77777777">
        <w:tc>
          <w:tcPr>
            <w:tcW w:w="4390" w:type="dxa"/>
          </w:tcPr>
          <w:p w14:paraId="49F05E6F" w14:textId="77777777" w:rsidR="000450A0" w:rsidRDefault="00A0373C">
            <w:pPr>
              <w:pStyle w:val="StdBodyText"/>
              <w:rPr>
                <w:rFonts w:cs="Arial"/>
              </w:rPr>
            </w:pPr>
            <w:r>
              <w:rPr>
                <w:rFonts w:cs="Arial"/>
              </w:rPr>
              <w:t>Total value of Sub-contracted revenues (£) in this Contract Year</w:t>
            </w:r>
          </w:p>
        </w:tc>
        <w:tc>
          <w:tcPr>
            <w:tcW w:w="2399" w:type="dxa"/>
          </w:tcPr>
          <w:p w14:paraId="2563A29D" w14:textId="77777777" w:rsidR="000450A0" w:rsidRDefault="00A0373C">
            <w:pPr>
              <w:pStyle w:val="StdBodyText"/>
              <w:jc w:val="center"/>
              <w:rPr>
                <w:rFonts w:cs="Arial"/>
              </w:rPr>
            </w:pPr>
            <w:r>
              <w:rPr>
                <w:rFonts w:cs="Arial"/>
                <w:highlight w:val="yellow"/>
              </w:rPr>
              <w:t>£[    ]</w:t>
            </w:r>
          </w:p>
        </w:tc>
        <w:tc>
          <w:tcPr>
            <w:tcW w:w="2400" w:type="dxa"/>
          </w:tcPr>
          <w:p w14:paraId="7A623627" w14:textId="77777777" w:rsidR="000450A0" w:rsidRDefault="00A0373C">
            <w:pPr>
              <w:pStyle w:val="StdBodyText"/>
              <w:jc w:val="center"/>
              <w:rPr>
                <w:rFonts w:cs="Arial"/>
              </w:rPr>
            </w:pPr>
            <w:r>
              <w:rPr>
                <w:rFonts w:cs="Arial"/>
                <w:highlight w:val="yellow"/>
              </w:rPr>
              <w:t>[    ]</w:t>
            </w:r>
          </w:p>
        </w:tc>
        <w:tc>
          <w:tcPr>
            <w:tcW w:w="2399" w:type="dxa"/>
          </w:tcPr>
          <w:p w14:paraId="24C45D32" w14:textId="77777777" w:rsidR="000450A0" w:rsidRDefault="00A0373C">
            <w:pPr>
              <w:pStyle w:val="StdBodyText"/>
              <w:jc w:val="center"/>
              <w:rPr>
                <w:rFonts w:cs="Arial"/>
              </w:rPr>
            </w:pPr>
            <w:r>
              <w:rPr>
                <w:rFonts w:cs="Arial"/>
                <w:highlight w:val="yellow"/>
              </w:rPr>
              <w:t>£[    ]</w:t>
            </w:r>
          </w:p>
        </w:tc>
        <w:tc>
          <w:tcPr>
            <w:tcW w:w="2400" w:type="dxa"/>
          </w:tcPr>
          <w:p w14:paraId="1C3817B7" w14:textId="77777777" w:rsidR="000450A0" w:rsidRDefault="00A0373C">
            <w:pPr>
              <w:pStyle w:val="StdBodyText"/>
              <w:jc w:val="center"/>
              <w:rPr>
                <w:rFonts w:cs="Arial"/>
              </w:rPr>
            </w:pPr>
            <w:r>
              <w:rPr>
                <w:rFonts w:cs="Arial"/>
                <w:highlight w:val="yellow"/>
              </w:rPr>
              <w:t>[    ]</w:t>
            </w:r>
          </w:p>
        </w:tc>
      </w:tr>
      <w:tr w:rsidR="000450A0" w14:paraId="4AA26F06" w14:textId="77777777">
        <w:tc>
          <w:tcPr>
            <w:tcW w:w="4390" w:type="dxa"/>
          </w:tcPr>
          <w:p w14:paraId="28E7E938" w14:textId="77777777" w:rsidR="000450A0" w:rsidRDefault="00A0373C">
            <w:pPr>
              <w:pStyle w:val="StdBodyText"/>
              <w:rPr>
                <w:rFonts w:cs="Arial"/>
              </w:rPr>
            </w:pPr>
            <w:r>
              <w:rPr>
                <w:rFonts w:cs="Arial"/>
              </w:rPr>
              <w:t xml:space="preserve">Total value of Sub-contracted revenues to SMEs (£) in this Contract Year </w:t>
            </w:r>
          </w:p>
        </w:tc>
        <w:tc>
          <w:tcPr>
            <w:tcW w:w="2399" w:type="dxa"/>
          </w:tcPr>
          <w:p w14:paraId="63EACF7A" w14:textId="77777777" w:rsidR="000450A0" w:rsidRDefault="00A0373C">
            <w:pPr>
              <w:pStyle w:val="StdBodyText"/>
              <w:jc w:val="center"/>
              <w:rPr>
                <w:rFonts w:cs="Arial"/>
              </w:rPr>
            </w:pPr>
            <w:r>
              <w:rPr>
                <w:rFonts w:cs="Arial"/>
                <w:highlight w:val="yellow"/>
              </w:rPr>
              <w:t>£[    ]</w:t>
            </w:r>
          </w:p>
        </w:tc>
        <w:tc>
          <w:tcPr>
            <w:tcW w:w="2400" w:type="dxa"/>
          </w:tcPr>
          <w:p w14:paraId="422655C2" w14:textId="77777777" w:rsidR="000450A0" w:rsidRDefault="00A0373C">
            <w:pPr>
              <w:pStyle w:val="StdBodyText"/>
              <w:jc w:val="center"/>
              <w:rPr>
                <w:rFonts w:cs="Arial"/>
              </w:rPr>
            </w:pPr>
            <w:r>
              <w:rPr>
                <w:rFonts w:cs="Arial"/>
                <w:highlight w:val="yellow"/>
              </w:rPr>
              <w:t>[    ]</w:t>
            </w:r>
          </w:p>
        </w:tc>
        <w:tc>
          <w:tcPr>
            <w:tcW w:w="2399" w:type="dxa"/>
          </w:tcPr>
          <w:p w14:paraId="53B4D688" w14:textId="77777777" w:rsidR="000450A0" w:rsidRDefault="00A0373C">
            <w:pPr>
              <w:pStyle w:val="StdBodyText"/>
              <w:jc w:val="center"/>
              <w:rPr>
                <w:rFonts w:cs="Arial"/>
              </w:rPr>
            </w:pPr>
            <w:r>
              <w:rPr>
                <w:rFonts w:cs="Arial"/>
                <w:highlight w:val="yellow"/>
              </w:rPr>
              <w:t>£[    ]</w:t>
            </w:r>
          </w:p>
        </w:tc>
        <w:tc>
          <w:tcPr>
            <w:tcW w:w="2400" w:type="dxa"/>
          </w:tcPr>
          <w:p w14:paraId="5B96FE30" w14:textId="77777777" w:rsidR="000450A0" w:rsidRDefault="00A0373C">
            <w:pPr>
              <w:pStyle w:val="StdBodyText"/>
              <w:jc w:val="center"/>
              <w:rPr>
                <w:rFonts w:cs="Arial"/>
              </w:rPr>
            </w:pPr>
            <w:r>
              <w:rPr>
                <w:rFonts w:cs="Arial"/>
                <w:highlight w:val="yellow"/>
              </w:rPr>
              <w:t>[    ]</w:t>
            </w:r>
          </w:p>
        </w:tc>
      </w:tr>
      <w:tr w:rsidR="000450A0" w14:paraId="04C7A581" w14:textId="77777777">
        <w:tc>
          <w:tcPr>
            <w:tcW w:w="4390" w:type="dxa"/>
          </w:tcPr>
          <w:p w14:paraId="548A0F1F" w14:textId="77777777" w:rsidR="000450A0" w:rsidRDefault="00A0373C">
            <w:pPr>
              <w:pStyle w:val="StdBodyText"/>
              <w:rPr>
                <w:rFonts w:cs="Arial"/>
              </w:rPr>
            </w:pPr>
            <w:r>
              <w:rPr>
                <w:rFonts w:cs="Arial"/>
              </w:rPr>
              <w:t>Total value of Sub-contracted revenues to VCSEs (£) in this Contract Year</w:t>
            </w:r>
          </w:p>
        </w:tc>
        <w:tc>
          <w:tcPr>
            <w:tcW w:w="2399" w:type="dxa"/>
          </w:tcPr>
          <w:p w14:paraId="4F72FF36" w14:textId="77777777" w:rsidR="000450A0" w:rsidRDefault="00A0373C">
            <w:pPr>
              <w:pStyle w:val="StdBodyText"/>
              <w:jc w:val="center"/>
              <w:rPr>
                <w:rFonts w:cs="Arial"/>
              </w:rPr>
            </w:pPr>
            <w:r>
              <w:rPr>
                <w:rFonts w:cs="Arial"/>
                <w:highlight w:val="yellow"/>
              </w:rPr>
              <w:t>£[    ]</w:t>
            </w:r>
          </w:p>
        </w:tc>
        <w:tc>
          <w:tcPr>
            <w:tcW w:w="2400" w:type="dxa"/>
          </w:tcPr>
          <w:p w14:paraId="09B5AA7D" w14:textId="77777777" w:rsidR="000450A0" w:rsidRDefault="00A0373C">
            <w:pPr>
              <w:pStyle w:val="StdBodyText"/>
              <w:jc w:val="center"/>
              <w:rPr>
                <w:rFonts w:cs="Arial"/>
              </w:rPr>
            </w:pPr>
            <w:r>
              <w:rPr>
                <w:rFonts w:cs="Arial"/>
                <w:highlight w:val="yellow"/>
              </w:rPr>
              <w:t>[    ]</w:t>
            </w:r>
          </w:p>
        </w:tc>
        <w:tc>
          <w:tcPr>
            <w:tcW w:w="2399" w:type="dxa"/>
          </w:tcPr>
          <w:p w14:paraId="195A3828" w14:textId="77777777" w:rsidR="000450A0" w:rsidRDefault="00A0373C">
            <w:pPr>
              <w:pStyle w:val="StdBodyText"/>
              <w:jc w:val="center"/>
              <w:rPr>
                <w:rFonts w:cs="Arial"/>
              </w:rPr>
            </w:pPr>
            <w:r>
              <w:rPr>
                <w:rFonts w:cs="Arial"/>
                <w:highlight w:val="yellow"/>
              </w:rPr>
              <w:t>£[    ]</w:t>
            </w:r>
          </w:p>
        </w:tc>
        <w:tc>
          <w:tcPr>
            <w:tcW w:w="2400" w:type="dxa"/>
          </w:tcPr>
          <w:p w14:paraId="35291998" w14:textId="77777777" w:rsidR="000450A0" w:rsidRDefault="00A0373C">
            <w:pPr>
              <w:pStyle w:val="StdBodyText"/>
              <w:jc w:val="center"/>
              <w:rPr>
                <w:rFonts w:cs="Arial"/>
              </w:rPr>
            </w:pPr>
            <w:r>
              <w:rPr>
                <w:rFonts w:cs="Arial"/>
                <w:highlight w:val="yellow"/>
              </w:rPr>
              <w:t>[    ]</w:t>
            </w:r>
          </w:p>
        </w:tc>
      </w:tr>
      <w:bookmarkEnd w:id="0"/>
    </w:tbl>
    <w:p w14:paraId="7A24EBB3" w14:textId="77777777" w:rsidR="000450A0" w:rsidRDefault="000450A0">
      <w:pPr>
        <w:rPr>
          <w:rFonts w:ascii="Arial" w:hAnsi="Arial" w:cs="Arial"/>
          <w:sz w:val="24"/>
          <w:szCs w:val="24"/>
        </w:rPr>
      </w:pPr>
    </w:p>
    <w:sectPr w:rsidR="000450A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78778" w14:textId="77777777" w:rsidR="000450A0" w:rsidRDefault="00A0373C">
      <w:pPr>
        <w:spacing w:after="0" w:line="240" w:lineRule="auto"/>
      </w:pPr>
      <w:r>
        <w:separator/>
      </w:r>
    </w:p>
  </w:endnote>
  <w:endnote w:type="continuationSeparator" w:id="0">
    <w:p w14:paraId="0BE66D69" w14:textId="77777777" w:rsidR="000450A0" w:rsidRDefault="00A03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01E14" w14:textId="77777777" w:rsidR="009567C1" w:rsidRDefault="009567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2312158"/>
      <w:docPartObj>
        <w:docPartGallery w:val="Page Numbers (Bottom of Page)"/>
        <w:docPartUnique/>
      </w:docPartObj>
    </w:sdtPr>
    <w:sdtEndPr>
      <w:rPr>
        <w:noProof/>
      </w:rPr>
    </w:sdtEndPr>
    <w:sdtContent>
      <w:p w14:paraId="1785C7B4" w14:textId="77777777" w:rsidR="000450A0" w:rsidRDefault="000450A0">
        <w:pPr>
          <w:tabs>
            <w:tab w:val="center" w:pos="4513"/>
            <w:tab w:val="right" w:pos="9026"/>
          </w:tabs>
          <w:spacing w:after="0"/>
        </w:pPr>
      </w:p>
      <w:p w14:paraId="10F152E0" w14:textId="4AD19E9F" w:rsidR="000450A0" w:rsidRDefault="00BB7C29" w:rsidP="00BB7C29">
        <w:pPr>
          <w:tabs>
            <w:tab w:val="center" w:pos="4513"/>
            <w:tab w:val="right" w:pos="9026"/>
          </w:tabs>
          <w:spacing w:after="0"/>
          <w:rPr>
            <w:rFonts w:ascii="Arial" w:hAnsi="Arial"/>
            <w:color w:val="BFBFBF" w:themeColor="background1" w:themeShade="BF"/>
            <w:sz w:val="20"/>
            <w:szCs w:val="20"/>
          </w:rPr>
        </w:pPr>
        <w:r>
          <w:rPr>
            <w:rFonts w:ascii="Arial" w:hAnsi="Arial"/>
            <w:color w:val="BFBFBF" w:themeColor="background1" w:themeShade="BF"/>
            <w:sz w:val="20"/>
            <w:szCs w:val="20"/>
          </w:rPr>
          <w:t>v.</w:t>
        </w:r>
        <w:r w:rsidR="00A0373C">
          <w:rPr>
            <w:rFonts w:ascii="Arial" w:hAnsi="Arial"/>
            <w:color w:val="BFBFBF" w:themeColor="background1" w:themeShade="BF"/>
            <w:sz w:val="20"/>
            <w:szCs w:val="20"/>
          </w:rPr>
          <w:t>1.2</w:t>
        </w:r>
        <w:r w:rsidR="00A0373C">
          <w:rPr>
            <w:rFonts w:ascii="Arial" w:hAnsi="Arial"/>
            <w:color w:val="BFBFBF" w:themeColor="background1" w:themeShade="BF"/>
            <w:sz w:val="20"/>
            <w:szCs w:val="20"/>
          </w:rPr>
          <w:tab/>
        </w:r>
        <w:r w:rsidR="00A0373C">
          <w:rPr>
            <w:rFonts w:ascii="Arial" w:hAnsi="Arial"/>
            <w:color w:val="BFBFBF" w:themeColor="background1" w:themeShade="BF"/>
            <w:sz w:val="20"/>
            <w:szCs w:val="20"/>
          </w:rPr>
          <w:tab/>
          <w:t xml:space="preserve"> </w:t>
        </w:r>
        <w:r w:rsidR="00A0373C">
          <w:rPr>
            <w:rFonts w:ascii="Arial" w:hAnsi="Arial"/>
            <w:color w:val="BFBFBF" w:themeColor="background1" w:themeShade="BF"/>
            <w:sz w:val="20"/>
            <w:szCs w:val="20"/>
          </w:rPr>
          <w:fldChar w:fldCharType="begin"/>
        </w:r>
        <w:r w:rsidR="00A0373C">
          <w:rPr>
            <w:rFonts w:ascii="Arial" w:hAnsi="Arial"/>
            <w:color w:val="BFBFBF" w:themeColor="background1" w:themeShade="BF"/>
            <w:sz w:val="20"/>
            <w:szCs w:val="20"/>
          </w:rPr>
          <w:instrText xml:space="preserve"> PAGE   \* MERGEFORMAT </w:instrText>
        </w:r>
        <w:r w:rsidR="00A0373C">
          <w:rPr>
            <w:rFonts w:ascii="Arial" w:hAnsi="Arial"/>
            <w:color w:val="BFBFBF" w:themeColor="background1" w:themeShade="BF"/>
            <w:sz w:val="20"/>
            <w:szCs w:val="20"/>
          </w:rPr>
          <w:fldChar w:fldCharType="separate"/>
        </w:r>
        <w:r w:rsidR="00A0373C">
          <w:rPr>
            <w:rFonts w:ascii="Arial" w:hAnsi="Arial"/>
            <w:noProof/>
            <w:color w:val="BFBFBF" w:themeColor="background1" w:themeShade="BF"/>
            <w:sz w:val="20"/>
            <w:szCs w:val="20"/>
          </w:rPr>
          <w:t>1</w:t>
        </w:r>
        <w:r w:rsidR="00A0373C">
          <w:rPr>
            <w:rFonts w:ascii="Arial" w:hAnsi="Arial"/>
            <w:noProof/>
            <w:color w:val="BFBFBF" w:themeColor="background1" w:themeShade="BF"/>
            <w:sz w:val="20"/>
            <w:szCs w:val="20"/>
          </w:rPr>
          <w:fldChar w:fldCharType="end"/>
        </w:r>
      </w:p>
      <w:p w14:paraId="1505197F" w14:textId="77777777" w:rsidR="000450A0" w:rsidRDefault="00942879">
        <w:pPr>
          <w:pStyle w:val="Foo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242F6" w14:textId="77777777" w:rsidR="009567C1" w:rsidRDefault="009567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327D0" w14:textId="77777777" w:rsidR="000450A0" w:rsidRDefault="00A0373C">
      <w:pPr>
        <w:spacing w:after="0" w:line="240" w:lineRule="auto"/>
      </w:pPr>
      <w:r>
        <w:separator/>
      </w:r>
    </w:p>
  </w:footnote>
  <w:footnote w:type="continuationSeparator" w:id="0">
    <w:p w14:paraId="5A260D78" w14:textId="77777777" w:rsidR="000450A0" w:rsidRDefault="00A037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D1074" w14:textId="77777777" w:rsidR="009567C1" w:rsidRDefault="009567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0A9B2" w14:textId="666B46D7" w:rsidR="000450A0" w:rsidRDefault="23895AAF" w:rsidP="23895AAF">
    <w:pPr>
      <w:ind w:left="6480"/>
    </w:pPr>
    <w:r>
      <w:rPr>
        <w:noProof/>
      </w:rPr>
      <w:drawing>
        <wp:inline distT="0" distB="0" distL="0" distR="0" wp14:anchorId="24033AD7" wp14:editId="387ADD22">
          <wp:extent cx="1651794" cy="543056"/>
          <wp:effectExtent l="0" t="0" r="0" b="0"/>
          <wp:docPr id="1315290644" name="Picture 1315290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51794" cy="54305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C83D" w14:textId="77777777" w:rsidR="009567C1" w:rsidRDefault="009567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24D37"/>
    <w:multiLevelType w:val="multilevel"/>
    <w:tmpl w:val="20CA5F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8137AC9"/>
    <w:multiLevelType w:val="multilevel"/>
    <w:tmpl w:val="3DA08EA0"/>
    <w:lvl w:ilvl="0">
      <w:start w:val="1"/>
      <w:numFmt w:val="decimal"/>
      <w:pStyle w:val="ScheduleHeading"/>
      <w:suff w:val="nothing"/>
      <w:lvlText w:val="Schedule %1"/>
      <w:lvlJc w:val="left"/>
      <w:pPr>
        <w:ind w:left="0" w:firstLine="0"/>
      </w:pPr>
      <w:rPr>
        <w:rFonts w:hint="default"/>
        <w:caps/>
      </w:rPr>
    </w:lvl>
    <w:lvl w:ilvl="1">
      <w:start w:val="1"/>
      <w:numFmt w:val="decimal"/>
      <w:pStyle w:val="ScheduleHeading2"/>
      <w:suff w:val="nothing"/>
      <w:lvlText w:val="Schedule %1.%2"/>
      <w:lvlJc w:val="left"/>
      <w:pPr>
        <w:ind w:left="0" w:firstLine="0"/>
      </w:pPr>
      <w:rPr>
        <w:rFonts w:hint="default"/>
        <w:caps/>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F915E6A"/>
    <w:multiLevelType w:val="hybridMultilevel"/>
    <w:tmpl w:val="23585F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421F42"/>
    <w:multiLevelType w:val="multilevel"/>
    <w:tmpl w:val="2B84B48E"/>
    <w:lvl w:ilvl="0">
      <w:start w:val="1"/>
      <w:numFmt w:val="decimal"/>
      <w:lvlText w:val="%1."/>
      <w:lvlJc w:val="left"/>
      <w:pPr>
        <w:tabs>
          <w:tab w:val="num" w:pos="360"/>
        </w:tabs>
        <w:ind w:left="360" w:hanging="360"/>
      </w:pPr>
      <w:rPr>
        <w:rFonts w:hint="default"/>
        <w:smallCaps w:val="0"/>
        <w:strike w:val="0"/>
        <w:color w:val="000000"/>
        <w:u w:val="none"/>
        <w:vertAlign w:val="baseline"/>
      </w:rPr>
    </w:lvl>
    <w:lvl w:ilvl="1">
      <w:start w:val="1"/>
      <w:numFmt w:val="decimal"/>
      <w:lvlText w:val="%1.%2"/>
      <w:lvlJc w:val="left"/>
      <w:pPr>
        <w:tabs>
          <w:tab w:val="num" w:pos="907"/>
        </w:tabs>
        <w:ind w:left="907" w:hanging="547"/>
      </w:pPr>
      <w:rPr>
        <w:rFonts w:ascii="Arial" w:eastAsia="Arial" w:hAnsi="Arial" w:cs="Arial" w:hint="default"/>
        <w:i w:val="0"/>
        <w:smallCaps w:val="0"/>
        <w:strike w:val="0"/>
        <w:color w:val="000000"/>
        <w:u w:val="none"/>
        <w:vertAlign w:val="baseline"/>
      </w:rPr>
    </w:lvl>
    <w:lvl w:ilvl="2">
      <w:start w:val="1"/>
      <w:numFmt w:val="decimal"/>
      <w:lvlText w:val="%1.%2.%3"/>
      <w:lvlJc w:val="left"/>
      <w:pPr>
        <w:tabs>
          <w:tab w:val="num" w:pos="1714"/>
        </w:tabs>
        <w:ind w:left="1714" w:hanging="807"/>
      </w:pPr>
      <w:rPr>
        <w:rFonts w:hint="default"/>
        <w:i w:val="0"/>
        <w:smallCaps w:val="0"/>
        <w:strike w:val="0"/>
        <w:color w:val="000000"/>
        <w:u w:val="none"/>
        <w:vertAlign w:val="baseline"/>
      </w:rPr>
    </w:lvl>
    <w:lvl w:ilvl="3">
      <w:start w:val="1"/>
      <w:numFmt w:val="lowerLetter"/>
      <w:lvlText w:val="(%4)"/>
      <w:lvlJc w:val="left"/>
      <w:pPr>
        <w:tabs>
          <w:tab w:val="num" w:pos="2563"/>
        </w:tabs>
        <w:ind w:left="2563" w:hanging="849"/>
      </w:pPr>
      <w:rPr>
        <w:rFonts w:ascii="Arial" w:hAnsi="Arial" w:cs="Calibri" w:hint="default"/>
        <w:i w:val="0"/>
        <w:strike w:val="0"/>
        <w:color w:val="000000"/>
        <w:sz w:val="24"/>
        <w:u w:val="none"/>
        <w:vertAlign w:val="baseline"/>
      </w:rPr>
    </w:lvl>
    <w:lvl w:ilvl="4">
      <w:start w:val="1"/>
      <w:numFmt w:val="lowerRoman"/>
      <w:lvlText w:val="(%5)"/>
      <w:lvlJc w:val="left"/>
      <w:pPr>
        <w:ind w:left="3207" w:hanging="1080"/>
      </w:pPr>
      <w:rPr>
        <w:rFonts w:hint="default"/>
        <w:b w:val="0"/>
        <w:i w:val="0"/>
        <w:smallCaps w:val="0"/>
        <w:strike w:val="0"/>
        <w:color w:val="000000"/>
        <w:u w:val="none"/>
        <w:vertAlign w:val="baseline"/>
      </w:rPr>
    </w:lvl>
    <w:lvl w:ilvl="5">
      <w:start w:val="1"/>
      <w:numFmt w:val="upperLetter"/>
      <w:lvlText w:val="(%6)"/>
      <w:lvlJc w:val="left"/>
      <w:pPr>
        <w:ind w:left="1298" w:hanging="1080"/>
      </w:pPr>
      <w:rPr>
        <w:rFonts w:hint="default"/>
        <w:b w:val="0"/>
        <w:i w:val="0"/>
        <w:smallCaps w:val="0"/>
        <w:strike w:val="0"/>
        <w:color w:val="000000"/>
        <w:u w:val="none"/>
        <w:vertAlign w:val="baseline"/>
      </w:rPr>
    </w:lvl>
    <w:lvl w:ilvl="6">
      <w:start w:val="1"/>
      <w:numFmt w:val="decimal"/>
      <w:lvlText w:val="%1.%2.%3.%4.%5.%6.%7"/>
      <w:lvlJc w:val="left"/>
      <w:pPr>
        <w:ind w:left="1658" w:hanging="1440"/>
      </w:pPr>
      <w:rPr>
        <w:rFonts w:hint="default"/>
      </w:rPr>
    </w:lvl>
    <w:lvl w:ilvl="7">
      <w:start w:val="1"/>
      <w:numFmt w:val="decimal"/>
      <w:lvlText w:val="%1.%2.%3.%4.%5.%6.%7.%8"/>
      <w:lvlJc w:val="left"/>
      <w:pPr>
        <w:ind w:left="1658" w:hanging="1440"/>
      </w:pPr>
      <w:rPr>
        <w:rFonts w:hint="default"/>
      </w:rPr>
    </w:lvl>
    <w:lvl w:ilvl="8">
      <w:start w:val="1"/>
      <w:numFmt w:val="decimal"/>
      <w:lvlText w:val="%1.%2.%3.%4.%5.%6.%7.%8.%9"/>
      <w:lvlJc w:val="left"/>
      <w:pPr>
        <w:ind w:left="2018" w:hanging="1800"/>
      </w:pPr>
      <w:rPr>
        <w:rFonts w:hint="default"/>
      </w:rPr>
    </w:lvl>
  </w:abstractNum>
  <w:abstractNum w:abstractNumId="4" w15:restartNumberingAfterBreak="0">
    <w:nsid w:val="29A1533C"/>
    <w:multiLevelType w:val="hybridMultilevel"/>
    <w:tmpl w:val="0A3AD3C8"/>
    <w:lvl w:ilvl="0" w:tplc="D9227DB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9AD07B9"/>
    <w:multiLevelType w:val="multilevel"/>
    <w:tmpl w:val="D11A6B1C"/>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1030B00"/>
    <w:multiLevelType w:val="hybridMultilevel"/>
    <w:tmpl w:val="436E2204"/>
    <w:lvl w:ilvl="0" w:tplc="CABADDA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84A3A42"/>
    <w:multiLevelType w:val="multilevel"/>
    <w:tmpl w:val="CC1C0BA6"/>
    <w:lvl w:ilvl="0">
      <w:start w:val="1"/>
      <w:numFmt w:val="decimal"/>
      <w:lvlText w:val="%1."/>
      <w:lvlJc w:val="left"/>
      <w:pPr>
        <w:tabs>
          <w:tab w:val="num" w:pos="360"/>
        </w:tabs>
        <w:ind w:left="360" w:hanging="360"/>
      </w:pPr>
      <w:rPr>
        <w:rFonts w:hint="default"/>
        <w:smallCaps w:val="0"/>
        <w:strike w:val="0"/>
        <w:color w:val="000000"/>
        <w:u w:val="none"/>
        <w:vertAlign w:val="baseline"/>
      </w:rPr>
    </w:lvl>
    <w:lvl w:ilvl="1">
      <w:start w:val="1"/>
      <w:numFmt w:val="decimal"/>
      <w:lvlText w:val="%1.%2"/>
      <w:lvlJc w:val="left"/>
      <w:pPr>
        <w:tabs>
          <w:tab w:val="num" w:pos="907"/>
        </w:tabs>
        <w:ind w:left="907" w:hanging="547"/>
      </w:pPr>
      <w:rPr>
        <w:rFonts w:ascii="Arial" w:eastAsia="Arial" w:hAnsi="Arial" w:cs="Arial" w:hint="default"/>
        <w:i w:val="0"/>
        <w:smallCaps w:val="0"/>
        <w:strike w:val="0"/>
        <w:color w:val="000000"/>
        <w:u w:val="none"/>
        <w:vertAlign w:val="baseline"/>
      </w:rPr>
    </w:lvl>
    <w:lvl w:ilvl="2">
      <w:start w:val="1"/>
      <w:numFmt w:val="decimal"/>
      <w:lvlText w:val="%1.%2.%3"/>
      <w:lvlJc w:val="left"/>
      <w:pPr>
        <w:tabs>
          <w:tab w:val="num" w:pos="1714"/>
        </w:tabs>
        <w:ind w:left="1714" w:hanging="807"/>
      </w:pPr>
      <w:rPr>
        <w:rFonts w:hint="default"/>
        <w:b w:val="0"/>
        <w:i w:val="0"/>
        <w:smallCaps w:val="0"/>
        <w:strike w:val="0"/>
        <w:color w:val="000000"/>
        <w:u w:val="none"/>
        <w:vertAlign w:val="baseline"/>
      </w:rPr>
    </w:lvl>
    <w:lvl w:ilvl="3">
      <w:start w:val="1"/>
      <w:numFmt w:val="lowerLetter"/>
      <w:lvlText w:val="(%4)"/>
      <w:lvlJc w:val="left"/>
      <w:pPr>
        <w:tabs>
          <w:tab w:val="num" w:pos="2563"/>
        </w:tabs>
        <w:ind w:left="2563" w:hanging="849"/>
      </w:pPr>
      <w:rPr>
        <w:rFonts w:ascii="Arial" w:hAnsi="Arial" w:cs="Calibri" w:hint="default"/>
        <w:i w:val="0"/>
        <w:strike w:val="0"/>
        <w:color w:val="000000"/>
        <w:sz w:val="24"/>
        <w:u w:val="none"/>
        <w:vertAlign w:val="baseline"/>
      </w:rPr>
    </w:lvl>
    <w:lvl w:ilvl="4">
      <w:start w:val="1"/>
      <w:numFmt w:val="lowerRoman"/>
      <w:lvlText w:val="(%5)"/>
      <w:lvlJc w:val="left"/>
      <w:pPr>
        <w:ind w:left="3207" w:hanging="1080"/>
      </w:pPr>
      <w:rPr>
        <w:rFonts w:hint="default"/>
        <w:b w:val="0"/>
        <w:i w:val="0"/>
        <w:smallCaps w:val="0"/>
        <w:strike w:val="0"/>
        <w:color w:val="000000"/>
        <w:u w:val="none"/>
        <w:vertAlign w:val="baseline"/>
      </w:rPr>
    </w:lvl>
    <w:lvl w:ilvl="5">
      <w:start w:val="1"/>
      <w:numFmt w:val="upperLetter"/>
      <w:lvlText w:val="(%6)"/>
      <w:lvlJc w:val="left"/>
      <w:pPr>
        <w:ind w:left="1298" w:hanging="1080"/>
      </w:pPr>
      <w:rPr>
        <w:rFonts w:hint="default"/>
        <w:b w:val="0"/>
        <w:i w:val="0"/>
        <w:smallCaps w:val="0"/>
        <w:strike w:val="0"/>
        <w:color w:val="000000"/>
        <w:u w:val="none"/>
        <w:vertAlign w:val="baseline"/>
      </w:rPr>
    </w:lvl>
    <w:lvl w:ilvl="6">
      <w:start w:val="1"/>
      <w:numFmt w:val="decimal"/>
      <w:lvlText w:val="%1.%2.%3.%4.%5.%6.%7"/>
      <w:lvlJc w:val="left"/>
      <w:pPr>
        <w:ind w:left="1658" w:hanging="1440"/>
      </w:pPr>
      <w:rPr>
        <w:rFonts w:hint="default"/>
      </w:rPr>
    </w:lvl>
    <w:lvl w:ilvl="7">
      <w:start w:val="1"/>
      <w:numFmt w:val="decimal"/>
      <w:lvlText w:val="%1.%2.%3.%4.%5.%6.%7.%8"/>
      <w:lvlJc w:val="left"/>
      <w:pPr>
        <w:ind w:left="1658" w:hanging="1440"/>
      </w:pPr>
      <w:rPr>
        <w:rFonts w:hint="default"/>
      </w:rPr>
    </w:lvl>
    <w:lvl w:ilvl="8">
      <w:start w:val="1"/>
      <w:numFmt w:val="decimal"/>
      <w:lvlText w:val="%1.%2.%3.%4.%5.%6.%7.%8.%9"/>
      <w:lvlJc w:val="left"/>
      <w:pPr>
        <w:ind w:left="2018" w:hanging="1800"/>
      </w:pPr>
      <w:rPr>
        <w:rFonts w:hint="default"/>
      </w:rPr>
    </w:lvl>
  </w:abstractNum>
  <w:abstractNum w:abstractNumId="8" w15:restartNumberingAfterBreak="0">
    <w:nsid w:val="3F8E6554"/>
    <w:multiLevelType w:val="multilevel"/>
    <w:tmpl w:val="7C1A9834"/>
    <w:lvl w:ilvl="0">
      <w:start w:val="1"/>
      <w:numFmt w:val="decimal"/>
      <w:pStyle w:val="GPSL1CLAUSEHEADING"/>
      <w:lvlText w:val="%1."/>
      <w:lvlJc w:val="left"/>
      <w:pPr>
        <w:tabs>
          <w:tab w:val="num" w:pos="360"/>
        </w:tabs>
        <w:ind w:left="360" w:hanging="360"/>
      </w:pPr>
      <w:rPr>
        <w:rFonts w:hint="default"/>
        <w:smallCaps w:val="0"/>
        <w:strike w:val="0"/>
        <w:color w:val="000000"/>
        <w:u w:val="none"/>
        <w:vertAlign w:val="baseline"/>
      </w:rPr>
    </w:lvl>
    <w:lvl w:ilvl="1">
      <w:start w:val="1"/>
      <w:numFmt w:val="decimal"/>
      <w:pStyle w:val="GPSL2numberedclause"/>
      <w:lvlText w:val="%1.%2"/>
      <w:lvlJc w:val="left"/>
      <w:pPr>
        <w:tabs>
          <w:tab w:val="num" w:pos="907"/>
        </w:tabs>
        <w:ind w:left="907" w:hanging="547"/>
      </w:pPr>
      <w:rPr>
        <w:rFonts w:ascii="Arial" w:eastAsia="Arial" w:hAnsi="Arial" w:cs="Arial" w:hint="default"/>
        <w:i w:val="0"/>
        <w:smallCaps w:val="0"/>
        <w:strike w:val="0"/>
        <w:color w:val="000000"/>
        <w:u w:val="none"/>
        <w:vertAlign w:val="baseline"/>
      </w:rPr>
    </w:lvl>
    <w:lvl w:ilvl="2">
      <w:start w:val="1"/>
      <w:numFmt w:val="decimal"/>
      <w:pStyle w:val="GPSL3numberedclause"/>
      <w:lvlText w:val="%1.%2.%3"/>
      <w:lvlJc w:val="left"/>
      <w:pPr>
        <w:tabs>
          <w:tab w:val="num" w:pos="1757"/>
        </w:tabs>
        <w:ind w:left="1757" w:hanging="850"/>
      </w:pPr>
      <w:rPr>
        <w:rFonts w:hint="default"/>
        <w:b w:val="0"/>
        <w:i w:val="0"/>
        <w:smallCaps w:val="0"/>
        <w:strike w:val="0"/>
        <w:color w:val="000000"/>
        <w:u w:val="none"/>
        <w:vertAlign w:val="baseline"/>
      </w:rPr>
    </w:lvl>
    <w:lvl w:ilvl="3">
      <w:start w:val="1"/>
      <w:numFmt w:val="lowerLetter"/>
      <w:pStyle w:val="GPSL4numberedclause"/>
      <w:lvlText w:val="%4)"/>
      <w:lvlJc w:val="left"/>
      <w:pPr>
        <w:tabs>
          <w:tab w:val="num" w:pos="2606"/>
        </w:tabs>
        <w:ind w:left="2606" w:hanging="849"/>
      </w:pPr>
      <w:rPr>
        <w:rFonts w:ascii="Arial" w:hAnsi="Arial" w:cs="Calibri" w:hint="default"/>
        <w:i w:val="0"/>
        <w:strike w:val="0"/>
        <w:color w:val="000000"/>
        <w:sz w:val="24"/>
        <w:u w:val="none"/>
        <w:vertAlign w:val="baseline"/>
      </w:rPr>
    </w:lvl>
    <w:lvl w:ilvl="4">
      <w:start w:val="1"/>
      <w:numFmt w:val="lowerRoman"/>
      <w:pStyle w:val="GPSL5numberedclause"/>
      <w:lvlText w:val="(%5)"/>
      <w:lvlJc w:val="left"/>
      <w:pPr>
        <w:ind w:left="3207" w:hanging="1080"/>
      </w:pPr>
      <w:rPr>
        <w:rFonts w:hint="default"/>
        <w:b w:val="0"/>
        <w:i w:val="0"/>
        <w:smallCaps w:val="0"/>
        <w:strike w:val="0"/>
        <w:color w:val="000000"/>
        <w:u w:val="none"/>
        <w:vertAlign w:val="baseline"/>
      </w:rPr>
    </w:lvl>
    <w:lvl w:ilvl="5">
      <w:start w:val="1"/>
      <w:numFmt w:val="upperLetter"/>
      <w:pStyle w:val="GPSL6numbered"/>
      <w:lvlText w:val="(%6)"/>
      <w:lvlJc w:val="left"/>
      <w:pPr>
        <w:ind w:left="1298" w:hanging="1080"/>
      </w:pPr>
      <w:rPr>
        <w:rFonts w:hint="default"/>
        <w:b w:val="0"/>
        <w:i w:val="0"/>
        <w:smallCaps w:val="0"/>
        <w:strike w:val="0"/>
        <w:color w:val="000000"/>
        <w:u w:val="none"/>
        <w:vertAlign w:val="baseline"/>
      </w:rPr>
    </w:lvl>
    <w:lvl w:ilvl="6">
      <w:start w:val="1"/>
      <w:numFmt w:val="decimal"/>
      <w:lvlText w:val="%1.%2.%3.%4.%5.%6.%7"/>
      <w:lvlJc w:val="left"/>
      <w:pPr>
        <w:ind w:left="1658" w:hanging="1440"/>
      </w:pPr>
      <w:rPr>
        <w:rFonts w:hint="default"/>
      </w:rPr>
    </w:lvl>
    <w:lvl w:ilvl="7">
      <w:start w:val="1"/>
      <w:numFmt w:val="decimal"/>
      <w:lvlText w:val="%1.%2.%3.%4.%5.%6.%7.%8"/>
      <w:lvlJc w:val="left"/>
      <w:pPr>
        <w:ind w:left="1658" w:hanging="1440"/>
      </w:pPr>
      <w:rPr>
        <w:rFonts w:hint="default"/>
      </w:rPr>
    </w:lvl>
    <w:lvl w:ilvl="8">
      <w:start w:val="1"/>
      <w:numFmt w:val="decimal"/>
      <w:lvlText w:val="%1.%2.%3.%4.%5.%6.%7.%8.%9"/>
      <w:lvlJc w:val="left"/>
      <w:pPr>
        <w:ind w:left="2018" w:hanging="1800"/>
      </w:pPr>
      <w:rPr>
        <w:rFonts w:hint="default"/>
      </w:rPr>
    </w:lvl>
  </w:abstractNum>
  <w:abstractNum w:abstractNumId="9" w15:restartNumberingAfterBreak="0">
    <w:nsid w:val="4A4E5640"/>
    <w:multiLevelType w:val="multilevel"/>
    <w:tmpl w:val="217E36EC"/>
    <w:lvl w:ilvl="0">
      <w:start w:val="1"/>
      <w:numFmt w:val="decimal"/>
      <w:pStyle w:val="Level1"/>
      <w:lvlText w:val="%1"/>
      <w:lvlJc w:val="left"/>
      <w:pPr>
        <w:ind w:left="720" w:hanging="720"/>
      </w:pPr>
      <w:rPr>
        <w:rFonts w:hint="default"/>
      </w:rPr>
    </w:lvl>
    <w:lvl w:ilvl="1">
      <w:start w:val="1"/>
      <w:numFmt w:val="decimal"/>
      <w:pStyle w:val="Level2"/>
      <w:lvlText w:val="4.%2"/>
      <w:lvlJc w:val="left"/>
      <w:pPr>
        <w:ind w:left="720" w:hanging="720"/>
      </w:pPr>
      <w:rPr>
        <w:rFonts w:hint="default"/>
      </w:rPr>
    </w:lvl>
    <w:lvl w:ilvl="2">
      <w:start w:val="1"/>
      <w:numFmt w:val="decimal"/>
      <w:pStyle w:val="Level3"/>
      <w:lvlText w:val="%1.%2.%3"/>
      <w:lvlJc w:val="left"/>
      <w:pPr>
        <w:ind w:left="1803" w:hanging="1083"/>
      </w:pPr>
      <w:rPr>
        <w:rFonts w:hint="default"/>
      </w:rPr>
    </w:lvl>
    <w:lvl w:ilvl="3">
      <w:start w:val="1"/>
      <w:numFmt w:val="lowerLetter"/>
      <w:pStyle w:val="Level4"/>
      <w:lvlText w:val="(%4)"/>
      <w:lvlJc w:val="left"/>
      <w:pPr>
        <w:ind w:left="1803" w:hanging="1083"/>
      </w:pPr>
      <w:rPr>
        <w:rFonts w:hint="default"/>
      </w:rPr>
    </w:lvl>
    <w:lvl w:ilvl="4">
      <w:start w:val="1"/>
      <w:numFmt w:val="lowerRoman"/>
      <w:pStyle w:val="Level5"/>
      <w:lvlText w:val="(%5)"/>
      <w:lvlJc w:val="left"/>
      <w:pPr>
        <w:ind w:left="2523" w:hanging="720"/>
      </w:pPr>
      <w:rPr>
        <w:rFonts w:hint="default"/>
      </w:rPr>
    </w:lvl>
    <w:lvl w:ilvl="5">
      <w:start w:val="1"/>
      <w:numFmt w:val="upperLetter"/>
      <w:pStyle w:val="Level6"/>
      <w:lvlText w:val="(%6)"/>
      <w:lvlJc w:val="left"/>
      <w:pPr>
        <w:tabs>
          <w:tab w:val="num" w:pos="3243"/>
        </w:tabs>
        <w:ind w:left="324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0" w15:restartNumberingAfterBreak="0">
    <w:nsid w:val="5A123467"/>
    <w:multiLevelType w:val="multilevel"/>
    <w:tmpl w:val="85DEF9EE"/>
    <w:lvl w:ilvl="0">
      <w:start w:val="1"/>
      <w:numFmt w:val="none"/>
      <w:pStyle w:val="AppendixText1"/>
      <w:lvlText w:val="4."/>
      <w:lvlJc w:val="left"/>
      <w:pPr>
        <w:ind w:left="720" w:hanging="720"/>
      </w:pPr>
      <w:rPr>
        <w:rFonts w:hint="default"/>
      </w:rPr>
    </w:lvl>
    <w:lvl w:ilvl="1">
      <w:start w:val="1"/>
      <w:numFmt w:val="none"/>
      <w:pStyle w:val="AppendixText2"/>
      <w:isLgl/>
      <w:lvlText w:val="4"/>
      <w:lvlJc w:val="left"/>
      <w:pPr>
        <w:ind w:left="720" w:hanging="720"/>
      </w:pPr>
      <w:rPr>
        <w:rFonts w:hint="default"/>
      </w:rPr>
    </w:lvl>
    <w:lvl w:ilvl="2">
      <w:start w:val="1"/>
      <w:numFmt w:val="decimal"/>
      <w:pStyle w:val="AppendixText3"/>
      <w:lvlText w:val="%1.%2.%3"/>
      <w:lvlJc w:val="left"/>
      <w:pPr>
        <w:ind w:left="1803" w:hanging="1083"/>
      </w:pPr>
      <w:rPr>
        <w:rFonts w:hint="default"/>
      </w:rPr>
    </w:lvl>
    <w:lvl w:ilvl="3">
      <w:start w:val="1"/>
      <w:numFmt w:val="lowerLetter"/>
      <w:pStyle w:val="AppendixText4"/>
      <w:lvlText w:val="(%4)"/>
      <w:lvlJc w:val="left"/>
      <w:pPr>
        <w:ind w:left="1803" w:hanging="1083"/>
      </w:pPr>
      <w:rPr>
        <w:rFonts w:hint="default"/>
      </w:rPr>
    </w:lvl>
    <w:lvl w:ilvl="4">
      <w:start w:val="1"/>
      <w:numFmt w:val="lowerRoman"/>
      <w:pStyle w:val="AppendixText5"/>
      <w:lvlText w:val="(%5)"/>
      <w:lvlJc w:val="left"/>
      <w:pPr>
        <w:tabs>
          <w:tab w:val="num" w:pos="1803"/>
        </w:tabs>
        <w:ind w:left="2523" w:hanging="720"/>
      </w:pPr>
      <w:rPr>
        <w:rFonts w:hint="default"/>
      </w:rPr>
    </w:lvl>
    <w:lvl w:ilvl="5">
      <w:start w:val="1"/>
      <w:numFmt w:val="upperLetter"/>
      <w:pStyle w:val="AppendixText6"/>
      <w:lvlText w:val="(%6)"/>
      <w:lvlJc w:val="left"/>
      <w:pPr>
        <w:tabs>
          <w:tab w:val="num" w:pos="3243"/>
        </w:tabs>
        <w:ind w:left="324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1" w15:restartNumberingAfterBreak="0">
    <w:nsid w:val="61C92B75"/>
    <w:multiLevelType w:val="multilevel"/>
    <w:tmpl w:val="402434AE"/>
    <w:lvl w:ilvl="0">
      <w:start w:val="1"/>
      <w:numFmt w:val="lowerLetter"/>
      <w:pStyle w:val="DefinitionList"/>
      <w:lvlText w:val="(%1)"/>
      <w:lvlJc w:val="left"/>
      <w:pPr>
        <w:ind w:left="720" w:hanging="720"/>
      </w:pPr>
      <w:rPr>
        <w:rFonts w:hint="default"/>
      </w:rPr>
    </w:lvl>
    <w:lvl w:ilvl="1">
      <w:start w:val="1"/>
      <w:numFmt w:val="lowerRoman"/>
      <w:pStyle w:val="DefinitionListLevel1"/>
      <w:lvlText w:val="(%2)"/>
      <w:lvlJc w:val="left"/>
      <w:pPr>
        <w:ind w:left="1440" w:hanging="720"/>
      </w:pPr>
      <w:rPr>
        <w:rFonts w:hint="default"/>
      </w:rPr>
    </w:lvl>
    <w:lvl w:ilvl="2">
      <w:start w:val="1"/>
      <w:numFmt w:val="decimal"/>
      <w:pStyle w:val="DefinitionListLevel2"/>
      <w:lvlText w:val="(%3)"/>
      <w:lvlJc w:val="left"/>
      <w:pPr>
        <w:tabs>
          <w:tab w:val="num" w:pos="1440"/>
        </w:tabs>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12" w15:restartNumberingAfterBreak="0">
    <w:nsid w:val="73734A3F"/>
    <w:multiLevelType w:val="multilevel"/>
    <w:tmpl w:val="9E54A33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752D23B3"/>
    <w:multiLevelType w:val="hybridMultilevel"/>
    <w:tmpl w:val="6D6AD348"/>
    <w:lvl w:ilvl="0" w:tplc="C5586D46">
      <w:start w:val="1"/>
      <w:numFmt w:val="lowerLetter"/>
      <w:lvlText w:val="(%1)"/>
      <w:lvlJc w:val="left"/>
      <w:pPr>
        <w:ind w:left="1800" w:hanging="360"/>
      </w:pPr>
      <w:rPr>
        <w:rFonts w:cs="Times New Roman" w:hint="default"/>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num w:numId="1" w16cid:durableId="1038511984">
    <w:abstractNumId w:val="12"/>
  </w:num>
  <w:num w:numId="2" w16cid:durableId="897981182">
    <w:abstractNumId w:val="2"/>
  </w:num>
  <w:num w:numId="3" w16cid:durableId="184252713">
    <w:abstractNumId w:val="4"/>
  </w:num>
  <w:num w:numId="4" w16cid:durableId="68698438">
    <w:abstractNumId w:val="13"/>
  </w:num>
  <w:num w:numId="5" w16cid:durableId="113184819">
    <w:abstractNumId w:val="6"/>
  </w:num>
  <w:num w:numId="6" w16cid:durableId="2005817046">
    <w:abstractNumId w:val="8"/>
  </w:num>
  <w:num w:numId="7" w16cid:durableId="664237500">
    <w:abstractNumId w:val="5"/>
  </w:num>
  <w:num w:numId="8" w16cid:durableId="1398095349">
    <w:abstractNumId w:val="0"/>
  </w:num>
  <w:num w:numId="9" w16cid:durableId="784545995">
    <w:abstractNumId w:val="3"/>
  </w:num>
  <w:num w:numId="10" w16cid:durableId="685063145">
    <w:abstractNumId w:val="8"/>
  </w:num>
  <w:num w:numId="11" w16cid:durableId="1301151855">
    <w:abstractNumId w:val="8"/>
  </w:num>
  <w:num w:numId="12" w16cid:durableId="763495141">
    <w:abstractNumId w:val="7"/>
  </w:num>
  <w:num w:numId="13" w16cid:durableId="1268390449">
    <w:abstractNumId w:val="9"/>
  </w:num>
  <w:num w:numId="14" w16cid:durableId="567689695">
    <w:abstractNumId w:val="10"/>
  </w:num>
  <w:num w:numId="15" w16cid:durableId="593712108">
    <w:abstractNumId w:val="11"/>
  </w:num>
  <w:num w:numId="16" w16cid:durableId="786776264">
    <w:abstractNumId w:val="1"/>
  </w:num>
  <w:num w:numId="17" w16cid:durableId="12631074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removePersonalInformation/>
  <w:removeDateAndTime/>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CurrentVersion" w:val="18 June 2020 D2V1"/>
    <w:docVar w:name="gemDN1|SYKESJOA|18 June 2020 16:13:05" w:val="V1 - created by F/E"/>
    <w:docVar w:name="gemDN2|SYKESJOA|18 June 2020 16:13:13" w:val="V2 - amend formatting (track)"/>
    <w:docVar w:name="gemDN3|HENDERSL|24 July 2023 13:14:06" w:val="v3 create new worksite v2"/>
    <w:docVar w:name="gemDN4|newellc|25 July 2023 12:58:18" w:val="V4 - amends"/>
    <w:docVar w:name="gemDN5|GAYLEJ|25 July 2023 20:05:28" w:val="V5 - Amend TRK NV"/>
    <w:docVar w:name="gemDocNotesCount" w:val="5"/>
    <w:docVar w:name="gemVerNotesCount" w:val="2"/>
    <w:docVar w:name="gemVN1|SYKESJOA|18 June 2020 16:13:03" w:val="1|1"/>
    <w:docVar w:name="gemVN2|SYKESJOA|18 June 2020 16:13:12" w:val="2|1"/>
  </w:docVars>
  <w:rsids>
    <w:rsidRoot w:val="000450A0"/>
    <w:rsid w:val="000450A0"/>
    <w:rsid w:val="000D46EA"/>
    <w:rsid w:val="00322F4D"/>
    <w:rsid w:val="00470696"/>
    <w:rsid w:val="00486E69"/>
    <w:rsid w:val="00505A27"/>
    <w:rsid w:val="0057691A"/>
    <w:rsid w:val="007D3C31"/>
    <w:rsid w:val="0080033C"/>
    <w:rsid w:val="00804CE1"/>
    <w:rsid w:val="00865E1D"/>
    <w:rsid w:val="00942879"/>
    <w:rsid w:val="009567C1"/>
    <w:rsid w:val="009A6E58"/>
    <w:rsid w:val="009B2915"/>
    <w:rsid w:val="00A0373C"/>
    <w:rsid w:val="00A4650E"/>
    <w:rsid w:val="00BB7C29"/>
    <w:rsid w:val="00DB6C27"/>
    <w:rsid w:val="23895AA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12AB6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Sectionheading">
    <w:name w:val="Section heading"/>
    <w:basedOn w:val="Normal"/>
    <w:pPr>
      <w:suppressAutoHyphens/>
      <w:spacing w:after="0" w:line="360" w:lineRule="auto"/>
      <w:jc w:val="both"/>
    </w:pPr>
    <w:rPr>
      <w:rFonts w:ascii="Times New Roman" w:eastAsia="Times New Roman" w:hAnsi="Times New Roman" w:cs="Times New Roman"/>
      <w:b/>
      <w:bCs/>
      <w:sz w:val="24"/>
      <w:szCs w:val="24"/>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GPSL2Numbered">
    <w:name w:val="GPS L2 Numbered"/>
    <w:basedOn w:val="Normal"/>
    <w:link w:val="GPSL2NumberedChar"/>
    <w:qFormat/>
    <w:pPr>
      <w:tabs>
        <w:tab w:val="left" w:pos="709"/>
        <w:tab w:val="left" w:pos="1134"/>
      </w:tabs>
      <w:adjustRightInd w:val="0"/>
      <w:spacing w:before="120" w:after="120" w:line="240" w:lineRule="auto"/>
      <w:ind w:hanging="360"/>
      <w:jc w:val="both"/>
    </w:pPr>
    <w:rPr>
      <w:rFonts w:ascii="Calibri" w:eastAsia="Times New Roman" w:hAnsi="Calibri" w:cs="Arial"/>
      <w:lang w:eastAsia="zh-CN"/>
    </w:rPr>
  </w:style>
  <w:style w:type="character" w:customStyle="1" w:styleId="GPSL2NumberedChar">
    <w:name w:val="GPS L2 Numbered Char"/>
    <w:link w:val="GPSL2Numbered"/>
    <w:locked/>
    <w:rPr>
      <w:rFonts w:ascii="Calibri" w:eastAsia="Times New Roman" w:hAnsi="Calibri" w:cs="Arial"/>
      <w:lang w:eastAsia="zh-CN"/>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Emphasis">
    <w:name w:val="Emphasis"/>
    <w:basedOn w:val="DefaultParagraphFont"/>
    <w:rPr>
      <w:i/>
      <w:iCs/>
    </w:rPr>
  </w:style>
  <w:style w:type="paragraph" w:customStyle="1" w:styleId="GPSL1CLAUSEHEADING">
    <w:name w:val="GPS L1 CLAUSE HEADING"/>
    <w:basedOn w:val="Normal"/>
    <w:pPr>
      <w:keepNext/>
      <w:numPr>
        <w:numId w:val="6"/>
      </w:numPr>
      <w:spacing w:before="120" w:after="240" w:line="240" w:lineRule="auto"/>
    </w:pPr>
    <w:rPr>
      <w:rFonts w:ascii="Arial" w:hAnsi="Arial"/>
      <w:b/>
      <w:sz w:val="24"/>
    </w:rPr>
  </w:style>
  <w:style w:type="paragraph" w:customStyle="1" w:styleId="GPSL2numberedclause">
    <w:name w:val="GPS L2 numbered clause"/>
    <w:basedOn w:val="Normal"/>
    <w:pPr>
      <w:numPr>
        <w:ilvl w:val="1"/>
        <w:numId w:val="6"/>
      </w:numPr>
      <w:spacing w:before="120" w:after="120" w:line="240" w:lineRule="auto"/>
    </w:pPr>
    <w:rPr>
      <w:rFonts w:ascii="Arial" w:hAnsi="Arial"/>
      <w:sz w:val="24"/>
    </w:rPr>
  </w:style>
  <w:style w:type="paragraph" w:customStyle="1" w:styleId="GPSL3numberedclause">
    <w:name w:val="GPS L3 numbered clause"/>
    <w:basedOn w:val="Normal"/>
    <w:pPr>
      <w:numPr>
        <w:ilvl w:val="2"/>
        <w:numId w:val="6"/>
      </w:numPr>
      <w:spacing w:before="120" w:after="120" w:line="240" w:lineRule="auto"/>
    </w:pPr>
    <w:rPr>
      <w:rFonts w:ascii="Arial" w:hAnsi="Arial"/>
      <w:sz w:val="24"/>
    </w:rPr>
  </w:style>
  <w:style w:type="paragraph" w:customStyle="1" w:styleId="GPSL4numberedclause">
    <w:name w:val="GPS L4 numbered clause"/>
    <w:basedOn w:val="Normal"/>
    <w:pPr>
      <w:numPr>
        <w:ilvl w:val="3"/>
        <w:numId w:val="6"/>
      </w:numPr>
    </w:pPr>
  </w:style>
  <w:style w:type="paragraph" w:customStyle="1" w:styleId="GPSL5numberedclause">
    <w:name w:val="GPS L5 numbered clause"/>
    <w:basedOn w:val="Normal"/>
    <w:pPr>
      <w:numPr>
        <w:ilvl w:val="4"/>
        <w:numId w:val="6"/>
      </w:numPr>
    </w:pPr>
  </w:style>
  <w:style w:type="paragraph" w:customStyle="1" w:styleId="GPSL6numbered">
    <w:name w:val="GPS L6 numbered"/>
    <w:basedOn w:val="Normal"/>
    <w:pPr>
      <w:numPr>
        <w:ilvl w:val="5"/>
        <w:numId w:val="6"/>
      </w:numPr>
    </w:pPr>
  </w:style>
  <w:style w:type="paragraph" w:customStyle="1" w:styleId="StdBodyTextBold">
    <w:name w:val="Std Body Text Bold"/>
    <w:basedOn w:val="Normal"/>
    <w:next w:val="Normal"/>
    <w:link w:val="StdBodyTextBoldChar"/>
    <w:qFormat/>
    <w:pPr>
      <w:spacing w:before="100" w:line="240" w:lineRule="auto"/>
    </w:pPr>
    <w:rPr>
      <w:rFonts w:ascii="Arial" w:eastAsia="Times New Roman" w:hAnsi="Arial" w:cs="Times New Roman"/>
      <w:b/>
      <w:sz w:val="24"/>
      <w:szCs w:val="24"/>
      <w:lang w:eastAsia="en-GB"/>
    </w:rPr>
  </w:style>
  <w:style w:type="character" w:customStyle="1" w:styleId="StdBodyTextBoldChar">
    <w:name w:val="Std Body Text Bold Char"/>
    <w:basedOn w:val="DefaultParagraphFont"/>
    <w:link w:val="StdBodyTextBold"/>
    <w:rPr>
      <w:rFonts w:ascii="Arial" w:eastAsia="Times New Roman" w:hAnsi="Arial" w:cs="Times New Roman"/>
      <w:b/>
      <w:sz w:val="24"/>
      <w:szCs w:val="24"/>
      <w:lang w:eastAsia="en-GB"/>
    </w:rPr>
  </w:style>
  <w:style w:type="paragraph" w:customStyle="1" w:styleId="Level1">
    <w:name w:val="Level 1"/>
    <w:basedOn w:val="Normal"/>
    <w:next w:val="Normal"/>
    <w:qFormat/>
    <w:pPr>
      <w:numPr>
        <w:numId w:val="13"/>
      </w:numPr>
      <w:tabs>
        <w:tab w:val="left" w:pos="720"/>
      </w:tabs>
      <w:spacing w:before="100" w:line="240" w:lineRule="auto"/>
    </w:pPr>
    <w:rPr>
      <w:rFonts w:ascii="Arial" w:eastAsia="Times New Roman" w:hAnsi="Arial" w:cs="Times New Roman"/>
      <w:b/>
      <w:sz w:val="24"/>
      <w:szCs w:val="24"/>
      <w:u w:val="single"/>
      <w:lang w:eastAsia="en-GB"/>
    </w:rPr>
  </w:style>
  <w:style w:type="paragraph" w:customStyle="1" w:styleId="Level2">
    <w:name w:val="Level 2"/>
    <w:basedOn w:val="Level1"/>
    <w:next w:val="Normal"/>
    <w:pPr>
      <w:numPr>
        <w:ilvl w:val="1"/>
      </w:numPr>
    </w:pPr>
    <w:rPr>
      <w:b w:val="0"/>
      <w:u w:val="none"/>
    </w:rPr>
  </w:style>
  <w:style w:type="paragraph" w:customStyle="1" w:styleId="Level3">
    <w:name w:val="Level 3"/>
    <w:basedOn w:val="Level2"/>
    <w:next w:val="Normal"/>
    <w:pPr>
      <w:numPr>
        <w:ilvl w:val="2"/>
      </w:numPr>
      <w:tabs>
        <w:tab w:val="left" w:pos="1803"/>
      </w:tabs>
    </w:pPr>
  </w:style>
  <w:style w:type="paragraph" w:customStyle="1" w:styleId="Level4">
    <w:name w:val="Level 4"/>
    <w:basedOn w:val="Level3"/>
    <w:next w:val="Normal"/>
    <w:pPr>
      <w:numPr>
        <w:ilvl w:val="3"/>
      </w:numPr>
    </w:pPr>
  </w:style>
  <w:style w:type="paragraph" w:customStyle="1" w:styleId="Level5">
    <w:name w:val="Level 5"/>
    <w:basedOn w:val="Level4"/>
    <w:next w:val="Normal"/>
    <w:pPr>
      <w:numPr>
        <w:ilvl w:val="4"/>
      </w:numPr>
      <w:tabs>
        <w:tab w:val="left" w:pos="2523"/>
      </w:tabs>
    </w:pPr>
  </w:style>
  <w:style w:type="paragraph" w:customStyle="1" w:styleId="Level6">
    <w:name w:val="Level 6"/>
    <w:basedOn w:val="Level5"/>
    <w:pPr>
      <w:numPr>
        <w:ilvl w:val="5"/>
      </w:numPr>
      <w:tabs>
        <w:tab w:val="clear" w:pos="2523"/>
      </w:tabs>
    </w:pPr>
  </w:style>
  <w:style w:type="paragraph" w:customStyle="1" w:styleId="AppendixText1">
    <w:name w:val="Appendix Text 1"/>
    <w:basedOn w:val="Normal"/>
    <w:pPr>
      <w:numPr>
        <w:numId w:val="14"/>
      </w:numPr>
    </w:pPr>
  </w:style>
  <w:style w:type="paragraph" w:customStyle="1" w:styleId="AppendixText2">
    <w:name w:val="Appendix Text 2"/>
    <w:basedOn w:val="Normal"/>
    <w:pPr>
      <w:numPr>
        <w:ilvl w:val="1"/>
        <w:numId w:val="14"/>
      </w:numPr>
    </w:pPr>
  </w:style>
  <w:style w:type="paragraph" w:customStyle="1" w:styleId="AppendixText3">
    <w:name w:val="Appendix Text 3"/>
    <w:basedOn w:val="Normal"/>
    <w:pPr>
      <w:numPr>
        <w:ilvl w:val="2"/>
        <w:numId w:val="14"/>
      </w:numPr>
    </w:pPr>
  </w:style>
  <w:style w:type="paragraph" w:customStyle="1" w:styleId="AppendixText4">
    <w:name w:val="Appendix Text 4"/>
    <w:basedOn w:val="Normal"/>
    <w:pPr>
      <w:numPr>
        <w:ilvl w:val="3"/>
        <w:numId w:val="14"/>
      </w:numPr>
    </w:pPr>
  </w:style>
  <w:style w:type="paragraph" w:customStyle="1" w:styleId="AppendixText5">
    <w:name w:val="Appendix Text 5"/>
    <w:basedOn w:val="Normal"/>
    <w:pPr>
      <w:numPr>
        <w:ilvl w:val="4"/>
        <w:numId w:val="14"/>
      </w:numPr>
    </w:pPr>
  </w:style>
  <w:style w:type="paragraph" w:customStyle="1" w:styleId="AppendixText6">
    <w:name w:val="Appendix Text 6"/>
    <w:basedOn w:val="Normal"/>
    <w:pPr>
      <w:numPr>
        <w:ilvl w:val="5"/>
        <w:numId w:val="14"/>
      </w:numPr>
    </w:pPr>
  </w:style>
  <w:style w:type="character" w:styleId="Hyperlink">
    <w:name w:val="Hyperlink"/>
    <w:basedOn w:val="DefaultParagraphFont"/>
    <w:uiPriority w:val="99"/>
    <w:unhideWhenUsed/>
    <w:rPr>
      <w:color w:val="0000FF"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StdBodyText">
    <w:name w:val="Std Body Text"/>
    <w:basedOn w:val="Normal"/>
    <w:qFormat/>
    <w:pPr>
      <w:spacing w:before="100" w:line="240" w:lineRule="auto"/>
    </w:pPr>
    <w:rPr>
      <w:rFonts w:ascii="Arial" w:eastAsia="Times New Roman" w:hAnsi="Arial" w:cs="Times New Roman"/>
      <w:sz w:val="24"/>
      <w:szCs w:val="24"/>
      <w:lang w:eastAsia="en-GB"/>
    </w:rPr>
  </w:style>
  <w:style w:type="paragraph" w:customStyle="1" w:styleId="DefinitionList">
    <w:name w:val="Definition List"/>
    <w:basedOn w:val="Normal"/>
    <w:pPr>
      <w:numPr>
        <w:numId w:val="15"/>
      </w:numPr>
      <w:spacing w:before="100" w:line="240" w:lineRule="auto"/>
    </w:pPr>
    <w:rPr>
      <w:rFonts w:ascii="Arial" w:eastAsia="Times New Roman" w:hAnsi="Arial" w:cs="Times New Roman"/>
      <w:sz w:val="24"/>
      <w:szCs w:val="24"/>
      <w:lang w:eastAsia="en-GB"/>
    </w:rPr>
  </w:style>
  <w:style w:type="paragraph" w:customStyle="1" w:styleId="ScheduleHeading2">
    <w:name w:val="Schedule Heading 2"/>
    <w:basedOn w:val="Normal"/>
    <w:next w:val="Normal"/>
    <w:pPr>
      <w:numPr>
        <w:ilvl w:val="1"/>
        <w:numId w:val="16"/>
      </w:numPr>
      <w:spacing w:before="100" w:after="300" w:line="240" w:lineRule="auto"/>
      <w:jc w:val="center"/>
    </w:pPr>
    <w:rPr>
      <w:rFonts w:ascii="Arial" w:eastAsia="Times New Roman" w:hAnsi="Arial" w:cs="Times New Roman"/>
      <w:b/>
      <w:sz w:val="24"/>
      <w:szCs w:val="24"/>
      <w:lang w:eastAsia="en-GB"/>
    </w:rPr>
  </w:style>
  <w:style w:type="paragraph" w:customStyle="1" w:styleId="DefinitionListLevel1">
    <w:name w:val="Definition List Level 1"/>
    <w:basedOn w:val="DefinitionList"/>
    <w:pPr>
      <w:numPr>
        <w:ilvl w:val="1"/>
      </w:numPr>
    </w:pPr>
  </w:style>
  <w:style w:type="paragraph" w:customStyle="1" w:styleId="DefinitionListLevel2">
    <w:name w:val="Definition List Level 2"/>
    <w:basedOn w:val="DefinitionListLevel1"/>
    <w:pPr>
      <w:numPr>
        <w:ilvl w:val="2"/>
      </w:numPr>
    </w:pPr>
  </w:style>
  <w:style w:type="paragraph" w:customStyle="1" w:styleId="ScheduleHeading">
    <w:name w:val="Schedule Heading"/>
    <w:basedOn w:val="ScheduleHeading2"/>
    <w:pPr>
      <w:numPr>
        <w:ilvl w:val="0"/>
      </w:numPr>
    </w:p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678756">
      <w:bodyDiv w:val="1"/>
      <w:marLeft w:val="0"/>
      <w:marRight w:val="0"/>
      <w:marTop w:val="0"/>
      <w:marBottom w:val="0"/>
      <w:divBdr>
        <w:top w:val="none" w:sz="0" w:space="0" w:color="auto"/>
        <w:left w:val="none" w:sz="0" w:space="0" w:color="auto"/>
        <w:bottom w:val="none" w:sz="0" w:space="0" w:color="auto"/>
        <w:right w:val="none" w:sz="0" w:space="0" w:color="auto"/>
      </w:divBdr>
    </w:div>
    <w:div w:id="162322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1C7053F7343574299D2D651C52A9961" ma:contentTypeVersion="16" ma:contentTypeDescription="Create a new document." ma:contentTypeScope="" ma:versionID="4e1cc38e1d6e10bc339b8425e25e1e60">
  <xsd:schema xmlns:xsd="http://www.w3.org/2001/XMLSchema" xmlns:xs="http://www.w3.org/2001/XMLSchema" xmlns:p="http://schemas.microsoft.com/office/2006/metadata/properties" xmlns:ns2="f10e5aa5-a134-411f-bff4-7627adda00b3" xmlns:ns3="e74fc50d-c135-4e75-9fbe-d232072c87b5" xmlns:ns4="a43215ff-c426-4344-a17d-812f230b5b3d" targetNamespace="http://schemas.microsoft.com/office/2006/metadata/properties" ma:root="true" ma:fieldsID="43826592e51ba0dfd3e117090442b315" ns2:_="" ns3:_="" ns4:_="">
    <xsd:import namespace="f10e5aa5-a134-411f-bff4-7627adda00b3"/>
    <xsd:import namespace="e74fc50d-c135-4e75-9fbe-d232072c87b5"/>
    <xsd:import namespace="a43215ff-c426-4344-a17d-812f230b5b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e5aa5-a134-411f-bff4-7627adda0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27e7db1-3130-40c4-aff4-df0812437d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4fc50d-c135-4e75-9fbe-d232072c87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3215ff-c426-4344-a17d-812f230b5b3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561e453-cb1f-40a5-b4d3-ded190766384}" ma:internalName="TaxCatchAll" ma:showField="CatchAllData" ma:web="e74fc50d-c135-4e75-9fbe-d232072c87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10e5aa5-a134-411f-bff4-7627adda00b3">
      <Terms xmlns="http://schemas.microsoft.com/office/infopath/2007/PartnerControls"/>
    </lcf76f155ced4ddcb4097134ff3c332f>
    <TaxCatchAll xmlns="a43215ff-c426-4344-a17d-812f230b5b3d" xsi:nil="true"/>
    <SharedWithUsers xmlns="e74fc50d-c135-4e75-9fbe-d232072c87b5">
      <UserInfo>
        <DisplayName/>
        <AccountId xsi:nil="true"/>
        <AccountType/>
      </UserInfo>
    </SharedWithUsers>
    <MediaLengthInSeconds xmlns="f10e5aa5-a134-411f-bff4-7627adda00b3" xsi:nil="true"/>
  </documentManagement>
</p:properties>
</file>

<file path=customXml/itemProps1.xml><?xml version="1.0" encoding="utf-8"?>
<ds:datastoreItem xmlns:ds="http://schemas.openxmlformats.org/officeDocument/2006/customXml" ds:itemID="{691AE04C-281F-45FB-AFED-FDE5AFE9B016}">
  <ds:schemaRefs>
    <ds:schemaRef ds:uri="http://schemas.openxmlformats.org/officeDocument/2006/bibliography"/>
  </ds:schemaRefs>
</ds:datastoreItem>
</file>

<file path=customXml/itemProps2.xml><?xml version="1.0" encoding="utf-8"?>
<ds:datastoreItem xmlns:ds="http://schemas.openxmlformats.org/officeDocument/2006/customXml" ds:itemID="{B4F6FA31-1965-4534-9CA8-11F552255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e5aa5-a134-411f-bff4-7627adda00b3"/>
    <ds:schemaRef ds:uri="e74fc50d-c135-4e75-9fbe-d232072c87b5"/>
    <ds:schemaRef ds:uri="a43215ff-c426-4344-a17d-812f230b5b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867C06-9088-4A03-8128-7D08234EEDAE}">
  <ds:schemaRefs>
    <ds:schemaRef ds:uri="http://schemas.microsoft.com/sharepoint/v3/contenttype/forms"/>
  </ds:schemaRefs>
</ds:datastoreItem>
</file>

<file path=customXml/itemProps4.xml><?xml version="1.0" encoding="utf-8"?>
<ds:datastoreItem xmlns:ds="http://schemas.openxmlformats.org/officeDocument/2006/customXml" ds:itemID="{3A3FC270-C02B-4C37-AA45-A35622EC182E}">
  <ds:schemaRefs>
    <ds:schemaRef ds:uri="http://schemas.microsoft.com/office/infopath/2007/PartnerControls"/>
    <ds:schemaRef ds:uri="http://purl.org/dc/elements/1.1/"/>
    <ds:schemaRef ds:uri="http://purl.org/dc/dcmitype/"/>
    <ds:schemaRef ds:uri="http://schemas.microsoft.com/office/2006/metadata/properties"/>
    <ds:schemaRef ds:uri="http://purl.org/dc/terms/"/>
    <ds:schemaRef ds:uri="http://schemas.microsoft.com/office/2006/documentManagement/types"/>
    <ds:schemaRef ds:uri="http://www.w3.org/XML/1998/namespace"/>
    <ds:schemaRef ds:uri="a43215ff-c426-4344-a17d-812f230b5b3d"/>
    <ds:schemaRef ds:uri="http://schemas.openxmlformats.org/package/2006/metadata/core-properties"/>
    <ds:schemaRef ds:uri="e74fc50d-c135-4e75-9fbe-d232072c87b5"/>
    <ds:schemaRef ds:uri="f10e5aa5-a134-411f-bff4-7627adda00b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1143</Words>
  <Characters>6520</Characters>
  <Application>Microsoft Office Word</Application>
  <DocSecurity>2</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2024-01-10T14:27:00Z</dcterms:created>
  <dcterms:modified xsi:type="dcterms:W3CDTF">2024-01-15T14:47:00Z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630f625f-3ead-4743-9dd0-1d021a688e24</vt:lpwstr>
  </property>
  <property fmtid="{D5CDD505-2E9C-101B-9397-08002B2CF9AE}" pid="3" name="ContentTypeId">
    <vt:lpwstr>0x010100B1C7053F7343574299D2D651C52A9961</vt:lpwstr>
  </property>
  <property fmtid="{D5CDD505-2E9C-101B-9397-08002B2CF9AE}" pid="4" name="Order">
    <vt:r8>292000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