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9B2" w:rsidRDefault="005C09B2" w:rsidP="00A232C9">
      <w:pPr>
        <w:jc w:val="both"/>
      </w:pPr>
      <w:bookmarkStart w:id="0" w:name="_MacBuGuideStaticData_10602H"/>
      <w:bookmarkStart w:id="1" w:name="_MacBuGuideStaticData_3130H"/>
      <w:bookmarkStart w:id="2" w:name="_MacBuGuideStaticData_543H"/>
      <w:bookmarkStart w:id="3" w:name="_MacBuGuideStaticData_2275V"/>
      <w:bookmarkStart w:id="4" w:name="_GoBack"/>
      <w:bookmarkEnd w:id="4"/>
    </w:p>
    <w:p w:rsidR="00B01346" w:rsidRDefault="00B01346" w:rsidP="00A232C9">
      <w:pPr>
        <w:jc w:val="both"/>
      </w:pPr>
    </w:p>
    <w:p w:rsidR="00B01346" w:rsidRDefault="00B01346" w:rsidP="00A232C9">
      <w:pPr>
        <w:jc w:val="both"/>
      </w:pPr>
    </w:p>
    <w:p w:rsidR="007F1E41" w:rsidRDefault="002C11AD" w:rsidP="00A232C9">
      <w:pPr>
        <w:jc w:val="both"/>
        <w:rPr>
          <w:b/>
          <w:sz w:val="32"/>
          <w:szCs w:val="32"/>
        </w:rPr>
      </w:pPr>
      <w:r>
        <w:rPr>
          <w:noProof/>
          <w:lang w:eastAsia="en-GB"/>
        </w:rPr>
        <mc:AlternateContent>
          <mc:Choice Requires="wps">
            <w:drawing>
              <wp:anchor distT="0" distB="0" distL="114300" distR="114300" simplePos="0" relativeHeight="251646464" behindDoc="0" locked="0" layoutInCell="1" allowOverlap="1" wp14:anchorId="3F5F6897" wp14:editId="4A3C4B16">
                <wp:simplePos x="0" y="0"/>
                <wp:positionH relativeFrom="page">
                  <wp:posOffset>297815</wp:posOffset>
                </wp:positionH>
                <wp:positionV relativeFrom="page">
                  <wp:posOffset>2979420</wp:posOffset>
                </wp:positionV>
                <wp:extent cx="6583680" cy="3380740"/>
                <wp:effectExtent l="0" t="0" r="0" b="0"/>
                <wp:wrapThrough wrapText="bothSides">
                  <wp:wrapPolygon edited="0">
                    <wp:start x="125" y="0"/>
                    <wp:lineTo x="125" y="21421"/>
                    <wp:lineTo x="21375" y="21421"/>
                    <wp:lineTo x="21375" y="0"/>
                    <wp:lineTo x="125"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83680" cy="3380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7DF" w:rsidRDefault="001517DF" w:rsidP="000932D3">
                            <w:pPr>
                              <w:pStyle w:val="Title"/>
                              <w:jc w:val="center"/>
                              <w:rPr>
                                <w:sz w:val="56"/>
                                <w:szCs w:val="56"/>
                              </w:rPr>
                            </w:pPr>
                            <w:r>
                              <w:rPr>
                                <w:sz w:val="56"/>
                                <w:szCs w:val="56"/>
                              </w:rPr>
                              <w:t xml:space="preserve">NHS England London Region </w:t>
                            </w:r>
                          </w:p>
                          <w:p w:rsidR="001517DF" w:rsidRPr="00FE574C" w:rsidRDefault="001517DF" w:rsidP="00FE574C"/>
                          <w:p w:rsidR="001517DF" w:rsidRDefault="001517DF" w:rsidP="000932D3">
                            <w:pPr>
                              <w:pStyle w:val="Title"/>
                              <w:jc w:val="center"/>
                              <w:rPr>
                                <w:sz w:val="56"/>
                                <w:szCs w:val="56"/>
                              </w:rPr>
                            </w:pPr>
                            <w:r>
                              <w:rPr>
                                <w:sz w:val="56"/>
                                <w:szCs w:val="56"/>
                              </w:rPr>
                              <w:t xml:space="preserve">Delegated CCGs - </w:t>
                            </w:r>
                          </w:p>
                          <w:p w:rsidR="001517DF" w:rsidRDefault="001517DF" w:rsidP="00950497">
                            <w:pPr>
                              <w:pStyle w:val="Title"/>
                              <w:rPr>
                                <w:sz w:val="56"/>
                                <w:szCs w:val="56"/>
                              </w:rPr>
                            </w:pPr>
                          </w:p>
                          <w:p w:rsidR="001517DF" w:rsidRDefault="001517DF" w:rsidP="007F1E41">
                            <w:pPr>
                              <w:pStyle w:val="Title"/>
                              <w:jc w:val="center"/>
                              <w:rPr>
                                <w:sz w:val="56"/>
                                <w:szCs w:val="56"/>
                              </w:rPr>
                            </w:pPr>
                            <w:r>
                              <w:rPr>
                                <w:sz w:val="56"/>
                                <w:szCs w:val="56"/>
                              </w:rPr>
                              <w:t>Special Allocation Scheme</w:t>
                            </w:r>
                          </w:p>
                          <w:p w:rsidR="001517DF" w:rsidRPr="000932D3" w:rsidRDefault="001517DF" w:rsidP="007F1E41">
                            <w:pPr>
                              <w:pStyle w:val="Title"/>
                              <w:jc w:val="center"/>
                              <w:rPr>
                                <w:sz w:val="56"/>
                                <w:szCs w:val="56"/>
                              </w:rPr>
                            </w:pPr>
                            <w:r>
                              <w:rPr>
                                <w:sz w:val="56"/>
                                <w:szCs w:val="56"/>
                              </w:rPr>
                              <w:t xml:space="preserve"> Framework</w:t>
                            </w:r>
                          </w:p>
                          <w:p w:rsidR="001517DF" w:rsidRDefault="001517DF" w:rsidP="000932D3"/>
                          <w:p w:rsidR="001517DF" w:rsidRPr="000932D3" w:rsidRDefault="001517DF" w:rsidP="000932D3"/>
                          <w:p w:rsidR="001517DF" w:rsidRDefault="001517DF" w:rsidP="00C3359C"/>
                          <w:p w:rsidR="001517DF" w:rsidRPr="00C3359C" w:rsidRDefault="001517DF" w:rsidP="00C3359C"/>
                          <w:p w:rsidR="001517DF" w:rsidRDefault="001517DF" w:rsidP="00950497">
                            <w:pPr>
                              <w:pStyle w:val="Title"/>
                              <w:rPr>
                                <w:sz w:val="56"/>
                                <w:szCs w:val="56"/>
                              </w:rPr>
                            </w:pPr>
                          </w:p>
                          <w:p w:rsidR="001517DF" w:rsidRPr="00950497" w:rsidRDefault="001517DF" w:rsidP="00950497">
                            <w:pPr>
                              <w:pStyle w:val="Title"/>
                              <w:rPr>
                                <w:sz w:val="56"/>
                                <w:szCs w:val="56"/>
                              </w:rPr>
                            </w:pPr>
                            <w:r w:rsidRPr="00950497">
                              <w:rPr>
                                <w:sz w:val="56"/>
                                <w:szCs w:val="5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5F6897" id="_x0000_t202" coordsize="21600,21600" o:spt="202" path="m,l,21600r21600,l21600,xe">
                <v:stroke joinstyle="miter"/>
                <v:path gradientshapeok="t" o:connecttype="rect"/>
              </v:shapetype>
              <v:shape id="Text Box 2" o:spid="_x0000_s1026" type="#_x0000_t202" style="position:absolute;left:0;text-align:left;margin-left:23.45pt;margin-top:234.6pt;width:518.4pt;height:266.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" filled="f" stroked="f">
                <v:path arrowok="t"/>
                <v:textbox>
                  <w:txbxContent>
                    <w:p w:rsidR="001517DF" w:rsidRDefault="001517DF" w:rsidP="000932D3">
                      <w:pPr>
                        <w:pStyle w:val="Title"/>
                        <w:jc w:val="center"/>
                        <w:rPr>
                          <w:sz w:val="56"/>
                          <w:szCs w:val="56"/>
                        </w:rPr>
                      </w:pPr>
                      <w:r>
                        <w:rPr>
                          <w:sz w:val="56"/>
                          <w:szCs w:val="56"/>
                        </w:rPr>
                        <w:t xml:space="preserve">NHS England London Region </w:t>
                      </w:r>
                    </w:p>
                    <w:p w:rsidR="001517DF" w:rsidRPr="00FE574C" w:rsidRDefault="001517DF" w:rsidP="00FE574C"/>
                    <w:p w:rsidR="001517DF" w:rsidRDefault="001517DF" w:rsidP="000932D3">
                      <w:pPr>
                        <w:pStyle w:val="Title"/>
                        <w:jc w:val="center"/>
                        <w:rPr>
                          <w:sz w:val="56"/>
                          <w:szCs w:val="56"/>
                        </w:rPr>
                      </w:pPr>
                      <w:r>
                        <w:rPr>
                          <w:sz w:val="56"/>
                          <w:szCs w:val="56"/>
                        </w:rPr>
                        <w:t xml:space="preserve">Delegated CCGs - </w:t>
                      </w:r>
                    </w:p>
                    <w:p w:rsidR="001517DF" w:rsidRDefault="001517DF" w:rsidP="00950497">
                      <w:pPr>
                        <w:pStyle w:val="Title"/>
                        <w:rPr>
                          <w:sz w:val="56"/>
                          <w:szCs w:val="56"/>
                        </w:rPr>
                      </w:pPr>
                    </w:p>
                    <w:p w:rsidR="001517DF" w:rsidRDefault="001517DF" w:rsidP="007F1E41">
                      <w:pPr>
                        <w:pStyle w:val="Title"/>
                        <w:jc w:val="center"/>
                        <w:rPr>
                          <w:sz w:val="56"/>
                          <w:szCs w:val="56"/>
                        </w:rPr>
                      </w:pPr>
                      <w:r>
                        <w:rPr>
                          <w:sz w:val="56"/>
                          <w:szCs w:val="56"/>
                        </w:rPr>
                        <w:t>Special Allocation Scheme</w:t>
                      </w:r>
                    </w:p>
                    <w:p w:rsidR="001517DF" w:rsidRPr="000932D3" w:rsidRDefault="001517DF" w:rsidP="007F1E41">
                      <w:pPr>
                        <w:pStyle w:val="Title"/>
                        <w:jc w:val="center"/>
                        <w:rPr>
                          <w:sz w:val="56"/>
                          <w:szCs w:val="56"/>
                        </w:rPr>
                      </w:pPr>
                      <w:r>
                        <w:rPr>
                          <w:sz w:val="56"/>
                          <w:szCs w:val="56"/>
                        </w:rPr>
                        <w:t xml:space="preserve"> Framework</w:t>
                      </w:r>
                    </w:p>
                    <w:p w:rsidR="001517DF" w:rsidRDefault="001517DF" w:rsidP="000932D3"/>
                    <w:p w:rsidR="001517DF" w:rsidRPr="000932D3" w:rsidRDefault="001517DF" w:rsidP="000932D3"/>
                    <w:p w:rsidR="001517DF" w:rsidRDefault="001517DF" w:rsidP="00C3359C"/>
                    <w:p w:rsidR="001517DF" w:rsidRPr="00C3359C" w:rsidRDefault="001517DF" w:rsidP="00C3359C"/>
                    <w:p w:rsidR="001517DF" w:rsidRDefault="001517DF" w:rsidP="00950497">
                      <w:pPr>
                        <w:pStyle w:val="Title"/>
                        <w:rPr>
                          <w:sz w:val="56"/>
                          <w:szCs w:val="56"/>
                        </w:rPr>
                      </w:pPr>
                    </w:p>
                    <w:p w:rsidR="001517DF" w:rsidRPr="00950497" w:rsidRDefault="001517DF" w:rsidP="00950497">
                      <w:pPr>
                        <w:pStyle w:val="Title"/>
                        <w:rPr>
                          <w:sz w:val="56"/>
                          <w:szCs w:val="56"/>
                        </w:rPr>
                      </w:pPr>
                      <w:r w:rsidRPr="00950497">
                        <w:rPr>
                          <w:sz w:val="56"/>
                          <w:szCs w:val="56"/>
                        </w:rPr>
                        <w:t xml:space="preserve"> </w:t>
                      </w:r>
                    </w:p>
                  </w:txbxContent>
                </v:textbox>
                <w10:wrap type="through" anchorx="page" anchory="page"/>
              </v:shape>
            </w:pict>
          </mc:Fallback>
        </mc:AlternateContent>
      </w:r>
      <w:r w:rsidR="00102A99">
        <w:br w:type="page"/>
      </w:r>
      <w:bookmarkStart w:id="5" w:name="_MacBuGuideStaticData_10810H"/>
      <w:bookmarkStart w:id="6" w:name="_MacBuGuideStaticData_3861H"/>
      <w:bookmarkEnd w:id="0"/>
      <w:bookmarkEnd w:id="1"/>
      <w:bookmarkEnd w:id="2"/>
      <w:bookmarkEnd w:id="3"/>
      <w:r w:rsidR="00950497" w:rsidRPr="00AD18FA">
        <w:rPr>
          <w:b/>
          <w:sz w:val="32"/>
          <w:szCs w:val="32"/>
        </w:rPr>
        <w:lastRenderedPageBreak/>
        <w:t xml:space="preserve"> </w:t>
      </w:r>
    </w:p>
    <w:p w:rsidR="00717A0B" w:rsidRDefault="00FE44CB" w:rsidP="00A232C9">
      <w:pPr>
        <w:pStyle w:val="Title"/>
        <w:jc w:val="both"/>
        <w:rPr>
          <w:b w:val="0"/>
          <w:color w:val="auto"/>
          <w:sz w:val="28"/>
          <w:szCs w:val="28"/>
        </w:rPr>
      </w:pPr>
      <w:r>
        <w:rPr>
          <w:b w:val="0"/>
          <w:color w:val="auto"/>
          <w:sz w:val="28"/>
          <w:szCs w:val="28"/>
        </w:rPr>
        <w:t xml:space="preserve">Special Allocation </w:t>
      </w:r>
      <w:r w:rsidR="00D85DC6">
        <w:rPr>
          <w:b w:val="0"/>
          <w:color w:val="auto"/>
          <w:sz w:val="28"/>
          <w:szCs w:val="28"/>
        </w:rPr>
        <w:t>Scheme</w:t>
      </w:r>
      <w:r w:rsidR="00D85DC6" w:rsidRPr="00E40F85">
        <w:rPr>
          <w:b w:val="0"/>
          <w:color w:val="auto"/>
          <w:sz w:val="28"/>
          <w:szCs w:val="28"/>
        </w:rPr>
        <w:t xml:space="preserve"> </w:t>
      </w:r>
      <w:r w:rsidR="00FB05EE">
        <w:rPr>
          <w:b w:val="0"/>
          <w:color w:val="auto"/>
          <w:sz w:val="28"/>
          <w:szCs w:val="28"/>
        </w:rPr>
        <w:t xml:space="preserve">Framework </w:t>
      </w:r>
    </w:p>
    <w:p w:rsidR="007F1E41" w:rsidRPr="000B597A" w:rsidRDefault="007F1E41" w:rsidP="00A232C9">
      <w:pPr>
        <w:pStyle w:val="Title"/>
        <w:jc w:val="both"/>
        <w:rPr>
          <w:b w:val="0"/>
          <w:color w:val="auto"/>
          <w:sz w:val="28"/>
          <w:szCs w:val="28"/>
        </w:rPr>
      </w:pPr>
      <w:r>
        <w:rPr>
          <w:b w:val="0"/>
          <w:color w:val="auto"/>
          <w:sz w:val="28"/>
          <w:szCs w:val="28"/>
        </w:rPr>
        <w:t xml:space="preserve">NHS England </w:t>
      </w:r>
      <w:r w:rsidR="00E40F85">
        <w:rPr>
          <w:b w:val="0"/>
          <w:color w:val="auto"/>
          <w:sz w:val="28"/>
          <w:szCs w:val="28"/>
        </w:rPr>
        <w:t>London Region</w:t>
      </w:r>
      <w:r w:rsidR="00E03BE4">
        <w:rPr>
          <w:b w:val="0"/>
          <w:color w:val="auto"/>
          <w:sz w:val="28"/>
          <w:szCs w:val="28"/>
        </w:rPr>
        <w:t xml:space="preserve"> </w:t>
      </w:r>
      <w:r w:rsidR="004C6D1A">
        <w:rPr>
          <w:b w:val="0"/>
          <w:color w:val="auto"/>
          <w:sz w:val="28"/>
          <w:szCs w:val="28"/>
        </w:rPr>
        <w:t xml:space="preserve">- </w:t>
      </w:r>
      <w:r w:rsidR="00D85DC6">
        <w:rPr>
          <w:b w:val="0"/>
          <w:color w:val="auto"/>
          <w:sz w:val="28"/>
          <w:szCs w:val="28"/>
        </w:rPr>
        <w:t>Delegated CCG’s</w:t>
      </w:r>
    </w:p>
    <w:p w:rsidR="007F1E41" w:rsidRDefault="007F1E41" w:rsidP="00A232C9">
      <w:pPr>
        <w:jc w:val="both"/>
      </w:pPr>
    </w:p>
    <w:p w:rsidR="007F1E41" w:rsidRDefault="007F1E41" w:rsidP="00A232C9">
      <w:pPr>
        <w:jc w:val="both"/>
      </w:pPr>
    </w:p>
    <w:p w:rsidR="007F1E41" w:rsidRDefault="007F1E41" w:rsidP="00A232C9">
      <w:pPr>
        <w:jc w:val="both"/>
      </w:pPr>
      <w:r>
        <w:t xml:space="preserve">Version number: </w:t>
      </w:r>
      <w:r w:rsidR="00D028C2">
        <w:t>2.</w:t>
      </w:r>
      <w:r w:rsidR="00DB1BC5">
        <w:t>6</w:t>
      </w:r>
      <w:r w:rsidR="00D028C2">
        <w:tab/>
      </w:r>
      <w:r w:rsidR="00DB1BC5">
        <w:t>13 April</w:t>
      </w:r>
      <w:r w:rsidR="00D028C2">
        <w:t xml:space="preserve"> 2018</w:t>
      </w:r>
      <w:r>
        <w:t xml:space="preserve"> </w:t>
      </w:r>
    </w:p>
    <w:p w:rsidR="00717A0B" w:rsidRDefault="00717A0B" w:rsidP="00A232C9">
      <w:pPr>
        <w:jc w:val="both"/>
      </w:pPr>
    </w:p>
    <w:p w:rsidR="00FE44CB" w:rsidRDefault="00FE44CB" w:rsidP="00A232C9">
      <w:pPr>
        <w:jc w:val="both"/>
      </w:pPr>
      <w:r>
        <w:t>Sarb S Bansal</w:t>
      </w:r>
    </w:p>
    <w:p w:rsidR="00C5293C" w:rsidRPr="00C5293C" w:rsidRDefault="00C5293C" w:rsidP="00C5293C">
      <w:pPr>
        <w:jc w:val="both"/>
      </w:pPr>
      <w:r w:rsidRPr="00C5293C">
        <w:t>Gohar Choudhury</w:t>
      </w:r>
    </w:p>
    <w:p w:rsidR="00C5293C" w:rsidRDefault="00C5293C" w:rsidP="00A232C9">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4D0F05" w:rsidRDefault="004D0F05" w:rsidP="004D0F05">
      <w:pPr>
        <w:jc w:val="both"/>
      </w:pPr>
    </w:p>
    <w:p w:rsidR="00A45ACF" w:rsidRPr="00287B8A" w:rsidRDefault="00A45ACF" w:rsidP="00A232C9">
      <w:pPr>
        <w:jc w:val="both"/>
        <w:rPr>
          <w:rFonts w:cs="Arial"/>
          <w:color w:val="003863" w:themeColor="text2" w:themeShade="80"/>
          <w:sz w:val="32"/>
          <w:szCs w:val="22"/>
        </w:rPr>
      </w:pPr>
    </w:p>
    <w:p w:rsidR="00F41921" w:rsidRPr="00DB1BC5" w:rsidRDefault="00F16928" w:rsidP="00DB1BC5">
      <w:pPr>
        <w:rPr>
          <w:rFonts w:cs="Arial"/>
          <w:b/>
          <w:sz w:val="28"/>
          <w:szCs w:val="28"/>
        </w:rPr>
      </w:pPr>
      <w:r w:rsidRPr="00DB1BC5">
        <w:rPr>
          <w:rFonts w:cs="Arial"/>
          <w:b/>
          <w:sz w:val="28"/>
          <w:szCs w:val="28"/>
        </w:rPr>
        <w:t xml:space="preserve">Framework for the Provision of </w:t>
      </w:r>
      <w:r w:rsidR="00F41921" w:rsidRPr="00DB1BC5">
        <w:rPr>
          <w:rFonts w:cs="Arial"/>
          <w:b/>
          <w:sz w:val="28"/>
          <w:szCs w:val="28"/>
        </w:rPr>
        <w:t>Special Allocation Scheme</w:t>
      </w:r>
      <w:r w:rsidRPr="00DB1BC5">
        <w:rPr>
          <w:rFonts w:cs="Arial"/>
          <w:b/>
          <w:sz w:val="28"/>
          <w:szCs w:val="28"/>
        </w:rPr>
        <w:t>s</w:t>
      </w:r>
      <w:r w:rsidR="00F41921" w:rsidRPr="00DB1BC5">
        <w:rPr>
          <w:rFonts w:cs="Arial"/>
          <w:b/>
          <w:sz w:val="28"/>
          <w:szCs w:val="28"/>
        </w:rPr>
        <w:t xml:space="preserve"> – NHS England London Region - Delegated CCG’s</w:t>
      </w:r>
    </w:p>
    <w:p w:rsidR="00E40F85" w:rsidRPr="00DB1BC5" w:rsidRDefault="00E40F85">
      <w:pPr>
        <w:rPr>
          <w:rFonts w:cs="Arial"/>
          <w:sz w:val="32"/>
          <w:szCs w:val="22"/>
        </w:rPr>
      </w:pPr>
    </w:p>
    <w:p w:rsidR="007F1E41" w:rsidRPr="00DB1BC5" w:rsidRDefault="007F1E41" w:rsidP="0054616C">
      <w:pPr>
        <w:pStyle w:val="Heading1"/>
        <w:numPr>
          <w:ilvl w:val="0"/>
          <w:numId w:val="13"/>
        </w:numPr>
        <w:ind w:left="426" w:hanging="426"/>
        <w:rPr>
          <w:color w:val="auto"/>
          <w:sz w:val="28"/>
          <w:szCs w:val="28"/>
        </w:rPr>
      </w:pPr>
      <w:bookmarkStart w:id="7" w:name="_Toc449618127"/>
      <w:bookmarkStart w:id="8" w:name="_Toc491163561"/>
      <w:r w:rsidRPr="00DB1BC5">
        <w:rPr>
          <w:color w:val="auto"/>
          <w:sz w:val="28"/>
          <w:szCs w:val="28"/>
        </w:rPr>
        <w:t>Introduction</w:t>
      </w:r>
      <w:bookmarkEnd w:id="7"/>
      <w:bookmarkEnd w:id="8"/>
    </w:p>
    <w:p w:rsidR="006166C8" w:rsidRPr="0074751C" w:rsidRDefault="006166C8" w:rsidP="00670E29">
      <w:pPr>
        <w:rPr>
          <w:rFonts w:cs="Arial"/>
          <w:b/>
          <w:color w:val="000000"/>
          <w:sz w:val="22"/>
          <w:szCs w:val="22"/>
          <w:u w:val="single"/>
        </w:rPr>
      </w:pPr>
    </w:p>
    <w:p w:rsidR="006166C8" w:rsidRPr="0074751C" w:rsidRDefault="00FE574C" w:rsidP="00670E29">
      <w:r>
        <w:t>Primary Care Commissioners, NHS England and delegated CC</w:t>
      </w:r>
      <w:r w:rsidR="004C6D1A">
        <w:t>G’s</w:t>
      </w:r>
      <w:r w:rsidR="00D028C2">
        <w:t>,</w:t>
      </w:r>
      <w:r w:rsidR="004C6D1A">
        <w:t xml:space="preserve"> are</w:t>
      </w:r>
      <w:r w:rsidR="006166C8" w:rsidRPr="0074751C">
        <w:t xml:space="preserve"> </w:t>
      </w:r>
      <w:r w:rsidR="008F41A4">
        <w:t xml:space="preserve">responsible for </w:t>
      </w:r>
      <w:r w:rsidR="006166C8" w:rsidRPr="0074751C">
        <w:t>commission</w:t>
      </w:r>
      <w:r w:rsidR="008F41A4">
        <w:t>ing</w:t>
      </w:r>
      <w:r w:rsidR="006166C8" w:rsidRPr="0074751C">
        <w:t xml:space="preserve"> primary care medical services for a number of patients under the </w:t>
      </w:r>
      <w:r w:rsidR="00D85DC6">
        <w:t xml:space="preserve">Special </w:t>
      </w:r>
      <w:r w:rsidR="00E40F85" w:rsidRPr="00E40F85">
        <w:t>Allocation Scheme</w:t>
      </w:r>
      <w:r w:rsidR="00294D46">
        <w:t xml:space="preserve"> (SAS)</w:t>
      </w:r>
      <w:r>
        <w:t>.</w:t>
      </w:r>
      <w:r w:rsidR="00E40F85" w:rsidRPr="00E40F85">
        <w:t xml:space="preserve"> </w:t>
      </w:r>
      <w:r w:rsidR="006166C8" w:rsidRPr="0074751C">
        <w:t xml:space="preserve">The service </w:t>
      </w:r>
      <w:r>
        <w:t>can be commissioned as a Directed Enhanced Service</w:t>
      </w:r>
      <w:r w:rsidR="00D028C2">
        <w:t>, Local Enhanced Service</w:t>
      </w:r>
      <w:r>
        <w:t xml:space="preserve"> or APMS contract and </w:t>
      </w:r>
      <w:r w:rsidR="00D85DC6">
        <w:t>may be offered</w:t>
      </w:r>
      <w:r w:rsidR="006166C8" w:rsidRPr="0074751C">
        <w:t xml:space="preserve"> </w:t>
      </w:r>
      <w:r w:rsidR="00D85DC6">
        <w:t xml:space="preserve">at </w:t>
      </w:r>
      <w:r>
        <w:t xml:space="preserve">an </w:t>
      </w:r>
      <w:r w:rsidR="00D85DC6">
        <w:t xml:space="preserve">individual CCG level, or CCG’s may opt to offer at </w:t>
      </w:r>
      <w:r w:rsidR="00D028C2">
        <w:t>scale</w:t>
      </w:r>
      <w:r w:rsidR="00D85DC6">
        <w:t>.</w:t>
      </w:r>
    </w:p>
    <w:p w:rsidR="006166C8" w:rsidRPr="0074751C" w:rsidRDefault="006166C8" w:rsidP="00670E29"/>
    <w:p w:rsidR="00E818B1" w:rsidRDefault="00FE574C" w:rsidP="00670E29">
      <w:r>
        <w:t xml:space="preserve">The scheme will provide controlled access to essential and additional services which will include </w:t>
      </w:r>
      <w:r w:rsidR="006166C8" w:rsidRPr="0074751C">
        <w:t>telephon</w:t>
      </w:r>
      <w:r>
        <w:t>e</w:t>
      </w:r>
      <w:r w:rsidR="006166C8" w:rsidRPr="0074751C">
        <w:t xml:space="preserve"> </w:t>
      </w:r>
      <w:r>
        <w:t xml:space="preserve">access </w:t>
      </w:r>
      <w:r w:rsidR="006166C8" w:rsidRPr="00DB1BC5">
        <w:t xml:space="preserve">and </w:t>
      </w:r>
      <w:r w:rsidR="00DB1BC5" w:rsidRPr="00DB1BC5">
        <w:t>where</w:t>
      </w:r>
      <w:r w:rsidRPr="00DB1BC5">
        <w:t xml:space="preserve"> </w:t>
      </w:r>
      <w:r w:rsidR="00896ABE" w:rsidRPr="00DB1BC5">
        <w:t xml:space="preserve">assessed as </w:t>
      </w:r>
      <w:r w:rsidRPr="00DB1BC5">
        <w:t xml:space="preserve">necessary </w:t>
      </w:r>
      <w:r w:rsidR="006166C8" w:rsidRPr="00DB1BC5">
        <w:t xml:space="preserve">security escort provision for </w:t>
      </w:r>
      <w:r w:rsidR="00FB05EE" w:rsidRPr="00DB1BC5">
        <w:t xml:space="preserve">these </w:t>
      </w:r>
      <w:r w:rsidR="004C6D1A" w:rsidRPr="00DB1BC5">
        <w:t>patients</w:t>
      </w:r>
      <w:r w:rsidR="006166C8" w:rsidRPr="00DB1BC5">
        <w:t>.</w:t>
      </w:r>
      <w:r w:rsidR="006166C8" w:rsidRPr="0074751C">
        <w:t xml:space="preserve"> </w:t>
      </w:r>
    </w:p>
    <w:p w:rsidR="00E818B1" w:rsidRDefault="00E818B1" w:rsidP="00670E29"/>
    <w:p w:rsidR="006166C8" w:rsidRDefault="006166C8" w:rsidP="00670E29">
      <w:r w:rsidRPr="0074751C">
        <w:t xml:space="preserve">This </w:t>
      </w:r>
      <w:r w:rsidR="00FB05EE">
        <w:t>framework</w:t>
      </w:r>
      <w:r w:rsidRPr="0074751C">
        <w:t xml:space="preserve"> </w:t>
      </w:r>
      <w:r w:rsidR="00E818B1">
        <w:t>has been revised in line with the Primary Medical Care Policy and Guidance Manual published by NHS England in November 2017</w:t>
      </w:r>
      <w:r w:rsidR="00294D46">
        <w:t xml:space="preserve">. The purpose of this framework is to provide Commissioners with consistent guidance to support good commissioning of SAS </w:t>
      </w:r>
      <w:r w:rsidR="00E818B1">
        <w:t xml:space="preserve">and </w:t>
      </w:r>
      <w:r w:rsidRPr="0074751C">
        <w:t xml:space="preserve">sets out the background, </w:t>
      </w:r>
      <w:r w:rsidR="00294D46">
        <w:t xml:space="preserve">working with Primary Care Support England (PCSE) and </w:t>
      </w:r>
      <w:r w:rsidRPr="0074751C">
        <w:t>details of the</w:t>
      </w:r>
      <w:r w:rsidR="00E40F85">
        <w:t xml:space="preserve"> </w:t>
      </w:r>
      <w:r w:rsidRPr="0074751C">
        <w:t xml:space="preserve">service </w:t>
      </w:r>
      <w:r w:rsidR="00224A17">
        <w:t>to be commissioned</w:t>
      </w:r>
      <w:r w:rsidRPr="0074751C">
        <w:t>.</w:t>
      </w:r>
    </w:p>
    <w:p w:rsidR="006166C8" w:rsidRPr="0074751C" w:rsidRDefault="006166C8" w:rsidP="00670E29"/>
    <w:p w:rsidR="007F1E41" w:rsidRPr="00DB1BC5" w:rsidRDefault="007F1E41" w:rsidP="00670E29">
      <w:pPr>
        <w:pStyle w:val="Heading2"/>
        <w:rPr>
          <w:color w:val="auto"/>
        </w:rPr>
      </w:pPr>
      <w:bookmarkStart w:id="9" w:name="_Toc491163562"/>
      <w:r w:rsidRPr="00DB1BC5">
        <w:rPr>
          <w:color w:val="auto"/>
        </w:rPr>
        <w:t>Background</w:t>
      </w:r>
      <w:bookmarkEnd w:id="9"/>
    </w:p>
    <w:p w:rsidR="00FB05EE" w:rsidRDefault="0081788A" w:rsidP="00670E29">
      <w:r>
        <w:t xml:space="preserve">The </w:t>
      </w:r>
      <w:r w:rsidR="00584134">
        <w:t xml:space="preserve">Special </w:t>
      </w:r>
      <w:r>
        <w:t>Allocation Scheme</w:t>
      </w:r>
      <w:r w:rsidR="00FB05EE">
        <w:t xml:space="preserve"> (SAS)</w:t>
      </w:r>
      <w:r>
        <w:t xml:space="preserve"> </w:t>
      </w:r>
      <w:r w:rsidR="006166C8" w:rsidRPr="0074751C">
        <w:t xml:space="preserve">was introduced as </w:t>
      </w:r>
      <w:r w:rsidR="00FB05EE">
        <w:t xml:space="preserve">The Violent Patient </w:t>
      </w:r>
      <w:r w:rsidR="004C6D1A">
        <w:t>Scheme</w:t>
      </w:r>
      <w:r w:rsidR="006166C8" w:rsidRPr="0074751C">
        <w:t xml:space="preserve"> Directed Enhanced Service in 2004, with the aim of providing a secure environment in which patients who have been violent or aggressive in their GP practice can receive general medical services.</w:t>
      </w:r>
      <w:r w:rsidR="0047677E">
        <w:t xml:space="preserve"> </w:t>
      </w:r>
    </w:p>
    <w:p w:rsidR="00FB05EE" w:rsidRDefault="00FB05EE" w:rsidP="00670E29"/>
    <w:p w:rsidR="00D6226D" w:rsidRDefault="00FB05EE" w:rsidP="00FB05EE">
      <w:r>
        <w:t xml:space="preserve">This scheme allows NHS </w:t>
      </w:r>
      <w:r w:rsidR="006D177E">
        <w:t xml:space="preserve">commissioners </w:t>
      </w:r>
      <w:r>
        <w:t xml:space="preserve">to balance the rights of patients to receive services from GPs with the need to ensure that GPs, their staff, patients and </w:t>
      </w:r>
      <w:r w:rsidR="00D6226D">
        <w:t>other stakeholders</w:t>
      </w:r>
      <w:r>
        <w:t xml:space="preserve"> deliver and receive those services without the threat or occurrence of violence or who might otherwise have reasonable fears for their safety. </w:t>
      </w:r>
    </w:p>
    <w:p w:rsidR="00D6226D" w:rsidRDefault="00D6226D" w:rsidP="00FB05EE"/>
    <w:p w:rsidR="00294D46" w:rsidRDefault="00896ABE" w:rsidP="00294D46">
      <w:r>
        <w:t>The regulations covering i</w:t>
      </w:r>
      <w:r w:rsidR="00613B1E">
        <w:t>mmediate removal of patient</w:t>
      </w:r>
      <w:r w:rsidR="0068687C">
        <w:t>s who are violent</w:t>
      </w:r>
      <w:r w:rsidR="00613B1E">
        <w:t xml:space="preserve"> </w:t>
      </w:r>
      <w:r>
        <w:t xml:space="preserve">are contained in </w:t>
      </w:r>
      <w:r w:rsidR="00613B1E">
        <w:t>The National Health Service (General Medical Services Contracts) Regulations 2015</w:t>
      </w:r>
      <w:r w:rsidR="0068687C">
        <w:t>, Schedule 3, Part 2</w:t>
      </w:r>
      <w:r w:rsidR="00613B1E">
        <w:t xml:space="preserve"> and The National Health Service (Personal Medical Services Agreements) Regulations 2015 </w:t>
      </w:r>
      <w:r w:rsidR="0068687C">
        <w:t>Schedule 2, Part 2.</w:t>
      </w:r>
      <w:r>
        <w:t xml:space="preserve">  </w:t>
      </w:r>
      <w:r w:rsidR="00294D46">
        <w:t xml:space="preserve">Removing a patient from a GP practice and </w:t>
      </w:r>
      <w:r>
        <w:t xml:space="preserve">then </w:t>
      </w:r>
      <w:r w:rsidR="00294D46">
        <w:t>referring them under the terms of this scheme should only be used as a last resort when all other ways of managing the patient’s behaviour have been exhausted.</w:t>
      </w:r>
    </w:p>
    <w:p w:rsidR="00294D46" w:rsidRDefault="00294D46" w:rsidP="00FB05EE"/>
    <w:p w:rsidR="00FC265E" w:rsidRDefault="00294D46" w:rsidP="00FC265E">
      <w:r>
        <w:t>Since 2004 t</w:t>
      </w:r>
      <w:r w:rsidR="006D177E">
        <w:t xml:space="preserve">he SAS </w:t>
      </w:r>
      <w:r w:rsidR="005F1648">
        <w:t xml:space="preserve">has developed and </w:t>
      </w:r>
      <w:r>
        <w:t xml:space="preserve">been </w:t>
      </w:r>
      <w:r w:rsidR="005F1648">
        <w:t xml:space="preserve">commissioned </w:t>
      </w:r>
      <w:r w:rsidR="00FC265E">
        <w:t xml:space="preserve">under a variety of arrangements with local specifications.  </w:t>
      </w:r>
      <w:r w:rsidR="005F1648">
        <w:t>This has led to inconsistencies in services and costs with many services not fit for purpose.</w:t>
      </w:r>
    </w:p>
    <w:p w:rsidR="00896ABE" w:rsidRDefault="00896ABE" w:rsidP="0054616C"/>
    <w:p w:rsidR="0054616C" w:rsidRDefault="00896ABE" w:rsidP="0054616C">
      <w:r w:rsidRPr="00DB1BC5">
        <w:lastRenderedPageBreak/>
        <w:t>The Primary Medical Care Policy and Guidance Manual published by NHS England in November 2017</w:t>
      </w:r>
      <w:r w:rsidR="00E825DF">
        <w:t xml:space="preserve"> under Part B Section</w:t>
      </w:r>
      <w:r w:rsidR="00D5694E">
        <w:t>,</w:t>
      </w:r>
      <w:r w:rsidR="00E825DF">
        <w:t xml:space="preserve"> </w:t>
      </w:r>
      <w:r w:rsidR="004D65B2" w:rsidRPr="004D65B2">
        <w:t>provide</w:t>
      </w:r>
      <w:r w:rsidR="00E825DF">
        <w:t>s</w:t>
      </w:r>
      <w:r w:rsidR="004D65B2" w:rsidRPr="004D65B2">
        <w:t xml:space="preserve"> Commissioners with consistent national guidance to support good commissioning of SAS. It aims to provide a steer on the implementation of SAS in practice and how to work with Primary Care Support England (PCSE), which is delivered on behalf of NHS England, by Capita Plc</w:t>
      </w:r>
    </w:p>
    <w:p w:rsidR="0033124C" w:rsidRDefault="0033124C" w:rsidP="00670E29">
      <w:pPr>
        <w:rPr>
          <w:rFonts w:cs="Arial"/>
          <w:b/>
          <w:color w:val="000000"/>
          <w:sz w:val="22"/>
          <w:szCs w:val="22"/>
          <w:u w:val="single"/>
        </w:rPr>
      </w:pPr>
    </w:p>
    <w:p w:rsidR="0033124C" w:rsidRPr="00DB1BC5" w:rsidRDefault="00A217CD" w:rsidP="00DD532B">
      <w:pPr>
        <w:pStyle w:val="Heading2"/>
        <w:rPr>
          <w:color w:val="auto"/>
        </w:rPr>
      </w:pPr>
      <w:bookmarkStart w:id="10" w:name="_Toc491163563"/>
      <w:r w:rsidRPr="00DB1BC5">
        <w:rPr>
          <w:color w:val="auto"/>
        </w:rPr>
        <w:t>Aims</w:t>
      </w:r>
      <w:bookmarkEnd w:id="10"/>
    </w:p>
    <w:p w:rsidR="00DD1A21" w:rsidRDefault="00A217CD" w:rsidP="00A217CD">
      <w:pPr>
        <w:rPr>
          <w:rFonts w:cs="Arial"/>
          <w:color w:val="000000"/>
          <w:szCs w:val="24"/>
        </w:rPr>
      </w:pPr>
      <w:r w:rsidRPr="00A217CD">
        <w:rPr>
          <w:rFonts w:cs="Arial"/>
          <w:color w:val="000000"/>
          <w:szCs w:val="24"/>
        </w:rPr>
        <w:t xml:space="preserve">The purpose of </w:t>
      </w:r>
      <w:r>
        <w:rPr>
          <w:rFonts w:cs="Arial"/>
          <w:color w:val="000000"/>
          <w:szCs w:val="24"/>
        </w:rPr>
        <w:t>th</w:t>
      </w:r>
      <w:r w:rsidR="00DD1A21">
        <w:rPr>
          <w:rFonts w:cs="Arial"/>
          <w:color w:val="000000"/>
          <w:szCs w:val="24"/>
        </w:rPr>
        <w:t xml:space="preserve">is framework and </w:t>
      </w:r>
      <w:r>
        <w:rPr>
          <w:rFonts w:cs="Arial"/>
          <w:color w:val="000000"/>
          <w:szCs w:val="24"/>
        </w:rPr>
        <w:t>SAS is</w:t>
      </w:r>
      <w:r w:rsidR="00DD1A21">
        <w:rPr>
          <w:rFonts w:cs="Arial"/>
          <w:color w:val="000000"/>
          <w:szCs w:val="24"/>
        </w:rPr>
        <w:t xml:space="preserve"> to ensure</w:t>
      </w:r>
      <w:r w:rsidRPr="00A217CD">
        <w:rPr>
          <w:rFonts w:cs="Arial"/>
          <w:color w:val="000000"/>
          <w:szCs w:val="24"/>
        </w:rPr>
        <w:t xml:space="preserve"> </w:t>
      </w:r>
      <w:r w:rsidR="00DD1A21">
        <w:rPr>
          <w:rFonts w:cs="Arial"/>
          <w:color w:val="000000"/>
          <w:szCs w:val="24"/>
        </w:rPr>
        <w:t xml:space="preserve">that there are sufficient arrangements in place to provide primary medical services for </w:t>
      </w:r>
      <w:r w:rsidRPr="00A217CD">
        <w:rPr>
          <w:rFonts w:cs="Arial"/>
          <w:color w:val="000000"/>
          <w:szCs w:val="24"/>
        </w:rPr>
        <w:t>patients who have been subject to immediate removal from a</w:t>
      </w:r>
      <w:r>
        <w:rPr>
          <w:rFonts w:cs="Arial"/>
          <w:color w:val="000000"/>
          <w:szCs w:val="24"/>
        </w:rPr>
        <w:t xml:space="preserve"> </w:t>
      </w:r>
      <w:r w:rsidRPr="00A217CD">
        <w:rPr>
          <w:rFonts w:cs="Arial"/>
          <w:color w:val="000000"/>
          <w:szCs w:val="24"/>
        </w:rPr>
        <w:t>practice’s patient list</w:t>
      </w:r>
      <w:r w:rsidR="00DD1A21">
        <w:rPr>
          <w:rFonts w:cs="Arial"/>
          <w:color w:val="000000"/>
          <w:szCs w:val="24"/>
        </w:rPr>
        <w:t>.</w:t>
      </w:r>
      <w:r w:rsidRPr="00A217CD">
        <w:rPr>
          <w:rFonts w:cs="Arial"/>
          <w:color w:val="000000"/>
          <w:szCs w:val="24"/>
        </w:rPr>
        <w:t xml:space="preserve"> </w:t>
      </w:r>
      <w:r w:rsidR="00DD1A21">
        <w:rPr>
          <w:rFonts w:cs="Arial"/>
          <w:color w:val="000000"/>
          <w:szCs w:val="24"/>
        </w:rPr>
        <w:t xml:space="preserve">Also </w:t>
      </w:r>
      <w:r w:rsidRPr="00A217CD">
        <w:rPr>
          <w:rFonts w:cs="Arial"/>
          <w:color w:val="000000"/>
          <w:szCs w:val="24"/>
        </w:rPr>
        <w:t>to provide a stable environment for the patient to receive continuing health care,</w:t>
      </w:r>
      <w:r>
        <w:rPr>
          <w:rFonts w:cs="Arial"/>
          <w:color w:val="000000"/>
          <w:szCs w:val="24"/>
        </w:rPr>
        <w:t xml:space="preserve"> </w:t>
      </w:r>
      <w:r w:rsidRPr="00A217CD">
        <w:rPr>
          <w:rFonts w:cs="Arial"/>
          <w:color w:val="000000"/>
          <w:szCs w:val="24"/>
        </w:rPr>
        <w:t>addressing any underlying causes of aggressive behaviour and providing a safe environment for the individuals</w:t>
      </w:r>
      <w:r>
        <w:rPr>
          <w:rFonts w:cs="Arial"/>
          <w:color w:val="000000"/>
          <w:szCs w:val="24"/>
        </w:rPr>
        <w:t xml:space="preserve"> </w:t>
      </w:r>
      <w:r w:rsidRPr="00A217CD">
        <w:rPr>
          <w:rFonts w:cs="Arial"/>
          <w:color w:val="000000"/>
          <w:szCs w:val="24"/>
        </w:rPr>
        <w:t xml:space="preserve">involved in delivering that treatment. </w:t>
      </w:r>
    </w:p>
    <w:p w:rsidR="00DD1A21" w:rsidRDefault="00DD1A21" w:rsidP="00A217CD">
      <w:pPr>
        <w:rPr>
          <w:rFonts w:cs="Arial"/>
          <w:color w:val="000000"/>
          <w:szCs w:val="24"/>
        </w:rPr>
      </w:pPr>
    </w:p>
    <w:p w:rsidR="00A217CD" w:rsidRDefault="00A217CD" w:rsidP="00A217CD">
      <w:pPr>
        <w:rPr>
          <w:rFonts w:cs="Arial"/>
          <w:color w:val="000000"/>
          <w:szCs w:val="24"/>
        </w:rPr>
      </w:pPr>
      <w:r w:rsidRPr="00A217CD">
        <w:rPr>
          <w:rFonts w:cs="Arial"/>
          <w:color w:val="000000"/>
          <w:szCs w:val="24"/>
        </w:rPr>
        <w:t>The model does this by:</w:t>
      </w:r>
    </w:p>
    <w:p w:rsidR="00A217CD" w:rsidRPr="00A217CD" w:rsidRDefault="00A217CD" w:rsidP="00A217CD">
      <w:pPr>
        <w:rPr>
          <w:rFonts w:cs="Arial"/>
          <w:color w:val="000000"/>
          <w:szCs w:val="24"/>
        </w:rPr>
      </w:pPr>
    </w:p>
    <w:p w:rsidR="00A217CD" w:rsidRPr="00D5694E" w:rsidRDefault="00A217CD" w:rsidP="00D5694E">
      <w:pPr>
        <w:pStyle w:val="ListParagraph"/>
        <w:numPr>
          <w:ilvl w:val="0"/>
          <w:numId w:val="49"/>
        </w:numPr>
        <w:rPr>
          <w:rFonts w:cs="Arial"/>
          <w:color w:val="000000"/>
          <w:szCs w:val="24"/>
        </w:rPr>
      </w:pPr>
      <w:r w:rsidRPr="00D5694E">
        <w:rPr>
          <w:rFonts w:cs="Arial"/>
          <w:color w:val="000000"/>
          <w:szCs w:val="24"/>
        </w:rPr>
        <w:t>incentivising providers to retain, on a longer term basis, those patients who are potentially aggressive and who have been removed from a practice’s list because of their violent behaviour. The incentive provides the resources for the provision of essential and additional services, recognises the additional workload created by such patients and should fund specific security investments required by the provider. The intention is to provide a stable environment in which the health needs of the patient can be addressed in a proper and continuing manner</w:t>
      </w:r>
    </w:p>
    <w:p w:rsidR="00A217CD" w:rsidRPr="00A217CD" w:rsidRDefault="00A217CD" w:rsidP="00A217CD">
      <w:pPr>
        <w:rPr>
          <w:rFonts w:cs="Arial"/>
          <w:color w:val="000000"/>
          <w:szCs w:val="24"/>
        </w:rPr>
      </w:pPr>
    </w:p>
    <w:p w:rsidR="00A217CD" w:rsidRPr="00D5694E" w:rsidRDefault="00A217CD" w:rsidP="00D5694E">
      <w:pPr>
        <w:pStyle w:val="ListParagraph"/>
        <w:numPr>
          <w:ilvl w:val="0"/>
          <w:numId w:val="49"/>
        </w:numPr>
        <w:rPr>
          <w:rFonts w:cs="Arial"/>
          <w:color w:val="000000"/>
          <w:szCs w:val="24"/>
        </w:rPr>
      </w:pPr>
      <w:r w:rsidRPr="00D5694E">
        <w:rPr>
          <w:rFonts w:cs="Arial"/>
          <w:color w:val="000000"/>
          <w:szCs w:val="24"/>
        </w:rPr>
        <w:t>encouraging providers to work with other primary care practitioners, social services and other agencies to try to identify and treat any clinical and underlying causes of disruptive behaviour to prevent further deterioration</w:t>
      </w:r>
    </w:p>
    <w:p w:rsidR="00333FCA" w:rsidRPr="00A217CD" w:rsidRDefault="00333FCA" w:rsidP="00A217CD">
      <w:pPr>
        <w:rPr>
          <w:rFonts w:cs="Arial"/>
          <w:color w:val="000000"/>
          <w:szCs w:val="24"/>
        </w:rPr>
      </w:pPr>
    </w:p>
    <w:p w:rsidR="00A217CD" w:rsidRDefault="00A217CD" w:rsidP="00D5694E">
      <w:pPr>
        <w:pStyle w:val="ListParagraph"/>
        <w:numPr>
          <w:ilvl w:val="0"/>
          <w:numId w:val="49"/>
        </w:numPr>
        <w:rPr>
          <w:rFonts w:cs="Arial"/>
          <w:color w:val="000000"/>
          <w:szCs w:val="24"/>
        </w:rPr>
      </w:pPr>
      <w:r w:rsidRPr="00D5694E">
        <w:rPr>
          <w:rFonts w:cs="Arial"/>
          <w:color w:val="000000"/>
          <w:szCs w:val="24"/>
        </w:rPr>
        <w:t>promoting a continuing understanding of the NHS health and social care system to encourage the patient to use the services in a responsible, appropriate and safe way in the future</w:t>
      </w:r>
    </w:p>
    <w:p w:rsidR="00D5694E" w:rsidRPr="00D5694E" w:rsidRDefault="00D5694E" w:rsidP="00D5694E">
      <w:pPr>
        <w:pStyle w:val="ListParagraph"/>
        <w:rPr>
          <w:rFonts w:cs="Arial"/>
          <w:color w:val="000000"/>
          <w:szCs w:val="24"/>
        </w:rPr>
      </w:pPr>
    </w:p>
    <w:p w:rsidR="00A217CD" w:rsidRPr="00D5694E" w:rsidRDefault="00A217CD" w:rsidP="00D5694E">
      <w:pPr>
        <w:pStyle w:val="ListParagraph"/>
        <w:numPr>
          <w:ilvl w:val="0"/>
          <w:numId w:val="49"/>
        </w:numPr>
        <w:rPr>
          <w:rFonts w:cs="Arial"/>
          <w:color w:val="000000"/>
          <w:szCs w:val="24"/>
        </w:rPr>
      </w:pPr>
      <w:r w:rsidRPr="00D5694E">
        <w:rPr>
          <w:rFonts w:cs="Arial"/>
          <w:color w:val="000000"/>
          <w:szCs w:val="24"/>
        </w:rPr>
        <w:t>safeguarding the families of patients who have been subject to immediate removal from a practice’s patient list who are, on occasions, themselves subject to removal. Providing a stable environment for treating the patient will, just as importantly, have the effect of providing similar stability for any family members. The medical care needs of the families of patients who have been subject to immediate removal will need to be considered on a case-by-case basis. Often it will be appropriate for them to remain registered with the original practice, which</w:t>
      </w:r>
      <w:r w:rsidR="00E825DF" w:rsidRPr="00D5694E">
        <w:rPr>
          <w:rFonts w:cs="Arial"/>
          <w:color w:val="000000"/>
          <w:szCs w:val="24"/>
        </w:rPr>
        <w:t>, if necessary,</w:t>
      </w:r>
      <w:r w:rsidRPr="00D5694E">
        <w:rPr>
          <w:rFonts w:cs="Arial"/>
          <w:color w:val="000000"/>
          <w:szCs w:val="24"/>
        </w:rPr>
        <w:t xml:space="preserve"> should be </w:t>
      </w:r>
      <w:r w:rsidRPr="00DB1BC5">
        <w:rPr>
          <w:rFonts w:cs="Arial"/>
          <w:color w:val="000000"/>
          <w:szCs w:val="24"/>
        </w:rPr>
        <w:t>protected by an injunction from approaches by the removed person on behalf of family members.</w:t>
      </w:r>
    </w:p>
    <w:p w:rsidR="00A217CD" w:rsidRDefault="00A217CD" w:rsidP="00670E29">
      <w:pPr>
        <w:rPr>
          <w:rFonts w:cs="Arial"/>
          <w:b/>
          <w:color w:val="000000"/>
          <w:sz w:val="22"/>
          <w:szCs w:val="22"/>
          <w:u w:val="single"/>
        </w:rPr>
      </w:pPr>
    </w:p>
    <w:p w:rsidR="002711CA" w:rsidRDefault="002711CA" w:rsidP="00670E29">
      <w:pPr>
        <w:rPr>
          <w:rFonts w:cs="Arial"/>
          <w:b/>
          <w:color w:val="000000"/>
          <w:sz w:val="22"/>
          <w:szCs w:val="22"/>
          <w:u w:val="single"/>
        </w:rPr>
      </w:pPr>
    </w:p>
    <w:p w:rsidR="002711CA" w:rsidRDefault="002711CA" w:rsidP="00670E29">
      <w:pPr>
        <w:rPr>
          <w:rFonts w:cs="Arial"/>
          <w:b/>
          <w:color w:val="000000"/>
          <w:sz w:val="22"/>
          <w:szCs w:val="22"/>
          <w:u w:val="single"/>
        </w:rPr>
      </w:pPr>
    </w:p>
    <w:p w:rsidR="002711CA" w:rsidRDefault="002711CA" w:rsidP="00670E29">
      <w:pPr>
        <w:rPr>
          <w:rFonts w:cs="Arial"/>
          <w:b/>
          <w:color w:val="000000"/>
          <w:sz w:val="22"/>
          <w:szCs w:val="22"/>
          <w:u w:val="single"/>
        </w:rPr>
      </w:pPr>
    </w:p>
    <w:p w:rsidR="007F1E41" w:rsidRPr="00DB1BC5" w:rsidRDefault="007F1E41" w:rsidP="00670E29">
      <w:pPr>
        <w:pStyle w:val="Heading2"/>
        <w:rPr>
          <w:color w:val="auto"/>
        </w:rPr>
      </w:pPr>
      <w:bookmarkStart w:id="11" w:name="_Toc491163564"/>
      <w:r w:rsidRPr="00DB1BC5">
        <w:rPr>
          <w:color w:val="auto"/>
        </w:rPr>
        <w:lastRenderedPageBreak/>
        <w:t>Objective</w:t>
      </w:r>
      <w:bookmarkEnd w:id="11"/>
    </w:p>
    <w:p w:rsidR="0005507C" w:rsidRDefault="0005507C" w:rsidP="0005507C">
      <w:r>
        <w:t xml:space="preserve">The SAS is for the provision of primary medical services. It should allow for the enhancement of resources for the provider of the service and the provision of services to a specified standard. </w:t>
      </w:r>
    </w:p>
    <w:p w:rsidR="0005507C" w:rsidRDefault="0005507C" w:rsidP="0005507C"/>
    <w:p w:rsidR="00AE3F79" w:rsidRDefault="00AE3F79" w:rsidP="00AE3F79">
      <w:r>
        <w:t>Commissioners must take into account the likely numbers of patients. It is important to ensure that the arrangements which are set up are appropriate for the number of patients likely to be involved.</w:t>
      </w:r>
    </w:p>
    <w:p w:rsidR="00AE3F79" w:rsidRDefault="00AE3F79" w:rsidP="0005507C"/>
    <w:p w:rsidR="0005507C" w:rsidRDefault="0005507C" w:rsidP="0005507C">
      <w:r>
        <w:t xml:space="preserve">When patients have been subject to immediate removal from a practice list, the provider must plan and manage treatment of the patient in a way that minimises the risk of violence or disruption to GPs, practice and attached staff and other patients. </w:t>
      </w:r>
      <w:r w:rsidR="00AE3F79">
        <w:t xml:space="preserve">In managing these </w:t>
      </w:r>
      <w:r>
        <w:t xml:space="preserve">problems </w:t>
      </w:r>
      <w:r w:rsidR="00AE3F79">
        <w:t xml:space="preserve">the </w:t>
      </w:r>
      <w:r>
        <w:t xml:space="preserve">delivery of </w:t>
      </w:r>
      <w:r w:rsidR="00AE3F79">
        <w:t>primary</w:t>
      </w:r>
      <w:r>
        <w:t xml:space="preserve"> medical services </w:t>
      </w:r>
      <w:r w:rsidR="00AE3F79">
        <w:t>may</w:t>
      </w:r>
      <w:r>
        <w:t xml:space="preserve"> restrict the patient’s access to wider facilities. Additional</w:t>
      </w:r>
      <w:r w:rsidR="00AE3F79">
        <w:t xml:space="preserve"> consideration needs to be given as these</w:t>
      </w:r>
      <w:r>
        <w:t xml:space="preserve"> patients often have complex and wide-ranging health and social care needs.</w:t>
      </w:r>
    </w:p>
    <w:p w:rsidR="0005507C" w:rsidRDefault="0005507C" w:rsidP="00670E29"/>
    <w:p w:rsidR="00387481" w:rsidRDefault="00387481" w:rsidP="00670E29">
      <w:r>
        <w:t>T</w:t>
      </w:r>
      <w:r w:rsidR="00F009DB">
        <w:t xml:space="preserve">he service </w:t>
      </w:r>
      <w:r w:rsidR="007368B8">
        <w:t xml:space="preserve">will </w:t>
      </w:r>
      <w:r w:rsidR="00F009DB">
        <w:t>be</w:t>
      </w:r>
      <w:r w:rsidR="006166C8" w:rsidRPr="0074751C">
        <w:t xml:space="preserve"> commission</w:t>
      </w:r>
      <w:r w:rsidR="00F009DB">
        <w:t>ed</w:t>
      </w:r>
      <w:r w:rsidR="006166C8" w:rsidRPr="0074751C">
        <w:t xml:space="preserve"> </w:t>
      </w:r>
      <w:r w:rsidR="00F009DB">
        <w:t xml:space="preserve">for </w:t>
      </w:r>
      <w:r w:rsidR="006166C8" w:rsidRPr="0074751C">
        <w:t>a time limited service (via an APMS contract</w:t>
      </w:r>
      <w:r w:rsidR="007368B8">
        <w:t xml:space="preserve"> or </w:t>
      </w:r>
      <w:r w:rsidR="00F009DB">
        <w:t xml:space="preserve">Enhanced </w:t>
      </w:r>
      <w:r w:rsidR="007368B8">
        <w:t>Service</w:t>
      </w:r>
      <w:r w:rsidR="00F009DB">
        <w:t xml:space="preserve"> S</w:t>
      </w:r>
      <w:r w:rsidR="007368B8">
        <w:t>L</w:t>
      </w:r>
      <w:r w:rsidR="00F009DB">
        <w:t>A</w:t>
      </w:r>
      <w:r w:rsidR="006166C8" w:rsidRPr="0074751C">
        <w:t xml:space="preserve">) </w:t>
      </w:r>
      <w:r w:rsidR="007368B8">
        <w:t xml:space="preserve">from </w:t>
      </w:r>
      <w:r w:rsidR="006166C8" w:rsidRPr="0074751C">
        <w:t>a single</w:t>
      </w:r>
      <w:r w:rsidR="007368B8">
        <w:t xml:space="preserve"> or multiple</w:t>
      </w:r>
      <w:r w:rsidR="006166C8" w:rsidRPr="0074751C">
        <w:t xml:space="preserve"> accountable provider</w:t>
      </w:r>
      <w:r w:rsidR="007368B8">
        <w:t>(s)</w:t>
      </w:r>
      <w:r w:rsidR="006166C8" w:rsidRPr="0074751C">
        <w:t xml:space="preserve"> to provide primary medical services, in </w:t>
      </w:r>
      <w:r w:rsidR="00F009DB">
        <w:t xml:space="preserve">planned and </w:t>
      </w:r>
      <w:r w:rsidR="006166C8" w:rsidRPr="0074751C">
        <w:t>secure location</w:t>
      </w:r>
      <w:r w:rsidR="002F6D04">
        <w:t>s</w:t>
      </w:r>
      <w:r w:rsidR="00D30E4B">
        <w:t xml:space="preserve"> where required</w:t>
      </w:r>
      <w:r w:rsidR="006166C8" w:rsidRPr="0074751C">
        <w:t xml:space="preserve">, to </w:t>
      </w:r>
      <w:r w:rsidR="00F009DB">
        <w:t xml:space="preserve">identified </w:t>
      </w:r>
      <w:r w:rsidR="006166C8" w:rsidRPr="0074751C">
        <w:t xml:space="preserve">patients placed on the </w:t>
      </w:r>
      <w:r w:rsidR="006C53EA">
        <w:t>SAS</w:t>
      </w:r>
      <w:r w:rsidR="00F009DB">
        <w:t xml:space="preserve">. </w:t>
      </w:r>
    </w:p>
    <w:p w:rsidR="00387481" w:rsidRDefault="00387481" w:rsidP="00387481"/>
    <w:p w:rsidR="00387481" w:rsidRPr="0074751C" w:rsidRDefault="00387481" w:rsidP="00387481">
      <w:r>
        <w:t>The provider of this service will be required to ensure that access to and service provision is managed in a safe and secure manner that could include where required the</w:t>
      </w:r>
      <w:r w:rsidRPr="0074751C">
        <w:t xml:space="preserve"> provision of security escorts to attend an appointment. </w:t>
      </w:r>
    </w:p>
    <w:p w:rsidR="00387481" w:rsidRDefault="00387481" w:rsidP="00670E29"/>
    <w:p w:rsidR="00F009DB" w:rsidRDefault="00387481" w:rsidP="00670E29">
      <w:r w:rsidRPr="00DB1BC5">
        <w:t>Commissioners will need to develop and agree plans on the most appropriate delivery model</w:t>
      </w:r>
      <w:r w:rsidR="00683D70" w:rsidRPr="00DB1BC5">
        <w:t xml:space="preserve"> for their area</w:t>
      </w:r>
      <w:r w:rsidRPr="00DB1BC5">
        <w:t xml:space="preserve">. </w:t>
      </w:r>
      <w:r w:rsidR="00F009DB" w:rsidRPr="00DB1BC5">
        <w:t>Th</w:t>
      </w:r>
      <w:r w:rsidR="00683D70" w:rsidRPr="00DB1BC5">
        <w:t>e service</w:t>
      </w:r>
      <w:r w:rsidR="00F009DB" w:rsidRPr="00DB1BC5">
        <w:t xml:space="preserve"> </w:t>
      </w:r>
      <w:r w:rsidRPr="00DB1BC5">
        <w:t>can</w:t>
      </w:r>
      <w:r w:rsidR="00F009DB" w:rsidRPr="00DB1BC5">
        <w:t xml:space="preserve"> be </w:t>
      </w:r>
      <w:r w:rsidRPr="00DB1BC5">
        <w:t>delivered</w:t>
      </w:r>
      <w:r w:rsidR="00F009DB" w:rsidRPr="00DB1BC5">
        <w:t xml:space="preserve"> either</w:t>
      </w:r>
      <w:r w:rsidR="006166C8" w:rsidRPr="00DB1BC5">
        <w:t xml:space="preserve"> </w:t>
      </w:r>
      <w:r w:rsidR="00F009DB" w:rsidRPr="00DB1BC5">
        <w:t>at</w:t>
      </w:r>
      <w:r w:rsidR="006166C8" w:rsidRPr="00DB1BC5">
        <w:t xml:space="preserve"> </w:t>
      </w:r>
      <w:r w:rsidR="007368B8" w:rsidRPr="00DB1BC5">
        <w:t xml:space="preserve">an individual CCG </w:t>
      </w:r>
      <w:r w:rsidR="00683D70" w:rsidRPr="00DB1BC5">
        <w:t>or at scale</w:t>
      </w:r>
      <w:r w:rsidR="007368B8" w:rsidRPr="00DB1BC5">
        <w:t>.</w:t>
      </w:r>
      <w:r w:rsidR="007368B8">
        <w:t xml:space="preserve"> </w:t>
      </w:r>
    </w:p>
    <w:p w:rsidR="006166C8" w:rsidRPr="0074751C" w:rsidRDefault="006166C8" w:rsidP="00670E29"/>
    <w:p w:rsidR="0005507C" w:rsidRPr="00DB1BC5" w:rsidRDefault="009138FF" w:rsidP="00FA629D">
      <w:pPr>
        <w:pStyle w:val="Heading1"/>
        <w:numPr>
          <w:ilvl w:val="0"/>
          <w:numId w:val="0"/>
        </w:numPr>
        <w:rPr>
          <w:color w:val="auto"/>
          <w:sz w:val="28"/>
          <w:szCs w:val="28"/>
          <w:u w:val="single"/>
        </w:rPr>
      </w:pPr>
      <w:bookmarkStart w:id="12" w:name="_Toc491163565"/>
      <w:r w:rsidRPr="00DB1BC5">
        <w:rPr>
          <w:color w:val="auto"/>
          <w:sz w:val="28"/>
          <w:szCs w:val="28"/>
          <w:u w:val="single"/>
        </w:rPr>
        <w:t xml:space="preserve">Section </w:t>
      </w:r>
      <w:r w:rsidR="00F575AA" w:rsidRPr="00DB1BC5">
        <w:rPr>
          <w:color w:val="auto"/>
          <w:sz w:val="28"/>
          <w:szCs w:val="28"/>
          <w:u w:val="single"/>
        </w:rPr>
        <w:t>A Commissioning</w:t>
      </w:r>
      <w:r w:rsidR="0047322C" w:rsidRPr="00DB1BC5">
        <w:rPr>
          <w:color w:val="auto"/>
          <w:sz w:val="28"/>
          <w:szCs w:val="28"/>
          <w:u w:val="single"/>
        </w:rPr>
        <w:t xml:space="preserve"> the Service</w:t>
      </w:r>
      <w:bookmarkEnd w:id="12"/>
    </w:p>
    <w:p w:rsidR="0047322C" w:rsidRDefault="0047322C" w:rsidP="00670E29"/>
    <w:p w:rsidR="00523493" w:rsidRPr="00DB1BC5" w:rsidRDefault="009138FF" w:rsidP="00DB1BC5">
      <w:pPr>
        <w:pStyle w:val="Heading2"/>
        <w:numPr>
          <w:ilvl w:val="0"/>
          <w:numId w:val="0"/>
        </w:numPr>
        <w:ind w:left="666" w:hanging="576"/>
        <w:rPr>
          <w:color w:val="auto"/>
        </w:rPr>
      </w:pPr>
      <w:bookmarkStart w:id="13" w:name="_Toc491163566"/>
      <w:r w:rsidRPr="00DB1BC5">
        <w:rPr>
          <w:color w:val="auto"/>
        </w:rPr>
        <w:t>A1</w:t>
      </w:r>
      <w:r w:rsidR="00DB1BC5">
        <w:rPr>
          <w:color w:val="auto"/>
        </w:rPr>
        <w:tab/>
      </w:r>
      <w:r w:rsidR="00523493" w:rsidRPr="00DB1BC5">
        <w:rPr>
          <w:color w:val="auto"/>
        </w:rPr>
        <w:t>Overview</w:t>
      </w:r>
      <w:bookmarkEnd w:id="13"/>
    </w:p>
    <w:p w:rsidR="0047322C" w:rsidRDefault="0047322C" w:rsidP="00670E29">
      <w:r>
        <w:t>Each individual commission</w:t>
      </w:r>
      <w:r w:rsidR="00210871">
        <w:t>ing</w:t>
      </w:r>
      <w:r>
        <w:t xml:space="preserve"> CCG needs to assess the number of patients that will need to be in the SAS. It is recommended that each area looks at the number of patients in the schemes over at least the last three years. And also to review how long each patient has been in the scheme. It should be noted that the SAS need</w:t>
      </w:r>
      <w:r w:rsidR="0046033D">
        <w:t>s</w:t>
      </w:r>
      <w:r>
        <w:t xml:space="preserve"> to be reviewing each patient at least once every </w:t>
      </w:r>
      <w:r w:rsidR="004F3CAE">
        <w:t>6</w:t>
      </w:r>
      <w:r>
        <w:t xml:space="preserve"> months to see if they can be referred back into mainstream primary care.</w:t>
      </w:r>
    </w:p>
    <w:p w:rsidR="0047322C" w:rsidRDefault="0047322C" w:rsidP="00670E29"/>
    <w:p w:rsidR="00F05B60" w:rsidRDefault="00F05B60" w:rsidP="00670E29">
      <w:r>
        <w:t xml:space="preserve">The provider of the SAS will hold a patient list and be required to register each patient referred to the scheme. The provider will then provide primary care medical services to these patients which means there will need to be the associated infrastructure for the provision of the service. </w:t>
      </w:r>
    </w:p>
    <w:p w:rsidR="00F05B60" w:rsidRDefault="00F05B60" w:rsidP="00670E29"/>
    <w:p w:rsidR="00F05B60" w:rsidRDefault="00F05B60" w:rsidP="00670E29">
      <w:r>
        <w:t>The infrastructure will be as a minimum –</w:t>
      </w:r>
    </w:p>
    <w:p w:rsidR="00F05B60" w:rsidRDefault="00F05B60" w:rsidP="00670E29"/>
    <w:p w:rsidR="00F05B60" w:rsidRDefault="00F05B60" w:rsidP="0054616C">
      <w:pPr>
        <w:pStyle w:val="ListParagraph"/>
        <w:numPr>
          <w:ilvl w:val="0"/>
          <w:numId w:val="33"/>
        </w:numPr>
      </w:pPr>
      <w:r>
        <w:lastRenderedPageBreak/>
        <w:t>Premises that meet minimum standards for the provisio</w:t>
      </w:r>
      <w:r w:rsidR="0037131C">
        <w:t>n of primary medical services in</w:t>
      </w:r>
      <w:r>
        <w:t xml:space="preserve"> a secure and safe manner.</w:t>
      </w:r>
    </w:p>
    <w:p w:rsidR="00F05B60" w:rsidRDefault="00F05B60" w:rsidP="00670E29"/>
    <w:p w:rsidR="00F05B60" w:rsidRDefault="00F05B60" w:rsidP="0054616C">
      <w:pPr>
        <w:pStyle w:val="ListParagraph"/>
        <w:numPr>
          <w:ilvl w:val="0"/>
          <w:numId w:val="33"/>
        </w:numPr>
      </w:pPr>
      <w:r>
        <w:t>Telephone access and call handling</w:t>
      </w:r>
    </w:p>
    <w:p w:rsidR="00F05B60" w:rsidRDefault="00F05B60" w:rsidP="00670E29"/>
    <w:p w:rsidR="00F05B60" w:rsidRDefault="00F05B60" w:rsidP="0054616C">
      <w:pPr>
        <w:pStyle w:val="ListParagraph"/>
        <w:numPr>
          <w:ilvl w:val="0"/>
          <w:numId w:val="33"/>
        </w:numPr>
      </w:pPr>
      <w:r>
        <w:t>Approved clinical IT system and on-line facilities</w:t>
      </w:r>
    </w:p>
    <w:p w:rsidR="00F05B60" w:rsidRDefault="00F05B60" w:rsidP="00670E29"/>
    <w:p w:rsidR="00F05B60" w:rsidRDefault="00F05B60" w:rsidP="0054616C">
      <w:pPr>
        <w:pStyle w:val="ListParagraph"/>
        <w:numPr>
          <w:ilvl w:val="0"/>
          <w:numId w:val="33"/>
        </w:numPr>
      </w:pPr>
      <w:r>
        <w:t>Adequate and appropriately trained reception and administration staff</w:t>
      </w:r>
    </w:p>
    <w:p w:rsidR="00F05B60" w:rsidRDefault="00F05B60" w:rsidP="00670E29"/>
    <w:p w:rsidR="00F05B60" w:rsidRDefault="00F05B60" w:rsidP="0054616C">
      <w:pPr>
        <w:pStyle w:val="ListParagraph"/>
        <w:numPr>
          <w:ilvl w:val="0"/>
          <w:numId w:val="33"/>
        </w:numPr>
      </w:pPr>
      <w:r>
        <w:t>Clinical staffing appropriate for the needs of the “population” being served.</w:t>
      </w:r>
    </w:p>
    <w:p w:rsidR="00F05B60" w:rsidRDefault="00F05B60" w:rsidP="00670E29"/>
    <w:p w:rsidR="0047322C" w:rsidRDefault="00F05B60" w:rsidP="00670E29">
      <w:r>
        <w:t>The provider will be expected to develop the infrastructure and staffing to meet changes in the need of the patient list.</w:t>
      </w:r>
    </w:p>
    <w:p w:rsidR="00F05B60" w:rsidRDefault="00F05B60" w:rsidP="00670E29"/>
    <w:p w:rsidR="00C93B8A" w:rsidRDefault="00C93B8A" w:rsidP="00670E29">
      <w:r>
        <w:t>Patients placed on this scheme will not have the same rights and choices of the general population. Therefore the commissioner does not have to prioritise geographical distance to access this service</w:t>
      </w:r>
      <w:r w:rsidR="00EC293D">
        <w:t xml:space="preserve"> when procuring the service;</w:t>
      </w:r>
      <w:r>
        <w:t xml:space="preserve"> although the travel distance and time should be reasonable. In a highly urban area such as London travelling distance of 10 miles would not be unreasonable. In rural areas this distance may be</w:t>
      </w:r>
      <w:r w:rsidR="00052284">
        <w:t xml:space="preserve"> </w:t>
      </w:r>
      <w:r w:rsidR="00EC293D">
        <w:t>greater</w:t>
      </w:r>
      <w:r>
        <w:t>.</w:t>
      </w:r>
    </w:p>
    <w:p w:rsidR="00C93B8A" w:rsidRDefault="00C93B8A" w:rsidP="00670E29"/>
    <w:p w:rsidR="00C93B8A" w:rsidRDefault="00C93B8A" w:rsidP="00670E29">
      <w:r>
        <w:t>Travelling time should also be considered, especially where there are poor public transport links. A reasonable travel time for this service would be no more than an hour.</w:t>
      </w:r>
    </w:p>
    <w:p w:rsidR="00C93B8A" w:rsidRDefault="00C93B8A" w:rsidP="00670E29"/>
    <w:p w:rsidR="00C93B8A" w:rsidRDefault="00C93B8A" w:rsidP="00670E29">
      <w:r>
        <w:t>To note</w:t>
      </w:r>
      <w:r w:rsidR="00EC293D">
        <w:t>,</w:t>
      </w:r>
      <w:r>
        <w:t xml:space="preserve"> patients in the SAS need to access services but in a controlled </w:t>
      </w:r>
      <w:r w:rsidR="00EC293D">
        <w:t xml:space="preserve">managed </w:t>
      </w:r>
      <w:r>
        <w:t>manner</w:t>
      </w:r>
      <w:r w:rsidR="00EC293D">
        <w:t xml:space="preserve">. </w:t>
      </w:r>
      <w:r>
        <w:t xml:space="preserve"> The service is not designed to be </w:t>
      </w:r>
      <w:r w:rsidR="00EC293D">
        <w:t xml:space="preserve">a </w:t>
      </w:r>
      <w:r>
        <w:t>convenient replacement for general primary medical services.</w:t>
      </w:r>
    </w:p>
    <w:p w:rsidR="00F05B60" w:rsidRDefault="00C93B8A" w:rsidP="00670E29">
      <w:r>
        <w:t xml:space="preserve"> </w:t>
      </w:r>
    </w:p>
    <w:p w:rsidR="003A06F2" w:rsidRPr="00DB1BC5" w:rsidRDefault="003A06F2" w:rsidP="003A06F2">
      <w:pPr>
        <w:rPr>
          <w:b/>
          <w:sz w:val="28"/>
          <w:szCs w:val="28"/>
        </w:rPr>
      </w:pPr>
      <w:r w:rsidRPr="00DB1BC5">
        <w:rPr>
          <w:b/>
          <w:sz w:val="28"/>
          <w:szCs w:val="28"/>
        </w:rPr>
        <w:t>A2</w:t>
      </w:r>
      <w:r w:rsidR="000C4E7C" w:rsidRPr="00DB1BC5">
        <w:rPr>
          <w:b/>
          <w:sz w:val="28"/>
          <w:szCs w:val="28"/>
        </w:rPr>
        <w:tab/>
      </w:r>
      <w:r w:rsidRPr="00DB1BC5">
        <w:rPr>
          <w:b/>
          <w:sz w:val="28"/>
          <w:szCs w:val="28"/>
        </w:rPr>
        <w:t>Scope of the Service</w:t>
      </w:r>
    </w:p>
    <w:p w:rsidR="003A06F2" w:rsidRDefault="003A06F2" w:rsidP="00670E29"/>
    <w:p w:rsidR="0065436A" w:rsidRDefault="0065436A" w:rsidP="0065436A">
      <w:r>
        <w:t>The key requirements for an SAS are:</w:t>
      </w:r>
    </w:p>
    <w:p w:rsidR="0065436A" w:rsidRDefault="0065436A" w:rsidP="0065436A"/>
    <w:p w:rsidR="0065436A" w:rsidRDefault="0065436A" w:rsidP="0065436A">
      <w:pPr>
        <w:pStyle w:val="ListParagraph"/>
        <w:numPr>
          <w:ilvl w:val="0"/>
          <w:numId w:val="32"/>
        </w:numPr>
      </w:pPr>
      <w:r>
        <w:t>Only patients who fit the criteria should be referred to a SAS and it should not be used for any other purpose.</w:t>
      </w:r>
    </w:p>
    <w:p w:rsidR="0065436A" w:rsidRDefault="0065436A" w:rsidP="0065436A">
      <w:pPr>
        <w:pStyle w:val="ListParagraph"/>
        <w:numPr>
          <w:ilvl w:val="0"/>
          <w:numId w:val="32"/>
        </w:numPr>
      </w:pPr>
      <w:r>
        <w:t>There is balance between the right to receive services from GPs with the need to remove a threat or risk of violence to GPs, staff, patients and others in the primary care service environment.</w:t>
      </w:r>
    </w:p>
    <w:p w:rsidR="0065436A" w:rsidRDefault="0065436A" w:rsidP="0065436A">
      <w:pPr>
        <w:pStyle w:val="ListParagraph"/>
        <w:numPr>
          <w:ilvl w:val="0"/>
          <w:numId w:val="32"/>
        </w:numPr>
      </w:pPr>
      <w:r>
        <w:t>Referral to a SAS should only be used as a last resort when all other ways of managing the patient’s behaviour have been tried and this is recorded, in accordance with the GP’s contractual requirements.</w:t>
      </w:r>
    </w:p>
    <w:p w:rsidR="0065436A" w:rsidRDefault="0065436A" w:rsidP="0065436A">
      <w:pPr>
        <w:pStyle w:val="ListParagraph"/>
        <w:numPr>
          <w:ilvl w:val="0"/>
          <w:numId w:val="32"/>
        </w:numPr>
      </w:pPr>
      <w:r>
        <w:t>Referral should be based on behaviour occurring as part of the delivery of GP services only and not based solely on past historical records.</w:t>
      </w:r>
    </w:p>
    <w:p w:rsidR="0065436A" w:rsidRDefault="0065436A" w:rsidP="0065436A">
      <w:pPr>
        <w:pStyle w:val="ListParagraph"/>
        <w:numPr>
          <w:ilvl w:val="0"/>
          <w:numId w:val="32"/>
        </w:numPr>
      </w:pPr>
      <w:r>
        <w:t xml:space="preserve">Referral can be made without prior warning in cases of physical violence and serious non-physical violence and resulted in the involvement of the police or the recording of the incident with police. </w:t>
      </w:r>
      <w:r w:rsidRPr="002B6304">
        <w:t>Under the SAS, designated GP practices</w:t>
      </w:r>
      <w:r>
        <w:t>/providers</w:t>
      </w:r>
      <w:r w:rsidRPr="002B6304">
        <w:t xml:space="preserve"> will provide services to patients by prior appointment and at specific locations and times as detailed in individually agreed contracts.</w:t>
      </w:r>
    </w:p>
    <w:p w:rsidR="00223C5B" w:rsidRDefault="0065436A" w:rsidP="0065436A">
      <w:pPr>
        <w:pStyle w:val="ListParagraph"/>
        <w:numPr>
          <w:ilvl w:val="0"/>
          <w:numId w:val="32"/>
        </w:numPr>
      </w:pPr>
      <w:r>
        <w:lastRenderedPageBreak/>
        <w:t xml:space="preserve">The SAS will provide essential and where appropriate additional and enhanced services under controlled conditions. </w:t>
      </w:r>
    </w:p>
    <w:p w:rsidR="002419F8" w:rsidRDefault="00223C5B" w:rsidP="0065436A">
      <w:pPr>
        <w:pStyle w:val="ListParagraph"/>
        <w:numPr>
          <w:ilvl w:val="0"/>
          <w:numId w:val="32"/>
        </w:numPr>
      </w:pPr>
      <w:r>
        <w:t xml:space="preserve">A risk assessment of each patient </w:t>
      </w:r>
      <w:r w:rsidR="002419F8">
        <w:t xml:space="preserve">must be completed including where necessary a personal risk assessment by staff providing services to patients on the SAS. </w:t>
      </w:r>
    </w:p>
    <w:p w:rsidR="0065436A" w:rsidRDefault="0065436A" w:rsidP="0065436A">
      <w:pPr>
        <w:pStyle w:val="ListParagraph"/>
        <w:numPr>
          <w:ilvl w:val="0"/>
          <w:numId w:val="32"/>
        </w:numPr>
      </w:pPr>
      <w:r>
        <w:t xml:space="preserve">Access to these services </w:t>
      </w:r>
      <w:r w:rsidR="002419F8">
        <w:t>should</w:t>
      </w:r>
      <w:r>
        <w:t xml:space="preserve"> be provided in ways that are deemed safe and clinically appropriate.</w:t>
      </w:r>
      <w:r w:rsidR="002419F8">
        <w:t xml:space="preserve"> This includes the use of security escorts up to half an hour before and after any face to face consultations.</w:t>
      </w:r>
    </w:p>
    <w:p w:rsidR="0065436A" w:rsidRDefault="0065436A" w:rsidP="0065436A">
      <w:pPr>
        <w:pStyle w:val="ListParagraph"/>
        <w:numPr>
          <w:ilvl w:val="0"/>
          <w:numId w:val="32"/>
        </w:numPr>
      </w:pPr>
      <w:r>
        <w:t>The inclusion of a patient on an SAS should be reviewed regularly to determine whether their behaviour has improved to the extent that they can receive services through a local “mainstream” GP service</w:t>
      </w:r>
    </w:p>
    <w:p w:rsidR="0065436A" w:rsidRDefault="0065436A" w:rsidP="00670E29"/>
    <w:p w:rsidR="00997E11" w:rsidRDefault="00997E11" w:rsidP="00670E29">
      <w:r>
        <w:t xml:space="preserve">The SAS should as a minimum </w:t>
      </w:r>
      <w:r w:rsidR="0065436A">
        <w:t xml:space="preserve">provide </w:t>
      </w:r>
      <w:r>
        <w:t>–</w:t>
      </w:r>
    </w:p>
    <w:p w:rsidR="00997E11" w:rsidRDefault="00997E11" w:rsidP="00670E29"/>
    <w:p w:rsidR="00997E11" w:rsidRDefault="00997E11" w:rsidP="000C4E7C">
      <w:pPr>
        <w:pStyle w:val="ListParagraph"/>
        <w:numPr>
          <w:ilvl w:val="0"/>
          <w:numId w:val="48"/>
        </w:numPr>
      </w:pPr>
      <w:r>
        <w:t>Call handling should be available in line with GMS core hours, i.e. 8:00am to 6:30pm.</w:t>
      </w:r>
    </w:p>
    <w:p w:rsidR="00F4133C" w:rsidRDefault="00997E11" w:rsidP="000C4E7C">
      <w:pPr>
        <w:pStyle w:val="ListParagraph"/>
        <w:numPr>
          <w:ilvl w:val="0"/>
          <w:numId w:val="48"/>
        </w:numPr>
      </w:pPr>
      <w:r>
        <w:t>Appointments for consultations, including but not limited to face t</w:t>
      </w:r>
      <w:r w:rsidR="00001EE2">
        <w:t>o</w:t>
      </w:r>
      <w:r>
        <w:t xml:space="preserve"> face </w:t>
      </w:r>
      <w:r w:rsidR="00001EE2">
        <w:t>or telephone, should be offered within a clinically appropriate and responsible amount of time. The expectation is a normal appointment is offered within one week.</w:t>
      </w:r>
    </w:p>
    <w:p w:rsidR="00001EE2" w:rsidRDefault="00001EE2" w:rsidP="000C4E7C">
      <w:pPr>
        <w:pStyle w:val="ListParagraph"/>
        <w:numPr>
          <w:ilvl w:val="0"/>
          <w:numId w:val="48"/>
        </w:numPr>
      </w:pPr>
      <w:r>
        <w:t>The clinical services provided will be as described under GMS/PMS for essential and additional services.</w:t>
      </w:r>
    </w:p>
    <w:p w:rsidR="009E6BFC" w:rsidRDefault="00001EE2" w:rsidP="000C4E7C">
      <w:pPr>
        <w:pStyle w:val="ListParagraph"/>
        <w:numPr>
          <w:ilvl w:val="0"/>
          <w:numId w:val="48"/>
        </w:numPr>
      </w:pPr>
      <w:r>
        <w:t>Prescriptions will be issued to the patient’s nominated pharmacy</w:t>
      </w:r>
      <w:r w:rsidR="009E6BFC">
        <w:t xml:space="preserve"> and the SAS will ensure that the pharmacy is informed that the patient is going to collect the prescription.</w:t>
      </w:r>
    </w:p>
    <w:p w:rsidR="00001EE2" w:rsidRDefault="00001EE2" w:rsidP="00670E29">
      <w:r>
        <w:t xml:space="preserve"> </w:t>
      </w:r>
    </w:p>
    <w:p w:rsidR="00786CC7" w:rsidRDefault="00786CC7" w:rsidP="00786CC7">
      <w:r>
        <w:t xml:space="preserve">The commissioner will need to decide, </w:t>
      </w:r>
      <w:r w:rsidR="00F16928">
        <w:t>following consideration</w:t>
      </w:r>
      <w:r>
        <w:t xml:space="preserve"> of the above </w:t>
      </w:r>
      <w:r w:rsidR="0046033D">
        <w:t xml:space="preserve">points the </w:t>
      </w:r>
      <w:r w:rsidR="00EC293D">
        <w:t xml:space="preserve">appropriate </w:t>
      </w:r>
      <w:r>
        <w:t>commissioning route</w:t>
      </w:r>
      <w:r w:rsidR="00D91C27">
        <w:t>. This will either be an Enhanced service (SLA) or an APMS contract.</w:t>
      </w:r>
    </w:p>
    <w:p w:rsidR="00D91C27" w:rsidRDefault="00D91C27" w:rsidP="00786CC7"/>
    <w:p w:rsidR="00D91C27" w:rsidRDefault="00D91C27" w:rsidP="00786CC7">
      <w:r>
        <w:t xml:space="preserve">If the commissioner decides that only one or a small </w:t>
      </w:r>
      <w:r w:rsidR="00F507B0">
        <w:t>numbers of CCGs are</w:t>
      </w:r>
      <w:r>
        <w:t xml:space="preserve"> covered then an APMS contract may not generate sufficient number of patients to be value for money. This will be due to the fixed infrastructure costs, e.g. premises and clinical staff. The commissioner would then be advised to use the Enhanced Service route that is only available to existing GP practices.</w:t>
      </w:r>
    </w:p>
    <w:p w:rsidR="00D91C27" w:rsidRDefault="00D91C27" w:rsidP="00786CC7"/>
    <w:p w:rsidR="00D91C27" w:rsidRDefault="00D91C27" w:rsidP="00786CC7">
      <w:r>
        <w:t>The Enhanced service route may mean that it is difficult to get suitable interest from existing practices due to the nature of the specification.</w:t>
      </w:r>
    </w:p>
    <w:p w:rsidR="00D91C27" w:rsidRDefault="00D91C27" w:rsidP="00786CC7"/>
    <w:p w:rsidR="00D91C27" w:rsidRDefault="00D91C27" w:rsidP="00786CC7">
      <w:r>
        <w:t xml:space="preserve">The </w:t>
      </w:r>
      <w:r w:rsidR="00EB44C4">
        <w:t xml:space="preserve">APMS </w:t>
      </w:r>
      <w:r>
        <w:t xml:space="preserve">route </w:t>
      </w:r>
      <w:r w:rsidR="00EB44C4">
        <w:t>will require sufficient numbers of patients for it to be cost effective.</w:t>
      </w:r>
      <w:r>
        <w:t xml:space="preserve"> Therefore it is recommended that </w:t>
      </w:r>
      <w:r w:rsidR="00210871">
        <w:t xml:space="preserve">commissioners </w:t>
      </w:r>
      <w:r w:rsidR="00F64F4B">
        <w:t xml:space="preserve">give suitable and detailed consideration to </w:t>
      </w:r>
      <w:r>
        <w:t>procur</w:t>
      </w:r>
      <w:r w:rsidR="00F64F4B">
        <w:t xml:space="preserve">ing the SAS at </w:t>
      </w:r>
      <w:r>
        <w:t xml:space="preserve">STP level as a minimum. The need to provide reasonable distances to access the service will </w:t>
      </w:r>
      <w:r w:rsidR="00F64F4B">
        <w:t xml:space="preserve">also </w:t>
      </w:r>
      <w:r>
        <w:t>need to be considered and could mean that more than one site is required.</w:t>
      </w:r>
    </w:p>
    <w:p w:rsidR="00D91C27" w:rsidRDefault="00D91C27" w:rsidP="00786CC7"/>
    <w:p w:rsidR="000C4E7C" w:rsidRPr="00DB1BC5" w:rsidRDefault="000C4E7C" w:rsidP="000C4E7C">
      <w:pPr>
        <w:rPr>
          <w:b/>
          <w:sz w:val="28"/>
          <w:szCs w:val="28"/>
        </w:rPr>
      </w:pPr>
      <w:r w:rsidRPr="00DB1BC5">
        <w:rPr>
          <w:b/>
          <w:sz w:val="28"/>
          <w:szCs w:val="28"/>
        </w:rPr>
        <w:t>A3</w:t>
      </w:r>
      <w:r w:rsidRPr="00DB1BC5">
        <w:rPr>
          <w:b/>
          <w:sz w:val="28"/>
          <w:szCs w:val="28"/>
        </w:rPr>
        <w:tab/>
        <w:t>Referral into the SAS</w:t>
      </w:r>
    </w:p>
    <w:p w:rsidR="000C4E7C" w:rsidRPr="00E54C11" w:rsidRDefault="000C4E7C" w:rsidP="00D5694E">
      <w:pPr>
        <w:pStyle w:val="SchedClauses"/>
        <w:spacing w:line="276" w:lineRule="auto"/>
        <w:jc w:val="left"/>
        <w:rPr>
          <w:sz w:val="24"/>
        </w:rPr>
      </w:pPr>
      <w:r w:rsidRPr="00E54C11">
        <w:rPr>
          <w:sz w:val="24"/>
        </w:rPr>
        <w:t xml:space="preserve">The Regulations regarding the removal of patients who are violent is specific in </w:t>
      </w:r>
      <w:r w:rsidRPr="00E54C11">
        <w:rPr>
          <w:sz w:val="24"/>
        </w:rPr>
        <w:lastRenderedPageBreak/>
        <w:t>terminology and the Regulations require that GMS and PMS contracts provide for "Removal from the list of patients who are violent".</w:t>
      </w:r>
      <w:r w:rsidRPr="00E77F77">
        <w:rPr>
          <w:sz w:val="24"/>
        </w:rPr>
        <w:t xml:space="preserve"> </w:t>
      </w:r>
    </w:p>
    <w:p w:rsidR="000C4E7C" w:rsidRPr="00E54C11" w:rsidRDefault="000C4E7C" w:rsidP="00D5694E">
      <w:pPr>
        <w:pStyle w:val="SchedClauses"/>
        <w:spacing w:line="276" w:lineRule="auto"/>
        <w:jc w:val="left"/>
        <w:rPr>
          <w:sz w:val="24"/>
        </w:rPr>
      </w:pPr>
      <w:r w:rsidRPr="00E54C11">
        <w:rPr>
          <w:sz w:val="24"/>
        </w:rPr>
        <w:t xml:space="preserve">However, within the Regulations it is further specified that the grounds on which a contractor may </w:t>
      </w:r>
      <w:r w:rsidRPr="00E77F77">
        <w:rPr>
          <w:sz w:val="24"/>
        </w:rPr>
        <w:t>request that</w:t>
      </w:r>
      <w:r w:rsidRPr="00E54C11">
        <w:rPr>
          <w:sz w:val="24"/>
        </w:rPr>
        <w:t xml:space="preserve"> a person</w:t>
      </w:r>
      <w:r w:rsidRPr="00E77F77">
        <w:rPr>
          <w:sz w:val="24"/>
        </w:rPr>
        <w:t xml:space="preserve"> be removed</w:t>
      </w:r>
      <w:r w:rsidRPr="00E54C11">
        <w:rPr>
          <w:sz w:val="24"/>
        </w:rPr>
        <w:t xml:space="preserve"> from its list of patients with immediate effect are that "the person has committed an </w:t>
      </w:r>
      <w:r w:rsidRPr="00E54C11">
        <w:rPr>
          <w:b/>
          <w:sz w:val="24"/>
          <w:u w:val="single"/>
        </w:rPr>
        <w:t xml:space="preserve">act of violence against </w:t>
      </w:r>
      <w:r w:rsidRPr="00E54C11">
        <w:rPr>
          <w:sz w:val="24"/>
        </w:rPr>
        <w:t xml:space="preserve">any of the persons specified in subparagraph (2) </w:t>
      </w:r>
      <w:r w:rsidRPr="00E54C11">
        <w:rPr>
          <w:b/>
          <w:sz w:val="24"/>
          <w:u w:val="single"/>
        </w:rPr>
        <w:t>or has</w:t>
      </w:r>
      <w:r w:rsidRPr="00E77F77">
        <w:rPr>
          <w:b/>
          <w:sz w:val="24"/>
          <w:u w:val="single"/>
        </w:rPr>
        <w:t xml:space="preserve"> behaved in such a way that any of those persons has feared for their safety"</w:t>
      </w:r>
      <w:r w:rsidRPr="00E77F77">
        <w:rPr>
          <w:sz w:val="24"/>
        </w:rPr>
        <w:t>.</w:t>
      </w:r>
    </w:p>
    <w:p w:rsidR="000C4E7C" w:rsidRPr="00E54C11" w:rsidRDefault="000C4E7C" w:rsidP="00D5694E">
      <w:pPr>
        <w:pStyle w:val="SchedClauses"/>
        <w:spacing w:line="276" w:lineRule="auto"/>
        <w:jc w:val="left"/>
        <w:rPr>
          <w:sz w:val="24"/>
        </w:rPr>
      </w:pPr>
      <w:r w:rsidRPr="00E54C11">
        <w:rPr>
          <w:sz w:val="24"/>
        </w:rPr>
        <w:t xml:space="preserve">The Commissioner should therefore be clear that violence does not have to be physical or actual. It can be perceived, threatened or indeed a perceived threat of violence. A person's fear for their safety can also be actual or perceived. </w:t>
      </w:r>
      <w:r w:rsidRPr="00E77F77">
        <w:rPr>
          <w:sz w:val="24"/>
        </w:rPr>
        <w:t xml:space="preserve"> </w:t>
      </w:r>
      <w:r w:rsidRPr="00E54C11">
        <w:rPr>
          <w:sz w:val="24"/>
        </w:rPr>
        <w:t>If a patient's behaviour is such that it warrants removal from the patient list and placing them on a SAS</w:t>
      </w:r>
      <w:r>
        <w:rPr>
          <w:sz w:val="24"/>
        </w:rPr>
        <w:t xml:space="preserve"> (if they wish to continue receiving primary medical care)</w:t>
      </w:r>
      <w:r w:rsidRPr="00E77F77">
        <w:rPr>
          <w:sz w:val="24"/>
        </w:rPr>
        <w:t>,</w:t>
      </w:r>
      <w:r w:rsidRPr="00E54C11">
        <w:rPr>
          <w:sz w:val="24"/>
        </w:rPr>
        <w:t xml:space="preserve"> then the Regulations require that the incident is reported to the police.</w:t>
      </w:r>
    </w:p>
    <w:p w:rsidR="000C4E7C" w:rsidRPr="00E54C11" w:rsidRDefault="000C4E7C" w:rsidP="00D5694E">
      <w:pPr>
        <w:pStyle w:val="SchedClauses"/>
        <w:spacing w:line="276" w:lineRule="auto"/>
        <w:jc w:val="left"/>
        <w:rPr>
          <w:sz w:val="24"/>
        </w:rPr>
      </w:pPr>
      <w:r w:rsidRPr="00E54C11">
        <w:rPr>
          <w:sz w:val="24"/>
        </w:rPr>
        <w:t>In the case of the patients whose behaviour is disruptive but falling short of the above grounds, Commissioners should discuss with the practice if the patient should instead be removed from the practice on the alternative ground of irrevocable breakdown in the relationship between the person and the contractor see paragraph 24, Schedule 3, Part 2 of the GMS Regulations and paragraph 23, Schedule 2, Part 2 of the PMS Regulations).</w:t>
      </w:r>
      <w:r w:rsidRPr="00E77F77">
        <w:rPr>
          <w:sz w:val="24"/>
        </w:rPr>
        <w:t xml:space="preserve"> </w:t>
      </w:r>
    </w:p>
    <w:p w:rsidR="000C4E7C" w:rsidRDefault="000C4E7C" w:rsidP="00D5694E">
      <w:pPr>
        <w:pStyle w:val="SchedClauses"/>
        <w:spacing w:line="276" w:lineRule="auto"/>
        <w:jc w:val="left"/>
        <w:rPr>
          <w:sz w:val="24"/>
        </w:rPr>
      </w:pPr>
      <w:r>
        <w:rPr>
          <w:sz w:val="24"/>
        </w:rPr>
        <w:t>A</w:t>
      </w:r>
      <w:r w:rsidRPr="00E54C11">
        <w:rPr>
          <w:sz w:val="24"/>
        </w:rPr>
        <w:t>ll pr</w:t>
      </w:r>
      <w:r>
        <w:rPr>
          <w:sz w:val="24"/>
        </w:rPr>
        <w:t>actices</w:t>
      </w:r>
      <w:r w:rsidRPr="00E54C11">
        <w:rPr>
          <w:sz w:val="24"/>
        </w:rPr>
        <w:t xml:space="preserve"> </w:t>
      </w:r>
      <w:r>
        <w:rPr>
          <w:sz w:val="24"/>
        </w:rPr>
        <w:t xml:space="preserve">need </w:t>
      </w:r>
      <w:r w:rsidRPr="00E54C11">
        <w:rPr>
          <w:sz w:val="24"/>
        </w:rPr>
        <w:t xml:space="preserve">to be fully aware of and understand the process for immediate removal of a patient. </w:t>
      </w:r>
      <w:r>
        <w:rPr>
          <w:sz w:val="24"/>
        </w:rPr>
        <w:t xml:space="preserve">The following guidance is taken directly from the Primary Medical Care Policy and Guidance – </w:t>
      </w:r>
    </w:p>
    <w:p w:rsidR="000C4E7C" w:rsidRPr="00E54C11" w:rsidRDefault="000C4E7C" w:rsidP="00D5694E">
      <w:pPr>
        <w:pStyle w:val="SchedClauses"/>
        <w:spacing w:line="276" w:lineRule="auto"/>
        <w:jc w:val="left"/>
        <w:rPr>
          <w:sz w:val="24"/>
        </w:rPr>
      </w:pPr>
      <w:r w:rsidRPr="00E54C11">
        <w:rPr>
          <w:sz w:val="24"/>
        </w:rPr>
        <w:t xml:space="preserve">In summary, where a patient's behaviour is deemed within the scope of this </w:t>
      </w:r>
      <w:r>
        <w:rPr>
          <w:sz w:val="24"/>
        </w:rPr>
        <w:t>section</w:t>
      </w:r>
      <w:r w:rsidRPr="00E54C11">
        <w:rPr>
          <w:sz w:val="24"/>
        </w:rPr>
        <w:t xml:space="preserve"> (i.e. SAS):</w:t>
      </w:r>
    </w:p>
    <w:p w:rsidR="000C4E7C" w:rsidRPr="00E54C11" w:rsidRDefault="000C4E7C" w:rsidP="00D5694E">
      <w:pPr>
        <w:pStyle w:val="SchedClauses"/>
        <w:spacing w:line="276" w:lineRule="auto"/>
        <w:jc w:val="left"/>
        <w:rPr>
          <w:sz w:val="24"/>
        </w:rPr>
      </w:pPr>
      <w:r w:rsidRPr="00E54C11">
        <w:rPr>
          <w:sz w:val="24"/>
        </w:rPr>
        <w:t xml:space="preserve">The Regulations require that, for a patient to be removed from a practice list, the practice must report the incident to the police. </w:t>
      </w:r>
      <w:r w:rsidRPr="00E77F77">
        <w:rPr>
          <w:sz w:val="24"/>
        </w:rPr>
        <w:t xml:space="preserve"> </w:t>
      </w:r>
      <w:r w:rsidRPr="00E54C11">
        <w:rPr>
          <w:sz w:val="24"/>
        </w:rPr>
        <w:t xml:space="preserve">The following 10 point process is designed to work in all but very exceptional circumstances. Those infrequent and exceptional cases relate solely to commissioner instigated allocations </w:t>
      </w:r>
      <w:r>
        <w:rPr>
          <w:sz w:val="24"/>
        </w:rPr>
        <w:t xml:space="preserve">(for example a patient that falls within the remit of a SAS allocation, but with no recent removal from a GP Practice i.e. previously unregistered) </w:t>
      </w:r>
      <w:r w:rsidRPr="00E54C11">
        <w:rPr>
          <w:sz w:val="24"/>
        </w:rPr>
        <w:t>and must be discussed and agreed with NHS England in advance.</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t xml:space="preserve">The Practice calls the police to report the incident (which is required under the regulation) and obtain a response (if required) and police incident number. Where possible this should be at the time </w:t>
      </w:r>
      <w:r w:rsidRPr="00E77F77">
        <w:rPr>
          <w:sz w:val="24"/>
        </w:rPr>
        <w:t>o</w:t>
      </w:r>
      <w:r>
        <w:rPr>
          <w:sz w:val="24"/>
        </w:rPr>
        <w:t>f</w:t>
      </w:r>
      <w:r w:rsidRPr="00E54C11">
        <w:rPr>
          <w:sz w:val="24"/>
        </w:rPr>
        <w:t xml:space="preserve"> reporting but in any case, a police incident number must be included within written report provided by the practice within 7 days (a contractual requirement under ‘reasonable requests for information’).</w:t>
      </w:r>
    </w:p>
    <w:p w:rsidR="000C4E7C" w:rsidRPr="00AB3688" w:rsidRDefault="000C4E7C" w:rsidP="00D5694E">
      <w:pPr>
        <w:pStyle w:val="SchedClauses"/>
        <w:widowControl/>
        <w:numPr>
          <w:ilvl w:val="0"/>
          <w:numId w:val="39"/>
        </w:numPr>
        <w:spacing w:line="276" w:lineRule="auto"/>
        <w:ind w:left="720"/>
        <w:jc w:val="left"/>
        <w:rPr>
          <w:color w:val="FF0000"/>
          <w:sz w:val="24"/>
        </w:rPr>
      </w:pPr>
      <w:r w:rsidRPr="00E54C11">
        <w:rPr>
          <w:sz w:val="24"/>
        </w:rPr>
        <w:lastRenderedPageBreak/>
        <w:t xml:space="preserve">The Practice </w:t>
      </w:r>
      <w:r w:rsidRPr="00E77F77">
        <w:rPr>
          <w:sz w:val="24"/>
        </w:rPr>
        <w:t>requests an immediate removal from</w:t>
      </w:r>
      <w:r w:rsidRPr="00E54C11">
        <w:rPr>
          <w:sz w:val="24"/>
        </w:rPr>
        <w:t xml:space="preserve"> NHS England's Primary Care Support England ("PCSE") service provided by Capita </w:t>
      </w:r>
      <w:r w:rsidRPr="00E77F77">
        <w:rPr>
          <w:sz w:val="24"/>
        </w:rPr>
        <w:t>at.</w:t>
      </w:r>
      <w:r w:rsidRPr="00E54C11">
        <w:rPr>
          <w:sz w:val="24"/>
        </w:rPr>
        <w:t xml:space="preserve"> This </w:t>
      </w:r>
      <w:r w:rsidRPr="00E77F77">
        <w:rPr>
          <w:sz w:val="24"/>
        </w:rPr>
        <w:t xml:space="preserve">request </w:t>
      </w:r>
      <w:r w:rsidRPr="00E54C11">
        <w:rPr>
          <w:sz w:val="24"/>
        </w:rPr>
        <w:t>can be by phone (</w:t>
      </w:r>
      <w:r w:rsidRPr="000C4E7C">
        <w:rPr>
          <w:sz w:val="24"/>
          <w:szCs w:val="24"/>
        </w:rPr>
        <w:t>v</w:t>
      </w:r>
      <w:r>
        <w:rPr>
          <w:sz w:val="24"/>
          <w:szCs w:val="24"/>
        </w:rPr>
        <w:t xml:space="preserve">isit </w:t>
      </w:r>
      <w:hyperlink r:id="rId12" w:history="1">
        <w:r w:rsidRPr="000C4E7C">
          <w:rPr>
            <w:color w:val="0000FF"/>
            <w:sz w:val="24"/>
            <w:szCs w:val="24"/>
            <w:u w:val="single"/>
          </w:rPr>
          <w:t>https://pcse.england.nhs.uk/contact-us/</w:t>
        </w:r>
      </w:hyperlink>
      <w:r w:rsidRPr="00E77F77">
        <w:rPr>
          <w:sz w:val="24"/>
        </w:rPr>
        <w:t xml:space="preserve"> </w:t>
      </w:r>
      <w:r w:rsidRPr="00E54C11">
        <w:rPr>
          <w:sz w:val="24"/>
        </w:rPr>
        <w:t xml:space="preserve">for contact details) or email </w:t>
      </w:r>
      <w:hyperlink r:id="rId13" w:history="1">
        <w:r w:rsidRPr="00E77F77">
          <w:rPr>
            <w:color w:val="0000FF"/>
            <w:sz w:val="24"/>
            <w:u w:val="single"/>
          </w:rPr>
          <w:t>pcse.immediateremovals@nhs.net</w:t>
        </w:r>
      </w:hyperlink>
      <w:r w:rsidRPr="00E54C11">
        <w:rPr>
          <w:sz w:val="24"/>
        </w:rPr>
        <w:t xml:space="preserve">. PCSE will request the police incident number [Note: this is different from a crime reference number, which can only be allocated by the police once it has been established that a crime has been committed. The police will however record an incident number on police systems for all incidents according to Home Office Counting Rules ("HOCR")]. If the Practice does not have a police incident number at this point </w:t>
      </w:r>
      <w:r w:rsidRPr="00E77F77">
        <w:rPr>
          <w:sz w:val="24"/>
        </w:rPr>
        <w:t>(which should be in exceptional circumstances only),</w:t>
      </w:r>
      <w:r w:rsidRPr="00E54C11">
        <w:rPr>
          <w:sz w:val="24"/>
        </w:rPr>
        <w:t xml:space="preserve"> the Practice will be asked to provide details of the date, time and mechanism (i.e. 999, 111, local number) via which the incident was reported to the police. </w:t>
      </w:r>
      <w:r w:rsidRPr="00AB3688">
        <w:rPr>
          <w:b/>
          <w:color w:val="FF0000"/>
          <w:sz w:val="24"/>
        </w:rPr>
        <w:t>The absence of an incident number will not delay the immediate removal of a patient</w:t>
      </w:r>
      <w:r w:rsidRPr="00AB3688">
        <w:rPr>
          <w:color w:val="FF0000"/>
          <w:sz w:val="24"/>
        </w:rPr>
        <w:t xml:space="preserve">. </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t>PCSE removes the patient from the Practice list and informs the appropriate Commissioner.</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t xml:space="preserve">The Regulations require that the Practice notifies the patient in writing that a request for removal has been made, unless to do so would harm the patient's physical or mental health or put other's </w:t>
      </w:r>
      <w:r w:rsidRPr="00E77F77">
        <w:rPr>
          <w:sz w:val="24"/>
        </w:rPr>
        <w:t>on</w:t>
      </w:r>
      <w:r w:rsidRPr="00E54C11">
        <w:rPr>
          <w:sz w:val="24"/>
        </w:rPr>
        <w:t xml:space="preserve"> the </w:t>
      </w:r>
      <w:r w:rsidRPr="00E77F77">
        <w:rPr>
          <w:sz w:val="24"/>
        </w:rPr>
        <w:t>Practice premises</w:t>
      </w:r>
      <w:r w:rsidRPr="00E54C11">
        <w:rPr>
          <w:sz w:val="24"/>
        </w:rPr>
        <w:t xml:space="preserve"> at risk.</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t>PCSE allocates the patient to a local SAS provider. Commissioners are responsible for commissioning SAS either from GPs or other provider.</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t xml:space="preserve">PCSE notifies the patient in writing (standard letter at </w:t>
      </w:r>
      <w:r w:rsidR="00DB1BC5">
        <w:rPr>
          <w:sz w:val="24"/>
        </w:rPr>
        <w:t>A</w:t>
      </w:r>
      <w:r w:rsidRPr="00DB1BC5">
        <w:rPr>
          <w:sz w:val="24"/>
        </w:rPr>
        <w:t xml:space="preserve">ppendix </w:t>
      </w:r>
      <w:r w:rsidR="00251957">
        <w:rPr>
          <w:sz w:val="24"/>
        </w:rPr>
        <w:t>6</w:t>
      </w:r>
      <w:r w:rsidRPr="00E54C11">
        <w:rPr>
          <w:sz w:val="24"/>
        </w:rPr>
        <w:t xml:space="preserve">) that they have been removed from the Practice list </w:t>
      </w:r>
      <w:r>
        <w:rPr>
          <w:sz w:val="24"/>
        </w:rPr>
        <w:t xml:space="preserve">(as per the Regulations (25.7)) </w:t>
      </w:r>
      <w:r w:rsidRPr="00E54C11">
        <w:rPr>
          <w:sz w:val="24"/>
        </w:rPr>
        <w:t xml:space="preserve">and </w:t>
      </w:r>
      <w:r>
        <w:rPr>
          <w:sz w:val="24"/>
        </w:rPr>
        <w:t xml:space="preserve">also, </w:t>
      </w:r>
      <w:r w:rsidRPr="00E54C11">
        <w:rPr>
          <w:sz w:val="24"/>
        </w:rPr>
        <w:t>allocated to the SAS provider</w:t>
      </w:r>
      <w:r>
        <w:rPr>
          <w:sz w:val="24"/>
        </w:rPr>
        <w:t>.</w:t>
      </w:r>
      <w:r w:rsidRPr="00E77F77">
        <w:rPr>
          <w:sz w:val="24"/>
        </w:rPr>
        <w:t>.</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t>The Practice provides a follow up report in writing to the Commissioner (sample available at</w:t>
      </w:r>
      <w:r w:rsidR="00C524D8">
        <w:rPr>
          <w:sz w:val="24"/>
        </w:rPr>
        <w:t xml:space="preserve"> Appendix </w:t>
      </w:r>
      <w:r w:rsidR="00D5694E">
        <w:rPr>
          <w:sz w:val="24"/>
        </w:rPr>
        <w:t>2</w:t>
      </w:r>
      <w:r w:rsidRPr="00E54C11">
        <w:rPr>
          <w:sz w:val="24"/>
        </w:rPr>
        <w:t>), within 24 hours where possible but before the end of a period of seven days beginning with the date on which notice was given. Where the Practice was unable to provide a police incident number initially; the practice will be asked to include this in the report</w:t>
      </w:r>
      <w:r>
        <w:rPr>
          <w:sz w:val="24"/>
        </w:rPr>
        <w:t xml:space="preserve"> (under the contractual requirement for reasonable requests for information)</w:t>
      </w:r>
      <w:r w:rsidRPr="00E77F77">
        <w:rPr>
          <w:sz w:val="24"/>
        </w:rPr>
        <w:t xml:space="preserve">. </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t>Following 7 days from the incident, the Commissioner and PCSE will liaise to ensure an incident number has been received (either by PCSE or via the written practice report to the Commissioner). In the event an incident number has not been provided, the Commissioner will contact the provider to ensure one has been obtained and provided.</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t>The</w:t>
      </w:r>
      <w:r w:rsidRPr="00E77F77">
        <w:rPr>
          <w:sz w:val="24"/>
        </w:rPr>
        <w:t xml:space="preserve"> </w:t>
      </w:r>
      <w:r w:rsidRPr="00E54C11">
        <w:rPr>
          <w:sz w:val="24"/>
        </w:rPr>
        <w:t xml:space="preserve"> SAS provider will ensure risk assessment and regular monitoring is in place to enable the patient to be repatriated back in to main stream Primary Care as soon as is feasible.</w:t>
      </w:r>
    </w:p>
    <w:p w:rsidR="000C4E7C" w:rsidRPr="00E54C11" w:rsidRDefault="000C4E7C" w:rsidP="00D5694E">
      <w:pPr>
        <w:pStyle w:val="SchedClauses"/>
        <w:widowControl/>
        <w:numPr>
          <w:ilvl w:val="0"/>
          <w:numId w:val="39"/>
        </w:numPr>
        <w:spacing w:line="276" w:lineRule="auto"/>
        <w:ind w:left="720"/>
        <w:jc w:val="left"/>
        <w:rPr>
          <w:sz w:val="24"/>
        </w:rPr>
      </w:pPr>
      <w:r w:rsidRPr="00E54C11">
        <w:rPr>
          <w:sz w:val="24"/>
        </w:rPr>
        <w:lastRenderedPageBreak/>
        <w:t>The SAS provider will notify PCSE when choice has been returned to the patient and they have been removed from the SAS. This will ensure the patients records are amended accordingly (i.e. VP flag removed from patient record) allowing them to re-register at their chosen practice. [Note: Commissioners should ensure this is included in any future SAS contracts awarded and where possible, seek to make arrangements for this to be added to existing contracts].</w:t>
      </w:r>
    </w:p>
    <w:p w:rsidR="00DB1BC5" w:rsidRDefault="00DB1BC5" w:rsidP="0090652B">
      <w:pPr>
        <w:rPr>
          <w:b/>
          <w:color w:val="A00054" w:themeColor="accent2"/>
          <w:sz w:val="28"/>
          <w:szCs w:val="28"/>
        </w:rPr>
      </w:pPr>
    </w:p>
    <w:p w:rsidR="0090652B" w:rsidRPr="00DB1BC5" w:rsidRDefault="0090652B" w:rsidP="0090652B">
      <w:pPr>
        <w:rPr>
          <w:b/>
          <w:sz w:val="28"/>
          <w:szCs w:val="28"/>
        </w:rPr>
      </w:pPr>
      <w:r w:rsidRPr="00DB1BC5">
        <w:rPr>
          <w:b/>
          <w:sz w:val="28"/>
          <w:szCs w:val="28"/>
        </w:rPr>
        <w:t>A</w:t>
      </w:r>
      <w:r w:rsidR="000C4E7C" w:rsidRPr="00DB1BC5">
        <w:rPr>
          <w:b/>
          <w:sz w:val="28"/>
          <w:szCs w:val="28"/>
        </w:rPr>
        <w:t>4</w:t>
      </w:r>
      <w:r w:rsidR="000C4E7C" w:rsidRPr="00DB1BC5">
        <w:rPr>
          <w:b/>
          <w:sz w:val="28"/>
          <w:szCs w:val="28"/>
        </w:rPr>
        <w:tab/>
      </w:r>
      <w:r w:rsidRPr="00DB1BC5">
        <w:rPr>
          <w:b/>
          <w:sz w:val="28"/>
          <w:szCs w:val="28"/>
        </w:rPr>
        <w:t>Revie</w:t>
      </w:r>
      <w:r w:rsidR="00AD19AC" w:rsidRPr="00DB1BC5">
        <w:rPr>
          <w:b/>
          <w:sz w:val="28"/>
          <w:szCs w:val="28"/>
        </w:rPr>
        <w:t>w</w:t>
      </w:r>
      <w:r w:rsidRPr="00DB1BC5">
        <w:rPr>
          <w:b/>
          <w:sz w:val="28"/>
          <w:szCs w:val="28"/>
        </w:rPr>
        <w:t xml:space="preserve"> and Discharge</w:t>
      </w:r>
    </w:p>
    <w:p w:rsidR="0090652B" w:rsidRDefault="0090652B" w:rsidP="00786CC7"/>
    <w:p w:rsidR="00AD19AC" w:rsidRDefault="00AD19AC" w:rsidP="00786CC7">
      <w:r>
        <w:t xml:space="preserve">Following a referral to the SAS, the provider will undertake an initial assessment of the patient at the first appointment and develop a care plan as required. </w:t>
      </w:r>
    </w:p>
    <w:p w:rsidR="00AD19AC" w:rsidRDefault="00AD19AC" w:rsidP="00786CC7"/>
    <w:p w:rsidR="0090652B" w:rsidRDefault="00AD19AC" w:rsidP="00786CC7">
      <w:r>
        <w:t>As part of the initial assessment the provider shall complete a thorough risk assessment for each patient to determine the level of security and safety measures required.</w:t>
      </w:r>
    </w:p>
    <w:p w:rsidR="00AD19AC" w:rsidRDefault="00AD19AC" w:rsidP="00786CC7"/>
    <w:p w:rsidR="00AD19AC" w:rsidRDefault="00AD19AC" w:rsidP="00786CC7">
      <w:r>
        <w:t>The provider will need to ensure that safety measures are in place to protect staff, patients and visitors from untoward incidents with the risk assessment reviewed and updated as required.</w:t>
      </w:r>
    </w:p>
    <w:p w:rsidR="00AD19AC" w:rsidRDefault="00AD19AC" w:rsidP="00786CC7"/>
    <w:p w:rsidR="00AD19AC" w:rsidRDefault="00AD19AC" w:rsidP="0090652B">
      <w:r>
        <w:t xml:space="preserve">Patients should be invited for review </w:t>
      </w:r>
      <w:r w:rsidR="003741F3">
        <w:t>at least on a six monthly basis.</w:t>
      </w:r>
    </w:p>
    <w:p w:rsidR="00AD19AC" w:rsidRDefault="00AD19AC" w:rsidP="0090652B"/>
    <w:p w:rsidR="0090652B" w:rsidRDefault="003741F3" w:rsidP="0090652B">
      <w:r>
        <w:t>A</w:t>
      </w:r>
      <w:r w:rsidR="0090652B">
        <w:t xml:space="preserve"> patient on the SAS will usually remain on the scheme for a minimum of 12 months, with the exception of an upheld appeal or the break clause of six months, which is considered by the provider, only when the patient has been reviewed on a minimum of three occasions within the previous six months.</w:t>
      </w:r>
    </w:p>
    <w:p w:rsidR="003741F3" w:rsidRDefault="003741F3" w:rsidP="0090652B"/>
    <w:p w:rsidR="0090652B" w:rsidRDefault="003741F3" w:rsidP="0090652B">
      <w:r>
        <w:t>A</w:t>
      </w:r>
      <w:r w:rsidR="0090652B">
        <w:t>t this point, the patient could be removed from the scheme if there is clear evidence of changed behaviour, with the aim being to try and tackle the underlying causes of their behaviour, and rehabilitate them, as far as possible, through counselling and/or other forms of treatment.</w:t>
      </w:r>
    </w:p>
    <w:p w:rsidR="003741F3" w:rsidRDefault="003741F3" w:rsidP="0090652B"/>
    <w:p w:rsidR="0090652B" w:rsidRDefault="0090652B" w:rsidP="0090652B">
      <w:r>
        <w:t xml:space="preserve">Patients who do not co-operate, or show no signs of change in behaviour, will remain registered with the designated practice for a minimum of 12 months.  This will be the case even if the patient changes address but remains within the commissioning area.  </w:t>
      </w:r>
    </w:p>
    <w:p w:rsidR="003741F3" w:rsidRDefault="003741F3" w:rsidP="0090652B"/>
    <w:p w:rsidR="0090652B" w:rsidRDefault="0090652B" w:rsidP="0090652B">
      <w:r>
        <w:t xml:space="preserve">Where the patient changes address and moves out of the area, the patient will be transferred to a provider of the SAS in the area where they have moved into.    </w:t>
      </w:r>
    </w:p>
    <w:p w:rsidR="0090652B" w:rsidRDefault="0090652B" w:rsidP="00786CC7"/>
    <w:p w:rsidR="00D91C27" w:rsidRPr="00DB1BC5" w:rsidRDefault="009138FF" w:rsidP="00786CC7">
      <w:pPr>
        <w:rPr>
          <w:b/>
          <w:sz w:val="28"/>
          <w:szCs w:val="28"/>
        </w:rPr>
      </w:pPr>
      <w:r w:rsidRPr="00DB1BC5">
        <w:rPr>
          <w:b/>
          <w:sz w:val="28"/>
          <w:szCs w:val="28"/>
        </w:rPr>
        <w:t>A</w:t>
      </w:r>
      <w:r w:rsidR="000C4E7C" w:rsidRPr="00DB1BC5">
        <w:rPr>
          <w:b/>
          <w:sz w:val="28"/>
          <w:szCs w:val="28"/>
        </w:rPr>
        <w:t>5</w:t>
      </w:r>
      <w:r w:rsidR="000C4E7C" w:rsidRPr="00DB1BC5">
        <w:rPr>
          <w:b/>
          <w:sz w:val="28"/>
          <w:szCs w:val="28"/>
        </w:rPr>
        <w:tab/>
      </w:r>
      <w:r w:rsidR="00D91C27" w:rsidRPr="00DB1BC5">
        <w:rPr>
          <w:b/>
          <w:sz w:val="28"/>
          <w:szCs w:val="28"/>
        </w:rPr>
        <w:t>Costings</w:t>
      </w:r>
    </w:p>
    <w:p w:rsidR="00D91C27" w:rsidRDefault="00D91C27" w:rsidP="00786CC7"/>
    <w:p w:rsidR="00164601" w:rsidRDefault="00D91C27" w:rsidP="00786CC7">
      <w:r>
        <w:t xml:space="preserve">The 2004 guidance </w:t>
      </w:r>
      <w:r w:rsidR="00164601">
        <w:t>on the VPS DES gave national benchmark pricing for providing the service. The pricing was for GP practices providing the Enhanced service and after taking into account the cost of living increase since 2004 the approximate costs are as follows –</w:t>
      </w:r>
    </w:p>
    <w:p w:rsidR="00164601" w:rsidRDefault="00164601" w:rsidP="00786CC7"/>
    <w:p w:rsidR="00D91C27" w:rsidRDefault="00164601" w:rsidP="00DD532B">
      <w:pPr>
        <w:ind w:left="720"/>
      </w:pPr>
      <w:r>
        <w:t>Retainer fee</w:t>
      </w:r>
      <w:r>
        <w:tab/>
        <w:t xml:space="preserve"> </w:t>
      </w:r>
      <w:r>
        <w:tab/>
      </w:r>
      <w:r>
        <w:tab/>
      </w:r>
      <w:r>
        <w:tab/>
        <w:t>£2,850 per annum</w:t>
      </w:r>
    </w:p>
    <w:p w:rsidR="00164601" w:rsidRDefault="00164601" w:rsidP="00DD532B">
      <w:pPr>
        <w:ind w:left="720"/>
      </w:pPr>
      <w:r>
        <w:t>In-hours consultation fee</w:t>
      </w:r>
      <w:r>
        <w:tab/>
      </w:r>
      <w:r>
        <w:tab/>
        <w:t>£60 to £115 per consultation</w:t>
      </w:r>
    </w:p>
    <w:p w:rsidR="00164601" w:rsidRDefault="00164601" w:rsidP="00DD532B">
      <w:pPr>
        <w:ind w:left="720"/>
      </w:pPr>
      <w:r>
        <w:t>Out of hours consultation fee</w:t>
      </w:r>
      <w:r>
        <w:tab/>
        <w:t>£70 to £140 per consultation</w:t>
      </w:r>
    </w:p>
    <w:p w:rsidR="00BF1A35" w:rsidRDefault="00BF1A35" w:rsidP="00DD532B">
      <w:pPr>
        <w:ind w:left="720"/>
      </w:pPr>
      <w:r>
        <w:t>Infrastructure costs</w:t>
      </w:r>
      <w:r>
        <w:tab/>
      </w:r>
      <w:r>
        <w:tab/>
      </w:r>
      <w:r>
        <w:tab/>
        <w:t>£3,550 per annum</w:t>
      </w:r>
    </w:p>
    <w:p w:rsidR="00BF1A35" w:rsidRDefault="00BF1A35" w:rsidP="00786CC7"/>
    <w:p w:rsidR="00BF1A35" w:rsidRDefault="00F64F4B" w:rsidP="00786CC7">
      <w:r>
        <w:t>To reiterate these approximate costings are for a local GP enhanced service and</w:t>
      </w:r>
      <w:r w:rsidR="00BF1A35">
        <w:t xml:space="preserve"> are on top of the normal capitation fee paid to the practice for registering the patient.</w:t>
      </w:r>
    </w:p>
    <w:p w:rsidR="00DB1BC5" w:rsidRDefault="00DB1BC5" w:rsidP="00786CC7"/>
    <w:p w:rsidR="00BF1A35" w:rsidRDefault="00BF1A35" w:rsidP="00786CC7">
      <w:r>
        <w:t xml:space="preserve">Consideration </w:t>
      </w:r>
      <w:r w:rsidR="00F64F4B">
        <w:t xml:space="preserve">should </w:t>
      </w:r>
      <w:r>
        <w:t xml:space="preserve">also be given to </w:t>
      </w:r>
      <w:r w:rsidR="00F507B0">
        <w:t>start-up</w:t>
      </w:r>
      <w:r>
        <w:t xml:space="preserve"> costs for any immediate changes required for example to the premises, to provide the service and a training budget.</w:t>
      </w:r>
    </w:p>
    <w:p w:rsidR="00BF1A35" w:rsidRDefault="00BF1A35" w:rsidP="00786CC7"/>
    <w:p w:rsidR="00BF1A35" w:rsidRDefault="00BF1A35" w:rsidP="00786CC7">
      <w:r>
        <w:t>If procuring an APMS contract, similar costings to the above can be used. In addition the following will need to be taken into account –</w:t>
      </w:r>
    </w:p>
    <w:p w:rsidR="00BF1A35" w:rsidRDefault="00BF1A35" w:rsidP="00786CC7"/>
    <w:p w:rsidR="00BF1A35" w:rsidRDefault="00BF1A35" w:rsidP="0054616C">
      <w:pPr>
        <w:pStyle w:val="ListParagraph"/>
        <w:numPr>
          <w:ilvl w:val="0"/>
          <w:numId w:val="34"/>
        </w:numPr>
      </w:pPr>
      <w:r>
        <w:t>Capital costs for premises</w:t>
      </w:r>
    </w:p>
    <w:p w:rsidR="00BF1A35" w:rsidRDefault="00BF1A35" w:rsidP="0054616C">
      <w:pPr>
        <w:pStyle w:val="ListParagraph"/>
        <w:numPr>
          <w:ilvl w:val="0"/>
          <w:numId w:val="34"/>
        </w:numPr>
      </w:pPr>
      <w:r>
        <w:t xml:space="preserve">Revenue costs for rent and rates reimbursement </w:t>
      </w:r>
    </w:p>
    <w:p w:rsidR="00410CD3" w:rsidRDefault="00410CD3" w:rsidP="0054616C">
      <w:pPr>
        <w:pStyle w:val="ListParagraph"/>
        <w:numPr>
          <w:ilvl w:val="0"/>
          <w:numId w:val="34"/>
        </w:numPr>
      </w:pPr>
      <w:r>
        <w:t>Revenue costs for facilities and equipment</w:t>
      </w:r>
    </w:p>
    <w:p w:rsidR="00BF1A35" w:rsidRDefault="00BF1A35" w:rsidP="0054616C">
      <w:pPr>
        <w:pStyle w:val="ListParagraph"/>
        <w:numPr>
          <w:ilvl w:val="0"/>
          <w:numId w:val="34"/>
        </w:numPr>
      </w:pPr>
      <w:r>
        <w:t>IT capital costs</w:t>
      </w:r>
    </w:p>
    <w:p w:rsidR="00BF1A35" w:rsidRDefault="00BF1A35" w:rsidP="0054616C">
      <w:pPr>
        <w:pStyle w:val="ListParagraph"/>
        <w:numPr>
          <w:ilvl w:val="0"/>
          <w:numId w:val="34"/>
        </w:numPr>
      </w:pPr>
      <w:r>
        <w:t>IT revenue costs</w:t>
      </w:r>
    </w:p>
    <w:p w:rsidR="00BF1A35" w:rsidRDefault="00410CD3" w:rsidP="0054616C">
      <w:pPr>
        <w:pStyle w:val="ListParagraph"/>
        <w:numPr>
          <w:ilvl w:val="0"/>
          <w:numId w:val="34"/>
        </w:numPr>
      </w:pPr>
      <w:r>
        <w:t>Revenue costs f</w:t>
      </w:r>
      <w:r w:rsidR="00BF1A35">
        <w:t xml:space="preserve">ixed </w:t>
      </w:r>
      <w:r>
        <w:t xml:space="preserve">for </w:t>
      </w:r>
      <w:r w:rsidR="00BF1A35">
        <w:t>staffing</w:t>
      </w:r>
      <w:r>
        <w:t>, clinical and admin</w:t>
      </w:r>
      <w:r w:rsidR="00BF1A35">
        <w:t xml:space="preserve"> to ensure </w:t>
      </w:r>
      <w:r>
        <w:t xml:space="preserve">minimum </w:t>
      </w:r>
      <w:r w:rsidR="00BF1A35">
        <w:t>access to service and treatment</w:t>
      </w:r>
    </w:p>
    <w:p w:rsidR="00410CD3" w:rsidRDefault="00410CD3" w:rsidP="00786CC7"/>
    <w:p w:rsidR="00B14BC0" w:rsidRDefault="00B14BC0" w:rsidP="00786CC7">
      <w:r>
        <w:t xml:space="preserve">Premises and infrastructure costs are specific to geography and actual premises and rooms etc. </w:t>
      </w:r>
      <w:r w:rsidR="00EB6582">
        <w:t xml:space="preserve">and </w:t>
      </w:r>
      <w:r w:rsidR="00F507B0">
        <w:t>therefore are</w:t>
      </w:r>
      <w:r>
        <w:t xml:space="preserve"> very difficult to model generically. However estimates for overall staffing costings</w:t>
      </w:r>
      <w:r w:rsidR="00750C95">
        <w:t xml:space="preserve"> (including on-costs)</w:t>
      </w:r>
      <w:r>
        <w:t xml:space="preserve"> could be as follows. These are indicative only and commissioners must model these using local costings and market forces – </w:t>
      </w:r>
    </w:p>
    <w:p w:rsidR="001334AC" w:rsidRDefault="001334AC" w:rsidP="00786CC7"/>
    <w:p w:rsidR="00B14BC0" w:rsidRDefault="00B14BC0" w:rsidP="008F0699">
      <w:pPr>
        <w:ind w:left="720"/>
      </w:pPr>
      <w:r>
        <w:t>1 WTE GP</w:t>
      </w:r>
      <w:r>
        <w:tab/>
      </w:r>
      <w:r>
        <w:tab/>
      </w:r>
      <w:r>
        <w:tab/>
      </w:r>
      <w:r>
        <w:tab/>
        <w:t>£110,000</w:t>
      </w:r>
    </w:p>
    <w:p w:rsidR="00B14BC0" w:rsidRDefault="00B14BC0" w:rsidP="008F0699">
      <w:pPr>
        <w:ind w:left="720"/>
      </w:pPr>
      <w:r>
        <w:t>1 WTE Practice manager</w:t>
      </w:r>
      <w:r>
        <w:tab/>
      </w:r>
      <w:r>
        <w:tab/>
      </w:r>
      <w:r w:rsidR="00750C95">
        <w:t xml:space="preserve">  </w:t>
      </w:r>
      <w:r>
        <w:t>£40,000</w:t>
      </w:r>
    </w:p>
    <w:p w:rsidR="006A459E" w:rsidRDefault="006A459E" w:rsidP="008F0699">
      <w:pPr>
        <w:ind w:left="720"/>
      </w:pPr>
      <w:r>
        <w:t>0.25 WTE Practice Nurse</w:t>
      </w:r>
      <w:r>
        <w:tab/>
      </w:r>
      <w:r>
        <w:tab/>
        <w:t xml:space="preserve">  £20,000</w:t>
      </w:r>
    </w:p>
    <w:p w:rsidR="00B14BC0" w:rsidRDefault="00750C95" w:rsidP="008F0699">
      <w:pPr>
        <w:ind w:left="720"/>
      </w:pPr>
      <w:r>
        <w:t>1.5 WTE reception/admin</w:t>
      </w:r>
      <w:r>
        <w:tab/>
      </w:r>
      <w:r>
        <w:tab/>
        <w:t xml:space="preserve">  £35,000</w:t>
      </w:r>
    </w:p>
    <w:p w:rsidR="00410CD3" w:rsidRDefault="00750C95" w:rsidP="008F0699">
      <w:pPr>
        <w:ind w:left="720"/>
      </w:pPr>
      <w:r>
        <w:t>0.5 WTE security</w:t>
      </w:r>
      <w:r>
        <w:tab/>
      </w:r>
      <w:r>
        <w:tab/>
      </w:r>
      <w:r>
        <w:tab/>
        <w:t xml:space="preserve">  £20,000</w:t>
      </w:r>
    </w:p>
    <w:p w:rsidR="00164601" w:rsidRDefault="00164601" w:rsidP="00786CC7"/>
    <w:p w:rsidR="00786CC7" w:rsidRPr="00DB1BC5" w:rsidRDefault="00786CC7" w:rsidP="00786CC7">
      <w:pPr>
        <w:rPr>
          <w:b/>
          <w:u w:val="single"/>
        </w:rPr>
      </w:pPr>
    </w:p>
    <w:p w:rsidR="008F0699" w:rsidRPr="00DB1BC5" w:rsidRDefault="008F0699" w:rsidP="008F0699">
      <w:pPr>
        <w:pStyle w:val="Heading1"/>
        <w:numPr>
          <w:ilvl w:val="0"/>
          <w:numId w:val="0"/>
        </w:numPr>
        <w:rPr>
          <w:color w:val="auto"/>
          <w:u w:val="single"/>
        </w:rPr>
      </w:pPr>
      <w:r w:rsidRPr="00DB1BC5">
        <w:rPr>
          <w:color w:val="auto"/>
          <w:u w:val="single"/>
        </w:rPr>
        <w:t>Section B SAS Sample Documents</w:t>
      </w:r>
    </w:p>
    <w:p w:rsidR="000C4E7C" w:rsidRDefault="000C4E7C" w:rsidP="00786CC7">
      <w:pPr>
        <w:rPr>
          <w:b/>
          <w:color w:val="2577FF" w:themeColor="accent5" w:themeTint="99"/>
        </w:rPr>
      </w:pPr>
    </w:p>
    <w:p w:rsidR="008F0699" w:rsidRDefault="008F0699" w:rsidP="00786CC7">
      <w:r w:rsidRPr="008F0699">
        <w:t>To</w:t>
      </w:r>
      <w:r>
        <w:t xml:space="preserve"> assist Commissioners develop and commission robust Special Allocation Schemes a number of documents and guidance ha</w:t>
      </w:r>
      <w:r w:rsidR="00225483">
        <w:t>s</w:t>
      </w:r>
      <w:r>
        <w:t xml:space="preserve"> been produced. </w:t>
      </w:r>
    </w:p>
    <w:p w:rsidR="008F0699" w:rsidRDefault="008F0699" w:rsidP="00786CC7"/>
    <w:p w:rsidR="00683D70" w:rsidRPr="008F0699" w:rsidRDefault="008F0699" w:rsidP="00786CC7">
      <w:r>
        <w:t xml:space="preserve">It is expected that the SAS will as a minimum meet the criteria and requirements in the following documents: </w:t>
      </w:r>
    </w:p>
    <w:p w:rsidR="008F0699" w:rsidRPr="008F0699" w:rsidRDefault="008F0699" w:rsidP="00786CC7"/>
    <w:p w:rsidR="008F0699" w:rsidRPr="008F0699" w:rsidRDefault="00225483" w:rsidP="00786CC7">
      <w:pPr>
        <w:rPr>
          <w:b/>
        </w:rPr>
      </w:pPr>
      <w:r>
        <w:rPr>
          <w:b/>
        </w:rPr>
        <w:t>Appendix 1 – Commissioning a robust SAS</w:t>
      </w:r>
    </w:p>
    <w:p w:rsidR="008B5EE5" w:rsidRDefault="00225483" w:rsidP="00786CC7">
      <w:pPr>
        <w:rPr>
          <w:b/>
        </w:rPr>
      </w:pPr>
      <w:r>
        <w:rPr>
          <w:b/>
        </w:rPr>
        <w:t>Appendix 2 – Sample Service Specification</w:t>
      </w:r>
    </w:p>
    <w:p w:rsidR="00225483" w:rsidRPr="00225483" w:rsidRDefault="008F09EA" w:rsidP="00786CC7">
      <w:pPr>
        <w:rPr>
          <w:b/>
        </w:rPr>
      </w:pPr>
      <w:r>
        <w:rPr>
          <w:b/>
        </w:rPr>
        <w:t>Appendix 3 – Sample Violence reporting Form</w:t>
      </w:r>
    </w:p>
    <w:p w:rsidR="00225483" w:rsidRDefault="008F09EA" w:rsidP="00786CC7">
      <w:pPr>
        <w:rPr>
          <w:b/>
        </w:rPr>
      </w:pPr>
      <w:r>
        <w:rPr>
          <w:b/>
        </w:rPr>
        <w:t>Appendix 4 – Sample Risk Assessment Form</w:t>
      </w:r>
    </w:p>
    <w:p w:rsidR="008F09EA" w:rsidRPr="008F09EA" w:rsidRDefault="008F09EA" w:rsidP="00786CC7">
      <w:pPr>
        <w:rPr>
          <w:b/>
        </w:rPr>
      </w:pPr>
      <w:r>
        <w:rPr>
          <w:b/>
        </w:rPr>
        <w:lastRenderedPageBreak/>
        <w:t>Appendix 5 – Sample Good Conduct Form</w:t>
      </w:r>
    </w:p>
    <w:p w:rsidR="00225483" w:rsidRDefault="00251957" w:rsidP="001517DF">
      <w:pPr>
        <w:rPr>
          <w:b/>
        </w:rPr>
      </w:pPr>
      <w:r>
        <w:rPr>
          <w:b/>
        </w:rPr>
        <w:t>Appendix 6 – Draft patient letter from PCSE</w:t>
      </w:r>
    </w:p>
    <w:p w:rsidR="00251957" w:rsidRDefault="00251957" w:rsidP="00251957">
      <w:pPr>
        <w:rPr>
          <w:b/>
        </w:rPr>
      </w:pPr>
      <w:r>
        <w:rPr>
          <w:b/>
        </w:rPr>
        <w:t xml:space="preserve">Appendix 7 – </w:t>
      </w:r>
      <w:r w:rsidRPr="00251957">
        <w:rPr>
          <w:b/>
        </w:rPr>
        <w:t>Commissioner</w:t>
      </w:r>
      <w:r>
        <w:rPr>
          <w:b/>
        </w:rPr>
        <w:t xml:space="preserve"> (</w:t>
      </w:r>
      <w:r w:rsidRPr="00251957">
        <w:rPr>
          <w:b/>
        </w:rPr>
        <w:t>NHS England/CCG</w:t>
      </w:r>
      <w:r>
        <w:rPr>
          <w:b/>
        </w:rPr>
        <w:t xml:space="preserve">) </w:t>
      </w:r>
      <w:r w:rsidRPr="00251957">
        <w:rPr>
          <w:b/>
        </w:rPr>
        <w:t>Responsibilities and</w:t>
      </w:r>
    </w:p>
    <w:p w:rsidR="00251957" w:rsidRPr="00251957" w:rsidRDefault="00251957" w:rsidP="00251957">
      <w:pPr>
        <w:ind w:left="1440"/>
        <w:rPr>
          <w:b/>
        </w:rPr>
      </w:pPr>
      <w:r>
        <w:rPr>
          <w:b/>
        </w:rPr>
        <w:t xml:space="preserve">  </w:t>
      </w:r>
      <w:r w:rsidRPr="00251957">
        <w:rPr>
          <w:b/>
        </w:rPr>
        <w:t>processes for referrals onto SAS</w:t>
      </w:r>
    </w:p>
    <w:p w:rsidR="001517DF" w:rsidRPr="00251957" w:rsidRDefault="001517DF" w:rsidP="001517DF">
      <w:pPr>
        <w:rPr>
          <w:b/>
        </w:rPr>
      </w:pPr>
    </w:p>
    <w:p w:rsidR="001517DF" w:rsidRPr="00251957" w:rsidRDefault="001517DF" w:rsidP="001517DF">
      <w:pPr>
        <w:rPr>
          <w:b/>
        </w:rPr>
      </w:pPr>
    </w:p>
    <w:p w:rsidR="001517DF" w:rsidRPr="00251957" w:rsidRDefault="001517DF" w:rsidP="001517DF">
      <w:pPr>
        <w:rPr>
          <w:b/>
        </w:rPr>
      </w:pPr>
    </w:p>
    <w:p w:rsidR="001517DF" w:rsidRPr="00251957" w:rsidRDefault="001517DF" w:rsidP="001517DF">
      <w:pPr>
        <w:rPr>
          <w:b/>
        </w:rPr>
      </w:pPr>
    </w:p>
    <w:p w:rsidR="001517DF" w:rsidRPr="00210871" w:rsidRDefault="001517DF" w:rsidP="001517DF">
      <w:pPr>
        <w:rPr>
          <w:highlight w:val="cyan"/>
        </w:rPr>
      </w:pPr>
    </w:p>
    <w:p w:rsidR="001517DF" w:rsidRPr="00CF0E05" w:rsidRDefault="001517DF" w:rsidP="001517DF"/>
    <w:p w:rsidR="008B5EE5" w:rsidRDefault="008B5EE5" w:rsidP="00786CC7">
      <w:pPr>
        <w:rPr>
          <w:b/>
          <w:color w:val="2577FF" w:themeColor="accent5" w:themeTint="99"/>
        </w:rPr>
      </w:pPr>
    </w:p>
    <w:bookmarkStart w:id="14" w:name="_MON_1583595662"/>
    <w:bookmarkEnd w:id="14"/>
    <w:p w:rsidR="008B5EE5" w:rsidRPr="00F703EB" w:rsidRDefault="009547F9" w:rsidP="00786CC7">
      <w:pPr>
        <w:rPr>
          <w:b/>
          <w:color w:val="2577FF" w:themeColor="accent5" w:themeTint="99"/>
        </w:rPr>
      </w:pPr>
      <w:r>
        <w:rPr>
          <w:b/>
          <w:color w:val="2577FF" w:themeColor="accent5" w:themeTint="99"/>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pt" o:ole="">
            <v:imagedata r:id="rId14" o:title=""/>
          </v:shape>
          <o:OLEObject Type="Embed" ProgID="Word.Document.12" ShapeID="_x0000_i1025" DrawAspect="Icon" ObjectID="_1605357562" r:id="rId15">
            <o:FieldCodes>\s</o:FieldCodes>
          </o:OLEObject>
        </w:object>
      </w:r>
    </w:p>
    <w:bookmarkStart w:id="15" w:name="_MON_1583595715"/>
    <w:bookmarkEnd w:id="15"/>
    <w:p w:rsidR="00F703EB" w:rsidRDefault="009547F9" w:rsidP="00F703EB">
      <w:pPr>
        <w:pStyle w:val="Heading1"/>
        <w:numPr>
          <w:ilvl w:val="0"/>
          <w:numId w:val="0"/>
        </w:numPr>
        <w:rPr>
          <w:rFonts w:eastAsia="Arial"/>
          <w:color w:val="2577FF" w:themeColor="accent5" w:themeTint="99"/>
          <w:kern w:val="0"/>
          <w:sz w:val="22"/>
          <w:szCs w:val="22"/>
        </w:rPr>
      </w:pPr>
      <w:r>
        <w:rPr>
          <w:rFonts w:eastAsia="Arial"/>
          <w:color w:val="2577FF" w:themeColor="accent5" w:themeTint="99"/>
          <w:kern w:val="0"/>
          <w:sz w:val="22"/>
          <w:szCs w:val="22"/>
        </w:rPr>
        <w:object w:dxaOrig="1551" w:dyaOrig="991">
          <v:shape id="_x0000_i1026" type="#_x0000_t75" style="width:78pt;height:50pt" o:ole="">
            <v:imagedata r:id="rId16" o:title=""/>
          </v:shape>
          <o:OLEObject Type="Embed" ProgID="Word.Document.12" ShapeID="_x0000_i1026" DrawAspect="Icon" ObjectID="_1605357563" r:id="rId17">
            <o:FieldCodes>\s</o:FieldCodes>
          </o:OLEObject>
        </w:object>
      </w:r>
    </w:p>
    <w:bookmarkStart w:id="16" w:name="_MON_1583595758"/>
    <w:bookmarkEnd w:id="16"/>
    <w:p w:rsidR="009547F9" w:rsidRDefault="009547F9" w:rsidP="009547F9">
      <w:pPr>
        <w:rPr>
          <w:rFonts w:eastAsia="Arial"/>
        </w:rPr>
      </w:pPr>
      <w:r>
        <w:rPr>
          <w:rFonts w:eastAsia="Arial"/>
        </w:rPr>
        <w:object w:dxaOrig="1551" w:dyaOrig="991">
          <v:shape id="_x0000_i1027" type="#_x0000_t75" style="width:78pt;height:50pt" o:ole="">
            <v:imagedata r:id="rId18" o:title=""/>
          </v:shape>
          <o:OLEObject Type="Embed" ProgID="Word.Document.12" ShapeID="_x0000_i1027" DrawAspect="Icon" ObjectID="_1605357564" r:id="rId19">
            <o:FieldCodes>\s</o:FieldCodes>
          </o:OLEObject>
        </w:object>
      </w:r>
    </w:p>
    <w:bookmarkStart w:id="17" w:name="_MON_1583595795"/>
    <w:bookmarkEnd w:id="17"/>
    <w:p w:rsidR="009547F9" w:rsidRDefault="009547F9" w:rsidP="009547F9">
      <w:pPr>
        <w:rPr>
          <w:rFonts w:eastAsia="Arial"/>
        </w:rPr>
      </w:pPr>
      <w:r>
        <w:rPr>
          <w:rFonts w:eastAsia="Arial"/>
        </w:rPr>
        <w:object w:dxaOrig="1551" w:dyaOrig="991">
          <v:shape id="_x0000_i1028" type="#_x0000_t75" style="width:78pt;height:50pt" o:ole="">
            <v:imagedata r:id="rId20" o:title=""/>
          </v:shape>
          <o:OLEObject Type="Embed" ProgID="Word.Document.12" ShapeID="_x0000_i1028" DrawAspect="Icon" ObjectID="_1605357565" r:id="rId21">
            <o:FieldCodes>\s</o:FieldCodes>
          </o:OLEObject>
        </w:object>
      </w:r>
    </w:p>
    <w:bookmarkStart w:id="18" w:name="_MON_1583595828"/>
    <w:bookmarkEnd w:id="18"/>
    <w:p w:rsidR="009547F9" w:rsidRDefault="009547F9" w:rsidP="009547F9">
      <w:pPr>
        <w:rPr>
          <w:rFonts w:eastAsia="Arial"/>
        </w:rPr>
      </w:pPr>
      <w:r>
        <w:rPr>
          <w:rFonts w:eastAsia="Arial"/>
        </w:rPr>
        <w:object w:dxaOrig="1551" w:dyaOrig="991">
          <v:shape id="_x0000_i1029" type="#_x0000_t75" style="width:78pt;height:50pt" o:ole="">
            <v:imagedata r:id="rId22" o:title=""/>
          </v:shape>
          <o:OLEObject Type="Embed" ProgID="Word.Document.12" ShapeID="_x0000_i1029" DrawAspect="Icon" ObjectID="_1605357566" r:id="rId23">
            <o:FieldCodes>\s</o:FieldCodes>
          </o:OLEObject>
        </w:object>
      </w:r>
    </w:p>
    <w:bookmarkStart w:id="19" w:name="_MON_1583595858"/>
    <w:bookmarkEnd w:id="19"/>
    <w:p w:rsidR="009547F9" w:rsidRDefault="009547F9" w:rsidP="009547F9">
      <w:pPr>
        <w:rPr>
          <w:rFonts w:eastAsia="Arial"/>
        </w:rPr>
      </w:pPr>
      <w:r>
        <w:rPr>
          <w:rFonts w:eastAsia="Arial"/>
        </w:rPr>
        <w:object w:dxaOrig="1551" w:dyaOrig="991">
          <v:shape id="_x0000_i1030" type="#_x0000_t75" style="width:78pt;height:50pt" o:ole="">
            <v:imagedata r:id="rId24" o:title=""/>
          </v:shape>
          <o:OLEObject Type="Embed" ProgID="Word.Document.12" ShapeID="_x0000_i1030" DrawAspect="Icon" ObjectID="_1605357567" r:id="rId25">
            <o:FieldCodes>\s</o:FieldCodes>
          </o:OLEObject>
        </w:object>
      </w:r>
    </w:p>
    <w:bookmarkStart w:id="20" w:name="_MON_1583595902"/>
    <w:bookmarkEnd w:id="20"/>
    <w:p w:rsidR="009547F9" w:rsidRPr="009547F9" w:rsidRDefault="009547F9" w:rsidP="009547F9">
      <w:pPr>
        <w:rPr>
          <w:rFonts w:eastAsia="Arial"/>
        </w:rPr>
      </w:pPr>
      <w:r>
        <w:rPr>
          <w:rFonts w:eastAsia="Arial"/>
        </w:rPr>
        <w:object w:dxaOrig="1551" w:dyaOrig="991">
          <v:shape id="_x0000_i1031" type="#_x0000_t75" style="width:78pt;height:50pt" o:ole="">
            <v:imagedata r:id="rId26" o:title=""/>
          </v:shape>
          <o:OLEObject Type="Embed" ProgID="Word.Document.12" ShapeID="_x0000_i1031" DrawAspect="Icon" ObjectID="_1605357568" r:id="rId27">
            <o:FieldCodes>\s</o:FieldCodes>
          </o:OLEObject>
        </w:object>
      </w:r>
    </w:p>
    <w:p w:rsidR="009547F9" w:rsidRDefault="009547F9" w:rsidP="009547F9">
      <w:pPr>
        <w:rPr>
          <w:rFonts w:eastAsia="Arial"/>
        </w:rPr>
      </w:pPr>
    </w:p>
    <w:p w:rsidR="009547F9" w:rsidRDefault="009547F9" w:rsidP="009547F9">
      <w:pPr>
        <w:rPr>
          <w:rFonts w:eastAsia="Arial"/>
        </w:rPr>
      </w:pPr>
    </w:p>
    <w:p w:rsidR="009547F9" w:rsidRPr="009547F9" w:rsidRDefault="009547F9" w:rsidP="009547F9">
      <w:pPr>
        <w:rPr>
          <w:rFonts w:eastAsia="Arial"/>
        </w:rPr>
      </w:pPr>
    </w:p>
    <w:bookmarkEnd w:id="5"/>
    <w:bookmarkEnd w:id="6"/>
    <w:p w:rsidR="008B5EE5" w:rsidRDefault="008B5EE5" w:rsidP="008B5EE5">
      <w:pPr>
        <w:rPr>
          <w:rFonts w:eastAsia="Arial"/>
        </w:rPr>
      </w:pPr>
    </w:p>
    <w:sectPr w:rsidR="008B5EE5">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D51" w:rsidRDefault="003A0D51" w:rsidP="00A716D1">
      <w:r>
        <w:separator/>
      </w:r>
    </w:p>
  </w:endnote>
  <w:endnote w:type="continuationSeparator" w:id="0">
    <w:p w:rsidR="003A0D51" w:rsidRDefault="003A0D51"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GSMinchoE">
    <w:altName w:val="MS PMincho"/>
    <w:charset w:val="80"/>
    <w:family w:val="roman"/>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Caption w:val="Document details table"/>
    </w:tblPr>
    <w:tblGrid>
      <w:gridCol w:w="3002"/>
      <w:gridCol w:w="3018"/>
      <w:gridCol w:w="2996"/>
    </w:tblGrid>
    <w:tr w:rsidR="001517DF" w:rsidTr="007F1E41">
      <w:tc>
        <w:tcPr>
          <w:tcW w:w="3093" w:type="dxa"/>
        </w:tcPr>
        <w:p w:rsidR="001517DF" w:rsidRPr="002418F9" w:rsidRDefault="001517DF" w:rsidP="007F1E41">
          <w:pPr>
            <w:pStyle w:val="Footer"/>
            <w:rPr>
              <w:rStyle w:val="PageNumber"/>
              <w:color w:val="FF0000"/>
              <w:sz w:val="18"/>
              <w:szCs w:val="18"/>
            </w:rPr>
          </w:pPr>
          <w:r w:rsidRPr="002418F9">
            <w:rPr>
              <w:rStyle w:val="PageNumber"/>
              <w:color w:val="FF0000"/>
              <w:sz w:val="18"/>
              <w:szCs w:val="18"/>
            </w:rPr>
            <w:t xml:space="preserve">Document number: </w:t>
          </w:r>
        </w:p>
      </w:tc>
      <w:tc>
        <w:tcPr>
          <w:tcW w:w="3093" w:type="dxa"/>
        </w:tcPr>
        <w:p w:rsidR="001517DF" w:rsidRDefault="001517DF" w:rsidP="00DB1BC5">
          <w:pPr>
            <w:pStyle w:val="Footer"/>
            <w:jc w:val="center"/>
            <w:rPr>
              <w:rStyle w:val="PageNumber"/>
              <w:color w:val="A00054"/>
              <w:sz w:val="18"/>
              <w:szCs w:val="18"/>
            </w:rPr>
          </w:pPr>
          <w:r>
            <w:rPr>
              <w:rStyle w:val="PageNumber"/>
              <w:color w:val="A00054"/>
              <w:sz w:val="18"/>
              <w:szCs w:val="18"/>
            </w:rPr>
            <w:t xml:space="preserve">Issue/approval date: </w:t>
          </w:r>
          <w:r w:rsidR="00DB1BC5">
            <w:rPr>
              <w:rStyle w:val="PageNumber"/>
              <w:color w:val="A00054"/>
              <w:sz w:val="18"/>
              <w:szCs w:val="18"/>
            </w:rPr>
            <w:t>23/04/2018 tbc</w:t>
          </w:r>
        </w:p>
      </w:tc>
      <w:tc>
        <w:tcPr>
          <w:tcW w:w="3094" w:type="dxa"/>
        </w:tcPr>
        <w:p w:rsidR="001517DF" w:rsidRDefault="001517DF" w:rsidP="00DB1BC5">
          <w:pPr>
            <w:pStyle w:val="Footer"/>
            <w:jc w:val="right"/>
            <w:rPr>
              <w:rStyle w:val="PageNumber"/>
              <w:color w:val="A00054"/>
              <w:sz w:val="18"/>
              <w:szCs w:val="18"/>
            </w:rPr>
          </w:pPr>
          <w:r>
            <w:rPr>
              <w:rStyle w:val="PageNumber"/>
              <w:color w:val="A00054"/>
              <w:sz w:val="18"/>
              <w:szCs w:val="18"/>
            </w:rPr>
            <w:t>Version number: 2.</w:t>
          </w:r>
          <w:r w:rsidR="00DB1BC5">
            <w:rPr>
              <w:rStyle w:val="PageNumber"/>
              <w:color w:val="A00054"/>
              <w:sz w:val="18"/>
              <w:szCs w:val="18"/>
            </w:rPr>
            <w:t>6</w:t>
          </w:r>
        </w:p>
      </w:tc>
    </w:tr>
    <w:tr w:rsidR="001517DF" w:rsidTr="007F1E41">
      <w:tc>
        <w:tcPr>
          <w:tcW w:w="3093" w:type="dxa"/>
        </w:tcPr>
        <w:p w:rsidR="001517DF" w:rsidRDefault="001517DF" w:rsidP="003C02D5">
          <w:pPr>
            <w:pStyle w:val="Footer"/>
            <w:rPr>
              <w:rStyle w:val="PageNumber"/>
              <w:color w:val="A00054"/>
              <w:sz w:val="18"/>
              <w:szCs w:val="18"/>
            </w:rPr>
          </w:pPr>
          <w:r>
            <w:rPr>
              <w:rStyle w:val="PageNumber"/>
              <w:color w:val="A00054"/>
              <w:sz w:val="18"/>
              <w:szCs w:val="18"/>
            </w:rPr>
            <w:t xml:space="preserve">Prepared </w:t>
          </w:r>
          <w:r w:rsidR="003C02D5">
            <w:rPr>
              <w:rStyle w:val="PageNumber"/>
              <w:color w:val="A00054"/>
              <w:sz w:val="18"/>
              <w:szCs w:val="18"/>
            </w:rPr>
            <w:t>March</w:t>
          </w:r>
          <w:r>
            <w:rPr>
              <w:rStyle w:val="PageNumber"/>
              <w:color w:val="A00054"/>
              <w:sz w:val="18"/>
              <w:szCs w:val="18"/>
            </w:rPr>
            <w:t xml:space="preserve"> 201</w:t>
          </w:r>
          <w:r w:rsidR="003C02D5">
            <w:rPr>
              <w:rStyle w:val="PageNumber"/>
              <w:color w:val="A00054"/>
              <w:sz w:val="18"/>
              <w:szCs w:val="18"/>
            </w:rPr>
            <w:t>8</w:t>
          </w:r>
        </w:p>
      </w:tc>
      <w:tc>
        <w:tcPr>
          <w:tcW w:w="3093" w:type="dxa"/>
        </w:tcPr>
        <w:p w:rsidR="001517DF" w:rsidRDefault="001517DF" w:rsidP="00E40F85">
          <w:pPr>
            <w:pStyle w:val="Footer"/>
            <w:jc w:val="center"/>
            <w:rPr>
              <w:rStyle w:val="PageNumber"/>
              <w:color w:val="A00054"/>
              <w:sz w:val="18"/>
              <w:szCs w:val="18"/>
            </w:rPr>
          </w:pPr>
          <w:r>
            <w:rPr>
              <w:rStyle w:val="PageNumber"/>
              <w:color w:val="A00054"/>
              <w:sz w:val="18"/>
              <w:szCs w:val="18"/>
            </w:rPr>
            <w:t xml:space="preserve">Next review date: </w:t>
          </w:r>
          <w:r w:rsidR="00DB1BC5">
            <w:rPr>
              <w:rStyle w:val="PageNumber"/>
              <w:color w:val="A00054"/>
              <w:sz w:val="18"/>
              <w:szCs w:val="18"/>
            </w:rPr>
            <w:t>April 2019</w:t>
          </w:r>
        </w:p>
      </w:tc>
      <w:tc>
        <w:tcPr>
          <w:tcW w:w="3094" w:type="dxa"/>
        </w:tcPr>
        <w:p w:rsidR="001517DF" w:rsidRDefault="001517DF" w:rsidP="007F1E41">
          <w:pPr>
            <w:pStyle w:val="Footer"/>
            <w:jc w:val="right"/>
            <w:rPr>
              <w:rStyle w:val="PageNumber"/>
              <w:color w:val="A00054"/>
              <w:sz w:val="18"/>
              <w:szCs w:val="18"/>
            </w:rPr>
          </w:pPr>
          <w:r>
            <w:rPr>
              <w:rStyle w:val="PageNumber"/>
              <w:color w:val="A00054"/>
              <w:sz w:val="18"/>
              <w:szCs w:val="18"/>
            </w:rPr>
            <w:t xml:space="preserve">Page </w:t>
          </w:r>
          <w:r w:rsidRPr="00E01309">
            <w:rPr>
              <w:rStyle w:val="PageNumber"/>
              <w:color w:val="A00054"/>
              <w:sz w:val="18"/>
              <w:szCs w:val="18"/>
            </w:rPr>
            <w:fldChar w:fldCharType="begin"/>
          </w:r>
          <w:r w:rsidRPr="00E01309">
            <w:rPr>
              <w:rStyle w:val="PageNumber"/>
              <w:color w:val="A00054"/>
              <w:sz w:val="18"/>
              <w:szCs w:val="18"/>
            </w:rPr>
            <w:instrText xml:space="preserve">PAGE  </w:instrText>
          </w:r>
          <w:r w:rsidRPr="00E01309">
            <w:rPr>
              <w:rStyle w:val="PageNumber"/>
              <w:color w:val="A00054"/>
              <w:sz w:val="18"/>
              <w:szCs w:val="18"/>
            </w:rPr>
            <w:fldChar w:fldCharType="separate"/>
          </w:r>
          <w:r w:rsidR="00927FCB">
            <w:rPr>
              <w:rStyle w:val="PageNumber"/>
              <w:noProof/>
              <w:color w:val="A00054"/>
              <w:sz w:val="18"/>
              <w:szCs w:val="18"/>
            </w:rPr>
            <w:t>5</w:t>
          </w:r>
          <w:r w:rsidRPr="00E01309">
            <w:rPr>
              <w:rStyle w:val="PageNumber"/>
              <w:color w:val="A00054"/>
              <w:sz w:val="18"/>
              <w:szCs w:val="18"/>
            </w:rPr>
            <w:fldChar w:fldCharType="end"/>
          </w:r>
        </w:p>
      </w:tc>
    </w:tr>
  </w:tbl>
  <w:p w:rsidR="001517DF" w:rsidRPr="003B0C2D" w:rsidRDefault="001517DF" w:rsidP="007F1E41">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D51" w:rsidRDefault="003A0D51" w:rsidP="00A716D1">
      <w:r>
        <w:separator/>
      </w:r>
    </w:p>
  </w:footnote>
  <w:footnote w:type="continuationSeparator" w:id="0">
    <w:p w:rsidR="003A0D51" w:rsidRDefault="003A0D51" w:rsidP="00A7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7DF" w:rsidRDefault="002711CA" w:rsidP="003B0C2D">
    <w:pPr>
      <w:pStyle w:val="Header"/>
      <w:jc w:val="right"/>
    </w:pPr>
    <w:r w:rsidRPr="002711CA">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n-GB"/>
      </w:rPr>
      <w:drawing>
        <wp:inline distT="0" distB="0" distL="0" distR="0">
          <wp:extent cx="834887" cy="660569"/>
          <wp:effectExtent l="0" t="0" r="3810" b="6350"/>
          <wp:docPr id="1" name="Picture 1" descr="\\ims.gov.uk\data\Users\GBEXPVD\EXPHOME2\GChoudhury\Data\Desktop\NHS England logo_NHS 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s.gov.uk\data\Users\GBEXPVD\EXPHOME2\GChoudhury\Data\Desktop\NHS England logo_NHS Blu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64" cy="6632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5163"/>
    <w:multiLevelType w:val="hybridMultilevel"/>
    <w:tmpl w:val="3768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41E3"/>
    <w:multiLevelType w:val="hybridMultilevel"/>
    <w:tmpl w:val="A44A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2374E"/>
    <w:multiLevelType w:val="multilevel"/>
    <w:tmpl w:val="01347A02"/>
    <w:lvl w:ilvl="0">
      <w:start w:val="1"/>
      <w:numFmt w:val="decimal"/>
      <w:lvlText w:val="%1."/>
      <w:lvlJc w:val="left"/>
      <w:pPr>
        <w:ind w:left="720" w:hanging="360"/>
      </w:pPr>
      <w:rPr>
        <w:rFonts w:hint="default"/>
      </w:rPr>
    </w:lvl>
    <w:lvl w:ilvl="1">
      <w:start w:val="1"/>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568E7"/>
    <w:multiLevelType w:val="hybridMultilevel"/>
    <w:tmpl w:val="F2A4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B119E"/>
    <w:multiLevelType w:val="hybridMultilevel"/>
    <w:tmpl w:val="F588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80A02"/>
    <w:multiLevelType w:val="hybridMultilevel"/>
    <w:tmpl w:val="6088BEF2"/>
    <w:lvl w:ilvl="0" w:tplc="FA16BF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2374D"/>
    <w:multiLevelType w:val="hybridMultilevel"/>
    <w:tmpl w:val="753C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E261C"/>
    <w:multiLevelType w:val="hybridMultilevel"/>
    <w:tmpl w:val="9926B706"/>
    <w:lvl w:ilvl="0" w:tplc="08090001">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abstractNum w:abstractNumId="8" w15:restartNumberingAfterBreak="0">
    <w:nsid w:val="128234F4"/>
    <w:multiLevelType w:val="hybridMultilevel"/>
    <w:tmpl w:val="7ED2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5123E"/>
    <w:multiLevelType w:val="hybridMultilevel"/>
    <w:tmpl w:val="F726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A1178"/>
    <w:multiLevelType w:val="hybridMultilevel"/>
    <w:tmpl w:val="A32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A43FF"/>
    <w:multiLevelType w:val="hybridMultilevel"/>
    <w:tmpl w:val="1622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E0BD9"/>
    <w:multiLevelType w:val="multilevel"/>
    <w:tmpl w:val="E4B0BBC8"/>
    <w:lvl w:ilvl="0">
      <w:start w:val="1"/>
      <w:numFmt w:val="decimal"/>
      <w:pStyle w:val="Heading1"/>
      <w:lvlText w:val="%1"/>
      <w:lvlJc w:val="left"/>
      <w:pPr>
        <w:ind w:left="716" w:hanging="432"/>
      </w:pPr>
      <w:rPr>
        <w:rFonts w:hint="default"/>
      </w:rPr>
    </w:lvl>
    <w:lvl w:ilvl="1">
      <w:start w:val="1"/>
      <w:numFmt w:val="decimal"/>
      <w:pStyle w:val="Heading2"/>
      <w:lvlText w:val="%1.%2"/>
      <w:lvlJc w:val="left"/>
      <w:pPr>
        <w:ind w:left="66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217203"/>
    <w:multiLevelType w:val="hybridMultilevel"/>
    <w:tmpl w:val="6A30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6124E"/>
    <w:multiLevelType w:val="hybridMultilevel"/>
    <w:tmpl w:val="BA9219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0A31B4F"/>
    <w:multiLevelType w:val="hybridMultilevel"/>
    <w:tmpl w:val="BBBE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E277A"/>
    <w:multiLevelType w:val="hybridMultilevel"/>
    <w:tmpl w:val="49F2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C3515"/>
    <w:multiLevelType w:val="hybridMultilevel"/>
    <w:tmpl w:val="32D8022C"/>
    <w:lvl w:ilvl="0" w:tplc="B93CA9B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795181"/>
    <w:multiLevelType w:val="hybridMultilevel"/>
    <w:tmpl w:val="F3AC9098"/>
    <w:lvl w:ilvl="0" w:tplc="08090001">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70C3E"/>
    <w:multiLevelType w:val="hybridMultilevel"/>
    <w:tmpl w:val="93361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054E9D"/>
    <w:multiLevelType w:val="hybridMultilevel"/>
    <w:tmpl w:val="5D4C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512B5"/>
    <w:multiLevelType w:val="hybridMultilevel"/>
    <w:tmpl w:val="CE2A95CE"/>
    <w:lvl w:ilvl="0" w:tplc="6540E4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F3647"/>
    <w:multiLevelType w:val="hybridMultilevel"/>
    <w:tmpl w:val="083A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A27EB"/>
    <w:multiLevelType w:val="hybridMultilevel"/>
    <w:tmpl w:val="5490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A5BA9"/>
    <w:multiLevelType w:val="hybridMultilevel"/>
    <w:tmpl w:val="58FE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36D02"/>
    <w:multiLevelType w:val="hybridMultilevel"/>
    <w:tmpl w:val="78F0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97278"/>
    <w:multiLevelType w:val="hybridMultilevel"/>
    <w:tmpl w:val="6ABC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D47EDF"/>
    <w:multiLevelType w:val="hybridMultilevel"/>
    <w:tmpl w:val="F682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26D76"/>
    <w:multiLevelType w:val="hybridMultilevel"/>
    <w:tmpl w:val="10167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F0776A"/>
    <w:multiLevelType w:val="hybridMultilevel"/>
    <w:tmpl w:val="F370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041B8"/>
    <w:multiLevelType w:val="hybridMultilevel"/>
    <w:tmpl w:val="FE26849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15:restartNumberingAfterBreak="0">
    <w:nsid w:val="5BF33343"/>
    <w:multiLevelType w:val="hybridMultilevel"/>
    <w:tmpl w:val="C2D4B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613EFC"/>
    <w:multiLevelType w:val="hybridMultilevel"/>
    <w:tmpl w:val="0966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1025E"/>
    <w:multiLevelType w:val="hybridMultilevel"/>
    <w:tmpl w:val="1CEC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56547"/>
    <w:multiLevelType w:val="hybridMultilevel"/>
    <w:tmpl w:val="4DB2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06060"/>
    <w:multiLevelType w:val="hybridMultilevel"/>
    <w:tmpl w:val="26E22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8F75CD"/>
    <w:multiLevelType w:val="hybridMultilevel"/>
    <w:tmpl w:val="F286C2C0"/>
    <w:lvl w:ilvl="0" w:tplc="08090001">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1A19FF"/>
    <w:multiLevelType w:val="hybridMultilevel"/>
    <w:tmpl w:val="8584B706"/>
    <w:lvl w:ilvl="0" w:tplc="EA3C88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DF199E"/>
    <w:multiLevelType w:val="hybridMultilevel"/>
    <w:tmpl w:val="389ADC3E"/>
    <w:lvl w:ilvl="0" w:tplc="38EAC7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0842B1"/>
    <w:multiLevelType w:val="hybridMultilevel"/>
    <w:tmpl w:val="83D4F5D0"/>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1" w15:restartNumberingAfterBreak="0">
    <w:nsid w:val="76707146"/>
    <w:multiLevelType w:val="hybridMultilevel"/>
    <w:tmpl w:val="A8708352"/>
    <w:lvl w:ilvl="0" w:tplc="FA16BF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638B1"/>
    <w:multiLevelType w:val="hybridMultilevel"/>
    <w:tmpl w:val="21504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7A50D1"/>
    <w:multiLevelType w:val="hybridMultilevel"/>
    <w:tmpl w:val="8FCC1D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990603B"/>
    <w:multiLevelType w:val="hybridMultilevel"/>
    <w:tmpl w:val="00341A68"/>
    <w:lvl w:ilvl="0" w:tplc="0809000F">
      <w:start w:val="1"/>
      <w:numFmt w:val="decimal"/>
      <w:lvlText w:val="%1."/>
      <w:lvlJc w:val="left"/>
      <w:pPr>
        <w:ind w:left="1494" w:hanging="360"/>
      </w:pPr>
      <w:rPr>
        <w:rFont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37"/>
  </w:num>
  <w:num w:numId="2">
    <w:abstractNumId w:val="12"/>
  </w:num>
  <w:num w:numId="3">
    <w:abstractNumId w:val="7"/>
  </w:num>
  <w:num w:numId="4">
    <w:abstractNumId w:val="14"/>
  </w:num>
  <w:num w:numId="5">
    <w:abstractNumId w:val="15"/>
  </w:num>
  <w:num w:numId="6">
    <w:abstractNumId w:val="44"/>
  </w:num>
  <w:num w:numId="7">
    <w:abstractNumId w:val="26"/>
  </w:num>
  <w:num w:numId="8">
    <w:abstractNumId w:val="19"/>
  </w:num>
  <w:num w:numId="9">
    <w:abstractNumId w:val="40"/>
  </w:num>
  <w:num w:numId="10">
    <w:abstractNumId w:val="18"/>
  </w:num>
  <w:num w:numId="11">
    <w:abstractNumId w:val="38"/>
  </w:num>
  <w:num w:numId="12">
    <w:abstractNumId w:val="3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5"/>
  </w:num>
  <w:num w:numId="16">
    <w:abstractNumId w:val="0"/>
  </w:num>
  <w:num w:numId="17">
    <w:abstractNumId w:val="1"/>
  </w:num>
  <w:num w:numId="18">
    <w:abstractNumId w:val="22"/>
  </w:num>
  <w:num w:numId="19">
    <w:abstractNumId w:val="23"/>
  </w:num>
  <w:num w:numId="20">
    <w:abstractNumId w:val="34"/>
  </w:num>
  <w:num w:numId="21">
    <w:abstractNumId w:val="8"/>
  </w:num>
  <w:num w:numId="22">
    <w:abstractNumId w:val="25"/>
  </w:num>
  <w:num w:numId="23">
    <w:abstractNumId w:val="13"/>
  </w:num>
  <w:num w:numId="24">
    <w:abstractNumId w:val="10"/>
  </w:num>
  <w:num w:numId="25">
    <w:abstractNumId w:val="9"/>
  </w:num>
  <w:num w:numId="26">
    <w:abstractNumId w:val="21"/>
  </w:num>
  <w:num w:numId="27">
    <w:abstractNumId w:val="33"/>
  </w:num>
  <w:num w:numId="28">
    <w:abstractNumId w:val="16"/>
  </w:num>
  <w:num w:numId="29">
    <w:abstractNumId w:val="3"/>
  </w:num>
  <w:num w:numId="30">
    <w:abstractNumId w:val="27"/>
  </w:num>
  <w:num w:numId="31">
    <w:abstractNumId w:val="11"/>
  </w:num>
  <w:num w:numId="32">
    <w:abstractNumId w:val="32"/>
  </w:num>
  <w:num w:numId="33">
    <w:abstractNumId w:val="4"/>
  </w:num>
  <w:num w:numId="34">
    <w:abstractNumId w:val="6"/>
  </w:num>
  <w:num w:numId="35">
    <w:abstractNumId w:val="2"/>
  </w:num>
  <w:num w:numId="36">
    <w:abstractNumId w:val="30"/>
  </w:num>
  <w:num w:numId="37">
    <w:abstractNumId w:val="20"/>
  </w:num>
  <w:num w:numId="38">
    <w:abstractNumId w:val="43"/>
  </w:num>
  <w:num w:numId="39">
    <w:abstractNumId w:val="17"/>
  </w:num>
  <w:num w:numId="40">
    <w:abstractNumId w:val="42"/>
  </w:num>
  <w:num w:numId="41">
    <w:abstractNumId w:val="28"/>
  </w:num>
  <w:num w:numId="42">
    <w:abstractNumId w:val="35"/>
  </w:num>
  <w:num w:numId="43">
    <w:abstractNumId w:val="12"/>
  </w:num>
  <w:num w:numId="44">
    <w:abstractNumId w:val="29"/>
  </w:num>
  <w:num w:numId="45">
    <w:abstractNumId w:val="12"/>
  </w:num>
  <w:num w:numId="46">
    <w:abstractNumId w:val="31"/>
  </w:num>
  <w:num w:numId="47">
    <w:abstractNumId w:val="12"/>
    <w:lvlOverride w:ilvl="0">
      <w:startOverride w:val="2"/>
    </w:lvlOverride>
    <w:lvlOverride w:ilvl="1"/>
  </w:num>
  <w:num w:numId="48">
    <w:abstractNumId w:val="24"/>
  </w:num>
  <w:num w:numId="49">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ShowOutlines" w:val="0"/>
    <w:docVar w:name="ShowStaticGuides" w:val="1"/>
  </w:docVars>
  <w:rsids>
    <w:rsidRoot w:val="005D6B38"/>
    <w:rsid w:val="00001EE2"/>
    <w:rsid w:val="000031EA"/>
    <w:rsid w:val="00011355"/>
    <w:rsid w:val="00012FC2"/>
    <w:rsid w:val="00016171"/>
    <w:rsid w:val="0002174B"/>
    <w:rsid w:val="00023944"/>
    <w:rsid w:val="00024C76"/>
    <w:rsid w:val="00027DB4"/>
    <w:rsid w:val="00031797"/>
    <w:rsid w:val="000325BD"/>
    <w:rsid w:val="000419B4"/>
    <w:rsid w:val="00044518"/>
    <w:rsid w:val="00044F59"/>
    <w:rsid w:val="00052284"/>
    <w:rsid w:val="0005507C"/>
    <w:rsid w:val="00055930"/>
    <w:rsid w:val="00056975"/>
    <w:rsid w:val="000659A7"/>
    <w:rsid w:val="000678B7"/>
    <w:rsid w:val="00071BBF"/>
    <w:rsid w:val="000727D8"/>
    <w:rsid w:val="000845F6"/>
    <w:rsid w:val="00085CFB"/>
    <w:rsid w:val="000932D3"/>
    <w:rsid w:val="00097F84"/>
    <w:rsid w:val="000A2935"/>
    <w:rsid w:val="000A3157"/>
    <w:rsid w:val="000B0B3F"/>
    <w:rsid w:val="000B597A"/>
    <w:rsid w:val="000B5E32"/>
    <w:rsid w:val="000C4292"/>
    <w:rsid w:val="000C4E7C"/>
    <w:rsid w:val="000C703F"/>
    <w:rsid w:val="000D2D53"/>
    <w:rsid w:val="000D3E59"/>
    <w:rsid w:val="000E09C9"/>
    <w:rsid w:val="000F0CCA"/>
    <w:rsid w:val="00102A99"/>
    <w:rsid w:val="00103D08"/>
    <w:rsid w:val="00105F86"/>
    <w:rsid w:val="00127D82"/>
    <w:rsid w:val="00130C4F"/>
    <w:rsid w:val="001334AC"/>
    <w:rsid w:val="001355A2"/>
    <w:rsid w:val="00135B73"/>
    <w:rsid w:val="00136B0F"/>
    <w:rsid w:val="001373E2"/>
    <w:rsid w:val="00147A19"/>
    <w:rsid w:val="001517DF"/>
    <w:rsid w:val="00152FB6"/>
    <w:rsid w:val="00164601"/>
    <w:rsid w:val="00166FB1"/>
    <w:rsid w:val="00174767"/>
    <w:rsid w:val="00176943"/>
    <w:rsid w:val="00176FC1"/>
    <w:rsid w:val="00186DCC"/>
    <w:rsid w:val="001919F1"/>
    <w:rsid w:val="0019429D"/>
    <w:rsid w:val="00194ED9"/>
    <w:rsid w:val="001A191A"/>
    <w:rsid w:val="001A33A9"/>
    <w:rsid w:val="001A3439"/>
    <w:rsid w:val="001B082E"/>
    <w:rsid w:val="001B62FE"/>
    <w:rsid w:val="001C42EE"/>
    <w:rsid w:val="001D732F"/>
    <w:rsid w:val="001E477C"/>
    <w:rsid w:val="001F17C4"/>
    <w:rsid w:val="001F3C57"/>
    <w:rsid w:val="001F612B"/>
    <w:rsid w:val="0020471B"/>
    <w:rsid w:val="00210871"/>
    <w:rsid w:val="00211279"/>
    <w:rsid w:val="00211C1A"/>
    <w:rsid w:val="00212361"/>
    <w:rsid w:val="00215AB1"/>
    <w:rsid w:val="002169F0"/>
    <w:rsid w:val="00222A7E"/>
    <w:rsid w:val="00222CBE"/>
    <w:rsid w:val="00223C5B"/>
    <w:rsid w:val="00223CD4"/>
    <w:rsid w:val="00224A17"/>
    <w:rsid w:val="00225483"/>
    <w:rsid w:val="00232F39"/>
    <w:rsid w:val="00237034"/>
    <w:rsid w:val="002406AF"/>
    <w:rsid w:val="002418F9"/>
    <w:rsid w:val="002419F8"/>
    <w:rsid w:val="00247E8C"/>
    <w:rsid w:val="00251957"/>
    <w:rsid w:val="00252508"/>
    <w:rsid w:val="00253480"/>
    <w:rsid w:val="0025692A"/>
    <w:rsid w:val="00257BA4"/>
    <w:rsid w:val="002711CA"/>
    <w:rsid w:val="002750C2"/>
    <w:rsid w:val="0028132A"/>
    <w:rsid w:val="00282DA0"/>
    <w:rsid w:val="002857CE"/>
    <w:rsid w:val="00287B8A"/>
    <w:rsid w:val="0029343F"/>
    <w:rsid w:val="0029380D"/>
    <w:rsid w:val="0029491F"/>
    <w:rsid w:val="00294D46"/>
    <w:rsid w:val="002A08E2"/>
    <w:rsid w:val="002A0C8D"/>
    <w:rsid w:val="002B6304"/>
    <w:rsid w:val="002B6767"/>
    <w:rsid w:val="002B7535"/>
    <w:rsid w:val="002C11AD"/>
    <w:rsid w:val="002C453D"/>
    <w:rsid w:val="002C542F"/>
    <w:rsid w:val="002C69DB"/>
    <w:rsid w:val="002C736B"/>
    <w:rsid w:val="002D015D"/>
    <w:rsid w:val="002D33BE"/>
    <w:rsid w:val="002E19D3"/>
    <w:rsid w:val="002E4212"/>
    <w:rsid w:val="002E73DC"/>
    <w:rsid w:val="002F08A2"/>
    <w:rsid w:val="002F2335"/>
    <w:rsid w:val="002F478C"/>
    <w:rsid w:val="002F63B2"/>
    <w:rsid w:val="002F6D04"/>
    <w:rsid w:val="002F7348"/>
    <w:rsid w:val="002F7B9E"/>
    <w:rsid w:val="003151EF"/>
    <w:rsid w:val="00320F19"/>
    <w:rsid w:val="003240D5"/>
    <w:rsid w:val="00324341"/>
    <w:rsid w:val="00326D25"/>
    <w:rsid w:val="0033124C"/>
    <w:rsid w:val="0033126A"/>
    <w:rsid w:val="00331661"/>
    <w:rsid w:val="00333FCA"/>
    <w:rsid w:val="0033424F"/>
    <w:rsid w:val="003357B2"/>
    <w:rsid w:val="00340291"/>
    <w:rsid w:val="00340385"/>
    <w:rsid w:val="00344C9D"/>
    <w:rsid w:val="00361E65"/>
    <w:rsid w:val="00364DF1"/>
    <w:rsid w:val="0037081A"/>
    <w:rsid w:val="0037131C"/>
    <w:rsid w:val="003741F3"/>
    <w:rsid w:val="0037625A"/>
    <w:rsid w:val="00376D77"/>
    <w:rsid w:val="00382EFF"/>
    <w:rsid w:val="00384753"/>
    <w:rsid w:val="003864F9"/>
    <w:rsid w:val="00386AB3"/>
    <w:rsid w:val="00387481"/>
    <w:rsid w:val="00391EA3"/>
    <w:rsid w:val="00392650"/>
    <w:rsid w:val="0039643B"/>
    <w:rsid w:val="00397E3E"/>
    <w:rsid w:val="003A06F2"/>
    <w:rsid w:val="003A0D51"/>
    <w:rsid w:val="003A13D3"/>
    <w:rsid w:val="003A4F80"/>
    <w:rsid w:val="003A6F12"/>
    <w:rsid w:val="003B0C2D"/>
    <w:rsid w:val="003B2D5D"/>
    <w:rsid w:val="003B511C"/>
    <w:rsid w:val="003C02D5"/>
    <w:rsid w:val="003C560E"/>
    <w:rsid w:val="003D746D"/>
    <w:rsid w:val="003E14FE"/>
    <w:rsid w:val="003E1C1F"/>
    <w:rsid w:val="003E26F0"/>
    <w:rsid w:val="003E5BAE"/>
    <w:rsid w:val="003F0737"/>
    <w:rsid w:val="003F1032"/>
    <w:rsid w:val="003F4F0A"/>
    <w:rsid w:val="0040165A"/>
    <w:rsid w:val="00410CD3"/>
    <w:rsid w:val="004148CF"/>
    <w:rsid w:val="00416B2D"/>
    <w:rsid w:val="00420696"/>
    <w:rsid w:val="00422847"/>
    <w:rsid w:val="004230F1"/>
    <w:rsid w:val="00435A1B"/>
    <w:rsid w:val="004409E2"/>
    <w:rsid w:val="0044367D"/>
    <w:rsid w:val="004508AD"/>
    <w:rsid w:val="0046033D"/>
    <w:rsid w:val="00460D6B"/>
    <w:rsid w:val="00462813"/>
    <w:rsid w:val="004655EB"/>
    <w:rsid w:val="00466C93"/>
    <w:rsid w:val="004704A2"/>
    <w:rsid w:val="00470F27"/>
    <w:rsid w:val="00471C5C"/>
    <w:rsid w:val="0047322C"/>
    <w:rsid w:val="004737C9"/>
    <w:rsid w:val="004746E9"/>
    <w:rsid w:val="0047677E"/>
    <w:rsid w:val="004863FB"/>
    <w:rsid w:val="00487498"/>
    <w:rsid w:val="00490627"/>
    <w:rsid w:val="0049234F"/>
    <w:rsid w:val="00493389"/>
    <w:rsid w:val="00493E00"/>
    <w:rsid w:val="004977D0"/>
    <w:rsid w:val="004A1A0C"/>
    <w:rsid w:val="004A3E18"/>
    <w:rsid w:val="004B22E6"/>
    <w:rsid w:val="004B4CF6"/>
    <w:rsid w:val="004C6D1A"/>
    <w:rsid w:val="004D0F05"/>
    <w:rsid w:val="004D60DC"/>
    <w:rsid w:val="004D65B2"/>
    <w:rsid w:val="004D6AFF"/>
    <w:rsid w:val="004E2398"/>
    <w:rsid w:val="004E7FCF"/>
    <w:rsid w:val="004F3CAE"/>
    <w:rsid w:val="004F4550"/>
    <w:rsid w:val="004F7AB5"/>
    <w:rsid w:val="00500741"/>
    <w:rsid w:val="005045B3"/>
    <w:rsid w:val="0051106D"/>
    <w:rsid w:val="005119A5"/>
    <w:rsid w:val="00517FCC"/>
    <w:rsid w:val="00520046"/>
    <w:rsid w:val="00521E61"/>
    <w:rsid w:val="00523493"/>
    <w:rsid w:val="00524108"/>
    <w:rsid w:val="00530915"/>
    <w:rsid w:val="00534025"/>
    <w:rsid w:val="00541225"/>
    <w:rsid w:val="00544207"/>
    <w:rsid w:val="0054616C"/>
    <w:rsid w:val="00546A29"/>
    <w:rsid w:val="00552EB3"/>
    <w:rsid w:val="00557547"/>
    <w:rsid w:val="005629D1"/>
    <w:rsid w:val="00563EB0"/>
    <w:rsid w:val="005653CA"/>
    <w:rsid w:val="00570406"/>
    <w:rsid w:val="0057246D"/>
    <w:rsid w:val="0058096B"/>
    <w:rsid w:val="00584134"/>
    <w:rsid w:val="005868C3"/>
    <w:rsid w:val="00591B45"/>
    <w:rsid w:val="00592AB4"/>
    <w:rsid w:val="005A12C1"/>
    <w:rsid w:val="005A3C37"/>
    <w:rsid w:val="005A4142"/>
    <w:rsid w:val="005B350B"/>
    <w:rsid w:val="005B40B1"/>
    <w:rsid w:val="005C07D8"/>
    <w:rsid w:val="005C09B2"/>
    <w:rsid w:val="005C45E3"/>
    <w:rsid w:val="005C4D33"/>
    <w:rsid w:val="005D0833"/>
    <w:rsid w:val="005D342F"/>
    <w:rsid w:val="005D6B38"/>
    <w:rsid w:val="005E32F1"/>
    <w:rsid w:val="005E65DC"/>
    <w:rsid w:val="005F1648"/>
    <w:rsid w:val="005F27A1"/>
    <w:rsid w:val="00600C0A"/>
    <w:rsid w:val="00610950"/>
    <w:rsid w:val="006109C4"/>
    <w:rsid w:val="0061281B"/>
    <w:rsid w:val="00613B1E"/>
    <w:rsid w:val="006152FE"/>
    <w:rsid w:val="0061578D"/>
    <w:rsid w:val="006166C8"/>
    <w:rsid w:val="00622332"/>
    <w:rsid w:val="00623953"/>
    <w:rsid w:val="00623A32"/>
    <w:rsid w:val="0065436A"/>
    <w:rsid w:val="00655601"/>
    <w:rsid w:val="00662ED9"/>
    <w:rsid w:val="00665682"/>
    <w:rsid w:val="0066715C"/>
    <w:rsid w:val="00667E6C"/>
    <w:rsid w:val="00670E29"/>
    <w:rsid w:val="00676FDE"/>
    <w:rsid w:val="006811E4"/>
    <w:rsid w:val="00683D70"/>
    <w:rsid w:val="0068687C"/>
    <w:rsid w:val="0069058B"/>
    <w:rsid w:val="00694F8F"/>
    <w:rsid w:val="0069518C"/>
    <w:rsid w:val="006968CB"/>
    <w:rsid w:val="00697DC2"/>
    <w:rsid w:val="006A0627"/>
    <w:rsid w:val="006A0B73"/>
    <w:rsid w:val="006A0CAF"/>
    <w:rsid w:val="006A459E"/>
    <w:rsid w:val="006B613F"/>
    <w:rsid w:val="006B68E0"/>
    <w:rsid w:val="006C2684"/>
    <w:rsid w:val="006C52FB"/>
    <w:rsid w:val="006C53EA"/>
    <w:rsid w:val="006C5902"/>
    <w:rsid w:val="006D177E"/>
    <w:rsid w:val="006D28AB"/>
    <w:rsid w:val="006D4362"/>
    <w:rsid w:val="006D76E7"/>
    <w:rsid w:val="006E6EC6"/>
    <w:rsid w:val="006F0007"/>
    <w:rsid w:val="006F595D"/>
    <w:rsid w:val="006F6EE6"/>
    <w:rsid w:val="00701B65"/>
    <w:rsid w:val="0071074D"/>
    <w:rsid w:val="00715944"/>
    <w:rsid w:val="00717A0B"/>
    <w:rsid w:val="0072484D"/>
    <w:rsid w:val="00726EA9"/>
    <w:rsid w:val="007307D7"/>
    <w:rsid w:val="0073556C"/>
    <w:rsid w:val="007368B8"/>
    <w:rsid w:val="0074751C"/>
    <w:rsid w:val="00750C95"/>
    <w:rsid w:val="007571F0"/>
    <w:rsid w:val="00765948"/>
    <w:rsid w:val="00765A11"/>
    <w:rsid w:val="00771A14"/>
    <w:rsid w:val="00784741"/>
    <w:rsid w:val="0078519C"/>
    <w:rsid w:val="00785EED"/>
    <w:rsid w:val="00786CC7"/>
    <w:rsid w:val="0079316F"/>
    <w:rsid w:val="00794CC9"/>
    <w:rsid w:val="007A57F1"/>
    <w:rsid w:val="007B1295"/>
    <w:rsid w:val="007B1940"/>
    <w:rsid w:val="007B3E72"/>
    <w:rsid w:val="007C0218"/>
    <w:rsid w:val="007C17A5"/>
    <w:rsid w:val="007C46B0"/>
    <w:rsid w:val="007D1984"/>
    <w:rsid w:val="007D26FB"/>
    <w:rsid w:val="007E08F7"/>
    <w:rsid w:val="007F1E41"/>
    <w:rsid w:val="007F3776"/>
    <w:rsid w:val="007F4604"/>
    <w:rsid w:val="008017D3"/>
    <w:rsid w:val="0080200D"/>
    <w:rsid w:val="0081788A"/>
    <w:rsid w:val="00821E02"/>
    <w:rsid w:val="00822427"/>
    <w:rsid w:val="00823930"/>
    <w:rsid w:val="00831B90"/>
    <w:rsid w:val="00834E9B"/>
    <w:rsid w:val="008369BA"/>
    <w:rsid w:val="00836B6F"/>
    <w:rsid w:val="00853B39"/>
    <w:rsid w:val="00865A5E"/>
    <w:rsid w:val="00867733"/>
    <w:rsid w:val="00876BB0"/>
    <w:rsid w:val="00891827"/>
    <w:rsid w:val="008918FA"/>
    <w:rsid w:val="00891EBB"/>
    <w:rsid w:val="00894880"/>
    <w:rsid w:val="00896ABE"/>
    <w:rsid w:val="008A018D"/>
    <w:rsid w:val="008A0516"/>
    <w:rsid w:val="008A4B40"/>
    <w:rsid w:val="008B5EE5"/>
    <w:rsid w:val="008B6FA3"/>
    <w:rsid w:val="008B71E5"/>
    <w:rsid w:val="008C174F"/>
    <w:rsid w:val="008C2485"/>
    <w:rsid w:val="008C28BB"/>
    <w:rsid w:val="008C3F48"/>
    <w:rsid w:val="008C6006"/>
    <w:rsid w:val="008C71D3"/>
    <w:rsid w:val="008D1D3C"/>
    <w:rsid w:val="008D6D04"/>
    <w:rsid w:val="008D7851"/>
    <w:rsid w:val="008E0577"/>
    <w:rsid w:val="008E082F"/>
    <w:rsid w:val="008E2F75"/>
    <w:rsid w:val="008E574F"/>
    <w:rsid w:val="008F0699"/>
    <w:rsid w:val="008F09EA"/>
    <w:rsid w:val="008F2FB4"/>
    <w:rsid w:val="008F41A4"/>
    <w:rsid w:val="008F4BAE"/>
    <w:rsid w:val="0090040F"/>
    <w:rsid w:val="0090652B"/>
    <w:rsid w:val="009069ED"/>
    <w:rsid w:val="00912E63"/>
    <w:rsid w:val="009138FF"/>
    <w:rsid w:val="00923F60"/>
    <w:rsid w:val="009271CB"/>
    <w:rsid w:val="009272F3"/>
    <w:rsid w:val="00927FCB"/>
    <w:rsid w:val="0093029F"/>
    <w:rsid w:val="009324EA"/>
    <w:rsid w:val="009326D8"/>
    <w:rsid w:val="00932A4C"/>
    <w:rsid w:val="00936E0A"/>
    <w:rsid w:val="00942769"/>
    <w:rsid w:val="00944FD8"/>
    <w:rsid w:val="00947CBB"/>
    <w:rsid w:val="0095047B"/>
    <w:rsid w:val="00950497"/>
    <w:rsid w:val="00950ED0"/>
    <w:rsid w:val="009547F9"/>
    <w:rsid w:val="009553AC"/>
    <w:rsid w:val="00957795"/>
    <w:rsid w:val="00962F21"/>
    <w:rsid w:val="00982987"/>
    <w:rsid w:val="00990557"/>
    <w:rsid w:val="00992887"/>
    <w:rsid w:val="009939AB"/>
    <w:rsid w:val="00995EE1"/>
    <w:rsid w:val="00996AB8"/>
    <w:rsid w:val="00997E11"/>
    <w:rsid w:val="009A3546"/>
    <w:rsid w:val="009A4AD2"/>
    <w:rsid w:val="009A7E7C"/>
    <w:rsid w:val="009B1497"/>
    <w:rsid w:val="009B416D"/>
    <w:rsid w:val="009B6D48"/>
    <w:rsid w:val="009B75CB"/>
    <w:rsid w:val="009C3A3D"/>
    <w:rsid w:val="009C4BE4"/>
    <w:rsid w:val="009C6921"/>
    <w:rsid w:val="009D0885"/>
    <w:rsid w:val="009D2A1A"/>
    <w:rsid w:val="009D68CF"/>
    <w:rsid w:val="009D7A81"/>
    <w:rsid w:val="009E1799"/>
    <w:rsid w:val="009E49B0"/>
    <w:rsid w:val="009E6BFC"/>
    <w:rsid w:val="009F256E"/>
    <w:rsid w:val="00A04591"/>
    <w:rsid w:val="00A2093B"/>
    <w:rsid w:val="00A217CD"/>
    <w:rsid w:val="00A232C9"/>
    <w:rsid w:val="00A31434"/>
    <w:rsid w:val="00A345A6"/>
    <w:rsid w:val="00A40D77"/>
    <w:rsid w:val="00A4250E"/>
    <w:rsid w:val="00A42CE6"/>
    <w:rsid w:val="00A42FBF"/>
    <w:rsid w:val="00A44F00"/>
    <w:rsid w:val="00A45ACF"/>
    <w:rsid w:val="00A47414"/>
    <w:rsid w:val="00A5078E"/>
    <w:rsid w:val="00A53E97"/>
    <w:rsid w:val="00A55267"/>
    <w:rsid w:val="00A55F0F"/>
    <w:rsid w:val="00A56A06"/>
    <w:rsid w:val="00A63FDD"/>
    <w:rsid w:val="00A65515"/>
    <w:rsid w:val="00A6551B"/>
    <w:rsid w:val="00A716D1"/>
    <w:rsid w:val="00A71B20"/>
    <w:rsid w:val="00A72D0F"/>
    <w:rsid w:val="00A8056F"/>
    <w:rsid w:val="00A82032"/>
    <w:rsid w:val="00A85369"/>
    <w:rsid w:val="00A85C5D"/>
    <w:rsid w:val="00A9051E"/>
    <w:rsid w:val="00A933E9"/>
    <w:rsid w:val="00AB4726"/>
    <w:rsid w:val="00AB549D"/>
    <w:rsid w:val="00AB5FE4"/>
    <w:rsid w:val="00AC1988"/>
    <w:rsid w:val="00AC4464"/>
    <w:rsid w:val="00AD18FA"/>
    <w:rsid w:val="00AD19AC"/>
    <w:rsid w:val="00AD707C"/>
    <w:rsid w:val="00AD7B5D"/>
    <w:rsid w:val="00AE0D75"/>
    <w:rsid w:val="00AE3334"/>
    <w:rsid w:val="00AE3F79"/>
    <w:rsid w:val="00AE6686"/>
    <w:rsid w:val="00AF2494"/>
    <w:rsid w:val="00B01346"/>
    <w:rsid w:val="00B049AF"/>
    <w:rsid w:val="00B110BC"/>
    <w:rsid w:val="00B14BC0"/>
    <w:rsid w:val="00B22683"/>
    <w:rsid w:val="00B25735"/>
    <w:rsid w:val="00B2679C"/>
    <w:rsid w:val="00B30118"/>
    <w:rsid w:val="00B3245D"/>
    <w:rsid w:val="00B32629"/>
    <w:rsid w:val="00B429DF"/>
    <w:rsid w:val="00B43F87"/>
    <w:rsid w:val="00B44E3A"/>
    <w:rsid w:val="00B4768D"/>
    <w:rsid w:val="00B51CDD"/>
    <w:rsid w:val="00B64F53"/>
    <w:rsid w:val="00B66107"/>
    <w:rsid w:val="00B66753"/>
    <w:rsid w:val="00B77115"/>
    <w:rsid w:val="00B7734F"/>
    <w:rsid w:val="00B875DD"/>
    <w:rsid w:val="00B879AF"/>
    <w:rsid w:val="00B94F8D"/>
    <w:rsid w:val="00B961B8"/>
    <w:rsid w:val="00B97831"/>
    <w:rsid w:val="00BA1EF6"/>
    <w:rsid w:val="00BA6DC7"/>
    <w:rsid w:val="00BB0E07"/>
    <w:rsid w:val="00BC2E43"/>
    <w:rsid w:val="00BC34C7"/>
    <w:rsid w:val="00BD0523"/>
    <w:rsid w:val="00BD7052"/>
    <w:rsid w:val="00BE0648"/>
    <w:rsid w:val="00BE406D"/>
    <w:rsid w:val="00BF1A35"/>
    <w:rsid w:val="00BF20AE"/>
    <w:rsid w:val="00BF4DE0"/>
    <w:rsid w:val="00BF5037"/>
    <w:rsid w:val="00BF6546"/>
    <w:rsid w:val="00C16200"/>
    <w:rsid w:val="00C273E7"/>
    <w:rsid w:val="00C31A4A"/>
    <w:rsid w:val="00C320A2"/>
    <w:rsid w:val="00C3359C"/>
    <w:rsid w:val="00C35A4E"/>
    <w:rsid w:val="00C415CB"/>
    <w:rsid w:val="00C42AB1"/>
    <w:rsid w:val="00C44E07"/>
    <w:rsid w:val="00C46BC5"/>
    <w:rsid w:val="00C5040A"/>
    <w:rsid w:val="00C50964"/>
    <w:rsid w:val="00C51EE0"/>
    <w:rsid w:val="00C524D8"/>
    <w:rsid w:val="00C5293C"/>
    <w:rsid w:val="00C65C5F"/>
    <w:rsid w:val="00C67F60"/>
    <w:rsid w:val="00C703CF"/>
    <w:rsid w:val="00C7263C"/>
    <w:rsid w:val="00C73DB0"/>
    <w:rsid w:val="00C8067B"/>
    <w:rsid w:val="00C806DF"/>
    <w:rsid w:val="00C834AE"/>
    <w:rsid w:val="00C90A4B"/>
    <w:rsid w:val="00C92A82"/>
    <w:rsid w:val="00C93B8A"/>
    <w:rsid w:val="00C94F2C"/>
    <w:rsid w:val="00C953C8"/>
    <w:rsid w:val="00CA38DE"/>
    <w:rsid w:val="00CA78CE"/>
    <w:rsid w:val="00CB4C19"/>
    <w:rsid w:val="00CC5B4D"/>
    <w:rsid w:val="00CD31DF"/>
    <w:rsid w:val="00CD478E"/>
    <w:rsid w:val="00CE0D27"/>
    <w:rsid w:val="00CE2F07"/>
    <w:rsid w:val="00CE3904"/>
    <w:rsid w:val="00CE7A25"/>
    <w:rsid w:val="00CF0E05"/>
    <w:rsid w:val="00CF2059"/>
    <w:rsid w:val="00CF5671"/>
    <w:rsid w:val="00D024C1"/>
    <w:rsid w:val="00D028C2"/>
    <w:rsid w:val="00D02E83"/>
    <w:rsid w:val="00D04A3A"/>
    <w:rsid w:val="00D07CF5"/>
    <w:rsid w:val="00D1289E"/>
    <w:rsid w:val="00D14BF5"/>
    <w:rsid w:val="00D2518F"/>
    <w:rsid w:val="00D30E4B"/>
    <w:rsid w:val="00D30E97"/>
    <w:rsid w:val="00D43A8D"/>
    <w:rsid w:val="00D5694E"/>
    <w:rsid w:val="00D6226D"/>
    <w:rsid w:val="00D66E3D"/>
    <w:rsid w:val="00D7507E"/>
    <w:rsid w:val="00D76BA1"/>
    <w:rsid w:val="00D85DC6"/>
    <w:rsid w:val="00D86A05"/>
    <w:rsid w:val="00D91B6E"/>
    <w:rsid w:val="00D91C27"/>
    <w:rsid w:val="00D93E81"/>
    <w:rsid w:val="00D9536A"/>
    <w:rsid w:val="00D977D8"/>
    <w:rsid w:val="00DA1C53"/>
    <w:rsid w:val="00DA2AB7"/>
    <w:rsid w:val="00DA4904"/>
    <w:rsid w:val="00DB1BC5"/>
    <w:rsid w:val="00DC174C"/>
    <w:rsid w:val="00DC198A"/>
    <w:rsid w:val="00DC7716"/>
    <w:rsid w:val="00DC79B0"/>
    <w:rsid w:val="00DD1A21"/>
    <w:rsid w:val="00DD532B"/>
    <w:rsid w:val="00DD7073"/>
    <w:rsid w:val="00DD7DD0"/>
    <w:rsid w:val="00DE703A"/>
    <w:rsid w:val="00DF1ABE"/>
    <w:rsid w:val="00E01309"/>
    <w:rsid w:val="00E033C2"/>
    <w:rsid w:val="00E03BE4"/>
    <w:rsid w:val="00E14052"/>
    <w:rsid w:val="00E24A60"/>
    <w:rsid w:val="00E3236C"/>
    <w:rsid w:val="00E3238D"/>
    <w:rsid w:val="00E40F85"/>
    <w:rsid w:val="00E42495"/>
    <w:rsid w:val="00E52ACB"/>
    <w:rsid w:val="00E70869"/>
    <w:rsid w:val="00E72C89"/>
    <w:rsid w:val="00E732BD"/>
    <w:rsid w:val="00E74182"/>
    <w:rsid w:val="00E818B1"/>
    <w:rsid w:val="00E825DF"/>
    <w:rsid w:val="00E86DED"/>
    <w:rsid w:val="00E90506"/>
    <w:rsid w:val="00E9155B"/>
    <w:rsid w:val="00E93E00"/>
    <w:rsid w:val="00E95D6B"/>
    <w:rsid w:val="00EA2831"/>
    <w:rsid w:val="00EB2858"/>
    <w:rsid w:val="00EB2B93"/>
    <w:rsid w:val="00EB44C4"/>
    <w:rsid w:val="00EB549C"/>
    <w:rsid w:val="00EB6582"/>
    <w:rsid w:val="00EC0C73"/>
    <w:rsid w:val="00EC293D"/>
    <w:rsid w:val="00ED7436"/>
    <w:rsid w:val="00F009DB"/>
    <w:rsid w:val="00F031C8"/>
    <w:rsid w:val="00F05B60"/>
    <w:rsid w:val="00F119E7"/>
    <w:rsid w:val="00F11B7F"/>
    <w:rsid w:val="00F1638B"/>
    <w:rsid w:val="00F16928"/>
    <w:rsid w:val="00F21251"/>
    <w:rsid w:val="00F25447"/>
    <w:rsid w:val="00F26F2E"/>
    <w:rsid w:val="00F348AD"/>
    <w:rsid w:val="00F34DDC"/>
    <w:rsid w:val="00F35892"/>
    <w:rsid w:val="00F3651A"/>
    <w:rsid w:val="00F36828"/>
    <w:rsid w:val="00F4133C"/>
    <w:rsid w:val="00F41921"/>
    <w:rsid w:val="00F429FB"/>
    <w:rsid w:val="00F43E8D"/>
    <w:rsid w:val="00F4440B"/>
    <w:rsid w:val="00F507B0"/>
    <w:rsid w:val="00F53BC3"/>
    <w:rsid w:val="00F575AA"/>
    <w:rsid w:val="00F623F3"/>
    <w:rsid w:val="00F64F4B"/>
    <w:rsid w:val="00F703EB"/>
    <w:rsid w:val="00F76032"/>
    <w:rsid w:val="00F76189"/>
    <w:rsid w:val="00F771A0"/>
    <w:rsid w:val="00F775D6"/>
    <w:rsid w:val="00F9077B"/>
    <w:rsid w:val="00F979AC"/>
    <w:rsid w:val="00FA1DCD"/>
    <w:rsid w:val="00FA2512"/>
    <w:rsid w:val="00FA2ECD"/>
    <w:rsid w:val="00FA35D0"/>
    <w:rsid w:val="00FA629D"/>
    <w:rsid w:val="00FA7FDE"/>
    <w:rsid w:val="00FB05EE"/>
    <w:rsid w:val="00FB3B08"/>
    <w:rsid w:val="00FB587A"/>
    <w:rsid w:val="00FB7FE8"/>
    <w:rsid w:val="00FC0B6D"/>
    <w:rsid w:val="00FC2407"/>
    <w:rsid w:val="00FC265E"/>
    <w:rsid w:val="00FC47CB"/>
    <w:rsid w:val="00FC7F15"/>
    <w:rsid w:val="00FE44CB"/>
    <w:rsid w:val="00FE464E"/>
    <w:rsid w:val="00FE56BA"/>
    <w:rsid w:val="00FE574C"/>
    <w:rsid w:val="00FF0025"/>
    <w:rsid w:val="00FF395A"/>
    <w:rsid w:val="00FF791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5:docId w15:val="{18561866-7727-41E7-8DCE-FEE52A0C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HGSMinchoE" w:hAnsi="Arial"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2"/>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2"/>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2"/>
      </w:numPr>
      <w:spacing w:line="360" w:lineRule="auto"/>
      <w:outlineLvl w:val="2"/>
    </w:pPr>
    <w:rPr>
      <w:b/>
    </w:rPr>
  </w:style>
  <w:style w:type="paragraph" w:styleId="Heading4">
    <w:name w:val="heading 4"/>
    <w:basedOn w:val="Normal"/>
    <w:next w:val="Normal"/>
    <w:link w:val="Heading4Char"/>
    <w:uiPriority w:val="9"/>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qFormat/>
    <w:rsid w:val="00670E29"/>
    <w:pPr>
      <w:tabs>
        <w:tab w:val="left" w:pos="480"/>
        <w:tab w:val="right" w:leader="dot" w:pos="9054"/>
      </w:tabs>
      <w:spacing w:line="360" w:lineRule="auto"/>
      <w:jc w:val="both"/>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qFormat/>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qFormat/>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rsid w:val="00023944"/>
    <w:pPr>
      <w:spacing w:line="660" w:lineRule="exact"/>
    </w:pPr>
    <w:rPr>
      <w:rFonts w:eastAsia="MS Mincho" w:cs="Arial"/>
      <w:b/>
      <w:szCs w:val="20"/>
    </w:rPr>
  </w:style>
  <w:style w:type="table" w:styleId="TableGrid">
    <w:name w:val="Table Grid"/>
    <w:basedOn w:val="TableNormal"/>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link w:val="ListParagraphChar"/>
    <w:uiPriority w:val="34"/>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paragraph" w:customStyle="1" w:styleId="Default">
    <w:name w:val="Default"/>
    <w:rsid w:val="006F0007"/>
    <w:pPr>
      <w:autoSpaceDE w:val="0"/>
      <w:autoSpaceDN w:val="0"/>
      <w:adjustRightInd w:val="0"/>
    </w:pPr>
    <w:rPr>
      <w:rFonts w:cs="Arial"/>
      <w:color w:val="000000"/>
    </w:rPr>
  </w:style>
  <w:style w:type="paragraph" w:customStyle="1" w:styleId="DHSecondaryHeadingOne">
    <w:name w:val="DH Secondary Heading One"/>
    <w:basedOn w:val="Normal"/>
    <w:link w:val="DHSecondaryHeadingOneChar"/>
    <w:rsid w:val="00C90A4B"/>
    <w:pPr>
      <w:spacing w:line="360" w:lineRule="exact"/>
    </w:pPr>
    <w:rPr>
      <w:bCs w:val="0"/>
      <w:color w:val="009966"/>
      <w:sz w:val="28"/>
      <w:szCs w:val="20"/>
    </w:rPr>
  </w:style>
  <w:style w:type="character" w:customStyle="1" w:styleId="DHSecondaryHeadingOneChar">
    <w:name w:val="DH Secondary Heading One Char"/>
    <w:link w:val="DHSecondaryHeadingOne"/>
    <w:rsid w:val="00C90A4B"/>
    <w:rPr>
      <w:rFonts w:eastAsia="Times New Roman"/>
      <w:color w:val="009966"/>
      <w:sz w:val="28"/>
      <w:szCs w:val="20"/>
      <w:lang w:eastAsia="en-US"/>
    </w:rPr>
  </w:style>
  <w:style w:type="character" w:styleId="PlaceholderText">
    <w:name w:val="Placeholder Text"/>
    <w:basedOn w:val="DefaultParagraphFont"/>
    <w:uiPriority w:val="99"/>
    <w:unhideWhenUsed/>
    <w:rsid w:val="00127D82"/>
    <w:rPr>
      <w:color w:val="808080"/>
    </w:rPr>
  </w:style>
  <w:style w:type="paragraph" w:styleId="Revision">
    <w:name w:val="Revision"/>
    <w:hidden/>
    <w:uiPriority w:val="71"/>
    <w:rsid w:val="00B77115"/>
    <w:rPr>
      <w:rFonts w:eastAsia="Times New Roman"/>
      <w:bCs/>
      <w:szCs w:val="26"/>
      <w:lang w:eastAsia="en-US"/>
    </w:rPr>
  </w:style>
  <w:style w:type="character" w:styleId="CommentReference">
    <w:name w:val="annotation reference"/>
    <w:basedOn w:val="DefaultParagraphFont"/>
    <w:uiPriority w:val="99"/>
    <w:semiHidden/>
    <w:unhideWhenUsed/>
    <w:rsid w:val="00B77115"/>
    <w:rPr>
      <w:sz w:val="16"/>
      <w:szCs w:val="16"/>
    </w:rPr>
  </w:style>
  <w:style w:type="paragraph" w:styleId="CommentText">
    <w:name w:val="annotation text"/>
    <w:basedOn w:val="Normal"/>
    <w:link w:val="CommentTextChar"/>
    <w:uiPriority w:val="99"/>
    <w:semiHidden/>
    <w:unhideWhenUsed/>
    <w:rsid w:val="00B77115"/>
    <w:rPr>
      <w:sz w:val="20"/>
      <w:szCs w:val="20"/>
    </w:rPr>
  </w:style>
  <w:style w:type="character" w:customStyle="1" w:styleId="CommentTextChar">
    <w:name w:val="Comment Text Char"/>
    <w:basedOn w:val="DefaultParagraphFont"/>
    <w:link w:val="CommentText"/>
    <w:uiPriority w:val="99"/>
    <w:semiHidden/>
    <w:rsid w:val="00B77115"/>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B77115"/>
    <w:rPr>
      <w:b/>
    </w:rPr>
  </w:style>
  <w:style w:type="character" w:customStyle="1" w:styleId="CommentSubjectChar">
    <w:name w:val="Comment Subject Char"/>
    <w:basedOn w:val="CommentTextChar"/>
    <w:link w:val="CommentSubject"/>
    <w:uiPriority w:val="99"/>
    <w:semiHidden/>
    <w:rsid w:val="00B77115"/>
    <w:rPr>
      <w:rFonts w:eastAsia="Times New Roman"/>
      <w:b/>
      <w:bCs/>
      <w:sz w:val="20"/>
      <w:szCs w:val="20"/>
      <w:lang w:eastAsia="en-US"/>
    </w:rPr>
  </w:style>
  <w:style w:type="paragraph" w:styleId="FootnoteText">
    <w:name w:val="footnote text"/>
    <w:basedOn w:val="Normal"/>
    <w:link w:val="FootnoteTextChar"/>
    <w:uiPriority w:val="99"/>
    <w:semiHidden/>
    <w:unhideWhenUsed/>
    <w:rsid w:val="00694F8F"/>
    <w:rPr>
      <w:sz w:val="20"/>
      <w:szCs w:val="20"/>
    </w:rPr>
  </w:style>
  <w:style w:type="character" w:customStyle="1" w:styleId="FootnoteTextChar">
    <w:name w:val="Footnote Text Char"/>
    <w:basedOn w:val="DefaultParagraphFont"/>
    <w:link w:val="FootnoteText"/>
    <w:uiPriority w:val="99"/>
    <w:semiHidden/>
    <w:rsid w:val="00694F8F"/>
    <w:rPr>
      <w:rFonts w:eastAsia="Times New Roman"/>
      <w:bCs/>
      <w:sz w:val="20"/>
      <w:szCs w:val="20"/>
      <w:lang w:eastAsia="en-US"/>
    </w:rPr>
  </w:style>
  <w:style w:type="character" w:styleId="FootnoteReference">
    <w:name w:val="footnote reference"/>
    <w:basedOn w:val="DefaultParagraphFont"/>
    <w:uiPriority w:val="99"/>
    <w:semiHidden/>
    <w:unhideWhenUsed/>
    <w:rsid w:val="00694F8F"/>
    <w:rPr>
      <w:vertAlign w:val="superscript"/>
    </w:rPr>
  </w:style>
  <w:style w:type="table" w:customStyle="1" w:styleId="TableGrid1">
    <w:name w:val="Table Grid1"/>
    <w:basedOn w:val="TableNormal"/>
    <w:next w:val="TableGrid"/>
    <w:uiPriority w:val="59"/>
    <w:rsid w:val="00FC0B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2A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ose">
    <w:name w:val="loose"/>
    <w:basedOn w:val="Normal"/>
    <w:rsid w:val="006166C8"/>
    <w:pPr>
      <w:spacing w:before="100" w:beforeAutospacing="1" w:after="100" w:afterAutospacing="1"/>
    </w:pPr>
    <w:rPr>
      <w:rFonts w:ascii="Times New Roman" w:eastAsia="Calibri" w:hAnsi="Times New Roman"/>
      <w:bCs w:val="0"/>
      <w:szCs w:val="24"/>
      <w:lang w:eastAsia="en-GB"/>
    </w:rPr>
  </w:style>
  <w:style w:type="paragraph" w:styleId="BodyText">
    <w:name w:val="Body Text"/>
    <w:basedOn w:val="Normal"/>
    <w:link w:val="BodyTextChar"/>
    <w:rsid w:val="00F53BC3"/>
    <w:rPr>
      <w:bCs w:val="0"/>
      <w:szCs w:val="24"/>
    </w:rPr>
  </w:style>
  <w:style w:type="character" w:customStyle="1" w:styleId="BodyTextChar">
    <w:name w:val="Body Text Char"/>
    <w:basedOn w:val="DefaultParagraphFont"/>
    <w:link w:val="BodyText"/>
    <w:rsid w:val="00F53BC3"/>
    <w:rPr>
      <w:rFonts w:eastAsia="Times New Roman"/>
      <w:lang w:eastAsia="en-US"/>
    </w:rPr>
  </w:style>
  <w:style w:type="character" w:customStyle="1" w:styleId="ListParagraphChar">
    <w:name w:val="List Paragraph Char"/>
    <w:basedOn w:val="DefaultParagraphFont"/>
    <w:link w:val="ListParagraph"/>
    <w:uiPriority w:val="34"/>
    <w:rsid w:val="005B350B"/>
    <w:rPr>
      <w:rFonts w:eastAsia="Times New Roman"/>
      <w:bCs/>
      <w:szCs w:val="26"/>
      <w:lang w:eastAsia="en-US"/>
    </w:rPr>
  </w:style>
  <w:style w:type="paragraph" w:customStyle="1" w:styleId="Body1">
    <w:name w:val="Body1"/>
    <w:basedOn w:val="Normal"/>
    <w:rsid w:val="005B350B"/>
    <w:pPr>
      <w:widowControl w:val="0"/>
      <w:spacing w:before="200" w:after="60"/>
      <w:ind w:left="714"/>
      <w:jc w:val="both"/>
    </w:pPr>
    <w:rPr>
      <w:bCs w:val="0"/>
      <w:sz w:val="20"/>
      <w:szCs w:val="20"/>
      <w:lang w:eastAsia="en-GB"/>
    </w:rPr>
  </w:style>
  <w:style w:type="paragraph" w:customStyle="1" w:styleId="SchedClauses">
    <w:name w:val="Sched Clauses"/>
    <w:basedOn w:val="Normal"/>
    <w:rsid w:val="003741F3"/>
    <w:pPr>
      <w:widowControl w:val="0"/>
      <w:spacing w:before="200" w:after="60"/>
      <w:jc w:val="both"/>
    </w:pPr>
    <w:rPr>
      <w:bCs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6464">
      <w:bodyDiv w:val="1"/>
      <w:marLeft w:val="0"/>
      <w:marRight w:val="0"/>
      <w:marTop w:val="0"/>
      <w:marBottom w:val="0"/>
      <w:divBdr>
        <w:top w:val="none" w:sz="0" w:space="0" w:color="auto"/>
        <w:left w:val="none" w:sz="0" w:space="0" w:color="auto"/>
        <w:bottom w:val="none" w:sz="0" w:space="0" w:color="auto"/>
        <w:right w:val="none" w:sz="0" w:space="0" w:color="auto"/>
      </w:divBdr>
    </w:div>
    <w:div w:id="710305562">
      <w:bodyDiv w:val="1"/>
      <w:marLeft w:val="0"/>
      <w:marRight w:val="0"/>
      <w:marTop w:val="0"/>
      <w:marBottom w:val="0"/>
      <w:divBdr>
        <w:top w:val="none" w:sz="0" w:space="0" w:color="auto"/>
        <w:left w:val="none" w:sz="0" w:space="0" w:color="auto"/>
        <w:bottom w:val="none" w:sz="0" w:space="0" w:color="auto"/>
        <w:right w:val="none" w:sz="0" w:space="0" w:color="auto"/>
      </w:divBdr>
    </w:div>
    <w:div w:id="1491019060">
      <w:bodyDiv w:val="1"/>
      <w:marLeft w:val="0"/>
      <w:marRight w:val="0"/>
      <w:marTop w:val="0"/>
      <w:marBottom w:val="0"/>
      <w:divBdr>
        <w:top w:val="none" w:sz="0" w:space="0" w:color="auto"/>
        <w:left w:val="none" w:sz="0" w:space="0" w:color="auto"/>
        <w:bottom w:val="none" w:sz="0" w:space="0" w:color="auto"/>
        <w:right w:val="none" w:sz="0" w:space="0" w:color="auto"/>
      </w:divBdr>
    </w:div>
    <w:div w:id="153295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cse.immediateremovals@nhs.net"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package" Target="embeddings/Microsoft_Word_Document3.docx"/><Relationship Id="rId7" Type="http://schemas.openxmlformats.org/officeDocument/2006/relationships/styles" Target="styles.xml"/><Relationship Id="rId12" Type="http://schemas.openxmlformats.org/officeDocument/2006/relationships/hyperlink" Target="https://pcse.england.nhs.uk/contact-us/" TargetMode="External"/><Relationship Id="rId17" Type="http://schemas.openxmlformats.org/officeDocument/2006/relationships/package" Target="embeddings/Microsoft_Word_Document1.docx"/><Relationship Id="rId25" Type="http://schemas.openxmlformats.org/officeDocument/2006/relationships/package" Target="embeddings/Microsoft_Word_Document5.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package" Target="embeddings/Microsoft_Word_Document4.doc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Word_Document2.doc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Word_Document6.docx"/><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ccaf3ac-2de9-44d4-aa31-54302fceb5f7">K57F673QWXRZ-1374-128</_dlc_DocId>
    <_dlc_DocIdUrl xmlns="cccaf3ac-2de9-44d4-aa31-54302fceb5f7">
      <Url>https://nhsengland.sharepoint.com/TeamCentre/VisionandValues/_layouts/15/DocIdRedir.aspx?ID=K57F673QWXRZ-1374-128</Url>
      <Description>K57F673QWXRZ-1374-128</Description>
    </_dlc_DocIdUrl>
    <SharedWithUsers xmlns="11cf67b4-8be8-4203-926d-b1451d6a364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083DDF8B2CE45ABEDBAB4F90C7050" ma:contentTypeVersion="3" ma:contentTypeDescription="Create a new document." ma:contentTypeScope="" ma:versionID="4241e61c1be7b1f7f4105d46c6bbf607">
  <xsd:schema xmlns:xsd="http://www.w3.org/2001/XMLSchema" xmlns:xs="http://www.w3.org/2001/XMLSchema" xmlns:p="http://schemas.microsoft.com/office/2006/metadata/properties" xmlns:ns2="cccaf3ac-2de9-44d4-aa31-54302fceb5f7" xmlns:ns3="11cf67b4-8be8-4203-926d-b1451d6a3644" xmlns:ns4="51367701-27c8-403e-a234-85855c5cd73e" targetNamespace="http://schemas.microsoft.com/office/2006/metadata/properties" ma:root="true" ma:fieldsID="6100a508a352a6a35714024c70b70967" ns2:_="" ns3:_="" ns4:_="">
    <xsd:import namespace="cccaf3ac-2de9-44d4-aa31-54302fceb5f7"/>
    <xsd:import namespace="11cf67b4-8be8-4203-926d-b1451d6a3644"/>
    <xsd:import namespace="51367701-27c8-403e-a234-85855c5cd73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cf67b4-8be8-4203-926d-b1451d6a3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9D006-5D55-4BA9-9B41-2AC25429C476}">
  <ds:schemaRefs>
    <ds:schemaRef ds:uri="http://schemas.microsoft.com/sharepoint/events"/>
  </ds:schemaRefs>
</ds:datastoreItem>
</file>

<file path=customXml/itemProps2.xml><?xml version="1.0" encoding="utf-8"?>
<ds:datastoreItem xmlns:ds="http://schemas.openxmlformats.org/officeDocument/2006/customXml" ds:itemID="{23942EE3-990B-422E-84FD-16C4B43C5649}">
  <ds:schemaRefs>
    <ds:schemaRef ds:uri="http://schemas.microsoft.com/office/2006/documentManagement/types"/>
    <ds:schemaRef ds:uri="51367701-27c8-403e-a234-85855c5cd73e"/>
    <ds:schemaRef ds:uri="http://purl.org/dc/terms/"/>
    <ds:schemaRef ds:uri="http://schemas.openxmlformats.org/package/2006/metadata/core-properties"/>
    <ds:schemaRef ds:uri="http://purl.org/dc/dcmitype/"/>
    <ds:schemaRef ds:uri="11cf67b4-8be8-4203-926d-b1451d6a3644"/>
    <ds:schemaRef ds:uri="http://purl.org/dc/elements/1.1/"/>
    <ds:schemaRef ds:uri="http://schemas.microsoft.com/office/2006/metadata/properties"/>
    <ds:schemaRef ds:uri="http://schemas.microsoft.com/office/infopath/2007/PartnerControls"/>
    <ds:schemaRef ds:uri="cccaf3ac-2de9-44d4-aa31-54302fceb5f7"/>
    <ds:schemaRef ds:uri="http://www.w3.org/XML/1998/namespace"/>
  </ds:schemaRefs>
</ds:datastoreItem>
</file>

<file path=customXml/itemProps3.xml><?xml version="1.0" encoding="utf-8"?>
<ds:datastoreItem xmlns:ds="http://schemas.openxmlformats.org/officeDocument/2006/customXml" ds:itemID="{0C3AD81D-F967-4FB5-8669-2686DBBA1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f3ac-2de9-44d4-aa31-54302fceb5f7"/>
    <ds:schemaRef ds:uri="11cf67b4-8be8-4203-926d-b1451d6a3644"/>
    <ds:schemaRef ds:uri="51367701-27c8-403e-a234-85855c5cd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E7360-BFC9-405A-8F9F-219F7EF0EF96}">
  <ds:schemaRefs>
    <ds:schemaRef ds:uri="http://schemas.microsoft.com/sharepoint/v3/contenttype/forms"/>
  </ds:schemaRefs>
</ds:datastoreItem>
</file>

<file path=customXml/itemProps5.xml><?xml version="1.0" encoding="utf-8"?>
<ds:datastoreItem xmlns:ds="http://schemas.openxmlformats.org/officeDocument/2006/customXml" ds:itemID="{3D53CC43-36D2-405C-8388-153EB636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Template14.dot</Template>
  <TotalTime>0</TotalTime>
  <Pages>12</Pages>
  <Words>3353</Words>
  <Characters>19118</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NHS England policy template 1 - half page cover photo</vt:lpstr>
    </vt:vector>
  </TitlesOfParts>
  <Company>Smith &amp; Milton</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policy template 1 - half page cover photo</dc:title>
  <dc:creator>Sarah Hunter</dc:creator>
  <cp:lastModifiedBy>Ben Farrelly</cp:lastModifiedBy>
  <cp:revision>2</cp:revision>
  <cp:lastPrinted>2017-11-06T11:16:00Z</cp:lastPrinted>
  <dcterms:created xsi:type="dcterms:W3CDTF">2018-12-03T15:53:00Z</dcterms:created>
  <dcterms:modified xsi:type="dcterms:W3CDTF">2018-12-03T15:53:00Z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0x010100C8D083DDF8B2CE45ABEDBAB4F90C7050</vt:lpwstr>
  </property>
  <property fmtid="{D5CDD505-2E9C-101B-9397-08002B2CF9AE}" pid="3" name="_dlc_DocIdItemGuid">
    <vt:lpwstr>ffceae4a-9218-4784-8def-a735aa034d17</vt:lpwstr>
  </property>
</Properties>
</file>