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C691" w14:textId="77777777" w:rsidR="00702C1F" w:rsidRPr="00A70AC1" w:rsidRDefault="00702C1F" w:rsidP="00702C1F">
      <w:pPr>
        <w:ind w:right="-469"/>
        <w:rPr>
          <w:rFonts w:eastAsia="Arial Unicode MS" w:cs="Arial"/>
          <w:b/>
          <w:szCs w:val="22"/>
        </w:rPr>
      </w:pPr>
    </w:p>
    <w:p w14:paraId="40D795B2" w14:textId="77777777" w:rsidR="00702C1F" w:rsidRPr="00A70AC1" w:rsidRDefault="00702C1F" w:rsidP="00702C1F">
      <w:pPr>
        <w:pStyle w:val="EndnoteText"/>
        <w:rPr>
          <w:rFonts w:cs="Arial"/>
          <w:sz w:val="22"/>
          <w:szCs w:val="22"/>
        </w:rPr>
      </w:pPr>
    </w:p>
    <w:p w14:paraId="2996B298" w14:textId="77777777" w:rsidR="00702C1F" w:rsidRPr="00A70AC1" w:rsidRDefault="00702C1F" w:rsidP="00702C1F">
      <w:pPr>
        <w:spacing w:line="-280" w:lineRule="auto"/>
        <w:jc w:val="right"/>
        <w:rPr>
          <w:rFonts w:cs="Arial"/>
          <w:szCs w:val="22"/>
        </w:rPr>
      </w:pPr>
    </w:p>
    <w:p w14:paraId="154E3E66" w14:textId="77777777" w:rsidR="00702C1F" w:rsidRPr="00A70AC1" w:rsidRDefault="00702C1F" w:rsidP="00702C1F">
      <w:pPr>
        <w:spacing w:line="-280" w:lineRule="auto"/>
        <w:jc w:val="center"/>
        <w:rPr>
          <w:rFonts w:cs="Arial"/>
          <w:b/>
          <w:szCs w:val="22"/>
        </w:rPr>
      </w:pPr>
    </w:p>
    <w:p w14:paraId="75BC85F9" w14:textId="77777777" w:rsidR="00702C1F" w:rsidRPr="00A70AC1" w:rsidRDefault="00702C1F" w:rsidP="00702C1F">
      <w:pPr>
        <w:spacing w:line="-280" w:lineRule="auto"/>
        <w:jc w:val="center"/>
        <w:rPr>
          <w:rFonts w:cs="Arial"/>
          <w:b/>
          <w:szCs w:val="22"/>
        </w:rPr>
      </w:pPr>
    </w:p>
    <w:p w14:paraId="5C6CA721" w14:textId="77777777" w:rsidR="00702C1F" w:rsidRPr="00A70AC1" w:rsidRDefault="00702C1F" w:rsidP="00702C1F">
      <w:pPr>
        <w:spacing w:line="-280" w:lineRule="auto"/>
        <w:jc w:val="center"/>
        <w:rPr>
          <w:rFonts w:cs="Arial"/>
          <w:b/>
          <w:szCs w:val="22"/>
        </w:rPr>
      </w:pPr>
    </w:p>
    <w:p w14:paraId="4F5478A0" w14:textId="77777777" w:rsidR="00702C1F" w:rsidRPr="00A70AC1" w:rsidRDefault="00702C1F" w:rsidP="00702C1F">
      <w:pPr>
        <w:spacing w:line="-280" w:lineRule="auto"/>
        <w:jc w:val="center"/>
        <w:rPr>
          <w:rFonts w:cs="Arial"/>
          <w:b/>
          <w:szCs w:val="22"/>
        </w:rPr>
      </w:pPr>
    </w:p>
    <w:p w14:paraId="76A47195" w14:textId="77777777" w:rsidR="00702C1F" w:rsidRPr="00A70AC1" w:rsidRDefault="00702C1F" w:rsidP="00702C1F">
      <w:pPr>
        <w:spacing w:line="-280" w:lineRule="auto"/>
        <w:jc w:val="center"/>
        <w:rPr>
          <w:rFonts w:cs="Arial"/>
          <w:b/>
          <w:szCs w:val="22"/>
        </w:rPr>
      </w:pPr>
    </w:p>
    <w:p w14:paraId="1DA64AB5" w14:textId="77777777" w:rsidR="00702C1F" w:rsidRPr="00A70AC1" w:rsidRDefault="00702C1F" w:rsidP="00702C1F">
      <w:pPr>
        <w:spacing w:line="-280" w:lineRule="auto"/>
        <w:jc w:val="center"/>
        <w:rPr>
          <w:rFonts w:cs="Arial"/>
          <w:b/>
          <w:szCs w:val="22"/>
        </w:rPr>
      </w:pPr>
    </w:p>
    <w:p w14:paraId="0F8CB2AF" w14:textId="77777777" w:rsidR="00702C1F" w:rsidRPr="00A70AC1" w:rsidRDefault="00702C1F" w:rsidP="00702C1F">
      <w:pPr>
        <w:spacing w:line="-280" w:lineRule="auto"/>
        <w:jc w:val="center"/>
        <w:rPr>
          <w:rFonts w:cs="Arial"/>
          <w:b/>
          <w:szCs w:val="22"/>
        </w:rPr>
      </w:pPr>
    </w:p>
    <w:p w14:paraId="23AFAE81" w14:textId="77777777" w:rsidR="00702C1F" w:rsidRPr="00A70AC1" w:rsidRDefault="00702C1F" w:rsidP="00702C1F">
      <w:pPr>
        <w:spacing w:line="-280" w:lineRule="auto"/>
        <w:jc w:val="center"/>
        <w:rPr>
          <w:rFonts w:cs="Arial"/>
          <w:b/>
          <w:szCs w:val="22"/>
        </w:rPr>
      </w:pPr>
    </w:p>
    <w:p w14:paraId="25C656EB" w14:textId="77777777" w:rsidR="00702C1F" w:rsidRPr="00A70AC1" w:rsidRDefault="00702C1F" w:rsidP="00702C1F">
      <w:pPr>
        <w:spacing w:line="-280" w:lineRule="auto"/>
        <w:jc w:val="center"/>
        <w:rPr>
          <w:rFonts w:cs="Arial"/>
          <w:b/>
          <w:szCs w:val="22"/>
        </w:rPr>
      </w:pPr>
    </w:p>
    <w:p w14:paraId="450136DC" w14:textId="77777777" w:rsidR="00702C1F" w:rsidRPr="00A70AC1" w:rsidRDefault="00702C1F" w:rsidP="00702C1F">
      <w:pPr>
        <w:spacing w:line="-280" w:lineRule="auto"/>
        <w:jc w:val="center"/>
        <w:rPr>
          <w:rFonts w:cs="Arial"/>
          <w:b/>
          <w:szCs w:val="22"/>
        </w:rPr>
      </w:pPr>
    </w:p>
    <w:p w14:paraId="5AA26652" w14:textId="5F17D819" w:rsidR="00702C1F" w:rsidRPr="00A70AC1" w:rsidRDefault="00702C1F" w:rsidP="005B3C3B">
      <w:pPr>
        <w:tabs>
          <w:tab w:val="left" w:pos="8595"/>
        </w:tabs>
        <w:spacing w:line="-280" w:lineRule="auto"/>
        <w:rPr>
          <w:rFonts w:cs="Arial"/>
          <w:b/>
          <w:szCs w:val="22"/>
        </w:rPr>
      </w:pPr>
    </w:p>
    <w:p w14:paraId="233C2DCF" w14:textId="77777777" w:rsidR="00702C1F" w:rsidRPr="00A70AC1" w:rsidRDefault="00702C1F" w:rsidP="003E19FF">
      <w:pPr>
        <w:jc w:val="center"/>
        <w:rPr>
          <w:rFonts w:cs="Arial"/>
          <w:b/>
          <w:sz w:val="36"/>
          <w:szCs w:val="36"/>
        </w:rPr>
      </w:pPr>
    </w:p>
    <w:p w14:paraId="56B625C1" w14:textId="77777777" w:rsidR="003E19FF" w:rsidRPr="00A70AC1" w:rsidRDefault="003E19FF" w:rsidP="003E19FF">
      <w:pPr>
        <w:jc w:val="center"/>
        <w:rPr>
          <w:rFonts w:cs="Arial"/>
          <w:b/>
          <w:sz w:val="36"/>
          <w:szCs w:val="36"/>
        </w:rPr>
      </w:pPr>
      <w:r w:rsidRPr="00A70AC1">
        <w:rPr>
          <w:rFonts w:cs="Arial"/>
          <w:b/>
          <w:sz w:val="36"/>
          <w:szCs w:val="36"/>
        </w:rPr>
        <w:t>FURTHER COMPETITION</w:t>
      </w:r>
      <w:r w:rsidR="004F3019" w:rsidRPr="00A70AC1">
        <w:rPr>
          <w:rFonts w:cs="Arial"/>
          <w:b/>
          <w:sz w:val="36"/>
          <w:szCs w:val="36"/>
        </w:rPr>
        <w:t xml:space="preserve"> INVITATION</w:t>
      </w:r>
    </w:p>
    <w:p w14:paraId="24D348DD" w14:textId="77777777" w:rsidR="003E19FF" w:rsidRPr="00A70AC1" w:rsidRDefault="003E19FF" w:rsidP="003E19FF">
      <w:pPr>
        <w:jc w:val="center"/>
        <w:rPr>
          <w:rFonts w:cs="Arial"/>
          <w:b/>
          <w:sz w:val="36"/>
          <w:szCs w:val="36"/>
        </w:rPr>
      </w:pPr>
    </w:p>
    <w:p w14:paraId="589F0167" w14:textId="77777777" w:rsidR="003E19FF" w:rsidRPr="00A70AC1" w:rsidRDefault="003E19FF" w:rsidP="003E19FF">
      <w:pPr>
        <w:jc w:val="center"/>
        <w:rPr>
          <w:rFonts w:cs="Arial"/>
          <w:b/>
          <w:sz w:val="36"/>
          <w:szCs w:val="36"/>
        </w:rPr>
      </w:pPr>
      <w:r w:rsidRPr="00A70AC1">
        <w:rPr>
          <w:rFonts w:cs="Arial"/>
          <w:b/>
          <w:sz w:val="36"/>
          <w:szCs w:val="36"/>
        </w:rPr>
        <w:t>FOR</w:t>
      </w:r>
    </w:p>
    <w:p w14:paraId="6705B252" w14:textId="77777777" w:rsidR="003E19FF" w:rsidRPr="00A70AC1" w:rsidRDefault="003E19FF" w:rsidP="003E19FF">
      <w:pPr>
        <w:jc w:val="center"/>
        <w:rPr>
          <w:rFonts w:cs="Arial"/>
          <w:b/>
          <w:sz w:val="36"/>
          <w:szCs w:val="36"/>
        </w:rPr>
      </w:pPr>
    </w:p>
    <w:p w14:paraId="14896918" w14:textId="43D5F9FA" w:rsidR="003E19FF" w:rsidRPr="00A70AC1" w:rsidRDefault="001D33F7" w:rsidP="003E19FF">
      <w:pPr>
        <w:jc w:val="center"/>
        <w:rPr>
          <w:rFonts w:cs="Arial"/>
          <w:b/>
          <w:sz w:val="36"/>
          <w:szCs w:val="36"/>
        </w:rPr>
      </w:pPr>
      <w:r w:rsidRPr="00A70AC1">
        <w:rPr>
          <w:rFonts w:cs="Arial"/>
          <w:b/>
          <w:sz w:val="36"/>
          <w:szCs w:val="36"/>
        </w:rPr>
        <w:t>WATER TECHNICAL EXPERT</w:t>
      </w:r>
    </w:p>
    <w:p w14:paraId="08236573" w14:textId="77777777" w:rsidR="001D33F7" w:rsidRPr="00A70AC1" w:rsidRDefault="001D33F7" w:rsidP="003E19FF">
      <w:pPr>
        <w:jc w:val="center"/>
        <w:rPr>
          <w:rFonts w:cs="Arial"/>
          <w:b/>
          <w:sz w:val="36"/>
          <w:szCs w:val="36"/>
        </w:rPr>
      </w:pPr>
    </w:p>
    <w:p w14:paraId="4F294329" w14:textId="77777777" w:rsidR="00BE36D2" w:rsidRPr="00A70AC1" w:rsidRDefault="003E19FF" w:rsidP="00BE36D2">
      <w:pPr>
        <w:jc w:val="center"/>
        <w:rPr>
          <w:rFonts w:cs="Arial"/>
          <w:b/>
          <w:sz w:val="36"/>
          <w:szCs w:val="36"/>
        </w:rPr>
      </w:pPr>
      <w:r w:rsidRPr="00A70AC1">
        <w:rPr>
          <w:rFonts w:cs="Arial"/>
          <w:b/>
          <w:sz w:val="36"/>
          <w:szCs w:val="36"/>
        </w:rPr>
        <w:t>C</w:t>
      </w:r>
      <w:r w:rsidR="003D339F" w:rsidRPr="00A70AC1">
        <w:rPr>
          <w:rFonts w:cs="Arial"/>
          <w:b/>
          <w:sz w:val="36"/>
          <w:szCs w:val="36"/>
        </w:rPr>
        <w:t xml:space="preserve">ontract Requisition No </w:t>
      </w:r>
      <w:r w:rsidR="00BE36D2" w:rsidRPr="00A70AC1">
        <w:rPr>
          <w:rFonts w:cs="Arial"/>
          <w:b/>
          <w:sz w:val="36"/>
          <w:szCs w:val="36"/>
        </w:rPr>
        <w:t>705308450</w:t>
      </w:r>
    </w:p>
    <w:p w14:paraId="16E6920D" w14:textId="7D024D57" w:rsidR="003D339F" w:rsidRPr="00A70AC1" w:rsidRDefault="003D339F" w:rsidP="003D339F">
      <w:pPr>
        <w:pStyle w:val="paragraph"/>
        <w:spacing w:before="0" w:beforeAutospacing="0" w:after="0" w:afterAutospacing="0"/>
        <w:jc w:val="center"/>
        <w:textAlignment w:val="baseline"/>
        <w:rPr>
          <w:rFonts w:cs="Arial"/>
          <w:b/>
          <w:sz w:val="36"/>
          <w:szCs w:val="36"/>
        </w:rPr>
      </w:pPr>
    </w:p>
    <w:p w14:paraId="76917B88" w14:textId="267DCAF3" w:rsidR="003E19FF" w:rsidRPr="00A70AC1" w:rsidRDefault="003E19FF" w:rsidP="003E19FF">
      <w:pPr>
        <w:jc w:val="center"/>
        <w:rPr>
          <w:rFonts w:cs="Arial"/>
          <w:b/>
          <w:sz w:val="36"/>
          <w:szCs w:val="36"/>
        </w:rPr>
      </w:pPr>
    </w:p>
    <w:p w14:paraId="463D0AFD" w14:textId="77777777" w:rsidR="00D34DFE" w:rsidRPr="00A70AC1" w:rsidRDefault="00D34DFE" w:rsidP="003E19FF">
      <w:pPr>
        <w:jc w:val="center"/>
        <w:rPr>
          <w:rFonts w:cs="Arial"/>
          <w:b/>
          <w:sz w:val="36"/>
          <w:szCs w:val="36"/>
        </w:rPr>
      </w:pPr>
    </w:p>
    <w:p w14:paraId="2EDB6C0B" w14:textId="77777777" w:rsidR="00D34DFE" w:rsidRPr="00A70AC1" w:rsidRDefault="001D7E33" w:rsidP="003E19FF">
      <w:pPr>
        <w:jc w:val="center"/>
        <w:rPr>
          <w:rFonts w:cs="Arial"/>
          <w:b/>
          <w:sz w:val="36"/>
          <w:szCs w:val="36"/>
        </w:rPr>
      </w:pPr>
      <w:r w:rsidRPr="00A70AC1">
        <w:rPr>
          <w:rFonts w:cs="Arial"/>
          <w:b/>
          <w:sz w:val="36"/>
          <w:szCs w:val="36"/>
        </w:rPr>
        <w:t>Issued u</w:t>
      </w:r>
      <w:r w:rsidR="00D34DFE" w:rsidRPr="00A70AC1">
        <w:rPr>
          <w:rFonts w:cs="Arial"/>
          <w:b/>
          <w:sz w:val="36"/>
          <w:szCs w:val="36"/>
        </w:rPr>
        <w:t>nder the Framework Agreement RM</w:t>
      </w:r>
      <w:r w:rsidR="003D66F3" w:rsidRPr="00A70AC1">
        <w:rPr>
          <w:rFonts w:cs="Arial"/>
          <w:b/>
          <w:sz w:val="36"/>
          <w:szCs w:val="36"/>
        </w:rPr>
        <w:t>6178</w:t>
      </w:r>
    </w:p>
    <w:p w14:paraId="32CCBD8F" w14:textId="77777777" w:rsidR="00D34DFE" w:rsidRPr="00A70AC1" w:rsidRDefault="00707598" w:rsidP="003E19FF">
      <w:pPr>
        <w:jc w:val="center"/>
        <w:rPr>
          <w:rFonts w:cs="Arial"/>
          <w:b/>
          <w:sz w:val="36"/>
          <w:szCs w:val="36"/>
        </w:rPr>
      </w:pPr>
      <w:r w:rsidRPr="00A70AC1">
        <w:rPr>
          <w:rFonts w:cs="Arial"/>
          <w:b/>
          <w:sz w:val="36"/>
          <w:szCs w:val="36"/>
        </w:rPr>
        <w:t>Water, Wastewater and Ancillary Services</w:t>
      </w:r>
      <w:r w:rsidR="003D66F3" w:rsidRPr="00A70AC1">
        <w:rPr>
          <w:rFonts w:cs="Arial"/>
          <w:b/>
          <w:sz w:val="36"/>
          <w:szCs w:val="36"/>
        </w:rPr>
        <w:t xml:space="preserve"> (2)</w:t>
      </w:r>
    </w:p>
    <w:p w14:paraId="7390EF70" w14:textId="77777777" w:rsidR="003E19FF" w:rsidRPr="00A70AC1" w:rsidRDefault="003E19FF" w:rsidP="00702C1F">
      <w:pPr>
        <w:rPr>
          <w:rFonts w:cs="Arial"/>
          <w:szCs w:val="22"/>
        </w:rPr>
      </w:pPr>
    </w:p>
    <w:p w14:paraId="1A3E8963" w14:textId="77777777" w:rsidR="003E19FF" w:rsidRPr="00A70AC1" w:rsidRDefault="003E19FF" w:rsidP="00702C1F">
      <w:pPr>
        <w:rPr>
          <w:rFonts w:cs="Arial"/>
          <w:szCs w:val="22"/>
        </w:rPr>
      </w:pPr>
    </w:p>
    <w:p w14:paraId="5372F653" w14:textId="77777777" w:rsidR="00C47EE7" w:rsidRPr="00A70AC1" w:rsidRDefault="00C47EE7" w:rsidP="001D600F">
      <w:pPr>
        <w:pStyle w:val="MarginText"/>
        <w:numPr>
          <w:ilvl w:val="0"/>
          <w:numId w:val="26"/>
        </w:numPr>
        <w:rPr>
          <w:rFonts w:cs="Arial"/>
          <w:b/>
          <w:i/>
          <w:szCs w:val="22"/>
        </w:rPr>
      </w:pPr>
      <w:r w:rsidRPr="00A70AC1">
        <w:rPr>
          <w:rFonts w:cs="Arial"/>
          <w:b/>
          <w:i/>
          <w:szCs w:val="22"/>
        </w:rPr>
        <w:br w:type="page"/>
      </w:r>
    </w:p>
    <w:p w14:paraId="59D59D88" w14:textId="77777777" w:rsidR="00861D08" w:rsidRPr="00A70AC1" w:rsidRDefault="00861D08" w:rsidP="008B2760">
      <w:pPr>
        <w:pStyle w:val="bodystrongcentred"/>
        <w:rPr>
          <w:rFonts w:cs="Arial"/>
        </w:rPr>
      </w:pPr>
      <w:r w:rsidRPr="00A70AC1">
        <w:rPr>
          <w:rFonts w:cs="Arial"/>
        </w:rPr>
        <w:lastRenderedPageBreak/>
        <w:t>CONTENTS</w:t>
      </w:r>
    </w:p>
    <w:p w14:paraId="730960F1" w14:textId="77777777" w:rsidR="00861D08" w:rsidRPr="00A70AC1" w:rsidRDefault="00861D08" w:rsidP="00861D08">
      <w:pPr>
        <w:rPr>
          <w:rFonts w:cs="Arial"/>
          <w:szCs w:val="22"/>
        </w:rPr>
      </w:pPr>
    </w:p>
    <w:p w14:paraId="4C846051" w14:textId="3C129CE8" w:rsidR="0074336E" w:rsidRPr="00A70AC1" w:rsidRDefault="00E448ED">
      <w:pPr>
        <w:pStyle w:val="TOC1"/>
        <w:rPr>
          <w:rFonts w:asciiTheme="minorHAnsi" w:eastAsiaTheme="minorEastAsia" w:hAnsiTheme="minorHAnsi" w:cstheme="minorBidi"/>
          <w:caps w:val="0"/>
          <w:szCs w:val="22"/>
          <w:lang w:eastAsia="en-GB"/>
        </w:rPr>
      </w:pPr>
      <w:r w:rsidRPr="00A70AC1">
        <w:rPr>
          <w:rFonts w:cs="Arial"/>
          <w:caps w:val="0"/>
          <w:sz w:val="20"/>
        </w:rPr>
        <w:fldChar w:fldCharType="begin"/>
      </w:r>
      <w:r w:rsidR="00BB7AA8" w:rsidRPr="00A70AC1">
        <w:rPr>
          <w:rFonts w:cs="Arial"/>
          <w:caps w:val="0"/>
          <w:sz w:val="20"/>
        </w:rPr>
        <w:instrText xml:space="preserve"> TOC \o "1-1" \h \z \u </w:instrText>
      </w:r>
      <w:r w:rsidRPr="00A70AC1">
        <w:rPr>
          <w:rFonts w:cs="Arial"/>
          <w:caps w:val="0"/>
          <w:sz w:val="20"/>
        </w:rPr>
        <w:fldChar w:fldCharType="separate"/>
      </w:r>
      <w:hyperlink w:anchor="_Toc114216457" w:history="1">
        <w:r w:rsidR="0074336E" w:rsidRPr="00A70AC1">
          <w:rPr>
            <w:rStyle w:val="Hyperlink"/>
            <w:rFonts w:cs="Arial"/>
          </w:rPr>
          <w:t>1.</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glossary</w:t>
        </w:r>
        <w:r w:rsidR="0074336E" w:rsidRPr="00A70AC1">
          <w:rPr>
            <w:webHidden/>
          </w:rPr>
          <w:tab/>
        </w:r>
        <w:r w:rsidR="0074336E" w:rsidRPr="00A70AC1">
          <w:rPr>
            <w:webHidden/>
          </w:rPr>
          <w:fldChar w:fldCharType="begin"/>
        </w:r>
        <w:r w:rsidR="0074336E" w:rsidRPr="00A70AC1">
          <w:rPr>
            <w:webHidden/>
          </w:rPr>
          <w:instrText xml:space="preserve"> PAGEREF _Toc114216457 \h </w:instrText>
        </w:r>
        <w:r w:rsidR="0074336E" w:rsidRPr="00A70AC1">
          <w:rPr>
            <w:webHidden/>
          </w:rPr>
        </w:r>
        <w:r w:rsidR="0074336E" w:rsidRPr="00A70AC1">
          <w:rPr>
            <w:webHidden/>
          </w:rPr>
          <w:fldChar w:fldCharType="separate"/>
        </w:r>
        <w:r w:rsidR="0074336E" w:rsidRPr="00A70AC1">
          <w:rPr>
            <w:webHidden/>
          </w:rPr>
          <w:t>3</w:t>
        </w:r>
        <w:r w:rsidR="0074336E" w:rsidRPr="00A70AC1">
          <w:rPr>
            <w:webHidden/>
          </w:rPr>
          <w:fldChar w:fldCharType="end"/>
        </w:r>
      </w:hyperlink>
    </w:p>
    <w:p w14:paraId="0D6FECDA" w14:textId="0DCC8FB7" w:rsidR="0074336E" w:rsidRPr="00A70AC1" w:rsidRDefault="00767758">
      <w:pPr>
        <w:pStyle w:val="TOC1"/>
        <w:rPr>
          <w:rFonts w:asciiTheme="minorHAnsi" w:eastAsiaTheme="minorEastAsia" w:hAnsiTheme="minorHAnsi" w:cstheme="minorBidi"/>
          <w:caps w:val="0"/>
          <w:szCs w:val="22"/>
          <w:lang w:eastAsia="en-GB"/>
        </w:rPr>
      </w:pPr>
      <w:hyperlink w:anchor="_Toc114216458" w:history="1">
        <w:r w:rsidR="0074336E" w:rsidRPr="00A70AC1">
          <w:rPr>
            <w:rStyle w:val="Hyperlink"/>
            <w:rFonts w:cs="Arial"/>
          </w:rPr>
          <w:t>2.</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introduction</w:t>
        </w:r>
        <w:r w:rsidR="0074336E" w:rsidRPr="00A70AC1">
          <w:rPr>
            <w:webHidden/>
          </w:rPr>
          <w:tab/>
        </w:r>
        <w:r w:rsidR="0074336E" w:rsidRPr="00A70AC1">
          <w:rPr>
            <w:webHidden/>
          </w:rPr>
          <w:fldChar w:fldCharType="begin"/>
        </w:r>
        <w:r w:rsidR="0074336E" w:rsidRPr="00A70AC1">
          <w:rPr>
            <w:webHidden/>
          </w:rPr>
          <w:instrText xml:space="preserve"> PAGEREF _Toc114216458 \h </w:instrText>
        </w:r>
        <w:r w:rsidR="0074336E" w:rsidRPr="00A70AC1">
          <w:rPr>
            <w:webHidden/>
          </w:rPr>
        </w:r>
        <w:r w:rsidR="0074336E" w:rsidRPr="00A70AC1">
          <w:rPr>
            <w:webHidden/>
          </w:rPr>
          <w:fldChar w:fldCharType="separate"/>
        </w:r>
        <w:r w:rsidR="0074336E" w:rsidRPr="00A70AC1">
          <w:rPr>
            <w:webHidden/>
          </w:rPr>
          <w:t>4</w:t>
        </w:r>
        <w:r w:rsidR="0074336E" w:rsidRPr="00A70AC1">
          <w:rPr>
            <w:webHidden/>
          </w:rPr>
          <w:fldChar w:fldCharType="end"/>
        </w:r>
      </w:hyperlink>
    </w:p>
    <w:p w14:paraId="19DE307A" w14:textId="2B94B5AF" w:rsidR="0074336E" w:rsidRPr="00A70AC1" w:rsidRDefault="00767758">
      <w:pPr>
        <w:pStyle w:val="TOC1"/>
        <w:rPr>
          <w:rFonts w:asciiTheme="minorHAnsi" w:eastAsiaTheme="minorEastAsia" w:hAnsiTheme="minorHAnsi" w:cstheme="minorBidi"/>
          <w:caps w:val="0"/>
          <w:szCs w:val="22"/>
          <w:lang w:eastAsia="en-GB"/>
        </w:rPr>
      </w:pPr>
      <w:hyperlink w:anchor="_Toc114216459" w:history="1">
        <w:r w:rsidR="0074336E" w:rsidRPr="00A70AC1">
          <w:rPr>
            <w:rStyle w:val="Hyperlink"/>
            <w:rFonts w:cs="Arial"/>
          </w:rPr>
          <w:t>3.</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OVERVIEW OF Invitation to tender</w:t>
        </w:r>
        <w:r w:rsidR="0074336E" w:rsidRPr="00A70AC1">
          <w:rPr>
            <w:webHidden/>
          </w:rPr>
          <w:tab/>
        </w:r>
        <w:r w:rsidR="0074336E" w:rsidRPr="00A70AC1">
          <w:rPr>
            <w:webHidden/>
          </w:rPr>
          <w:fldChar w:fldCharType="begin"/>
        </w:r>
        <w:r w:rsidR="0074336E" w:rsidRPr="00A70AC1">
          <w:rPr>
            <w:webHidden/>
          </w:rPr>
          <w:instrText xml:space="preserve"> PAGEREF _Toc114216459 \h </w:instrText>
        </w:r>
        <w:r w:rsidR="0074336E" w:rsidRPr="00A70AC1">
          <w:rPr>
            <w:webHidden/>
          </w:rPr>
        </w:r>
        <w:r w:rsidR="0074336E" w:rsidRPr="00A70AC1">
          <w:rPr>
            <w:webHidden/>
          </w:rPr>
          <w:fldChar w:fldCharType="separate"/>
        </w:r>
        <w:r w:rsidR="0074336E" w:rsidRPr="00A70AC1">
          <w:rPr>
            <w:webHidden/>
          </w:rPr>
          <w:t>4</w:t>
        </w:r>
        <w:r w:rsidR="0074336E" w:rsidRPr="00A70AC1">
          <w:rPr>
            <w:webHidden/>
          </w:rPr>
          <w:fldChar w:fldCharType="end"/>
        </w:r>
      </w:hyperlink>
    </w:p>
    <w:p w14:paraId="7BF68485" w14:textId="5C07917F" w:rsidR="0074336E" w:rsidRPr="00A70AC1" w:rsidRDefault="00767758">
      <w:pPr>
        <w:pStyle w:val="TOC1"/>
        <w:rPr>
          <w:rFonts w:asciiTheme="minorHAnsi" w:eastAsiaTheme="minorEastAsia" w:hAnsiTheme="minorHAnsi" w:cstheme="minorBidi"/>
          <w:caps w:val="0"/>
          <w:szCs w:val="22"/>
          <w:lang w:eastAsia="en-GB"/>
        </w:rPr>
      </w:pPr>
      <w:hyperlink w:anchor="_Toc114216460" w:history="1">
        <w:r w:rsidR="0074336E" w:rsidRPr="00A70AC1">
          <w:rPr>
            <w:rStyle w:val="Hyperlink"/>
            <w:rFonts w:cs="Arial"/>
          </w:rPr>
          <w:t>4.</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FURTHER COMPETITION TIMETABLE</w:t>
        </w:r>
        <w:r w:rsidR="0074336E" w:rsidRPr="00A70AC1">
          <w:rPr>
            <w:webHidden/>
          </w:rPr>
          <w:tab/>
        </w:r>
        <w:r w:rsidR="0074336E" w:rsidRPr="00A70AC1">
          <w:rPr>
            <w:webHidden/>
          </w:rPr>
          <w:fldChar w:fldCharType="begin"/>
        </w:r>
        <w:r w:rsidR="0074336E" w:rsidRPr="00A70AC1">
          <w:rPr>
            <w:webHidden/>
          </w:rPr>
          <w:instrText xml:space="preserve"> PAGEREF _Toc114216460 \h </w:instrText>
        </w:r>
        <w:r w:rsidR="0074336E" w:rsidRPr="00A70AC1">
          <w:rPr>
            <w:webHidden/>
          </w:rPr>
        </w:r>
        <w:r w:rsidR="0074336E" w:rsidRPr="00A70AC1">
          <w:rPr>
            <w:webHidden/>
          </w:rPr>
          <w:fldChar w:fldCharType="separate"/>
        </w:r>
        <w:r w:rsidR="0074336E" w:rsidRPr="00A70AC1">
          <w:rPr>
            <w:webHidden/>
          </w:rPr>
          <w:t>5</w:t>
        </w:r>
        <w:r w:rsidR="0074336E" w:rsidRPr="00A70AC1">
          <w:rPr>
            <w:webHidden/>
          </w:rPr>
          <w:fldChar w:fldCharType="end"/>
        </w:r>
      </w:hyperlink>
    </w:p>
    <w:p w14:paraId="3B46D81B" w14:textId="0EF887DB" w:rsidR="0074336E" w:rsidRPr="00A70AC1" w:rsidRDefault="00767758">
      <w:pPr>
        <w:pStyle w:val="TOC1"/>
        <w:rPr>
          <w:rFonts w:asciiTheme="minorHAnsi" w:eastAsiaTheme="minorEastAsia" w:hAnsiTheme="minorHAnsi" w:cstheme="minorBidi"/>
          <w:caps w:val="0"/>
          <w:szCs w:val="22"/>
          <w:lang w:eastAsia="en-GB"/>
        </w:rPr>
      </w:pPr>
      <w:hyperlink w:anchor="_Toc114216461" w:history="1">
        <w:r w:rsidR="0074336E" w:rsidRPr="00A70AC1">
          <w:rPr>
            <w:rStyle w:val="Hyperlink"/>
            <w:rFonts w:cs="Arial"/>
          </w:rPr>
          <w:t>5.</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questions AND CLARIFICATIONS</w:t>
        </w:r>
        <w:r w:rsidR="0074336E" w:rsidRPr="00A70AC1">
          <w:rPr>
            <w:webHidden/>
          </w:rPr>
          <w:tab/>
        </w:r>
        <w:r w:rsidR="0074336E" w:rsidRPr="00A70AC1">
          <w:rPr>
            <w:webHidden/>
          </w:rPr>
          <w:fldChar w:fldCharType="begin"/>
        </w:r>
        <w:r w:rsidR="0074336E" w:rsidRPr="00A70AC1">
          <w:rPr>
            <w:webHidden/>
          </w:rPr>
          <w:instrText xml:space="preserve"> PAGEREF _Toc114216461 \h </w:instrText>
        </w:r>
        <w:r w:rsidR="0074336E" w:rsidRPr="00A70AC1">
          <w:rPr>
            <w:webHidden/>
          </w:rPr>
        </w:r>
        <w:r w:rsidR="0074336E" w:rsidRPr="00A70AC1">
          <w:rPr>
            <w:webHidden/>
          </w:rPr>
          <w:fldChar w:fldCharType="separate"/>
        </w:r>
        <w:r w:rsidR="0074336E" w:rsidRPr="00A70AC1">
          <w:rPr>
            <w:webHidden/>
          </w:rPr>
          <w:t>5</w:t>
        </w:r>
        <w:r w:rsidR="0074336E" w:rsidRPr="00A70AC1">
          <w:rPr>
            <w:webHidden/>
          </w:rPr>
          <w:fldChar w:fldCharType="end"/>
        </w:r>
      </w:hyperlink>
    </w:p>
    <w:p w14:paraId="27DD4BF7" w14:textId="6E5C54C9" w:rsidR="0074336E" w:rsidRPr="00A70AC1" w:rsidRDefault="00767758">
      <w:pPr>
        <w:pStyle w:val="TOC1"/>
        <w:rPr>
          <w:rFonts w:asciiTheme="minorHAnsi" w:eastAsiaTheme="minorEastAsia" w:hAnsiTheme="minorHAnsi" w:cstheme="minorBidi"/>
          <w:caps w:val="0"/>
          <w:szCs w:val="22"/>
          <w:lang w:eastAsia="en-GB"/>
        </w:rPr>
      </w:pPr>
      <w:hyperlink w:anchor="_Toc114216462" w:history="1">
        <w:r w:rsidR="0074336E" w:rsidRPr="00A70AC1">
          <w:rPr>
            <w:rStyle w:val="Hyperlink"/>
            <w:rFonts w:cs="Arial"/>
          </w:rPr>
          <w:t>6.</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Price</w:t>
        </w:r>
        <w:r w:rsidR="0074336E" w:rsidRPr="00A70AC1">
          <w:rPr>
            <w:webHidden/>
          </w:rPr>
          <w:tab/>
        </w:r>
        <w:r w:rsidR="0074336E" w:rsidRPr="00A70AC1">
          <w:rPr>
            <w:webHidden/>
          </w:rPr>
          <w:fldChar w:fldCharType="begin"/>
        </w:r>
        <w:r w:rsidR="0074336E" w:rsidRPr="00A70AC1">
          <w:rPr>
            <w:webHidden/>
          </w:rPr>
          <w:instrText xml:space="preserve"> PAGEREF _Toc114216462 \h </w:instrText>
        </w:r>
        <w:r w:rsidR="0074336E" w:rsidRPr="00A70AC1">
          <w:rPr>
            <w:webHidden/>
          </w:rPr>
        </w:r>
        <w:r w:rsidR="0074336E" w:rsidRPr="00A70AC1">
          <w:rPr>
            <w:webHidden/>
          </w:rPr>
          <w:fldChar w:fldCharType="separate"/>
        </w:r>
        <w:r w:rsidR="0074336E" w:rsidRPr="00A70AC1">
          <w:rPr>
            <w:webHidden/>
          </w:rPr>
          <w:t>5</w:t>
        </w:r>
        <w:r w:rsidR="0074336E" w:rsidRPr="00A70AC1">
          <w:rPr>
            <w:webHidden/>
          </w:rPr>
          <w:fldChar w:fldCharType="end"/>
        </w:r>
      </w:hyperlink>
    </w:p>
    <w:p w14:paraId="6FB8197F" w14:textId="233C852B" w:rsidR="0074336E" w:rsidRPr="00A70AC1" w:rsidRDefault="00767758">
      <w:pPr>
        <w:pStyle w:val="TOC1"/>
        <w:rPr>
          <w:rFonts w:asciiTheme="minorHAnsi" w:eastAsiaTheme="minorEastAsia" w:hAnsiTheme="minorHAnsi" w:cstheme="minorBidi"/>
          <w:caps w:val="0"/>
          <w:szCs w:val="22"/>
          <w:lang w:eastAsia="en-GB"/>
        </w:rPr>
      </w:pPr>
      <w:hyperlink w:anchor="_Toc114216463" w:history="1">
        <w:r w:rsidR="0074336E" w:rsidRPr="00A70AC1">
          <w:rPr>
            <w:rStyle w:val="Hyperlink"/>
            <w:rFonts w:cs="Arial"/>
          </w:rPr>
          <w:t>7.</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Submitting a tender</w:t>
        </w:r>
        <w:r w:rsidR="0074336E" w:rsidRPr="00A70AC1">
          <w:rPr>
            <w:webHidden/>
          </w:rPr>
          <w:tab/>
        </w:r>
        <w:r w:rsidR="0074336E" w:rsidRPr="00A70AC1">
          <w:rPr>
            <w:webHidden/>
          </w:rPr>
          <w:fldChar w:fldCharType="begin"/>
        </w:r>
        <w:r w:rsidR="0074336E" w:rsidRPr="00A70AC1">
          <w:rPr>
            <w:webHidden/>
          </w:rPr>
          <w:instrText xml:space="preserve"> PAGEREF _Toc114216463 \h </w:instrText>
        </w:r>
        <w:r w:rsidR="0074336E" w:rsidRPr="00A70AC1">
          <w:rPr>
            <w:webHidden/>
          </w:rPr>
        </w:r>
        <w:r w:rsidR="0074336E" w:rsidRPr="00A70AC1">
          <w:rPr>
            <w:webHidden/>
          </w:rPr>
          <w:fldChar w:fldCharType="separate"/>
        </w:r>
        <w:r w:rsidR="0074336E" w:rsidRPr="00A70AC1">
          <w:rPr>
            <w:webHidden/>
          </w:rPr>
          <w:t>6</w:t>
        </w:r>
        <w:r w:rsidR="0074336E" w:rsidRPr="00A70AC1">
          <w:rPr>
            <w:webHidden/>
          </w:rPr>
          <w:fldChar w:fldCharType="end"/>
        </w:r>
      </w:hyperlink>
    </w:p>
    <w:p w14:paraId="04B70404" w14:textId="089ABC64" w:rsidR="0074336E" w:rsidRPr="00A70AC1" w:rsidRDefault="00767758">
      <w:pPr>
        <w:pStyle w:val="TOC1"/>
        <w:rPr>
          <w:rFonts w:asciiTheme="minorHAnsi" w:eastAsiaTheme="minorEastAsia" w:hAnsiTheme="minorHAnsi" w:cstheme="minorBidi"/>
          <w:caps w:val="0"/>
          <w:szCs w:val="22"/>
          <w:lang w:eastAsia="en-GB"/>
        </w:rPr>
      </w:pPr>
      <w:hyperlink w:anchor="_Toc114216464" w:history="1">
        <w:r w:rsidR="0074336E" w:rsidRPr="00A70AC1">
          <w:rPr>
            <w:rStyle w:val="Hyperlink"/>
            <w:rFonts w:cs="Arial"/>
          </w:rPr>
          <w:t>8.</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tender EVALUATION</w:t>
        </w:r>
        <w:r w:rsidR="0074336E" w:rsidRPr="00A70AC1">
          <w:rPr>
            <w:webHidden/>
          </w:rPr>
          <w:tab/>
        </w:r>
        <w:r w:rsidR="0074336E" w:rsidRPr="00A70AC1">
          <w:rPr>
            <w:webHidden/>
          </w:rPr>
          <w:fldChar w:fldCharType="begin"/>
        </w:r>
        <w:r w:rsidR="0074336E" w:rsidRPr="00A70AC1">
          <w:rPr>
            <w:webHidden/>
          </w:rPr>
          <w:instrText xml:space="preserve"> PAGEREF _Toc114216464 \h </w:instrText>
        </w:r>
        <w:r w:rsidR="0074336E" w:rsidRPr="00A70AC1">
          <w:rPr>
            <w:webHidden/>
          </w:rPr>
        </w:r>
        <w:r w:rsidR="0074336E" w:rsidRPr="00A70AC1">
          <w:rPr>
            <w:webHidden/>
          </w:rPr>
          <w:fldChar w:fldCharType="separate"/>
        </w:r>
        <w:r w:rsidR="0074336E" w:rsidRPr="00A70AC1">
          <w:rPr>
            <w:webHidden/>
          </w:rPr>
          <w:t>6</w:t>
        </w:r>
        <w:r w:rsidR="0074336E" w:rsidRPr="00A70AC1">
          <w:rPr>
            <w:webHidden/>
          </w:rPr>
          <w:fldChar w:fldCharType="end"/>
        </w:r>
      </w:hyperlink>
    </w:p>
    <w:p w14:paraId="7C21D010" w14:textId="6D6AAFEE" w:rsidR="0074336E" w:rsidRPr="00A70AC1" w:rsidRDefault="00767758">
      <w:pPr>
        <w:pStyle w:val="TOC1"/>
        <w:rPr>
          <w:rFonts w:asciiTheme="minorHAnsi" w:eastAsiaTheme="minorEastAsia" w:hAnsiTheme="minorHAnsi" w:cstheme="minorBidi"/>
          <w:caps w:val="0"/>
          <w:szCs w:val="22"/>
          <w:lang w:eastAsia="en-GB"/>
        </w:rPr>
      </w:pPr>
      <w:hyperlink w:anchor="_Toc114216465" w:history="1">
        <w:r w:rsidR="0074336E" w:rsidRPr="00A70AC1">
          <w:rPr>
            <w:rStyle w:val="Hyperlink"/>
            <w:rFonts w:cs="Arial"/>
          </w:rPr>
          <w:t>9.</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CONTRACT AWARD</w:t>
        </w:r>
        <w:r w:rsidR="0074336E" w:rsidRPr="00A70AC1">
          <w:rPr>
            <w:webHidden/>
          </w:rPr>
          <w:tab/>
        </w:r>
        <w:r w:rsidR="0074336E" w:rsidRPr="00A70AC1">
          <w:rPr>
            <w:webHidden/>
          </w:rPr>
          <w:fldChar w:fldCharType="begin"/>
        </w:r>
        <w:r w:rsidR="0074336E" w:rsidRPr="00A70AC1">
          <w:rPr>
            <w:webHidden/>
          </w:rPr>
          <w:instrText xml:space="preserve"> PAGEREF _Toc114216465 \h </w:instrText>
        </w:r>
        <w:r w:rsidR="0074336E" w:rsidRPr="00A70AC1">
          <w:rPr>
            <w:webHidden/>
          </w:rPr>
        </w:r>
        <w:r w:rsidR="0074336E" w:rsidRPr="00A70AC1">
          <w:rPr>
            <w:webHidden/>
          </w:rPr>
          <w:fldChar w:fldCharType="separate"/>
        </w:r>
        <w:r w:rsidR="0074336E" w:rsidRPr="00A70AC1">
          <w:rPr>
            <w:webHidden/>
          </w:rPr>
          <w:t>7</w:t>
        </w:r>
        <w:r w:rsidR="0074336E" w:rsidRPr="00A70AC1">
          <w:rPr>
            <w:webHidden/>
          </w:rPr>
          <w:fldChar w:fldCharType="end"/>
        </w:r>
      </w:hyperlink>
    </w:p>
    <w:p w14:paraId="3837E202" w14:textId="7B27C9A0" w:rsidR="0074336E" w:rsidRPr="00A70AC1" w:rsidRDefault="00767758">
      <w:pPr>
        <w:pStyle w:val="TOC1"/>
        <w:rPr>
          <w:rFonts w:asciiTheme="minorHAnsi" w:eastAsiaTheme="minorEastAsia" w:hAnsiTheme="minorHAnsi" w:cstheme="minorBidi"/>
          <w:caps w:val="0"/>
          <w:szCs w:val="22"/>
          <w:lang w:eastAsia="en-GB"/>
        </w:rPr>
      </w:pPr>
      <w:hyperlink w:anchor="_Toc114216466" w:history="1">
        <w:r w:rsidR="0074336E" w:rsidRPr="00A70AC1">
          <w:rPr>
            <w:rStyle w:val="Hyperlink"/>
            <w:rFonts w:cs="Arial"/>
          </w:rPr>
          <w:t>Appendix A – Terms of the Further Competition</w:t>
        </w:r>
        <w:r w:rsidR="0074336E" w:rsidRPr="00A70AC1">
          <w:rPr>
            <w:webHidden/>
          </w:rPr>
          <w:tab/>
        </w:r>
        <w:r w:rsidR="0074336E" w:rsidRPr="00A70AC1">
          <w:rPr>
            <w:webHidden/>
          </w:rPr>
          <w:fldChar w:fldCharType="begin"/>
        </w:r>
        <w:r w:rsidR="0074336E" w:rsidRPr="00A70AC1">
          <w:rPr>
            <w:webHidden/>
          </w:rPr>
          <w:instrText xml:space="preserve"> PAGEREF _Toc114216466 \h </w:instrText>
        </w:r>
        <w:r w:rsidR="0074336E" w:rsidRPr="00A70AC1">
          <w:rPr>
            <w:webHidden/>
          </w:rPr>
        </w:r>
        <w:r w:rsidR="0074336E" w:rsidRPr="00A70AC1">
          <w:rPr>
            <w:webHidden/>
          </w:rPr>
          <w:fldChar w:fldCharType="separate"/>
        </w:r>
        <w:r w:rsidR="0074336E" w:rsidRPr="00A70AC1">
          <w:rPr>
            <w:webHidden/>
          </w:rPr>
          <w:t>8</w:t>
        </w:r>
        <w:r w:rsidR="0074336E" w:rsidRPr="00A70AC1">
          <w:rPr>
            <w:webHidden/>
          </w:rPr>
          <w:fldChar w:fldCharType="end"/>
        </w:r>
      </w:hyperlink>
    </w:p>
    <w:p w14:paraId="52E64BA7" w14:textId="758C708D" w:rsidR="0074336E" w:rsidRPr="00A70AC1" w:rsidRDefault="00767758">
      <w:pPr>
        <w:pStyle w:val="TOC1"/>
        <w:rPr>
          <w:rFonts w:asciiTheme="minorHAnsi" w:eastAsiaTheme="minorEastAsia" w:hAnsiTheme="minorHAnsi" w:cstheme="minorBidi"/>
          <w:caps w:val="0"/>
          <w:szCs w:val="22"/>
          <w:lang w:eastAsia="en-GB"/>
        </w:rPr>
      </w:pPr>
      <w:hyperlink w:anchor="_Toc114216467" w:history="1">
        <w:r w:rsidR="0074336E" w:rsidRPr="00A70AC1">
          <w:rPr>
            <w:rStyle w:val="Hyperlink"/>
            <w:rFonts w:cs="Arial"/>
          </w:rPr>
          <w:t>1.</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INTRODUCTION</w:t>
        </w:r>
        <w:r w:rsidR="0074336E" w:rsidRPr="00A70AC1">
          <w:rPr>
            <w:webHidden/>
          </w:rPr>
          <w:tab/>
        </w:r>
        <w:r w:rsidR="0074336E" w:rsidRPr="00A70AC1">
          <w:rPr>
            <w:webHidden/>
          </w:rPr>
          <w:fldChar w:fldCharType="begin"/>
        </w:r>
        <w:r w:rsidR="0074336E" w:rsidRPr="00A70AC1">
          <w:rPr>
            <w:webHidden/>
          </w:rPr>
          <w:instrText xml:space="preserve"> PAGEREF _Toc114216467 \h </w:instrText>
        </w:r>
        <w:r w:rsidR="0074336E" w:rsidRPr="00A70AC1">
          <w:rPr>
            <w:webHidden/>
          </w:rPr>
        </w:r>
        <w:r w:rsidR="0074336E" w:rsidRPr="00A70AC1">
          <w:rPr>
            <w:webHidden/>
          </w:rPr>
          <w:fldChar w:fldCharType="separate"/>
        </w:r>
        <w:r w:rsidR="0074336E" w:rsidRPr="00A70AC1">
          <w:rPr>
            <w:webHidden/>
          </w:rPr>
          <w:t>8</w:t>
        </w:r>
        <w:r w:rsidR="0074336E" w:rsidRPr="00A70AC1">
          <w:rPr>
            <w:webHidden/>
          </w:rPr>
          <w:fldChar w:fldCharType="end"/>
        </w:r>
      </w:hyperlink>
    </w:p>
    <w:p w14:paraId="67F13935" w14:textId="5014A3C2" w:rsidR="0074336E" w:rsidRPr="00A70AC1" w:rsidRDefault="00767758">
      <w:pPr>
        <w:pStyle w:val="TOC1"/>
        <w:rPr>
          <w:rFonts w:asciiTheme="minorHAnsi" w:eastAsiaTheme="minorEastAsia" w:hAnsiTheme="minorHAnsi" w:cstheme="minorBidi"/>
          <w:caps w:val="0"/>
          <w:szCs w:val="22"/>
          <w:lang w:eastAsia="en-GB"/>
        </w:rPr>
      </w:pPr>
      <w:hyperlink w:anchor="_Toc114216468" w:history="1">
        <w:r w:rsidR="0074336E" w:rsidRPr="00A70AC1">
          <w:rPr>
            <w:rStyle w:val="Hyperlink"/>
            <w:rFonts w:cs="Arial"/>
          </w:rPr>
          <w:t>2.</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CONDUCT</w:t>
        </w:r>
        <w:r w:rsidR="0074336E" w:rsidRPr="00A70AC1">
          <w:rPr>
            <w:webHidden/>
          </w:rPr>
          <w:tab/>
        </w:r>
        <w:r w:rsidR="0074336E" w:rsidRPr="00A70AC1">
          <w:rPr>
            <w:webHidden/>
          </w:rPr>
          <w:fldChar w:fldCharType="begin"/>
        </w:r>
        <w:r w:rsidR="0074336E" w:rsidRPr="00A70AC1">
          <w:rPr>
            <w:webHidden/>
          </w:rPr>
          <w:instrText xml:space="preserve"> PAGEREF _Toc114216468 \h </w:instrText>
        </w:r>
        <w:r w:rsidR="0074336E" w:rsidRPr="00A70AC1">
          <w:rPr>
            <w:webHidden/>
          </w:rPr>
        </w:r>
        <w:r w:rsidR="0074336E" w:rsidRPr="00A70AC1">
          <w:rPr>
            <w:webHidden/>
          </w:rPr>
          <w:fldChar w:fldCharType="separate"/>
        </w:r>
        <w:r w:rsidR="0074336E" w:rsidRPr="00A70AC1">
          <w:rPr>
            <w:webHidden/>
          </w:rPr>
          <w:t>8</w:t>
        </w:r>
        <w:r w:rsidR="0074336E" w:rsidRPr="00A70AC1">
          <w:rPr>
            <w:webHidden/>
          </w:rPr>
          <w:fldChar w:fldCharType="end"/>
        </w:r>
      </w:hyperlink>
    </w:p>
    <w:p w14:paraId="2C2C838B" w14:textId="2597F82D" w:rsidR="0074336E" w:rsidRPr="00A70AC1" w:rsidRDefault="00767758">
      <w:pPr>
        <w:pStyle w:val="TOC1"/>
        <w:rPr>
          <w:rFonts w:asciiTheme="minorHAnsi" w:eastAsiaTheme="minorEastAsia" w:hAnsiTheme="minorHAnsi" w:cstheme="minorBidi"/>
          <w:caps w:val="0"/>
          <w:szCs w:val="22"/>
          <w:lang w:eastAsia="en-GB"/>
        </w:rPr>
      </w:pPr>
      <w:hyperlink w:anchor="_Toc114216469" w:history="1">
        <w:r w:rsidR="0074336E" w:rsidRPr="00A70AC1">
          <w:rPr>
            <w:rStyle w:val="Hyperlink"/>
            <w:rFonts w:cs="Arial"/>
          </w:rPr>
          <w:t>3.</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COmpliance</w:t>
        </w:r>
        <w:r w:rsidR="0074336E" w:rsidRPr="00A70AC1">
          <w:rPr>
            <w:webHidden/>
          </w:rPr>
          <w:tab/>
        </w:r>
        <w:r w:rsidR="0074336E" w:rsidRPr="00A70AC1">
          <w:rPr>
            <w:webHidden/>
          </w:rPr>
          <w:fldChar w:fldCharType="begin"/>
        </w:r>
        <w:r w:rsidR="0074336E" w:rsidRPr="00A70AC1">
          <w:rPr>
            <w:webHidden/>
          </w:rPr>
          <w:instrText xml:space="preserve"> PAGEREF _Toc114216469 \h </w:instrText>
        </w:r>
        <w:r w:rsidR="0074336E" w:rsidRPr="00A70AC1">
          <w:rPr>
            <w:webHidden/>
          </w:rPr>
        </w:r>
        <w:r w:rsidR="0074336E" w:rsidRPr="00A70AC1">
          <w:rPr>
            <w:webHidden/>
          </w:rPr>
          <w:fldChar w:fldCharType="separate"/>
        </w:r>
        <w:r w:rsidR="0074336E" w:rsidRPr="00A70AC1">
          <w:rPr>
            <w:webHidden/>
          </w:rPr>
          <w:t>9</w:t>
        </w:r>
        <w:r w:rsidR="0074336E" w:rsidRPr="00A70AC1">
          <w:rPr>
            <w:webHidden/>
          </w:rPr>
          <w:fldChar w:fldCharType="end"/>
        </w:r>
      </w:hyperlink>
    </w:p>
    <w:p w14:paraId="42BF2471" w14:textId="04D59D49" w:rsidR="0074336E" w:rsidRPr="00A70AC1" w:rsidRDefault="00767758">
      <w:pPr>
        <w:pStyle w:val="TOC1"/>
        <w:rPr>
          <w:rFonts w:asciiTheme="minorHAnsi" w:eastAsiaTheme="minorEastAsia" w:hAnsiTheme="minorHAnsi" w:cstheme="minorBidi"/>
          <w:caps w:val="0"/>
          <w:szCs w:val="22"/>
          <w:lang w:eastAsia="en-GB"/>
        </w:rPr>
      </w:pPr>
      <w:hyperlink w:anchor="_Toc114216470" w:history="1">
        <w:r w:rsidR="0074336E" w:rsidRPr="00A70AC1">
          <w:rPr>
            <w:rStyle w:val="Hyperlink"/>
            <w:rFonts w:cs="Arial"/>
          </w:rPr>
          <w:t>4.</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RIGHT TO CANCEL OR VARY THE Further Competition</w:t>
        </w:r>
        <w:r w:rsidR="0074336E" w:rsidRPr="00A70AC1">
          <w:rPr>
            <w:webHidden/>
          </w:rPr>
          <w:tab/>
        </w:r>
        <w:r w:rsidR="0074336E" w:rsidRPr="00A70AC1">
          <w:rPr>
            <w:webHidden/>
          </w:rPr>
          <w:fldChar w:fldCharType="begin"/>
        </w:r>
        <w:r w:rsidR="0074336E" w:rsidRPr="00A70AC1">
          <w:rPr>
            <w:webHidden/>
          </w:rPr>
          <w:instrText xml:space="preserve"> PAGEREF _Toc114216470 \h </w:instrText>
        </w:r>
        <w:r w:rsidR="0074336E" w:rsidRPr="00A70AC1">
          <w:rPr>
            <w:webHidden/>
          </w:rPr>
        </w:r>
        <w:r w:rsidR="0074336E" w:rsidRPr="00A70AC1">
          <w:rPr>
            <w:webHidden/>
          </w:rPr>
          <w:fldChar w:fldCharType="separate"/>
        </w:r>
        <w:r w:rsidR="0074336E" w:rsidRPr="00A70AC1">
          <w:rPr>
            <w:webHidden/>
          </w:rPr>
          <w:t>9</w:t>
        </w:r>
        <w:r w:rsidR="0074336E" w:rsidRPr="00A70AC1">
          <w:rPr>
            <w:webHidden/>
          </w:rPr>
          <w:fldChar w:fldCharType="end"/>
        </w:r>
      </w:hyperlink>
    </w:p>
    <w:p w14:paraId="39E5DEB0" w14:textId="0F8875E3" w:rsidR="0074336E" w:rsidRPr="00A70AC1" w:rsidRDefault="00767758">
      <w:pPr>
        <w:pStyle w:val="TOC1"/>
        <w:rPr>
          <w:rFonts w:asciiTheme="minorHAnsi" w:eastAsiaTheme="minorEastAsia" w:hAnsiTheme="minorHAnsi" w:cstheme="minorBidi"/>
          <w:caps w:val="0"/>
          <w:szCs w:val="22"/>
          <w:lang w:eastAsia="en-GB"/>
        </w:rPr>
      </w:pPr>
      <w:hyperlink w:anchor="_Toc114216471" w:history="1">
        <w:r w:rsidR="0074336E" w:rsidRPr="00A70AC1">
          <w:rPr>
            <w:rStyle w:val="Hyperlink"/>
            <w:rFonts w:cs="Arial"/>
          </w:rPr>
          <w:t>Appendix B – SPECIFICATION/statement of requirements</w:t>
        </w:r>
        <w:r w:rsidR="0074336E" w:rsidRPr="00A70AC1">
          <w:rPr>
            <w:webHidden/>
          </w:rPr>
          <w:tab/>
        </w:r>
        <w:r w:rsidR="0074336E" w:rsidRPr="00A70AC1">
          <w:rPr>
            <w:webHidden/>
          </w:rPr>
          <w:fldChar w:fldCharType="begin"/>
        </w:r>
        <w:r w:rsidR="0074336E" w:rsidRPr="00A70AC1">
          <w:rPr>
            <w:webHidden/>
          </w:rPr>
          <w:instrText xml:space="preserve"> PAGEREF _Toc114216471 \h </w:instrText>
        </w:r>
        <w:r w:rsidR="0074336E" w:rsidRPr="00A70AC1">
          <w:rPr>
            <w:webHidden/>
          </w:rPr>
        </w:r>
        <w:r w:rsidR="0074336E" w:rsidRPr="00A70AC1">
          <w:rPr>
            <w:webHidden/>
          </w:rPr>
          <w:fldChar w:fldCharType="separate"/>
        </w:r>
        <w:r w:rsidR="0074336E" w:rsidRPr="00A70AC1">
          <w:rPr>
            <w:webHidden/>
          </w:rPr>
          <w:t>10</w:t>
        </w:r>
        <w:r w:rsidR="0074336E" w:rsidRPr="00A70AC1">
          <w:rPr>
            <w:webHidden/>
          </w:rPr>
          <w:fldChar w:fldCharType="end"/>
        </w:r>
      </w:hyperlink>
    </w:p>
    <w:p w14:paraId="429CE565" w14:textId="6F29CE33" w:rsidR="0074336E" w:rsidRPr="00A70AC1" w:rsidRDefault="00767758">
      <w:pPr>
        <w:pStyle w:val="TOC1"/>
        <w:rPr>
          <w:rFonts w:asciiTheme="minorHAnsi" w:eastAsiaTheme="minorEastAsia" w:hAnsiTheme="minorHAnsi" w:cstheme="minorBidi"/>
          <w:caps w:val="0"/>
          <w:szCs w:val="22"/>
          <w:lang w:eastAsia="en-GB"/>
        </w:rPr>
      </w:pPr>
      <w:hyperlink w:anchor="_Toc114216472" w:history="1">
        <w:r w:rsidR="0074336E" w:rsidRPr="00A70AC1">
          <w:rPr>
            <w:rStyle w:val="Hyperlink"/>
            <w:rFonts w:cs="Arial"/>
          </w:rPr>
          <w:t>1.</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INTRODUCTION AND BACKGROUND TO THE AUTHORITY</w:t>
        </w:r>
        <w:r w:rsidR="0074336E" w:rsidRPr="00A70AC1">
          <w:rPr>
            <w:webHidden/>
          </w:rPr>
          <w:tab/>
        </w:r>
        <w:r w:rsidR="0074336E" w:rsidRPr="00A70AC1">
          <w:rPr>
            <w:webHidden/>
          </w:rPr>
          <w:fldChar w:fldCharType="begin"/>
        </w:r>
        <w:r w:rsidR="0074336E" w:rsidRPr="00A70AC1">
          <w:rPr>
            <w:webHidden/>
          </w:rPr>
          <w:instrText xml:space="preserve"> PAGEREF _Toc114216472 \h </w:instrText>
        </w:r>
        <w:r w:rsidR="0074336E" w:rsidRPr="00A70AC1">
          <w:rPr>
            <w:webHidden/>
          </w:rPr>
        </w:r>
        <w:r w:rsidR="0074336E" w:rsidRPr="00A70AC1">
          <w:rPr>
            <w:webHidden/>
          </w:rPr>
          <w:fldChar w:fldCharType="separate"/>
        </w:r>
        <w:r w:rsidR="0074336E" w:rsidRPr="00A70AC1">
          <w:rPr>
            <w:webHidden/>
          </w:rPr>
          <w:t>10</w:t>
        </w:r>
        <w:r w:rsidR="0074336E" w:rsidRPr="00A70AC1">
          <w:rPr>
            <w:webHidden/>
          </w:rPr>
          <w:fldChar w:fldCharType="end"/>
        </w:r>
      </w:hyperlink>
    </w:p>
    <w:p w14:paraId="18193D45" w14:textId="09E5194E" w:rsidR="0074336E" w:rsidRPr="00A70AC1" w:rsidRDefault="00767758">
      <w:pPr>
        <w:pStyle w:val="TOC1"/>
        <w:rPr>
          <w:rFonts w:asciiTheme="minorHAnsi" w:eastAsiaTheme="minorEastAsia" w:hAnsiTheme="minorHAnsi" w:cstheme="minorBidi"/>
          <w:caps w:val="0"/>
          <w:szCs w:val="22"/>
          <w:lang w:eastAsia="en-GB"/>
        </w:rPr>
      </w:pPr>
      <w:hyperlink w:anchor="_Toc114216473" w:history="1">
        <w:r w:rsidR="0074336E" w:rsidRPr="00A70AC1">
          <w:rPr>
            <w:rStyle w:val="Hyperlink"/>
            <w:rFonts w:cs="Arial"/>
          </w:rPr>
          <w:t>2.</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Background to requirement/OVERVIEW of requirement</w:t>
        </w:r>
        <w:r w:rsidR="0074336E" w:rsidRPr="00A70AC1">
          <w:rPr>
            <w:webHidden/>
          </w:rPr>
          <w:tab/>
        </w:r>
        <w:r w:rsidR="0074336E" w:rsidRPr="00A70AC1">
          <w:rPr>
            <w:webHidden/>
          </w:rPr>
          <w:fldChar w:fldCharType="begin"/>
        </w:r>
        <w:r w:rsidR="0074336E" w:rsidRPr="00A70AC1">
          <w:rPr>
            <w:webHidden/>
          </w:rPr>
          <w:instrText xml:space="preserve"> PAGEREF _Toc114216473 \h </w:instrText>
        </w:r>
        <w:r w:rsidR="0074336E" w:rsidRPr="00A70AC1">
          <w:rPr>
            <w:webHidden/>
          </w:rPr>
        </w:r>
        <w:r w:rsidR="0074336E" w:rsidRPr="00A70AC1">
          <w:rPr>
            <w:webHidden/>
          </w:rPr>
          <w:fldChar w:fldCharType="separate"/>
        </w:r>
        <w:r w:rsidR="0074336E" w:rsidRPr="00A70AC1">
          <w:rPr>
            <w:webHidden/>
          </w:rPr>
          <w:t>10</w:t>
        </w:r>
        <w:r w:rsidR="0074336E" w:rsidRPr="00A70AC1">
          <w:rPr>
            <w:webHidden/>
          </w:rPr>
          <w:fldChar w:fldCharType="end"/>
        </w:r>
      </w:hyperlink>
    </w:p>
    <w:p w14:paraId="1B5030EC" w14:textId="7FF20EED" w:rsidR="0074336E" w:rsidRPr="00A70AC1" w:rsidRDefault="00767758">
      <w:pPr>
        <w:pStyle w:val="TOC1"/>
        <w:rPr>
          <w:rFonts w:asciiTheme="minorHAnsi" w:eastAsiaTheme="minorEastAsia" w:hAnsiTheme="minorHAnsi" w:cstheme="minorBidi"/>
          <w:caps w:val="0"/>
          <w:szCs w:val="22"/>
          <w:lang w:eastAsia="en-GB"/>
        </w:rPr>
      </w:pPr>
      <w:hyperlink w:anchor="_Toc114216474" w:history="1">
        <w:r w:rsidR="0074336E" w:rsidRPr="00A70AC1">
          <w:rPr>
            <w:rStyle w:val="Hyperlink"/>
            <w:rFonts w:cs="Arial"/>
          </w:rPr>
          <w:t>3.</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SPECIFICATION</w:t>
        </w:r>
        <w:r w:rsidR="0074336E" w:rsidRPr="00A70AC1">
          <w:rPr>
            <w:webHidden/>
          </w:rPr>
          <w:tab/>
        </w:r>
        <w:r w:rsidR="0074336E" w:rsidRPr="00A70AC1">
          <w:rPr>
            <w:webHidden/>
          </w:rPr>
          <w:fldChar w:fldCharType="begin"/>
        </w:r>
        <w:r w:rsidR="0074336E" w:rsidRPr="00A70AC1">
          <w:rPr>
            <w:webHidden/>
          </w:rPr>
          <w:instrText xml:space="preserve"> PAGEREF _Toc114216474 \h </w:instrText>
        </w:r>
        <w:r w:rsidR="0074336E" w:rsidRPr="00A70AC1">
          <w:rPr>
            <w:webHidden/>
          </w:rPr>
        </w:r>
        <w:r w:rsidR="0074336E" w:rsidRPr="00A70AC1">
          <w:rPr>
            <w:webHidden/>
          </w:rPr>
          <w:fldChar w:fldCharType="separate"/>
        </w:r>
        <w:r w:rsidR="0074336E" w:rsidRPr="00A70AC1">
          <w:rPr>
            <w:webHidden/>
          </w:rPr>
          <w:t>10</w:t>
        </w:r>
        <w:r w:rsidR="0074336E" w:rsidRPr="00A70AC1">
          <w:rPr>
            <w:webHidden/>
          </w:rPr>
          <w:fldChar w:fldCharType="end"/>
        </w:r>
      </w:hyperlink>
    </w:p>
    <w:p w14:paraId="6E7191B1" w14:textId="75113837" w:rsidR="0074336E" w:rsidRPr="00A70AC1" w:rsidRDefault="00767758">
      <w:pPr>
        <w:pStyle w:val="TOC1"/>
        <w:rPr>
          <w:rFonts w:asciiTheme="minorHAnsi" w:eastAsiaTheme="minorEastAsia" w:hAnsiTheme="minorHAnsi" w:cstheme="minorBidi"/>
          <w:caps w:val="0"/>
          <w:szCs w:val="22"/>
          <w:lang w:eastAsia="en-GB"/>
        </w:rPr>
      </w:pPr>
      <w:hyperlink w:anchor="_Toc114216475" w:history="1">
        <w:r w:rsidR="0074336E" w:rsidRPr="00A70AC1">
          <w:rPr>
            <w:rStyle w:val="Hyperlink"/>
            <w:rFonts w:cs="Arial"/>
          </w:rPr>
          <w:t>4.</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CALL OFF CONTRACTS</w:t>
        </w:r>
        <w:r w:rsidR="0074336E" w:rsidRPr="00A70AC1">
          <w:rPr>
            <w:webHidden/>
          </w:rPr>
          <w:tab/>
        </w:r>
        <w:r w:rsidR="0074336E" w:rsidRPr="00A70AC1">
          <w:rPr>
            <w:webHidden/>
          </w:rPr>
          <w:fldChar w:fldCharType="begin"/>
        </w:r>
        <w:r w:rsidR="0074336E" w:rsidRPr="00A70AC1">
          <w:rPr>
            <w:webHidden/>
          </w:rPr>
          <w:instrText xml:space="preserve"> PAGEREF _Toc114216475 \h </w:instrText>
        </w:r>
        <w:r w:rsidR="0074336E" w:rsidRPr="00A70AC1">
          <w:rPr>
            <w:webHidden/>
          </w:rPr>
        </w:r>
        <w:r w:rsidR="0074336E" w:rsidRPr="00A70AC1">
          <w:rPr>
            <w:webHidden/>
          </w:rPr>
          <w:fldChar w:fldCharType="separate"/>
        </w:r>
        <w:r w:rsidR="0074336E" w:rsidRPr="00A70AC1">
          <w:rPr>
            <w:webHidden/>
          </w:rPr>
          <w:t>10</w:t>
        </w:r>
        <w:r w:rsidR="0074336E" w:rsidRPr="00A70AC1">
          <w:rPr>
            <w:webHidden/>
          </w:rPr>
          <w:fldChar w:fldCharType="end"/>
        </w:r>
      </w:hyperlink>
    </w:p>
    <w:p w14:paraId="15EF29D7" w14:textId="21FBC87A" w:rsidR="0074336E" w:rsidRPr="00A70AC1" w:rsidRDefault="00767758">
      <w:pPr>
        <w:pStyle w:val="TOC1"/>
        <w:rPr>
          <w:rFonts w:asciiTheme="minorHAnsi" w:eastAsiaTheme="minorEastAsia" w:hAnsiTheme="minorHAnsi" w:cstheme="minorBidi"/>
          <w:caps w:val="0"/>
          <w:szCs w:val="22"/>
          <w:lang w:eastAsia="en-GB"/>
        </w:rPr>
      </w:pPr>
      <w:hyperlink w:anchor="_Toc114216476" w:history="1">
        <w:r w:rsidR="0074336E" w:rsidRPr="00A70AC1">
          <w:rPr>
            <w:rStyle w:val="Hyperlink"/>
            <w:rFonts w:cs="Arial"/>
          </w:rPr>
          <w:t>Appendix C – Further Competition Questionnaire</w:t>
        </w:r>
        <w:r w:rsidR="0074336E" w:rsidRPr="00A70AC1">
          <w:rPr>
            <w:webHidden/>
          </w:rPr>
          <w:tab/>
        </w:r>
        <w:r w:rsidR="0074336E" w:rsidRPr="00A70AC1">
          <w:rPr>
            <w:webHidden/>
          </w:rPr>
          <w:fldChar w:fldCharType="begin"/>
        </w:r>
        <w:r w:rsidR="0074336E" w:rsidRPr="00A70AC1">
          <w:rPr>
            <w:webHidden/>
          </w:rPr>
          <w:instrText xml:space="preserve"> PAGEREF _Toc114216476 \h </w:instrText>
        </w:r>
        <w:r w:rsidR="0074336E" w:rsidRPr="00A70AC1">
          <w:rPr>
            <w:webHidden/>
          </w:rPr>
        </w:r>
        <w:r w:rsidR="0074336E" w:rsidRPr="00A70AC1">
          <w:rPr>
            <w:webHidden/>
          </w:rPr>
          <w:fldChar w:fldCharType="separate"/>
        </w:r>
        <w:r w:rsidR="0074336E" w:rsidRPr="00A70AC1">
          <w:rPr>
            <w:webHidden/>
          </w:rPr>
          <w:t>17</w:t>
        </w:r>
        <w:r w:rsidR="0074336E" w:rsidRPr="00A70AC1">
          <w:rPr>
            <w:webHidden/>
          </w:rPr>
          <w:fldChar w:fldCharType="end"/>
        </w:r>
      </w:hyperlink>
    </w:p>
    <w:p w14:paraId="1324DE5F" w14:textId="3F3104CE" w:rsidR="0074336E" w:rsidRPr="00A70AC1" w:rsidRDefault="00767758">
      <w:pPr>
        <w:pStyle w:val="TOC1"/>
        <w:rPr>
          <w:rFonts w:asciiTheme="minorHAnsi" w:eastAsiaTheme="minorEastAsia" w:hAnsiTheme="minorHAnsi" w:cstheme="minorBidi"/>
          <w:caps w:val="0"/>
          <w:szCs w:val="22"/>
          <w:lang w:eastAsia="en-GB"/>
        </w:rPr>
      </w:pPr>
      <w:hyperlink w:anchor="_Toc114216477" w:history="1">
        <w:r w:rsidR="0074336E" w:rsidRPr="00A70AC1">
          <w:rPr>
            <w:rStyle w:val="Hyperlink"/>
            <w:rFonts w:cs="Arial"/>
          </w:rPr>
          <w:t>1.</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introduction</w:t>
        </w:r>
        <w:r w:rsidR="0074336E" w:rsidRPr="00A70AC1">
          <w:rPr>
            <w:webHidden/>
          </w:rPr>
          <w:tab/>
        </w:r>
        <w:r w:rsidR="0074336E" w:rsidRPr="00A70AC1">
          <w:rPr>
            <w:webHidden/>
          </w:rPr>
          <w:fldChar w:fldCharType="begin"/>
        </w:r>
        <w:r w:rsidR="0074336E" w:rsidRPr="00A70AC1">
          <w:rPr>
            <w:webHidden/>
          </w:rPr>
          <w:instrText xml:space="preserve"> PAGEREF _Toc114216477 \h </w:instrText>
        </w:r>
        <w:r w:rsidR="0074336E" w:rsidRPr="00A70AC1">
          <w:rPr>
            <w:webHidden/>
          </w:rPr>
        </w:r>
        <w:r w:rsidR="0074336E" w:rsidRPr="00A70AC1">
          <w:rPr>
            <w:webHidden/>
          </w:rPr>
          <w:fldChar w:fldCharType="separate"/>
        </w:r>
        <w:r w:rsidR="0074336E" w:rsidRPr="00A70AC1">
          <w:rPr>
            <w:webHidden/>
          </w:rPr>
          <w:t>17</w:t>
        </w:r>
        <w:r w:rsidR="0074336E" w:rsidRPr="00A70AC1">
          <w:rPr>
            <w:webHidden/>
          </w:rPr>
          <w:fldChar w:fldCharType="end"/>
        </w:r>
      </w:hyperlink>
    </w:p>
    <w:p w14:paraId="08739E02" w14:textId="35B12176" w:rsidR="0074336E" w:rsidRPr="00A70AC1" w:rsidRDefault="00767758">
      <w:pPr>
        <w:pStyle w:val="TOC1"/>
        <w:rPr>
          <w:rFonts w:asciiTheme="minorHAnsi" w:eastAsiaTheme="minorEastAsia" w:hAnsiTheme="minorHAnsi" w:cstheme="minorBidi"/>
          <w:caps w:val="0"/>
          <w:szCs w:val="22"/>
          <w:lang w:eastAsia="en-GB"/>
        </w:rPr>
      </w:pPr>
      <w:hyperlink w:anchor="_Toc114216478" w:history="1">
        <w:r w:rsidR="0074336E" w:rsidRPr="00A70AC1">
          <w:rPr>
            <w:rStyle w:val="Hyperlink"/>
            <w:rFonts w:cs="Arial"/>
          </w:rPr>
          <w:t>2.</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DOCUMENT COMPLETION</w:t>
        </w:r>
        <w:r w:rsidR="0074336E" w:rsidRPr="00A70AC1">
          <w:rPr>
            <w:webHidden/>
          </w:rPr>
          <w:tab/>
        </w:r>
        <w:r w:rsidR="0074336E" w:rsidRPr="00A70AC1">
          <w:rPr>
            <w:webHidden/>
          </w:rPr>
          <w:fldChar w:fldCharType="begin"/>
        </w:r>
        <w:r w:rsidR="0074336E" w:rsidRPr="00A70AC1">
          <w:rPr>
            <w:webHidden/>
          </w:rPr>
          <w:instrText xml:space="preserve"> PAGEREF _Toc114216478 \h </w:instrText>
        </w:r>
        <w:r w:rsidR="0074336E" w:rsidRPr="00A70AC1">
          <w:rPr>
            <w:webHidden/>
          </w:rPr>
        </w:r>
        <w:r w:rsidR="0074336E" w:rsidRPr="00A70AC1">
          <w:rPr>
            <w:webHidden/>
          </w:rPr>
          <w:fldChar w:fldCharType="separate"/>
        </w:r>
        <w:r w:rsidR="0074336E" w:rsidRPr="00A70AC1">
          <w:rPr>
            <w:webHidden/>
          </w:rPr>
          <w:t>17</w:t>
        </w:r>
        <w:r w:rsidR="0074336E" w:rsidRPr="00A70AC1">
          <w:rPr>
            <w:webHidden/>
          </w:rPr>
          <w:fldChar w:fldCharType="end"/>
        </w:r>
      </w:hyperlink>
    </w:p>
    <w:p w14:paraId="56816EBE" w14:textId="47F9B300" w:rsidR="0074336E" w:rsidRPr="00A70AC1" w:rsidRDefault="00767758">
      <w:pPr>
        <w:pStyle w:val="TOC1"/>
        <w:rPr>
          <w:rFonts w:asciiTheme="minorHAnsi" w:eastAsiaTheme="minorEastAsia" w:hAnsiTheme="minorHAnsi" w:cstheme="minorBidi"/>
          <w:caps w:val="0"/>
          <w:szCs w:val="22"/>
          <w:lang w:eastAsia="en-GB"/>
        </w:rPr>
      </w:pPr>
      <w:hyperlink w:anchor="_Toc114216479" w:history="1">
        <w:r w:rsidR="0074336E" w:rsidRPr="00A70AC1">
          <w:rPr>
            <w:rStyle w:val="Hyperlink"/>
            <w:rFonts w:cs="Arial"/>
          </w:rPr>
          <w:t>3.</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RESPONSE TEMPLATE</w:t>
        </w:r>
        <w:r w:rsidR="0074336E" w:rsidRPr="00A70AC1">
          <w:rPr>
            <w:webHidden/>
          </w:rPr>
          <w:tab/>
        </w:r>
        <w:r w:rsidR="0074336E" w:rsidRPr="00A70AC1">
          <w:rPr>
            <w:webHidden/>
          </w:rPr>
          <w:fldChar w:fldCharType="begin"/>
        </w:r>
        <w:r w:rsidR="0074336E" w:rsidRPr="00A70AC1">
          <w:rPr>
            <w:webHidden/>
          </w:rPr>
          <w:instrText xml:space="preserve"> PAGEREF _Toc114216479 \h </w:instrText>
        </w:r>
        <w:r w:rsidR="0074336E" w:rsidRPr="00A70AC1">
          <w:rPr>
            <w:webHidden/>
          </w:rPr>
        </w:r>
        <w:r w:rsidR="0074336E" w:rsidRPr="00A70AC1">
          <w:rPr>
            <w:webHidden/>
          </w:rPr>
          <w:fldChar w:fldCharType="separate"/>
        </w:r>
        <w:r w:rsidR="0074336E" w:rsidRPr="00A70AC1">
          <w:rPr>
            <w:webHidden/>
          </w:rPr>
          <w:t>17</w:t>
        </w:r>
        <w:r w:rsidR="0074336E" w:rsidRPr="00A70AC1">
          <w:rPr>
            <w:webHidden/>
          </w:rPr>
          <w:fldChar w:fldCharType="end"/>
        </w:r>
      </w:hyperlink>
    </w:p>
    <w:p w14:paraId="3E825BD2" w14:textId="113ABBF7" w:rsidR="0074336E" w:rsidRPr="00A70AC1" w:rsidRDefault="00767758">
      <w:pPr>
        <w:pStyle w:val="TOC1"/>
        <w:rPr>
          <w:rFonts w:asciiTheme="minorHAnsi" w:eastAsiaTheme="minorEastAsia" w:hAnsiTheme="minorHAnsi" w:cstheme="minorBidi"/>
          <w:caps w:val="0"/>
          <w:szCs w:val="22"/>
          <w:lang w:eastAsia="en-GB"/>
        </w:rPr>
      </w:pPr>
      <w:hyperlink w:anchor="_Toc114216480" w:history="1">
        <w:r w:rsidR="0074336E" w:rsidRPr="00A70AC1">
          <w:rPr>
            <w:rStyle w:val="Hyperlink"/>
            <w:rFonts w:cs="Arial"/>
          </w:rPr>
          <w:t>4.</w:t>
        </w:r>
        <w:r w:rsidR="0074336E" w:rsidRPr="00A70AC1">
          <w:rPr>
            <w:rFonts w:asciiTheme="minorHAnsi" w:eastAsiaTheme="minorEastAsia" w:hAnsiTheme="minorHAnsi" w:cstheme="minorBidi"/>
            <w:caps w:val="0"/>
            <w:szCs w:val="22"/>
            <w:lang w:eastAsia="en-GB"/>
          </w:rPr>
          <w:tab/>
        </w:r>
        <w:r w:rsidR="0074336E" w:rsidRPr="00A70AC1">
          <w:rPr>
            <w:rStyle w:val="Hyperlink"/>
            <w:rFonts w:cs="Arial"/>
          </w:rPr>
          <w:t>Marking Scheme</w:t>
        </w:r>
        <w:r w:rsidR="0074336E" w:rsidRPr="00A70AC1">
          <w:rPr>
            <w:webHidden/>
          </w:rPr>
          <w:tab/>
        </w:r>
        <w:r w:rsidR="0074336E" w:rsidRPr="00A70AC1">
          <w:rPr>
            <w:webHidden/>
          </w:rPr>
          <w:fldChar w:fldCharType="begin"/>
        </w:r>
        <w:r w:rsidR="0074336E" w:rsidRPr="00A70AC1">
          <w:rPr>
            <w:webHidden/>
          </w:rPr>
          <w:instrText xml:space="preserve"> PAGEREF _Toc114216480 \h </w:instrText>
        </w:r>
        <w:r w:rsidR="0074336E" w:rsidRPr="00A70AC1">
          <w:rPr>
            <w:webHidden/>
          </w:rPr>
        </w:r>
        <w:r w:rsidR="0074336E" w:rsidRPr="00A70AC1">
          <w:rPr>
            <w:webHidden/>
          </w:rPr>
          <w:fldChar w:fldCharType="separate"/>
        </w:r>
        <w:r w:rsidR="0074336E" w:rsidRPr="00A70AC1">
          <w:rPr>
            <w:webHidden/>
          </w:rPr>
          <w:t>20</w:t>
        </w:r>
        <w:r w:rsidR="0074336E" w:rsidRPr="00A70AC1">
          <w:rPr>
            <w:webHidden/>
          </w:rPr>
          <w:fldChar w:fldCharType="end"/>
        </w:r>
      </w:hyperlink>
    </w:p>
    <w:p w14:paraId="5CB8A737" w14:textId="2A09573D" w:rsidR="00136BDD" w:rsidRPr="00A70AC1" w:rsidRDefault="00E448ED" w:rsidP="00136BDD">
      <w:pPr>
        <w:pStyle w:val="Heading1"/>
        <w:numPr>
          <w:ilvl w:val="0"/>
          <w:numId w:val="0"/>
        </w:numPr>
        <w:tabs>
          <w:tab w:val="left" w:pos="851"/>
        </w:tabs>
        <w:spacing w:after="120"/>
        <w:ind w:left="720"/>
        <w:rPr>
          <w:rFonts w:cs="Arial"/>
          <w:caps w:val="0"/>
          <w:szCs w:val="22"/>
        </w:rPr>
      </w:pPr>
      <w:r w:rsidRPr="00A70AC1">
        <w:rPr>
          <w:rFonts w:cs="Arial"/>
          <w:caps w:val="0"/>
          <w:sz w:val="20"/>
        </w:rPr>
        <w:fldChar w:fldCharType="end"/>
      </w:r>
    </w:p>
    <w:p w14:paraId="32F3D9E6" w14:textId="77777777" w:rsidR="00AF2CEF" w:rsidRPr="00A70AC1" w:rsidRDefault="00136BDD" w:rsidP="00AF2CEF">
      <w:pPr>
        <w:pStyle w:val="Heading1"/>
        <w:tabs>
          <w:tab w:val="left" w:pos="851"/>
        </w:tabs>
        <w:spacing w:before="120" w:after="120"/>
        <w:rPr>
          <w:rFonts w:cs="Arial"/>
          <w:szCs w:val="22"/>
        </w:rPr>
      </w:pPr>
      <w:r w:rsidRPr="00A70AC1">
        <w:rPr>
          <w:rFonts w:cs="Arial"/>
          <w:caps w:val="0"/>
          <w:szCs w:val="22"/>
        </w:rPr>
        <w:br w:type="page"/>
      </w:r>
      <w:bookmarkStart w:id="0" w:name="_Toc114216457"/>
      <w:bookmarkStart w:id="1" w:name="_Toc278544909"/>
      <w:r w:rsidR="00AF2CEF" w:rsidRPr="00A70AC1">
        <w:rPr>
          <w:rFonts w:cs="Arial"/>
          <w:szCs w:val="22"/>
        </w:rPr>
        <w:lastRenderedPageBreak/>
        <w:t>glossary</w:t>
      </w:r>
      <w:bookmarkEnd w:id="0"/>
      <w:r w:rsidR="00AF2CEF" w:rsidRPr="00A70AC1">
        <w:rPr>
          <w:rFonts w:cs="Arial"/>
          <w:szCs w:val="22"/>
        </w:rPr>
        <w:t xml:space="preserve"> </w:t>
      </w:r>
    </w:p>
    <w:p w14:paraId="4FFB1C21" w14:textId="77777777" w:rsidR="00AF2CEF" w:rsidRPr="00A70AC1" w:rsidRDefault="006A3734" w:rsidP="00AF2CEF">
      <w:pPr>
        <w:pStyle w:val="Heading2"/>
        <w:tabs>
          <w:tab w:val="left" w:pos="851"/>
        </w:tabs>
        <w:spacing w:after="120"/>
        <w:ind w:left="737" w:hanging="737"/>
        <w:rPr>
          <w:rFonts w:cs="Arial"/>
          <w:szCs w:val="22"/>
        </w:rPr>
      </w:pPr>
      <w:r w:rsidRPr="00A70AC1">
        <w:rPr>
          <w:rFonts w:cs="Arial"/>
          <w:szCs w:val="22"/>
        </w:rPr>
        <w:t xml:space="preserve">In this Further Competition </w:t>
      </w:r>
      <w:proofErr w:type="gramStart"/>
      <w:r w:rsidRPr="00A70AC1">
        <w:rPr>
          <w:rFonts w:cs="Arial"/>
          <w:szCs w:val="22"/>
        </w:rPr>
        <w:t>Invitation</w:t>
      </w:r>
      <w:proofErr w:type="gramEnd"/>
      <w:r w:rsidRPr="00A70AC1">
        <w:rPr>
          <w:rFonts w:cs="Arial"/>
          <w:szCs w:val="22"/>
        </w:rPr>
        <w:t xml:space="preserve"> </w:t>
      </w:r>
      <w:r w:rsidR="00AF2CEF" w:rsidRPr="00A70AC1">
        <w:rPr>
          <w:rFonts w:cs="Arial"/>
          <w:szCs w:val="22"/>
        </w:rPr>
        <w:t>the following words and phrases have the following meanings:</w:t>
      </w:r>
    </w:p>
    <w:p w14:paraId="6F72F414" w14:textId="1D380178"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Authority</w:t>
      </w:r>
      <w:r w:rsidRPr="00A70AC1">
        <w:rPr>
          <w:rFonts w:cs="Arial"/>
          <w:szCs w:val="22"/>
        </w:rPr>
        <w:t xml:space="preserve">” means </w:t>
      </w:r>
      <w:r w:rsidR="00594E09" w:rsidRPr="00A70AC1">
        <w:rPr>
          <w:rFonts w:cs="Arial"/>
          <w:szCs w:val="22"/>
        </w:rPr>
        <w:t>De</w:t>
      </w:r>
      <w:r w:rsidR="00D73FBD" w:rsidRPr="00A70AC1">
        <w:rPr>
          <w:rFonts w:cs="Arial"/>
          <w:szCs w:val="22"/>
        </w:rPr>
        <w:t xml:space="preserve">fence Infrastructure </w:t>
      </w:r>
      <w:proofErr w:type="gramStart"/>
      <w:r w:rsidR="00D73FBD" w:rsidRPr="00A70AC1">
        <w:rPr>
          <w:rFonts w:cs="Arial"/>
          <w:szCs w:val="22"/>
        </w:rPr>
        <w:t>Organisation</w:t>
      </w:r>
      <w:r w:rsidRPr="00A70AC1">
        <w:rPr>
          <w:rFonts w:cs="Arial"/>
          <w:szCs w:val="22"/>
        </w:rPr>
        <w:t>;</w:t>
      </w:r>
      <w:proofErr w:type="gramEnd"/>
    </w:p>
    <w:p w14:paraId="1BB1C90A" w14:textId="203A0F92" w:rsidR="00AF4699" w:rsidRPr="00A70AC1" w:rsidRDefault="00C2710F" w:rsidP="00AF2CEF">
      <w:pPr>
        <w:pStyle w:val="Heading2"/>
        <w:numPr>
          <w:ilvl w:val="0"/>
          <w:numId w:val="0"/>
        </w:numPr>
        <w:tabs>
          <w:tab w:val="left" w:pos="851"/>
        </w:tabs>
        <w:spacing w:after="120"/>
        <w:ind w:left="720"/>
        <w:rPr>
          <w:rFonts w:cs="Arial"/>
          <w:b/>
          <w:bCs/>
          <w:szCs w:val="22"/>
        </w:rPr>
      </w:pPr>
      <w:r w:rsidRPr="00A70AC1">
        <w:rPr>
          <w:rStyle w:val="normaltextrun"/>
          <w:rFonts w:cs="Arial"/>
          <w:b/>
          <w:bCs/>
        </w:rPr>
        <w:t>“</w:t>
      </w:r>
      <w:proofErr w:type="spellStart"/>
      <w:r w:rsidR="00AF4699" w:rsidRPr="00A70AC1">
        <w:rPr>
          <w:rStyle w:val="normaltextrun"/>
          <w:rFonts w:cs="Arial"/>
          <w:b/>
          <w:bCs/>
        </w:rPr>
        <w:t>Aquatrine</w:t>
      </w:r>
      <w:proofErr w:type="spellEnd"/>
      <w:r w:rsidRPr="00A70AC1">
        <w:rPr>
          <w:rStyle w:val="normaltextrun"/>
          <w:rFonts w:cs="Arial"/>
          <w:b/>
          <w:bCs/>
        </w:rPr>
        <w:t xml:space="preserve">” </w:t>
      </w:r>
      <w:r w:rsidR="00FA3929" w:rsidRPr="00A70AC1">
        <w:rPr>
          <w:rStyle w:val="normaltextrun"/>
          <w:rFonts w:cs="Arial"/>
        </w:rPr>
        <w:t xml:space="preserve">MOD’s GB-wide water and wastewater Public Private Partnership (PPP) </w:t>
      </w:r>
      <w:proofErr w:type="gramStart"/>
      <w:r w:rsidR="00FA3929" w:rsidRPr="00A70AC1">
        <w:rPr>
          <w:rStyle w:val="normaltextrun"/>
          <w:rFonts w:cs="Arial"/>
        </w:rPr>
        <w:t>project</w:t>
      </w:r>
      <w:r w:rsidR="00523B9C" w:rsidRPr="00A70AC1">
        <w:rPr>
          <w:rStyle w:val="normaltextrun"/>
          <w:rFonts w:cs="Arial"/>
        </w:rPr>
        <w:t>;</w:t>
      </w:r>
      <w:proofErr w:type="gramEnd"/>
    </w:p>
    <w:p w14:paraId="280A9828" w14:textId="77777777" w:rsidR="009E4826" w:rsidRPr="00A70AC1" w:rsidRDefault="009E4826" w:rsidP="009E4826">
      <w:pPr>
        <w:pStyle w:val="Heading2"/>
        <w:numPr>
          <w:ilvl w:val="0"/>
          <w:numId w:val="0"/>
        </w:numPr>
        <w:tabs>
          <w:tab w:val="left" w:pos="851"/>
        </w:tabs>
        <w:spacing w:after="120"/>
        <w:ind w:left="720"/>
        <w:rPr>
          <w:rFonts w:cs="Arial"/>
          <w:szCs w:val="22"/>
        </w:rPr>
      </w:pPr>
      <w:r w:rsidRPr="00A70AC1">
        <w:rPr>
          <w:rFonts w:cs="Arial"/>
          <w:b/>
          <w:szCs w:val="22"/>
        </w:rPr>
        <w:t>“CCS”</w:t>
      </w:r>
      <w:r w:rsidRPr="00A70AC1">
        <w:rPr>
          <w:rFonts w:cs="Arial"/>
          <w:szCs w:val="22"/>
        </w:rPr>
        <w:t xml:space="preserve"> means Crown Commercial </w:t>
      </w:r>
      <w:proofErr w:type="gramStart"/>
      <w:r w:rsidRPr="00A70AC1">
        <w:rPr>
          <w:rFonts w:cs="Arial"/>
          <w:szCs w:val="22"/>
        </w:rPr>
        <w:t>Service;</w:t>
      </w:r>
      <w:proofErr w:type="gramEnd"/>
    </w:p>
    <w:p w14:paraId="397BF7CB"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Contract</w:t>
      </w:r>
      <w:r w:rsidRPr="00A70AC1">
        <w:rPr>
          <w:rFonts w:cs="Arial"/>
          <w:szCs w:val="22"/>
        </w:rPr>
        <w:t xml:space="preserve">” has the meaning set out in Framework Agreement Schedule </w:t>
      </w:r>
      <w:proofErr w:type="gramStart"/>
      <w:r w:rsidRPr="00A70AC1">
        <w:rPr>
          <w:rFonts w:cs="Arial"/>
          <w:szCs w:val="22"/>
        </w:rPr>
        <w:t>4;</w:t>
      </w:r>
      <w:proofErr w:type="gramEnd"/>
    </w:p>
    <w:p w14:paraId="63DE089A"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Further Competition</w:t>
      </w:r>
      <w:r w:rsidRPr="00A70AC1">
        <w:rPr>
          <w:rFonts w:cs="Arial"/>
          <w:szCs w:val="22"/>
        </w:rPr>
        <w:t xml:space="preserve">” means the process used to establish a Contract that facilitates the provision of </w:t>
      </w:r>
      <w:r w:rsidR="009222A3" w:rsidRPr="00A70AC1">
        <w:rPr>
          <w:rFonts w:cs="Arial"/>
          <w:szCs w:val="22"/>
        </w:rPr>
        <w:t>Water wastewater and ancillary service (Lot 2 ancillary services)</w:t>
      </w:r>
    </w:p>
    <w:p w14:paraId="57FCDE53"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 xml:space="preserve"> “</w:t>
      </w:r>
      <w:r w:rsidRPr="00A70AC1">
        <w:rPr>
          <w:rFonts w:cs="Arial"/>
          <w:b/>
          <w:szCs w:val="22"/>
        </w:rPr>
        <w:t>Further Competition</w:t>
      </w:r>
      <w:r w:rsidRPr="00A70AC1">
        <w:rPr>
          <w:rFonts w:cs="Arial"/>
          <w:szCs w:val="22"/>
        </w:rPr>
        <w:t xml:space="preserve"> </w:t>
      </w:r>
      <w:r w:rsidRPr="00A70AC1">
        <w:rPr>
          <w:rFonts w:cs="Arial"/>
          <w:b/>
          <w:szCs w:val="22"/>
        </w:rPr>
        <w:t>Invitation</w:t>
      </w:r>
      <w:r w:rsidRPr="00A70AC1">
        <w:rPr>
          <w:rFonts w:cs="Arial"/>
          <w:szCs w:val="22"/>
        </w:rPr>
        <w:t xml:space="preserve">” means this document and all related documents published by the Authority in relation to this Further </w:t>
      </w:r>
      <w:proofErr w:type="gramStart"/>
      <w:r w:rsidRPr="00A70AC1">
        <w:rPr>
          <w:rFonts w:cs="Arial"/>
          <w:szCs w:val="22"/>
        </w:rPr>
        <w:t>Competition;</w:t>
      </w:r>
      <w:proofErr w:type="gramEnd"/>
    </w:p>
    <w:p w14:paraId="1E7FF43A"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Marking Scheme</w:t>
      </w:r>
      <w:r w:rsidRPr="00A70AC1">
        <w:rPr>
          <w:rFonts w:cs="Arial"/>
          <w:szCs w:val="22"/>
        </w:rPr>
        <w:t xml:space="preserve">” means the range of marks that may be given to a Potential Provider depending on the quality of its response to a question which is located in the boxes below the applicable </w:t>
      </w:r>
      <w:proofErr w:type="gramStart"/>
      <w:r w:rsidRPr="00A70AC1">
        <w:rPr>
          <w:rFonts w:cs="Arial"/>
          <w:szCs w:val="22"/>
        </w:rPr>
        <w:t>question;</w:t>
      </w:r>
      <w:proofErr w:type="gramEnd"/>
    </w:p>
    <w:p w14:paraId="2DC927A5"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Minimum Total Score</w:t>
      </w:r>
      <w:r w:rsidRPr="00A70AC1">
        <w:rPr>
          <w:rFonts w:cs="Arial"/>
          <w:szCs w:val="22"/>
        </w:rPr>
        <w:t xml:space="preserve">” means the minimum score that the Potential Provider must obtain in order to be awarded the </w:t>
      </w:r>
      <w:proofErr w:type="gramStart"/>
      <w:r w:rsidRPr="00A70AC1">
        <w:rPr>
          <w:rFonts w:cs="Arial"/>
          <w:szCs w:val="22"/>
        </w:rPr>
        <w:t>Contract;</w:t>
      </w:r>
      <w:proofErr w:type="gramEnd"/>
    </w:p>
    <w:p w14:paraId="19029EDD"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Total Score Available</w:t>
      </w:r>
      <w:r w:rsidRPr="00A70AC1">
        <w:rPr>
          <w:rFonts w:cs="Arial"/>
          <w:szCs w:val="22"/>
        </w:rPr>
        <w:t xml:space="preserve">” means the maximum potential score that can be awarded for a response to a </w:t>
      </w:r>
      <w:proofErr w:type="gramStart"/>
      <w:r w:rsidRPr="00A70AC1">
        <w:rPr>
          <w:rFonts w:cs="Arial"/>
          <w:szCs w:val="22"/>
        </w:rPr>
        <w:t>question;</w:t>
      </w:r>
      <w:proofErr w:type="gramEnd"/>
    </w:p>
    <w:p w14:paraId="1495476D"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Potential Provider</w:t>
      </w:r>
      <w:r w:rsidRPr="00A70AC1">
        <w:rPr>
          <w:rFonts w:cs="Arial"/>
          <w:szCs w:val="22"/>
        </w:rPr>
        <w:t xml:space="preserve">” means a company that submits a Tender in response to the Further Competition </w:t>
      </w:r>
      <w:proofErr w:type="gramStart"/>
      <w:r w:rsidRPr="00A70AC1">
        <w:rPr>
          <w:rFonts w:cs="Arial"/>
          <w:szCs w:val="22"/>
        </w:rPr>
        <w:t>Invitation;</w:t>
      </w:r>
      <w:proofErr w:type="gramEnd"/>
    </w:p>
    <w:p w14:paraId="3DE1CA7C"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 xml:space="preserve"> “</w:t>
      </w:r>
      <w:r w:rsidRPr="00A70AC1">
        <w:rPr>
          <w:rFonts w:cs="Arial"/>
          <w:b/>
          <w:szCs w:val="22"/>
        </w:rPr>
        <w:t>Supplier</w:t>
      </w:r>
      <w:r w:rsidRPr="00A70AC1">
        <w:rPr>
          <w:rFonts w:cs="Arial"/>
          <w:szCs w:val="22"/>
        </w:rPr>
        <w:t xml:space="preserve">” means the Potential Provider with whom the Authority has concluded the </w:t>
      </w:r>
      <w:proofErr w:type="gramStart"/>
      <w:r w:rsidRPr="00A70AC1">
        <w:rPr>
          <w:rFonts w:cs="Arial"/>
          <w:szCs w:val="22"/>
        </w:rPr>
        <w:t>Contract;</w:t>
      </w:r>
      <w:proofErr w:type="gramEnd"/>
    </w:p>
    <w:p w14:paraId="1A21BF21" w14:textId="77777777" w:rsidR="006A3734" w:rsidRPr="00A70AC1" w:rsidRDefault="006A3734" w:rsidP="006A3734">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Tender</w:t>
      </w:r>
      <w:r w:rsidRPr="00A70AC1">
        <w:rPr>
          <w:rFonts w:cs="Arial"/>
          <w:szCs w:val="22"/>
        </w:rPr>
        <w:t xml:space="preserve">” means the Potential Provider’s formal offer in response to the Invitation to </w:t>
      </w:r>
      <w:proofErr w:type="gramStart"/>
      <w:r w:rsidRPr="00A70AC1">
        <w:rPr>
          <w:rFonts w:cs="Arial"/>
          <w:szCs w:val="22"/>
        </w:rPr>
        <w:t>Tender;</w:t>
      </w:r>
      <w:proofErr w:type="gramEnd"/>
      <w:r w:rsidRPr="00A70AC1">
        <w:rPr>
          <w:rFonts w:cs="Arial"/>
          <w:szCs w:val="22"/>
        </w:rPr>
        <w:t xml:space="preserve"> </w:t>
      </w:r>
    </w:p>
    <w:p w14:paraId="1BAE24CA"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Tender Clarifications Deadline</w:t>
      </w:r>
      <w:r w:rsidRPr="00A70AC1">
        <w:rPr>
          <w:rFonts w:cs="Arial"/>
          <w:szCs w:val="22"/>
        </w:rPr>
        <w:t xml:space="preserve">” means the time and date set out in paragraph 4 for the latest submission of clarification questions; </w:t>
      </w:r>
      <w:r w:rsidR="006A3734" w:rsidRPr="00A70AC1">
        <w:rPr>
          <w:rFonts w:cs="Arial"/>
          <w:szCs w:val="22"/>
        </w:rPr>
        <w:t>and</w:t>
      </w:r>
    </w:p>
    <w:p w14:paraId="02C61E05" w14:textId="77777777" w:rsidR="00AF2CEF" w:rsidRPr="00A70AC1" w:rsidRDefault="00AF2CEF" w:rsidP="00AF2CEF">
      <w:pPr>
        <w:pStyle w:val="Heading2"/>
        <w:numPr>
          <w:ilvl w:val="0"/>
          <w:numId w:val="0"/>
        </w:numPr>
        <w:tabs>
          <w:tab w:val="left" w:pos="851"/>
        </w:tabs>
        <w:spacing w:after="120"/>
        <w:ind w:left="720"/>
        <w:rPr>
          <w:rFonts w:cs="Arial"/>
          <w:szCs w:val="22"/>
        </w:rPr>
      </w:pPr>
      <w:r w:rsidRPr="00A70AC1">
        <w:rPr>
          <w:rFonts w:cs="Arial"/>
          <w:szCs w:val="22"/>
        </w:rPr>
        <w:t>“</w:t>
      </w:r>
      <w:r w:rsidRPr="00A70AC1">
        <w:rPr>
          <w:rFonts w:cs="Arial"/>
          <w:b/>
          <w:szCs w:val="22"/>
        </w:rPr>
        <w:t>Tender Submission Deadline</w:t>
      </w:r>
      <w:r w:rsidRPr="00A70AC1">
        <w:rPr>
          <w:rFonts w:cs="Arial"/>
          <w:szCs w:val="22"/>
        </w:rPr>
        <w:t xml:space="preserve">” means the time and date set out in paragraph 4 for the </w:t>
      </w:r>
      <w:r w:rsidR="006A3734" w:rsidRPr="00A70AC1">
        <w:rPr>
          <w:rFonts w:cs="Arial"/>
          <w:szCs w:val="22"/>
        </w:rPr>
        <w:t>latest uploading of Tenders.</w:t>
      </w:r>
    </w:p>
    <w:p w14:paraId="057A67FB" w14:textId="77777777" w:rsidR="00ED105F" w:rsidRPr="00A70AC1" w:rsidRDefault="00ED105F" w:rsidP="00AF2CEF">
      <w:pPr>
        <w:pStyle w:val="Heading2"/>
        <w:numPr>
          <w:ilvl w:val="0"/>
          <w:numId w:val="0"/>
        </w:numPr>
        <w:tabs>
          <w:tab w:val="left" w:pos="851"/>
        </w:tabs>
        <w:spacing w:after="120"/>
        <w:ind w:left="720"/>
        <w:rPr>
          <w:rFonts w:cs="Arial"/>
          <w:szCs w:val="22"/>
        </w:rPr>
      </w:pPr>
      <w:r w:rsidRPr="00A70AC1">
        <w:rPr>
          <w:rFonts w:cs="Arial"/>
          <w:szCs w:val="22"/>
        </w:rPr>
        <w:br w:type="column"/>
      </w:r>
    </w:p>
    <w:p w14:paraId="43F3CA93" w14:textId="77777777" w:rsidR="00BB7AA8" w:rsidRPr="00A70AC1" w:rsidRDefault="00BB7AA8" w:rsidP="007110A9">
      <w:pPr>
        <w:pStyle w:val="Heading1"/>
        <w:tabs>
          <w:tab w:val="left" w:pos="851"/>
        </w:tabs>
        <w:spacing w:after="120"/>
        <w:rPr>
          <w:rFonts w:cs="Arial"/>
          <w:szCs w:val="22"/>
        </w:rPr>
      </w:pPr>
      <w:bookmarkStart w:id="2" w:name="_Toc114216458"/>
      <w:r w:rsidRPr="00A70AC1">
        <w:rPr>
          <w:rFonts w:cs="Arial"/>
          <w:szCs w:val="22"/>
        </w:rPr>
        <w:t>introduction</w:t>
      </w:r>
      <w:bookmarkEnd w:id="1"/>
      <w:bookmarkEnd w:id="2"/>
    </w:p>
    <w:p w14:paraId="7AAF3152" w14:textId="77777777" w:rsidR="001D0473" w:rsidRPr="00A70AC1" w:rsidRDefault="000067FA" w:rsidP="007110A9">
      <w:pPr>
        <w:pStyle w:val="Heading2"/>
        <w:tabs>
          <w:tab w:val="left" w:pos="851"/>
        </w:tabs>
        <w:spacing w:after="120"/>
        <w:ind w:left="737" w:hanging="737"/>
        <w:rPr>
          <w:rFonts w:cs="Arial"/>
          <w:szCs w:val="22"/>
        </w:rPr>
      </w:pPr>
      <w:r w:rsidRPr="00A70AC1">
        <w:rPr>
          <w:rFonts w:cs="Arial"/>
          <w:szCs w:val="22"/>
        </w:rPr>
        <w:t xml:space="preserve">This </w:t>
      </w:r>
      <w:r w:rsidR="00087F84" w:rsidRPr="00A70AC1">
        <w:rPr>
          <w:rFonts w:cs="Arial"/>
          <w:szCs w:val="22"/>
        </w:rPr>
        <w:t xml:space="preserve">Further Competition </w:t>
      </w:r>
      <w:r w:rsidRPr="00A70AC1">
        <w:rPr>
          <w:rFonts w:cs="Arial"/>
          <w:szCs w:val="22"/>
        </w:rPr>
        <w:t xml:space="preserve">Invitation relates to the </w:t>
      </w:r>
      <w:r w:rsidR="00B423E5" w:rsidRPr="00A70AC1">
        <w:rPr>
          <w:rFonts w:cs="Arial"/>
          <w:szCs w:val="22"/>
        </w:rPr>
        <w:t>Further Competition</w:t>
      </w:r>
      <w:r w:rsidR="00847117" w:rsidRPr="00A70AC1">
        <w:rPr>
          <w:rFonts w:cs="Arial"/>
          <w:szCs w:val="22"/>
        </w:rPr>
        <w:t xml:space="preserve"> to award a Water wastewater and ancillary services Lot 2</w:t>
      </w:r>
      <w:r w:rsidR="00BF612A" w:rsidRPr="00A70AC1">
        <w:rPr>
          <w:rFonts w:cs="Arial"/>
          <w:szCs w:val="22"/>
        </w:rPr>
        <w:t xml:space="preserve"> </w:t>
      </w:r>
      <w:r w:rsidR="003D274F" w:rsidRPr="00A70AC1">
        <w:rPr>
          <w:rFonts w:cs="Arial"/>
          <w:szCs w:val="22"/>
        </w:rPr>
        <w:t>C</w:t>
      </w:r>
      <w:r w:rsidR="000109B9" w:rsidRPr="00A70AC1">
        <w:rPr>
          <w:rFonts w:cs="Arial"/>
          <w:szCs w:val="22"/>
        </w:rPr>
        <w:t xml:space="preserve">ontract </w:t>
      </w:r>
      <w:r w:rsidRPr="00A70AC1">
        <w:rPr>
          <w:rFonts w:cs="Arial"/>
          <w:szCs w:val="22"/>
        </w:rPr>
        <w:t xml:space="preserve">to a </w:t>
      </w:r>
      <w:r w:rsidR="00D47512" w:rsidRPr="00A70AC1">
        <w:rPr>
          <w:rFonts w:cs="Arial"/>
          <w:szCs w:val="22"/>
        </w:rPr>
        <w:t xml:space="preserve">sole </w:t>
      </w:r>
      <w:r w:rsidRPr="00A70AC1">
        <w:rPr>
          <w:rFonts w:cs="Arial"/>
          <w:szCs w:val="22"/>
        </w:rPr>
        <w:t>Supplier.</w:t>
      </w:r>
      <w:r w:rsidR="001D0473" w:rsidRPr="00A70AC1">
        <w:rPr>
          <w:rFonts w:cs="Arial"/>
          <w:szCs w:val="22"/>
        </w:rPr>
        <w:t xml:space="preserve"> </w:t>
      </w:r>
    </w:p>
    <w:p w14:paraId="2E041618" w14:textId="31B0CAD4" w:rsidR="000067FA" w:rsidRPr="00A70AC1" w:rsidRDefault="000067FA" w:rsidP="007110A9">
      <w:pPr>
        <w:pStyle w:val="Heading2"/>
        <w:tabs>
          <w:tab w:val="left" w:pos="851"/>
        </w:tabs>
        <w:spacing w:after="120"/>
        <w:ind w:left="737" w:hanging="737"/>
        <w:rPr>
          <w:rFonts w:cs="Arial"/>
          <w:szCs w:val="22"/>
        </w:rPr>
      </w:pPr>
      <w:r w:rsidRPr="00A70AC1">
        <w:rPr>
          <w:rFonts w:cs="Arial"/>
          <w:szCs w:val="22"/>
        </w:rPr>
        <w:t xml:space="preserve">This </w:t>
      </w:r>
      <w:r w:rsidR="00087F84" w:rsidRPr="00A70AC1">
        <w:rPr>
          <w:rFonts w:cs="Arial"/>
          <w:szCs w:val="22"/>
        </w:rPr>
        <w:t>Further Competition Invitation</w:t>
      </w:r>
      <w:r w:rsidRPr="00A70AC1">
        <w:rPr>
          <w:rFonts w:cs="Arial"/>
          <w:szCs w:val="22"/>
        </w:rPr>
        <w:t xml:space="preserve"> contains the information and instructions </w:t>
      </w:r>
      <w:r w:rsidR="000109B9" w:rsidRPr="00A70AC1">
        <w:rPr>
          <w:rFonts w:cs="Arial"/>
          <w:szCs w:val="22"/>
        </w:rPr>
        <w:t>the Potential Provider</w:t>
      </w:r>
      <w:r w:rsidRPr="00A70AC1">
        <w:rPr>
          <w:rFonts w:cs="Arial"/>
          <w:szCs w:val="22"/>
        </w:rPr>
        <w:t xml:space="preserve"> need</w:t>
      </w:r>
      <w:r w:rsidR="000109B9" w:rsidRPr="00A70AC1">
        <w:rPr>
          <w:rFonts w:cs="Arial"/>
          <w:szCs w:val="22"/>
        </w:rPr>
        <w:t>s</w:t>
      </w:r>
      <w:r w:rsidRPr="00A70AC1">
        <w:rPr>
          <w:rFonts w:cs="Arial"/>
          <w:szCs w:val="22"/>
        </w:rPr>
        <w:t xml:space="preserve"> to submit a Tender.</w:t>
      </w:r>
    </w:p>
    <w:p w14:paraId="6E3C097C" w14:textId="10BB2950" w:rsidR="001E53CC" w:rsidRPr="00A70AC1" w:rsidRDefault="009076AA" w:rsidP="009E01BA">
      <w:pPr>
        <w:pStyle w:val="Heading2"/>
        <w:tabs>
          <w:tab w:val="left" w:pos="851"/>
        </w:tabs>
        <w:spacing w:after="120"/>
        <w:ind w:left="737" w:hanging="737"/>
        <w:rPr>
          <w:rFonts w:cs="Arial"/>
          <w:szCs w:val="22"/>
        </w:rPr>
      </w:pPr>
      <w:r w:rsidRPr="00A70AC1">
        <w:rPr>
          <w:rFonts w:cs="Arial"/>
          <w:szCs w:val="22"/>
        </w:rPr>
        <w:t>This Further Competition</w:t>
      </w:r>
      <w:r w:rsidR="00E7063E" w:rsidRPr="00A70AC1">
        <w:rPr>
          <w:rFonts w:cs="Arial"/>
          <w:szCs w:val="22"/>
        </w:rPr>
        <w:t xml:space="preserve"> is being conducted under the </w:t>
      </w:r>
      <w:r w:rsidR="008F025C" w:rsidRPr="00A70AC1">
        <w:rPr>
          <w:rFonts w:cs="Arial"/>
          <w:szCs w:val="22"/>
        </w:rPr>
        <w:t>CCS</w:t>
      </w:r>
      <w:r w:rsidRPr="00A70AC1">
        <w:rPr>
          <w:rFonts w:cs="Arial"/>
          <w:szCs w:val="22"/>
        </w:rPr>
        <w:t xml:space="preserve"> </w:t>
      </w:r>
      <w:r w:rsidR="00707598" w:rsidRPr="00A70AC1">
        <w:rPr>
          <w:rFonts w:cs="Arial"/>
          <w:szCs w:val="22"/>
        </w:rPr>
        <w:t>Water, Wastewater and Ancillary Services framework</w:t>
      </w:r>
      <w:r w:rsidRPr="00A70AC1">
        <w:rPr>
          <w:rFonts w:cs="Arial"/>
          <w:szCs w:val="22"/>
        </w:rPr>
        <w:t xml:space="preserve"> (reference RM</w:t>
      </w:r>
      <w:r w:rsidR="003D66F3" w:rsidRPr="00A70AC1">
        <w:rPr>
          <w:rFonts w:cs="Arial"/>
          <w:szCs w:val="22"/>
        </w:rPr>
        <w:t>6178</w:t>
      </w:r>
      <w:r w:rsidRPr="00A70AC1">
        <w:rPr>
          <w:rFonts w:cs="Arial"/>
          <w:szCs w:val="22"/>
        </w:rPr>
        <w:t>).</w:t>
      </w:r>
    </w:p>
    <w:p w14:paraId="03EA86E3" w14:textId="77777777" w:rsidR="009E01BA" w:rsidRPr="00A70AC1" w:rsidRDefault="009E01BA" w:rsidP="009E01BA">
      <w:pPr>
        <w:pStyle w:val="Heading2"/>
        <w:numPr>
          <w:ilvl w:val="0"/>
          <w:numId w:val="0"/>
        </w:numPr>
        <w:tabs>
          <w:tab w:val="left" w:pos="851"/>
        </w:tabs>
        <w:spacing w:after="120"/>
        <w:ind w:left="737"/>
        <w:rPr>
          <w:rFonts w:cs="Arial"/>
          <w:szCs w:val="22"/>
        </w:rPr>
      </w:pPr>
    </w:p>
    <w:p w14:paraId="1044C62C" w14:textId="77777777" w:rsidR="00BB7AA8" w:rsidRPr="00A70AC1" w:rsidRDefault="001D0473" w:rsidP="00800097">
      <w:pPr>
        <w:pStyle w:val="Heading1"/>
        <w:tabs>
          <w:tab w:val="left" w:pos="851"/>
        </w:tabs>
        <w:spacing w:before="120" w:after="120"/>
        <w:rPr>
          <w:rFonts w:cs="Arial"/>
          <w:szCs w:val="22"/>
        </w:rPr>
      </w:pPr>
      <w:bookmarkStart w:id="3" w:name="_Ref284694562"/>
      <w:bookmarkStart w:id="4" w:name="_Toc114216459"/>
      <w:r w:rsidRPr="00A70AC1">
        <w:rPr>
          <w:rFonts w:cs="Arial"/>
          <w:szCs w:val="22"/>
        </w:rPr>
        <w:t>OVERVIEW OF Invitation to tender</w:t>
      </w:r>
      <w:bookmarkEnd w:id="3"/>
      <w:bookmarkEnd w:id="4"/>
    </w:p>
    <w:p w14:paraId="39733DA8" w14:textId="77777777" w:rsidR="001D0473" w:rsidRPr="00A70AC1" w:rsidRDefault="001D0473" w:rsidP="007110A9">
      <w:pPr>
        <w:pStyle w:val="Heading2"/>
        <w:tabs>
          <w:tab w:val="left" w:pos="851"/>
        </w:tabs>
        <w:spacing w:after="120"/>
        <w:ind w:left="737" w:hanging="737"/>
        <w:rPr>
          <w:rFonts w:cs="Arial"/>
          <w:szCs w:val="22"/>
        </w:rPr>
      </w:pPr>
      <w:r w:rsidRPr="00A70AC1">
        <w:rPr>
          <w:rFonts w:cs="Arial"/>
          <w:szCs w:val="22"/>
        </w:rPr>
        <w:t>The following appendices accompany this ITT:</w:t>
      </w:r>
    </w:p>
    <w:p w14:paraId="15112E4D" w14:textId="77777777" w:rsidR="000A0999" w:rsidRPr="00A70AC1" w:rsidRDefault="000A0999" w:rsidP="000A0999">
      <w:pPr>
        <w:pStyle w:val="Heading2"/>
        <w:numPr>
          <w:ilvl w:val="0"/>
          <w:numId w:val="0"/>
        </w:numPr>
        <w:tabs>
          <w:tab w:val="left" w:pos="851"/>
        </w:tabs>
        <w:spacing w:after="120"/>
        <w:ind w:left="737"/>
        <w:rPr>
          <w:rFonts w:cs="Arial"/>
          <w:szCs w:val="22"/>
        </w:rPr>
      </w:pPr>
    </w:p>
    <w:p w14:paraId="4F29F266" w14:textId="77777777" w:rsidR="009066E0" w:rsidRPr="00A70AC1" w:rsidRDefault="009066E0" w:rsidP="007110A9">
      <w:pPr>
        <w:pStyle w:val="Heading3"/>
        <w:tabs>
          <w:tab w:val="clear" w:pos="1800"/>
          <w:tab w:val="num" w:pos="1418"/>
        </w:tabs>
        <w:spacing w:after="120"/>
        <w:ind w:left="1418" w:hanging="698"/>
        <w:rPr>
          <w:rFonts w:cs="Arial"/>
          <w:b/>
          <w:szCs w:val="22"/>
        </w:rPr>
      </w:pPr>
      <w:r w:rsidRPr="00A70AC1">
        <w:rPr>
          <w:rFonts w:cs="Arial"/>
          <w:b/>
          <w:szCs w:val="22"/>
        </w:rPr>
        <w:t>Appendix A – Terms of the</w:t>
      </w:r>
      <w:r w:rsidR="00D0241E" w:rsidRPr="00A70AC1">
        <w:rPr>
          <w:rFonts w:cs="Arial"/>
          <w:b/>
          <w:szCs w:val="22"/>
        </w:rPr>
        <w:t xml:space="preserve"> Further Competition</w:t>
      </w:r>
    </w:p>
    <w:p w14:paraId="17451643" w14:textId="77777777" w:rsidR="009066E0" w:rsidRPr="00A70AC1" w:rsidRDefault="009066E0" w:rsidP="007110A9">
      <w:pPr>
        <w:pStyle w:val="Heading3"/>
        <w:numPr>
          <w:ilvl w:val="0"/>
          <w:numId w:val="0"/>
        </w:numPr>
        <w:spacing w:after="120"/>
        <w:ind w:left="1418"/>
        <w:rPr>
          <w:rFonts w:cs="Arial"/>
          <w:szCs w:val="22"/>
        </w:rPr>
      </w:pPr>
      <w:r w:rsidRPr="00A70AC1">
        <w:rPr>
          <w:rFonts w:cs="Arial"/>
          <w:szCs w:val="22"/>
        </w:rPr>
        <w:t xml:space="preserve">Sets out rights and obligations which apply to </w:t>
      </w:r>
      <w:r w:rsidR="000109B9" w:rsidRPr="00A70AC1">
        <w:rPr>
          <w:rFonts w:cs="Arial"/>
          <w:szCs w:val="22"/>
        </w:rPr>
        <w:t>the Potential Provider</w:t>
      </w:r>
      <w:r w:rsidRPr="00A70AC1">
        <w:rPr>
          <w:rFonts w:cs="Arial"/>
          <w:szCs w:val="22"/>
        </w:rPr>
        <w:t xml:space="preserve"> and the </w:t>
      </w:r>
      <w:r w:rsidR="0061403B" w:rsidRPr="00A70AC1">
        <w:rPr>
          <w:rFonts w:cs="Arial"/>
          <w:szCs w:val="22"/>
        </w:rPr>
        <w:t>Authority</w:t>
      </w:r>
      <w:r w:rsidR="00087F84" w:rsidRPr="00A70AC1">
        <w:rPr>
          <w:rFonts w:cs="Arial"/>
          <w:szCs w:val="22"/>
        </w:rPr>
        <w:t xml:space="preserve"> </w:t>
      </w:r>
      <w:r w:rsidRPr="00A70AC1">
        <w:rPr>
          <w:rFonts w:cs="Arial"/>
          <w:szCs w:val="22"/>
        </w:rPr>
        <w:t xml:space="preserve">during this </w:t>
      </w:r>
      <w:r w:rsidR="00087F84" w:rsidRPr="00A70AC1">
        <w:rPr>
          <w:rFonts w:cs="Arial"/>
          <w:szCs w:val="22"/>
        </w:rPr>
        <w:t>Further Competition</w:t>
      </w:r>
      <w:r w:rsidRPr="00A70AC1">
        <w:rPr>
          <w:rFonts w:cs="Arial"/>
          <w:szCs w:val="22"/>
        </w:rPr>
        <w:t xml:space="preserve">. </w:t>
      </w:r>
    </w:p>
    <w:p w14:paraId="5073CEB2" w14:textId="77777777" w:rsidR="000A0999" w:rsidRPr="00A70AC1" w:rsidRDefault="000A0999" w:rsidP="007110A9">
      <w:pPr>
        <w:pStyle w:val="Heading3"/>
        <w:numPr>
          <w:ilvl w:val="0"/>
          <w:numId w:val="0"/>
        </w:numPr>
        <w:spacing w:after="120"/>
        <w:ind w:left="1418"/>
        <w:rPr>
          <w:rFonts w:cs="Arial"/>
          <w:szCs w:val="22"/>
        </w:rPr>
      </w:pPr>
    </w:p>
    <w:p w14:paraId="05CD7203" w14:textId="77777777" w:rsidR="00A544DF" w:rsidRPr="00A70AC1" w:rsidRDefault="00AE36E5" w:rsidP="007110A9">
      <w:pPr>
        <w:pStyle w:val="Heading3"/>
        <w:tabs>
          <w:tab w:val="clear" w:pos="1800"/>
          <w:tab w:val="num" w:pos="1418"/>
        </w:tabs>
        <w:spacing w:after="120"/>
        <w:ind w:left="1418" w:hanging="698"/>
        <w:rPr>
          <w:rFonts w:cs="Arial"/>
          <w:b/>
          <w:szCs w:val="22"/>
        </w:rPr>
      </w:pPr>
      <w:r w:rsidRPr="00A70AC1">
        <w:rPr>
          <w:rFonts w:cs="Arial"/>
          <w:b/>
          <w:szCs w:val="22"/>
        </w:rPr>
        <w:t>Appendix B</w:t>
      </w:r>
      <w:r w:rsidR="001D0473" w:rsidRPr="00A70AC1">
        <w:rPr>
          <w:rFonts w:cs="Arial"/>
          <w:b/>
          <w:szCs w:val="22"/>
        </w:rPr>
        <w:t xml:space="preserve"> –</w:t>
      </w:r>
      <w:r w:rsidR="00D34DFE" w:rsidRPr="00A70AC1">
        <w:rPr>
          <w:rFonts w:cs="Arial"/>
          <w:b/>
          <w:szCs w:val="22"/>
        </w:rPr>
        <w:t xml:space="preserve"> </w:t>
      </w:r>
      <w:r w:rsidR="006A3734" w:rsidRPr="00A70AC1">
        <w:rPr>
          <w:rFonts w:cs="Arial"/>
          <w:b/>
          <w:szCs w:val="22"/>
        </w:rPr>
        <w:t>Specification</w:t>
      </w:r>
      <w:r w:rsidR="004F3019" w:rsidRPr="00A70AC1">
        <w:rPr>
          <w:rFonts w:cs="Arial"/>
          <w:b/>
          <w:szCs w:val="22"/>
        </w:rPr>
        <w:t>/Statement of Requirements</w:t>
      </w:r>
    </w:p>
    <w:p w14:paraId="359B8D6B" w14:textId="77777777" w:rsidR="001D0473" w:rsidRPr="00A70AC1" w:rsidRDefault="001D0473" w:rsidP="007110A9">
      <w:pPr>
        <w:pStyle w:val="Heading3"/>
        <w:numPr>
          <w:ilvl w:val="0"/>
          <w:numId w:val="0"/>
        </w:numPr>
        <w:spacing w:after="120"/>
        <w:ind w:left="1418"/>
        <w:rPr>
          <w:rFonts w:cs="Arial"/>
          <w:szCs w:val="22"/>
        </w:rPr>
      </w:pPr>
      <w:r w:rsidRPr="00A70AC1">
        <w:rPr>
          <w:rFonts w:cs="Arial"/>
          <w:szCs w:val="22"/>
        </w:rPr>
        <w:t xml:space="preserve">A detailed description of the </w:t>
      </w:r>
      <w:r w:rsidR="000109B9" w:rsidRPr="00A70AC1">
        <w:rPr>
          <w:rFonts w:cs="Arial"/>
          <w:szCs w:val="22"/>
        </w:rPr>
        <w:t>services that the</w:t>
      </w:r>
      <w:r w:rsidRPr="00A70AC1">
        <w:rPr>
          <w:rFonts w:cs="Arial"/>
          <w:szCs w:val="22"/>
        </w:rPr>
        <w:t xml:space="preserve"> Supplier will be required to supply</w:t>
      </w:r>
      <w:r w:rsidR="00770747" w:rsidRPr="00A70AC1">
        <w:rPr>
          <w:rFonts w:cs="Arial"/>
          <w:szCs w:val="22"/>
        </w:rPr>
        <w:t xml:space="preserve"> to the Authority</w:t>
      </w:r>
      <w:r w:rsidRPr="00A70AC1">
        <w:rPr>
          <w:rFonts w:cs="Arial"/>
          <w:szCs w:val="22"/>
        </w:rPr>
        <w:t xml:space="preserve">. </w:t>
      </w:r>
    </w:p>
    <w:p w14:paraId="6055BC50" w14:textId="77777777" w:rsidR="00A544DF" w:rsidRPr="00A70AC1" w:rsidRDefault="00087F84" w:rsidP="007110A9">
      <w:pPr>
        <w:pStyle w:val="Heading3"/>
        <w:tabs>
          <w:tab w:val="clear" w:pos="1800"/>
          <w:tab w:val="num" w:pos="1418"/>
        </w:tabs>
        <w:spacing w:after="120"/>
        <w:ind w:left="1418" w:hanging="698"/>
        <w:rPr>
          <w:rFonts w:cs="Arial"/>
          <w:b/>
          <w:szCs w:val="22"/>
        </w:rPr>
      </w:pPr>
      <w:r w:rsidRPr="00A70AC1">
        <w:rPr>
          <w:rFonts w:cs="Arial"/>
          <w:b/>
          <w:szCs w:val="22"/>
        </w:rPr>
        <w:t>Appendix C</w:t>
      </w:r>
      <w:r w:rsidR="00A544DF" w:rsidRPr="00A70AC1">
        <w:rPr>
          <w:rFonts w:cs="Arial"/>
          <w:b/>
          <w:szCs w:val="22"/>
        </w:rPr>
        <w:t xml:space="preserve"> – </w:t>
      </w:r>
      <w:r w:rsidRPr="00A70AC1">
        <w:rPr>
          <w:rFonts w:cs="Arial"/>
          <w:b/>
          <w:szCs w:val="22"/>
        </w:rPr>
        <w:t xml:space="preserve">Tender Questionnaire </w:t>
      </w:r>
    </w:p>
    <w:p w14:paraId="54262DEA" w14:textId="55C5C55D" w:rsidR="009E01BA" w:rsidRPr="00A70AC1" w:rsidRDefault="009066E0" w:rsidP="00223811">
      <w:pPr>
        <w:pStyle w:val="Heading3"/>
        <w:numPr>
          <w:ilvl w:val="0"/>
          <w:numId w:val="0"/>
        </w:numPr>
        <w:spacing w:after="120"/>
        <w:ind w:left="1418"/>
        <w:rPr>
          <w:rFonts w:cs="Arial"/>
          <w:szCs w:val="22"/>
        </w:rPr>
      </w:pPr>
      <w:r w:rsidRPr="00A70AC1">
        <w:rPr>
          <w:rFonts w:cs="Arial"/>
          <w:szCs w:val="22"/>
        </w:rPr>
        <w:t>A template containing q</w:t>
      </w:r>
      <w:r w:rsidR="00A544DF" w:rsidRPr="00A70AC1">
        <w:rPr>
          <w:rFonts w:cs="Arial"/>
          <w:szCs w:val="22"/>
        </w:rPr>
        <w:t xml:space="preserve">uestions </w:t>
      </w:r>
      <w:r w:rsidRPr="00A70AC1">
        <w:rPr>
          <w:rFonts w:cs="Arial"/>
          <w:szCs w:val="22"/>
        </w:rPr>
        <w:t xml:space="preserve">which </w:t>
      </w:r>
      <w:r w:rsidR="000109B9" w:rsidRPr="00A70AC1">
        <w:rPr>
          <w:rFonts w:cs="Arial"/>
          <w:szCs w:val="22"/>
        </w:rPr>
        <w:t>the Potential Provider</w:t>
      </w:r>
      <w:r w:rsidRPr="00A70AC1">
        <w:rPr>
          <w:rFonts w:cs="Arial"/>
          <w:szCs w:val="22"/>
        </w:rPr>
        <w:t xml:space="preserve"> </w:t>
      </w:r>
      <w:r w:rsidR="000109B9" w:rsidRPr="00A70AC1">
        <w:rPr>
          <w:rFonts w:cs="Arial"/>
          <w:szCs w:val="22"/>
        </w:rPr>
        <w:t xml:space="preserve">is </w:t>
      </w:r>
      <w:r w:rsidRPr="00A70AC1">
        <w:rPr>
          <w:rFonts w:cs="Arial"/>
          <w:szCs w:val="22"/>
        </w:rPr>
        <w:t>required to respond to</w:t>
      </w:r>
      <w:r w:rsidR="009E01BA" w:rsidRPr="00A70AC1">
        <w:rPr>
          <w:rFonts w:cs="Arial"/>
          <w:szCs w:val="22"/>
        </w:rPr>
        <w:br w:type="page"/>
      </w:r>
    </w:p>
    <w:p w14:paraId="1F3152D5" w14:textId="77777777" w:rsidR="00223811" w:rsidRPr="00A70AC1" w:rsidRDefault="00223811" w:rsidP="00223811">
      <w:pPr>
        <w:pStyle w:val="Heading3"/>
        <w:numPr>
          <w:ilvl w:val="0"/>
          <w:numId w:val="0"/>
        </w:numPr>
        <w:spacing w:after="120"/>
        <w:ind w:left="1418"/>
        <w:rPr>
          <w:rFonts w:cs="Arial"/>
          <w:szCs w:val="22"/>
        </w:rPr>
      </w:pPr>
    </w:p>
    <w:p w14:paraId="6F524D2B" w14:textId="77777777" w:rsidR="00682677" w:rsidRPr="00A70AC1" w:rsidRDefault="00B423E5" w:rsidP="00800097">
      <w:pPr>
        <w:pStyle w:val="Heading1"/>
        <w:tabs>
          <w:tab w:val="left" w:pos="851"/>
        </w:tabs>
        <w:spacing w:before="120" w:after="120"/>
        <w:rPr>
          <w:rFonts w:cs="Arial"/>
          <w:szCs w:val="22"/>
        </w:rPr>
      </w:pPr>
      <w:bookmarkStart w:id="5" w:name="_Toc114216460"/>
      <w:r w:rsidRPr="00A70AC1">
        <w:rPr>
          <w:rFonts w:cs="Arial"/>
          <w:szCs w:val="22"/>
        </w:rPr>
        <w:t>FURTHER COMPETITION</w:t>
      </w:r>
      <w:r w:rsidR="002B5AEB" w:rsidRPr="00A70AC1">
        <w:rPr>
          <w:rFonts w:cs="Arial"/>
          <w:szCs w:val="22"/>
        </w:rPr>
        <w:t xml:space="preserve"> TIMETABLE</w:t>
      </w:r>
      <w:bookmarkEnd w:id="5"/>
      <w:r w:rsidR="00682677" w:rsidRPr="00A70AC1">
        <w:rPr>
          <w:rFonts w:cs="Arial"/>
          <w:szCs w:val="22"/>
        </w:rPr>
        <w:t xml:space="preserve"> </w:t>
      </w:r>
    </w:p>
    <w:p w14:paraId="43676FEB" w14:textId="77777777" w:rsidR="002B5AEB" w:rsidRPr="00A70AC1" w:rsidRDefault="002B5AEB" w:rsidP="007110A9">
      <w:pPr>
        <w:pStyle w:val="Heading2"/>
        <w:tabs>
          <w:tab w:val="left" w:pos="851"/>
        </w:tabs>
        <w:spacing w:after="120"/>
        <w:ind w:left="737" w:hanging="737"/>
        <w:rPr>
          <w:rFonts w:cs="Arial"/>
          <w:szCs w:val="22"/>
        </w:rPr>
      </w:pPr>
      <w:r w:rsidRPr="00A70AC1">
        <w:rPr>
          <w:rFonts w:cs="Arial"/>
          <w:szCs w:val="22"/>
        </w:rPr>
        <w:t xml:space="preserve">The timetable for this </w:t>
      </w:r>
      <w:r w:rsidR="00B423E5" w:rsidRPr="00A70AC1">
        <w:rPr>
          <w:rFonts w:cs="Arial"/>
          <w:szCs w:val="22"/>
        </w:rPr>
        <w:t>Further Competition</w:t>
      </w:r>
      <w:r w:rsidRPr="00A70AC1">
        <w:rPr>
          <w:rFonts w:cs="Arial"/>
          <w:szCs w:val="22"/>
        </w:rPr>
        <w:t xml:space="preserve"> is set out in the table below. </w:t>
      </w:r>
    </w:p>
    <w:p w14:paraId="723D699A" w14:textId="77777777" w:rsidR="00FE0D7E" w:rsidRPr="00A70AC1" w:rsidRDefault="002B5AEB" w:rsidP="007110A9">
      <w:pPr>
        <w:pStyle w:val="Heading2"/>
        <w:tabs>
          <w:tab w:val="left" w:pos="851"/>
        </w:tabs>
        <w:spacing w:after="120"/>
        <w:ind w:left="737" w:hanging="737"/>
        <w:rPr>
          <w:rFonts w:cs="Arial"/>
          <w:szCs w:val="22"/>
        </w:rPr>
      </w:pPr>
      <w:r w:rsidRPr="00A70AC1">
        <w:rPr>
          <w:rFonts w:cs="Arial"/>
          <w:szCs w:val="22"/>
        </w:rPr>
        <w:t xml:space="preserve">This timetable may be changed by </w:t>
      </w:r>
      <w:r w:rsidR="0061403B" w:rsidRPr="00A70AC1">
        <w:rPr>
          <w:rFonts w:cs="Arial"/>
          <w:szCs w:val="22"/>
        </w:rPr>
        <w:t xml:space="preserve">the Authority </w:t>
      </w:r>
      <w:r w:rsidRPr="00A70AC1">
        <w:rPr>
          <w:rFonts w:cs="Arial"/>
          <w:szCs w:val="22"/>
        </w:rPr>
        <w:t xml:space="preserve">at any time. </w:t>
      </w:r>
      <w:r w:rsidR="000109B9" w:rsidRPr="00A70AC1">
        <w:rPr>
          <w:rFonts w:cs="Arial"/>
          <w:szCs w:val="22"/>
        </w:rPr>
        <w:t>The Potential Provider</w:t>
      </w:r>
      <w:r w:rsidRPr="00A70AC1">
        <w:rPr>
          <w:rFonts w:cs="Arial"/>
          <w:szCs w:val="22"/>
        </w:rPr>
        <w:t xml:space="preserve"> will be informed if changes to this timetable are necessary.</w:t>
      </w:r>
    </w:p>
    <w:p w14:paraId="390933FA" w14:textId="77777777" w:rsidR="00344DD1" w:rsidRPr="00A70AC1" w:rsidRDefault="00344DD1" w:rsidP="00344DD1">
      <w:pPr>
        <w:pStyle w:val="Heading2"/>
        <w:tabs>
          <w:tab w:val="left" w:pos="851"/>
        </w:tabs>
        <w:spacing w:after="120"/>
        <w:ind w:left="737" w:hanging="737"/>
        <w:rPr>
          <w:rFonts w:cs="Arial"/>
          <w:szCs w:val="22"/>
        </w:rPr>
      </w:pPr>
      <w:r w:rsidRPr="00A70AC1">
        <w:rPr>
          <w:rFonts w:cs="Arial"/>
          <w:szCs w:val="22"/>
        </w:rPr>
        <w:t xml:space="preserve">All Tenders must be received by the Authority before the Tender Submission Deadline.  </w:t>
      </w:r>
    </w:p>
    <w:p w14:paraId="311BE18D" w14:textId="77777777" w:rsidR="00344DD1" w:rsidRPr="00A70AC1" w:rsidRDefault="00344DD1" w:rsidP="00344DD1">
      <w:pPr>
        <w:pStyle w:val="Heading2"/>
        <w:tabs>
          <w:tab w:val="left" w:pos="851"/>
        </w:tabs>
        <w:spacing w:after="120"/>
        <w:ind w:left="737" w:hanging="737"/>
        <w:rPr>
          <w:rFonts w:cs="Arial"/>
          <w:szCs w:val="22"/>
        </w:rPr>
      </w:pPr>
      <w:r w:rsidRPr="00A70AC1">
        <w:rPr>
          <w:rFonts w:cs="Arial"/>
          <w:szCs w:val="22"/>
        </w:rPr>
        <w:t xml:space="preserve">Tenders received on or after the Tender Submission Deadline may be rejected by the Authority to ensure that all Potential Providers are treated fairly. The decision whether to reject a Tender received after the Tender Submission Deadline is made entirely at the Authority’s discretion.  </w:t>
      </w:r>
    </w:p>
    <w:p w14:paraId="15A8AF00" w14:textId="77777777" w:rsidR="000A0999" w:rsidRPr="00A70AC1" w:rsidRDefault="000A0999" w:rsidP="000A0999">
      <w:pPr>
        <w:pStyle w:val="Heading2"/>
        <w:numPr>
          <w:ilvl w:val="0"/>
          <w:numId w:val="0"/>
        </w:numPr>
        <w:tabs>
          <w:tab w:val="left" w:pos="851"/>
        </w:tabs>
        <w:spacing w:after="120"/>
        <w:ind w:left="737"/>
        <w:rPr>
          <w:rFonts w:cs="Arial"/>
          <w:szCs w:val="22"/>
        </w:rPr>
      </w:pPr>
    </w:p>
    <w:tbl>
      <w:tblPr>
        <w:tblW w:w="83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29"/>
      </w:tblGrid>
      <w:tr w:rsidR="002B5AEB" w:rsidRPr="00A70AC1" w14:paraId="78636B61" w14:textId="77777777" w:rsidTr="00BF612A">
        <w:trPr>
          <w:cantSplit/>
          <w:tblHeader/>
        </w:trPr>
        <w:tc>
          <w:tcPr>
            <w:tcW w:w="2552" w:type="dxa"/>
            <w:shd w:val="clear" w:color="auto" w:fill="E0E0E0"/>
            <w:vAlign w:val="center"/>
          </w:tcPr>
          <w:p w14:paraId="034E3F23" w14:textId="77777777" w:rsidR="002B5AEB" w:rsidRPr="00A70AC1" w:rsidRDefault="002B5AEB" w:rsidP="00C22B7B">
            <w:pPr>
              <w:pStyle w:val="MarginText"/>
              <w:spacing w:before="60" w:after="60"/>
              <w:jc w:val="center"/>
              <w:rPr>
                <w:rFonts w:cs="Arial"/>
                <w:b/>
                <w:szCs w:val="22"/>
              </w:rPr>
            </w:pPr>
            <w:r w:rsidRPr="00A70AC1">
              <w:rPr>
                <w:rFonts w:cs="Arial"/>
                <w:b/>
                <w:szCs w:val="22"/>
              </w:rPr>
              <w:t>DATE</w:t>
            </w:r>
          </w:p>
        </w:tc>
        <w:tc>
          <w:tcPr>
            <w:tcW w:w="5829" w:type="dxa"/>
            <w:shd w:val="clear" w:color="auto" w:fill="E0E0E0"/>
            <w:vAlign w:val="center"/>
          </w:tcPr>
          <w:p w14:paraId="6BD8D4AA" w14:textId="77777777" w:rsidR="002B5AEB" w:rsidRPr="00A70AC1" w:rsidRDefault="002B5AEB" w:rsidP="00C22B7B">
            <w:pPr>
              <w:pStyle w:val="MarginText"/>
              <w:spacing w:before="60" w:after="60"/>
              <w:jc w:val="center"/>
              <w:rPr>
                <w:rFonts w:cs="Arial"/>
                <w:b/>
                <w:szCs w:val="22"/>
              </w:rPr>
            </w:pPr>
            <w:r w:rsidRPr="00A70AC1">
              <w:rPr>
                <w:rFonts w:cs="Arial"/>
                <w:b/>
                <w:szCs w:val="22"/>
              </w:rPr>
              <w:t>ACTIVITY</w:t>
            </w:r>
          </w:p>
        </w:tc>
      </w:tr>
      <w:tr w:rsidR="002B5AEB" w:rsidRPr="00A70AC1" w14:paraId="50CF0B6C" w14:textId="77777777" w:rsidTr="00C22B7B">
        <w:trPr>
          <w:cantSplit/>
        </w:trPr>
        <w:tc>
          <w:tcPr>
            <w:tcW w:w="2552" w:type="dxa"/>
          </w:tcPr>
          <w:p w14:paraId="191B4F1E" w14:textId="1238E39B" w:rsidR="002B5AEB" w:rsidRPr="00A70AC1" w:rsidRDefault="00BE1B40" w:rsidP="00C22B7B">
            <w:pPr>
              <w:pStyle w:val="MarginText"/>
              <w:spacing w:before="60" w:after="60"/>
              <w:jc w:val="center"/>
              <w:rPr>
                <w:rFonts w:cs="Arial"/>
                <w:szCs w:val="22"/>
              </w:rPr>
            </w:pPr>
            <w:r w:rsidRPr="00A70AC1">
              <w:rPr>
                <w:rFonts w:cs="Arial"/>
                <w:szCs w:val="22"/>
              </w:rPr>
              <w:t>2</w:t>
            </w:r>
            <w:r w:rsidR="00510C90" w:rsidRPr="00A70AC1">
              <w:rPr>
                <w:rFonts w:cs="Arial"/>
                <w:szCs w:val="22"/>
              </w:rPr>
              <w:t>3</w:t>
            </w:r>
            <w:r w:rsidRPr="00A70AC1">
              <w:rPr>
                <w:rFonts w:cs="Arial"/>
                <w:szCs w:val="22"/>
              </w:rPr>
              <w:t>/9/22</w:t>
            </w:r>
          </w:p>
        </w:tc>
        <w:tc>
          <w:tcPr>
            <w:tcW w:w="5829" w:type="dxa"/>
          </w:tcPr>
          <w:p w14:paraId="47B6F482" w14:textId="77777777" w:rsidR="002B5AEB" w:rsidRPr="00A70AC1" w:rsidRDefault="002B5AEB" w:rsidP="00C22B7B">
            <w:pPr>
              <w:pStyle w:val="MarginText"/>
              <w:spacing w:before="60" w:after="60"/>
              <w:rPr>
                <w:rFonts w:cs="Arial"/>
                <w:szCs w:val="22"/>
              </w:rPr>
            </w:pPr>
            <w:r w:rsidRPr="00A70AC1">
              <w:rPr>
                <w:rFonts w:cs="Arial"/>
                <w:szCs w:val="22"/>
              </w:rPr>
              <w:t xml:space="preserve">Publication of the </w:t>
            </w:r>
            <w:r w:rsidR="00087F84" w:rsidRPr="00A70AC1">
              <w:rPr>
                <w:rFonts w:cs="Arial"/>
                <w:szCs w:val="22"/>
              </w:rPr>
              <w:t>Further Competition Invitation</w:t>
            </w:r>
          </w:p>
        </w:tc>
      </w:tr>
      <w:tr w:rsidR="002B5AEB" w:rsidRPr="00A70AC1" w14:paraId="59D9229C" w14:textId="77777777" w:rsidTr="00C22B7B">
        <w:trPr>
          <w:cantSplit/>
        </w:trPr>
        <w:tc>
          <w:tcPr>
            <w:tcW w:w="2552" w:type="dxa"/>
          </w:tcPr>
          <w:p w14:paraId="31F6132A" w14:textId="7AE31F71" w:rsidR="002B5AEB" w:rsidRPr="00A70AC1" w:rsidRDefault="00BD2E18" w:rsidP="00BB241C">
            <w:pPr>
              <w:pStyle w:val="MarginText"/>
              <w:spacing w:before="60" w:after="60"/>
              <w:jc w:val="center"/>
              <w:rPr>
                <w:rFonts w:cs="Arial"/>
                <w:szCs w:val="22"/>
              </w:rPr>
            </w:pPr>
            <w:r w:rsidRPr="00A70AC1">
              <w:rPr>
                <w:rFonts w:cs="Arial"/>
                <w:szCs w:val="22"/>
              </w:rPr>
              <w:t>2</w:t>
            </w:r>
            <w:r w:rsidR="00510C90" w:rsidRPr="00A70AC1">
              <w:rPr>
                <w:rFonts w:cs="Arial"/>
                <w:szCs w:val="22"/>
              </w:rPr>
              <w:t>3</w:t>
            </w:r>
            <w:r w:rsidRPr="00A70AC1">
              <w:rPr>
                <w:rFonts w:cs="Arial"/>
                <w:szCs w:val="22"/>
              </w:rPr>
              <w:t>/9/22</w:t>
            </w:r>
          </w:p>
        </w:tc>
        <w:tc>
          <w:tcPr>
            <w:tcW w:w="5829" w:type="dxa"/>
          </w:tcPr>
          <w:p w14:paraId="4849FF6F" w14:textId="77777777" w:rsidR="002B5AEB" w:rsidRPr="00A70AC1" w:rsidRDefault="002B5AEB" w:rsidP="00C22B7B">
            <w:pPr>
              <w:pStyle w:val="MarginText"/>
              <w:spacing w:before="60" w:after="60"/>
              <w:rPr>
                <w:rFonts w:cs="Arial"/>
                <w:szCs w:val="22"/>
              </w:rPr>
            </w:pPr>
            <w:r w:rsidRPr="00A70AC1">
              <w:rPr>
                <w:rFonts w:cs="Arial"/>
                <w:szCs w:val="22"/>
              </w:rPr>
              <w:t>Clarification period starts</w:t>
            </w:r>
          </w:p>
        </w:tc>
      </w:tr>
      <w:tr w:rsidR="002B5AEB" w:rsidRPr="00A70AC1" w14:paraId="771810D2" w14:textId="77777777" w:rsidTr="00C22B7B">
        <w:trPr>
          <w:cantSplit/>
        </w:trPr>
        <w:tc>
          <w:tcPr>
            <w:tcW w:w="2552" w:type="dxa"/>
          </w:tcPr>
          <w:p w14:paraId="7A1199FA" w14:textId="28FDE03F" w:rsidR="002B5AEB" w:rsidRPr="00A70AC1" w:rsidRDefault="00BD2E18" w:rsidP="00BB241C">
            <w:pPr>
              <w:pStyle w:val="MarginText"/>
              <w:spacing w:before="60" w:after="60"/>
              <w:jc w:val="center"/>
              <w:rPr>
                <w:rFonts w:cs="Arial"/>
                <w:szCs w:val="22"/>
              </w:rPr>
            </w:pPr>
            <w:r w:rsidRPr="00A70AC1">
              <w:rPr>
                <w:rFonts w:cs="Arial"/>
                <w:szCs w:val="22"/>
              </w:rPr>
              <w:t>7/10/22</w:t>
            </w:r>
          </w:p>
        </w:tc>
        <w:tc>
          <w:tcPr>
            <w:tcW w:w="5829" w:type="dxa"/>
          </w:tcPr>
          <w:p w14:paraId="104D0DD3" w14:textId="77777777" w:rsidR="002B5AEB" w:rsidRPr="00A70AC1" w:rsidRDefault="002B5AEB" w:rsidP="00C22B7B">
            <w:pPr>
              <w:pStyle w:val="MarginText"/>
              <w:spacing w:before="60" w:after="60"/>
              <w:rPr>
                <w:rFonts w:cs="Arial"/>
                <w:szCs w:val="22"/>
              </w:rPr>
            </w:pPr>
            <w:r w:rsidRPr="00A70AC1">
              <w:rPr>
                <w:rFonts w:cs="Arial"/>
                <w:szCs w:val="22"/>
              </w:rPr>
              <w:t>Clarification period closes (“</w:t>
            </w:r>
            <w:r w:rsidRPr="00A70AC1">
              <w:rPr>
                <w:rFonts w:cs="Arial"/>
                <w:b/>
                <w:szCs w:val="22"/>
              </w:rPr>
              <w:t>Tender Clarifications Deadline</w:t>
            </w:r>
            <w:r w:rsidRPr="00A70AC1">
              <w:rPr>
                <w:rFonts w:cs="Arial"/>
                <w:szCs w:val="22"/>
              </w:rPr>
              <w:t>”)</w:t>
            </w:r>
          </w:p>
        </w:tc>
      </w:tr>
      <w:tr w:rsidR="002B5AEB" w:rsidRPr="00A70AC1" w14:paraId="2537CA79" w14:textId="77777777" w:rsidTr="00C22B7B">
        <w:trPr>
          <w:cantSplit/>
        </w:trPr>
        <w:tc>
          <w:tcPr>
            <w:tcW w:w="2552" w:type="dxa"/>
          </w:tcPr>
          <w:p w14:paraId="714A38D4" w14:textId="2149616A" w:rsidR="002B5AEB" w:rsidRPr="00A70AC1" w:rsidRDefault="00BB241C" w:rsidP="00C22B7B">
            <w:pPr>
              <w:pStyle w:val="MarginText"/>
              <w:spacing w:before="60" w:after="60"/>
              <w:jc w:val="center"/>
              <w:rPr>
                <w:rFonts w:cs="Arial"/>
                <w:szCs w:val="22"/>
              </w:rPr>
            </w:pPr>
            <w:r w:rsidRPr="00A70AC1">
              <w:rPr>
                <w:rFonts w:cs="Arial"/>
                <w:szCs w:val="22"/>
              </w:rPr>
              <w:t>11/10/22</w:t>
            </w:r>
          </w:p>
        </w:tc>
        <w:tc>
          <w:tcPr>
            <w:tcW w:w="5829" w:type="dxa"/>
          </w:tcPr>
          <w:p w14:paraId="477316A0" w14:textId="77777777" w:rsidR="002B5AEB" w:rsidRPr="00A70AC1" w:rsidRDefault="002B5AEB" w:rsidP="00C22B7B">
            <w:pPr>
              <w:pStyle w:val="MarginText"/>
              <w:spacing w:before="60" w:after="60"/>
              <w:rPr>
                <w:rFonts w:cs="Arial"/>
                <w:b/>
                <w:i/>
                <w:szCs w:val="22"/>
              </w:rPr>
            </w:pPr>
            <w:r w:rsidRPr="00A70AC1">
              <w:rPr>
                <w:rFonts w:cs="Arial"/>
                <w:szCs w:val="22"/>
              </w:rPr>
              <w:t xml:space="preserve">Deadline for the publication of responses to Tender Clarification questions </w:t>
            </w:r>
          </w:p>
        </w:tc>
      </w:tr>
      <w:tr w:rsidR="002B5AEB" w:rsidRPr="00A70AC1" w14:paraId="43ECF973" w14:textId="77777777" w:rsidTr="00C22B7B">
        <w:trPr>
          <w:cantSplit/>
        </w:trPr>
        <w:tc>
          <w:tcPr>
            <w:tcW w:w="2552" w:type="dxa"/>
          </w:tcPr>
          <w:p w14:paraId="685F4F55" w14:textId="7D4A8500" w:rsidR="002B5AEB" w:rsidRPr="00A70AC1" w:rsidRDefault="00BB241C" w:rsidP="00C22B7B">
            <w:pPr>
              <w:pStyle w:val="MarginText"/>
              <w:spacing w:before="60" w:after="60"/>
              <w:jc w:val="center"/>
              <w:rPr>
                <w:rFonts w:cs="Arial"/>
                <w:szCs w:val="22"/>
              </w:rPr>
            </w:pPr>
            <w:r w:rsidRPr="00A70AC1">
              <w:rPr>
                <w:rFonts w:cs="Arial"/>
                <w:szCs w:val="22"/>
              </w:rPr>
              <w:t>1</w:t>
            </w:r>
            <w:r w:rsidR="00AE0DFE" w:rsidRPr="00A70AC1">
              <w:rPr>
                <w:rFonts w:cs="Arial"/>
                <w:szCs w:val="22"/>
              </w:rPr>
              <w:t>4</w:t>
            </w:r>
            <w:r w:rsidRPr="00A70AC1">
              <w:rPr>
                <w:rFonts w:cs="Arial"/>
                <w:szCs w:val="22"/>
              </w:rPr>
              <w:t>/10/22</w:t>
            </w:r>
          </w:p>
        </w:tc>
        <w:tc>
          <w:tcPr>
            <w:tcW w:w="5829" w:type="dxa"/>
          </w:tcPr>
          <w:p w14:paraId="0512F927" w14:textId="7A128D75" w:rsidR="00DE231B" w:rsidRPr="00A70AC1" w:rsidRDefault="002B5AEB" w:rsidP="0061403B">
            <w:pPr>
              <w:pStyle w:val="MarginText"/>
              <w:spacing w:before="60" w:after="60"/>
              <w:rPr>
                <w:rFonts w:cs="Arial"/>
                <w:szCs w:val="22"/>
              </w:rPr>
            </w:pPr>
            <w:r w:rsidRPr="00A70AC1">
              <w:rPr>
                <w:rFonts w:cs="Arial"/>
                <w:szCs w:val="22"/>
              </w:rPr>
              <w:t>De</w:t>
            </w:r>
            <w:r w:rsidR="000109B9" w:rsidRPr="00A70AC1">
              <w:rPr>
                <w:rFonts w:cs="Arial"/>
                <w:szCs w:val="22"/>
              </w:rPr>
              <w:t xml:space="preserve">adline for submission of </w:t>
            </w:r>
            <w:r w:rsidR="006C25AD" w:rsidRPr="00A70AC1">
              <w:rPr>
                <w:rFonts w:cs="Arial"/>
                <w:szCs w:val="22"/>
              </w:rPr>
              <w:t xml:space="preserve">a </w:t>
            </w:r>
            <w:r w:rsidR="000109B9" w:rsidRPr="00A70AC1">
              <w:rPr>
                <w:rFonts w:cs="Arial"/>
                <w:szCs w:val="22"/>
              </w:rPr>
              <w:t>Tender</w:t>
            </w:r>
            <w:r w:rsidRPr="00A70AC1">
              <w:rPr>
                <w:rFonts w:cs="Arial"/>
                <w:szCs w:val="22"/>
              </w:rPr>
              <w:t xml:space="preserve"> to the </w:t>
            </w:r>
            <w:r w:rsidR="0061403B" w:rsidRPr="00A70AC1">
              <w:rPr>
                <w:rFonts w:cs="Arial"/>
                <w:szCs w:val="22"/>
              </w:rPr>
              <w:t>Authority Contract</w:t>
            </w:r>
            <w:r w:rsidR="00770747" w:rsidRPr="00A70AC1">
              <w:rPr>
                <w:rFonts w:cs="Arial"/>
                <w:szCs w:val="22"/>
              </w:rPr>
              <w:t xml:space="preserve"> </w:t>
            </w:r>
            <w:r w:rsidRPr="00A70AC1">
              <w:rPr>
                <w:rFonts w:cs="Arial"/>
                <w:szCs w:val="22"/>
              </w:rPr>
              <w:t>(“</w:t>
            </w:r>
            <w:r w:rsidRPr="00A70AC1">
              <w:rPr>
                <w:rFonts w:cs="Arial"/>
                <w:b/>
                <w:szCs w:val="22"/>
              </w:rPr>
              <w:t>Tender Submission Deadline</w:t>
            </w:r>
            <w:r w:rsidRPr="00A70AC1">
              <w:rPr>
                <w:rFonts w:cs="Arial"/>
                <w:szCs w:val="22"/>
              </w:rPr>
              <w:t>”)</w:t>
            </w:r>
          </w:p>
        </w:tc>
      </w:tr>
      <w:tr w:rsidR="00AE0DFE" w:rsidRPr="00A70AC1" w14:paraId="5DD5908D" w14:textId="77777777" w:rsidTr="00C22B7B">
        <w:trPr>
          <w:cantSplit/>
        </w:trPr>
        <w:tc>
          <w:tcPr>
            <w:tcW w:w="2552" w:type="dxa"/>
          </w:tcPr>
          <w:p w14:paraId="657D03EC" w14:textId="01DB630C" w:rsidR="00AE0DFE" w:rsidRPr="00A70AC1" w:rsidRDefault="005E5490" w:rsidP="00BB241C">
            <w:pPr>
              <w:pStyle w:val="MarginText"/>
              <w:spacing w:before="60" w:after="60"/>
              <w:jc w:val="center"/>
              <w:rPr>
                <w:rFonts w:cs="Arial"/>
                <w:szCs w:val="22"/>
              </w:rPr>
            </w:pPr>
            <w:r w:rsidRPr="00A70AC1">
              <w:rPr>
                <w:rFonts w:cs="Arial"/>
                <w:szCs w:val="22"/>
              </w:rPr>
              <w:t>14/10/22 to 21/10/22</w:t>
            </w:r>
          </w:p>
        </w:tc>
        <w:tc>
          <w:tcPr>
            <w:tcW w:w="5829" w:type="dxa"/>
          </w:tcPr>
          <w:p w14:paraId="080C6043" w14:textId="4855F645" w:rsidR="00AE0DFE" w:rsidRPr="00A70AC1" w:rsidRDefault="00A9654F" w:rsidP="00B12D8E">
            <w:pPr>
              <w:pStyle w:val="MarginText"/>
              <w:spacing w:before="60" w:after="60"/>
              <w:rPr>
                <w:rFonts w:cs="Arial"/>
                <w:szCs w:val="22"/>
              </w:rPr>
            </w:pPr>
            <w:r w:rsidRPr="00A70AC1">
              <w:rPr>
                <w:rFonts w:cs="Arial"/>
                <w:szCs w:val="22"/>
              </w:rPr>
              <w:t>Te</w:t>
            </w:r>
            <w:r w:rsidR="005302FA" w:rsidRPr="00A70AC1">
              <w:rPr>
                <w:rFonts w:cs="Arial"/>
                <w:szCs w:val="22"/>
              </w:rPr>
              <w:t>chnical</w:t>
            </w:r>
            <w:r w:rsidRPr="00A70AC1">
              <w:rPr>
                <w:rFonts w:cs="Arial"/>
                <w:szCs w:val="22"/>
              </w:rPr>
              <w:t xml:space="preserve"> </w:t>
            </w:r>
            <w:r w:rsidR="005E5490" w:rsidRPr="00A70AC1">
              <w:rPr>
                <w:rFonts w:cs="Arial"/>
                <w:szCs w:val="22"/>
              </w:rPr>
              <w:t>Evaluation</w:t>
            </w:r>
          </w:p>
        </w:tc>
      </w:tr>
      <w:tr w:rsidR="00087F84" w:rsidRPr="00A70AC1" w14:paraId="52E654ED" w14:textId="77777777" w:rsidTr="00C22B7B">
        <w:trPr>
          <w:cantSplit/>
        </w:trPr>
        <w:tc>
          <w:tcPr>
            <w:tcW w:w="2552" w:type="dxa"/>
          </w:tcPr>
          <w:p w14:paraId="7E1729EB" w14:textId="7207E69F" w:rsidR="00847117" w:rsidRPr="00A70AC1" w:rsidRDefault="007E44F7" w:rsidP="00BB241C">
            <w:pPr>
              <w:pStyle w:val="MarginText"/>
              <w:spacing w:before="60" w:after="60"/>
              <w:jc w:val="center"/>
              <w:rPr>
                <w:rFonts w:cs="Arial"/>
                <w:szCs w:val="22"/>
              </w:rPr>
            </w:pPr>
            <w:r w:rsidRPr="00A70AC1">
              <w:rPr>
                <w:rFonts w:cs="Arial"/>
                <w:szCs w:val="22"/>
              </w:rPr>
              <w:t>21</w:t>
            </w:r>
            <w:r w:rsidR="00E1162D" w:rsidRPr="00A70AC1">
              <w:rPr>
                <w:rFonts w:cs="Arial"/>
                <w:szCs w:val="22"/>
              </w:rPr>
              <w:t>/10/22</w:t>
            </w:r>
            <w:r w:rsidRPr="00A70AC1">
              <w:rPr>
                <w:rFonts w:cs="Arial"/>
                <w:szCs w:val="22"/>
              </w:rPr>
              <w:t xml:space="preserve"> t</w:t>
            </w:r>
            <w:r w:rsidR="00C858D0" w:rsidRPr="00A70AC1">
              <w:rPr>
                <w:rFonts w:cs="Arial"/>
                <w:szCs w:val="22"/>
              </w:rPr>
              <w:t>o</w:t>
            </w:r>
            <w:r w:rsidRPr="00A70AC1">
              <w:rPr>
                <w:rFonts w:cs="Arial"/>
                <w:szCs w:val="22"/>
              </w:rPr>
              <w:t xml:space="preserve"> 31/10/22</w:t>
            </w:r>
          </w:p>
        </w:tc>
        <w:tc>
          <w:tcPr>
            <w:tcW w:w="5829" w:type="dxa"/>
          </w:tcPr>
          <w:p w14:paraId="59B0136E" w14:textId="3580D158" w:rsidR="00087F84" w:rsidRPr="00A70AC1" w:rsidRDefault="00BB241C" w:rsidP="00B12D8E">
            <w:pPr>
              <w:pStyle w:val="MarginText"/>
              <w:spacing w:before="60" w:after="60"/>
              <w:rPr>
                <w:rFonts w:cs="Arial"/>
                <w:szCs w:val="22"/>
              </w:rPr>
            </w:pPr>
            <w:r w:rsidRPr="00A70AC1">
              <w:rPr>
                <w:rFonts w:cs="Arial"/>
                <w:szCs w:val="22"/>
              </w:rPr>
              <w:t>Standstill period</w:t>
            </w:r>
            <w:r w:rsidR="0043082D" w:rsidRPr="00A70AC1">
              <w:rPr>
                <w:rFonts w:cs="Arial"/>
                <w:szCs w:val="22"/>
              </w:rPr>
              <w:t xml:space="preserve"> commences (10 calendar days)</w:t>
            </w:r>
          </w:p>
        </w:tc>
      </w:tr>
      <w:tr w:rsidR="00087F84" w:rsidRPr="00A70AC1" w14:paraId="5F6C4E9B" w14:textId="77777777" w:rsidTr="00C22B7B">
        <w:trPr>
          <w:cantSplit/>
        </w:trPr>
        <w:tc>
          <w:tcPr>
            <w:tcW w:w="2552" w:type="dxa"/>
          </w:tcPr>
          <w:p w14:paraId="2224B268" w14:textId="2F1007A4" w:rsidR="00087F84" w:rsidRPr="00A70AC1" w:rsidRDefault="007E44F7" w:rsidP="00087F84">
            <w:pPr>
              <w:pStyle w:val="MarginText"/>
              <w:spacing w:before="60" w:after="60"/>
              <w:jc w:val="center"/>
              <w:rPr>
                <w:rFonts w:cs="Arial"/>
                <w:szCs w:val="22"/>
              </w:rPr>
            </w:pPr>
            <w:r w:rsidRPr="00A70AC1">
              <w:rPr>
                <w:rFonts w:cs="Arial"/>
                <w:szCs w:val="22"/>
              </w:rPr>
              <w:t>1</w:t>
            </w:r>
            <w:r w:rsidR="00044554" w:rsidRPr="00A70AC1">
              <w:rPr>
                <w:rFonts w:cs="Arial"/>
                <w:szCs w:val="22"/>
              </w:rPr>
              <w:t>/11/22</w:t>
            </w:r>
          </w:p>
        </w:tc>
        <w:tc>
          <w:tcPr>
            <w:tcW w:w="5829" w:type="dxa"/>
          </w:tcPr>
          <w:p w14:paraId="74DD0DEE" w14:textId="77777777" w:rsidR="00087F84" w:rsidRPr="00A70AC1" w:rsidRDefault="00087F84" w:rsidP="00087F84">
            <w:pPr>
              <w:pStyle w:val="MarginText"/>
              <w:spacing w:before="60" w:after="60"/>
              <w:rPr>
                <w:rFonts w:cs="Arial"/>
                <w:szCs w:val="22"/>
              </w:rPr>
            </w:pPr>
            <w:r w:rsidRPr="00A70AC1">
              <w:rPr>
                <w:rFonts w:cs="Arial"/>
                <w:szCs w:val="22"/>
              </w:rPr>
              <w:t>Expected commencement date for the Contract</w:t>
            </w:r>
          </w:p>
        </w:tc>
      </w:tr>
    </w:tbl>
    <w:p w14:paraId="6A14D3D0" w14:textId="77777777" w:rsidR="009A37CD" w:rsidRPr="00A70AC1" w:rsidRDefault="009A37CD" w:rsidP="009A37CD">
      <w:pPr>
        <w:pStyle w:val="Heading1"/>
        <w:tabs>
          <w:tab w:val="left" w:pos="851"/>
        </w:tabs>
        <w:spacing w:before="240" w:after="120"/>
        <w:rPr>
          <w:rFonts w:cs="Arial"/>
          <w:szCs w:val="22"/>
        </w:rPr>
      </w:pPr>
      <w:bookmarkStart w:id="6" w:name="_Toc114216461"/>
      <w:r w:rsidRPr="00A70AC1">
        <w:rPr>
          <w:rFonts w:cs="Arial"/>
          <w:szCs w:val="22"/>
        </w:rPr>
        <w:t>questions AND CLARIFICATIONS</w:t>
      </w:r>
      <w:bookmarkEnd w:id="6"/>
    </w:p>
    <w:p w14:paraId="3C0EC8BA" w14:textId="77777777" w:rsidR="007C40D2" w:rsidRPr="00A70AC1" w:rsidRDefault="007C40D2" w:rsidP="007C40D2">
      <w:pPr>
        <w:pStyle w:val="Heading2"/>
        <w:tabs>
          <w:tab w:val="left" w:pos="851"/>
        </w:tabs>
        <w:spacing w:after="120"/>
        <w:ind w:left="737" w:hanging="737"/>
        <w:rPr>
          <w:rFonts w:cs="Arial"/>
          <w:szCs w:val="22"/>
        </w:rPr>
      </w:pPr>
      <w:r w:rsidRPr="00A70AC1">
        <w:rPr>
          <w:rFonts w:cs="Arial"/>
          <w:szCs w:val="22"/>
        </w:rPr>
        <w:t xml:space="preserve">Potential Providers may raise questions or seek clarification regarding any aspect of this </w:t>
      </w:r>
      <w:r w:rsidR="00B423E5" w:rsidRPr="00A70AC1">
        <w:rPr>
          <w:rFonts w:cs="Arial"/>
          <w:szCs w:val="22"/>
        </w:rPr>
        <w:t>Further Competition</w:t>
      </w:r>
      <w:r w:rsidRPr="00A70AC1">
        <w:rPr>
          <w:rFonts w:cs="Arial"/>
          <w:szCs w:val="22"/>
        </w:rPr>
        <w:t xml:space="preserve"> at any time prior to the Tender Clarification Deadline. </w:t>
      </w:r>
    </w:p>
    <w:p w14:paraId="12699109" w14:textId="47329AB9" w:rsidR="00261D93" w:rsidRPr="00A70AC1" w:rsidRDefault="0058634D" w:rsidP="007C40D2">
      <w:pPr>
        <w:pStyle w:val="Heading2"/>
        <w:tabs>
          <w:tab w:val="left" w:pos="851"/>
        </w:tabs>
        <w:spacing w:after="120"/>
        <w:ind w:left="737" w:hanging="737"/>
        <w:rPr>
          <w:rFonts w:cs="Arial"/>
          <w:szCs w:val="22"/>
        </w:rPr>
      </w:pPr>
      <w:r w:rsidRPr="00A70AC1">
        <w:rPr>
          <w:rFonts w:cs="Arial"/>
          <w:szCs w:val="22"/>
        </w:rPr>
        <w:t>All clar</w:t>
      </w:r>
      <w:r w:rsidR="00A75BFE" w:rsidRPr="00A70AC1">
        <w:rPr>
          <w:rFonts w:cs="Arial"/>
          <w:szCs w:val="22"/>
        </w:rPr>
        <w:t>i</w:t>
      </w:r>
      <w:r w:rsidRPr="00A70AC1">
        <w:rPr>
          <w:rFonts w:cs="Arial"/>
          <w:szCs w:val="22"/>
        </w:rPr>
        <w:t>f</w:t>
      </w:r>
      <w:r w:rsidR="00A75BFE" w:rsidRPr="00A70AC1">
        <w:rPr>
          <w:rFonts w:cs="Arial"/>
          <w:szCs w:val="22"/>
        </w:rPr>
        <w:t>ic</w:t>
      </w:r>
      <w:r w:rsidRPr="00A70AC1">
        <w:rPr>
          <w:rFonts w:cs="Arial"/>
          <w:szCs w:val="22"/>
        </w:rPr>
        <w:t xml:space="preserve">ations </w:t>
      </w:r>
      <w:r w:rsidR="0067136F" w:rsidRPr="00A70AC1">
        <w:rPr>
          <w:rFonts w:cs="Arial"/>
          <w:szCs w:val="22"/>
        </w:rPr>
        <w:t xml:space="preserve">are </w:t>
      </w:r>
      <w:r w:rsidRPr="00A70AC1">
        <w:rPr>
          <w:rFonts w:cs="Arial"/>
          <w:szCs w:val="22"/>
        </w:rPr>
        <w:t xml:space="preserve">to be </w:t>
      </w:r>
      <w:r w:rsidR="00EE4848" w:rsidRPr="00A70AC1">
        <w:rPr>
          <w:rFonts w:cs="Arial"/>
          <w:szCs w:val="22"/>
        </w:rPr>
        <w:t>submitted</w:t>
      </w:r>
      <w:r w:rsidR="00261D93" w:rsidRPr="00A70AC1">
        <w:rPr>
          <w:rFonts w:cs="Arial"/>
          <w:szCs w:val="22"/>
        </w:rPr>
        <w:t xml:space="preserve"> </w:t>
      </w:r>
      <w:r w:rsidR="005B5FB3" w:rsidRPr="00A70AC1">
        <w:rPr>
          <w:rFonts w:cs="Arial"/>
          <w:szCs w:val="22"/>
        </w:rPr>
        <w:t>via the D</w:t>
      </w:r>
      <w:r w:rsidR="005B5FB3" w:rsidRPr="00A70AC1">
        <w:rPr>
          <w:rFonts w:cs="Arial"/>
          <w:szCs w:val="22"/>
          <w:u w:val="double"/>
        </w:rPr>
        <w:t>efence Sourcing Portal</w:t>
      </w:r>
      <w:r w:rsidRPr="00A70AC1">
        <w:rPr>
          <w:rFonts w:cs="Arial"/>
          <w:szCs w:val="22"/>
        </w:rPr>
        <w:t xml:space="preserve"> </w:t>
      </w:r>
    </w:p>
    <w:p w14:paraId="4A734F6A" w14:textId="77777777" w:rsidR="007C40D2" w:rsidRPr="00A70AC1" w:rsidRDefault="005B1F6F" w:rsidP="007C40D2">
      <w:pPr>
        <w:pStyle w:val="Heading2"/>
        <w:tabs>
          <w:tab w:val="left" w:pos="851"/>
        </w:tabs>
        <w:spacing w:after="120"/>
        <w:ind w:left="737" w:hanging="737"/>
        <w:rPr>
          <w:rFonts w:cs="Arial"/>
          <w:szCs w:val="22"/>
        </w:rPr>
      </w:pPr>
      <w:r w:rsidRPr="00A70AC1">
        <w:rPr>
          <w:rFonts w:cs="Arial"/>
          <w:szCs w:val="22"/>
        </w:rPr>
        <w:t xml:space="preserve">The Authority </w:t>
      </w:r>
      <w:r w:rsidR="007C40D2" w:rsidRPr="00A70AC1">
        <w:rPr>
          <w:rFonts w:cs="Arial"/>
          <w:szCs w:val="22"/>
        </w:rPr>
        <w:t xml:space="preserve">will not enter into exclusive discussions regarding the requirements of this </w:t>
      </w:r>
      <w:r w:rsidR="00B423E5" w:rsidRPr="00A70AC1">
        <w:rPr>
          <w:rFonts w:cs="Arial"/>
          <w:szCs w:val="22"/>
        </w:rPr>
        <w:t>Further Competition</w:t>
      </w:r>
      <w:r w:rsidR="007C40D2" w:rsidRPr="00A70AC1">
        <w:rPr>
          <w:rFonts w:cs="Arial"/>
          <w:szCs w:val="22"/>
        </w:rPr>
        <w:t xml:space="preserve"> with Potential Providers.</w:t>
      </w:r>
    </w:p>
    <w:p w14:paraId="44BA7E42" w14:textId="77777777" w:rsidR="007C40D2" w:rsidRPr="00A70AC1" w:rsidRDefault="007C40D2" w:rsidP="007C40D2">
      <w:pPr>
        <w:pStyle w:val="Heading2"/>
        <w:tabs>
          <w:tab w:val="left" w:pos="851"/>
        </w:tabs>
        <w:spacing w:after="120"/>
        <w:ind w:left="737" w:hanging="737"/>
        <w:rPr>
          <w:rFonts w:cs="Arial"/>
          <w:szCs w:val="22"/>
        </w:rPr>
      </w:pPr>
      <w:r w:rsidRPr="00A70AC1">
        <w:rPr>
          <w:rFonts w:cs="Arial"/>
          <w:szCs w:val="22"/>
        </w:rPr>
        <w:t>To ensure that all Potential Providers have equal access to information regar</w:t>
      </w:r>
      <w:r w:rsidR="00087F84" w:rsidRPr="00A70AC1">
        <w:rPr>
          <w:rFonts w:cs="Arial"/>
          <w:szCs w:val="22"/>
        </w:rPr>
        <w:t xml:space="preserve">ding this </w:t>
      </w:r>
      <w:r w:rsidR="00B423E5" w:rsidRPr="00A70AC1">
        <w:rPr>
          <w:rFonts w:cs="Arial"/>
          <w:szCs w:val="22"/>
        </w:rPr>
        <w:t>Further Competition</w:t>
      </w:r>
      <w:r w:rsidR="00087F84" w:rsidRPr="00A70AC1">
        <w:rPr>
          <w:rFonts w:cs="Arial"/>
          <w:szCs w:val="22"/>
        </w:rPr>
        <w:t xml:space="preserve">, </w:t>
      </w:r>
      <w:r w:rsidR="0061403B" w:rsidRPr="00A70AC1">
        <w:rPr>
          <w:rFonts w:cs="Arial"/>
          <w:szCs w:val="22"/>
        </w:rPr>
        <w:t xml:space="preserve">the Authority </w:t>
      </w:r>
      <w:r w:rsidRPr="00A70AC1">
        <w:rPr>
          <w:rFonts w:cs="Arial"/>
          <w:szCs w:val="22"/>
        </w:rPr>
        <w:t xml:space="preserve">will publish all its responses to questions raised by Potential Providers on an anonymous basis. </w:t>
      </w:r>
    </w:p>
    <w:p w14:paraId="418A8145" w14:textId="77777777" w:rsidR="00931F12" w:rsidRPr="00A70AC1" w:rsidRDefault="00931F12" w:rsidP="00931F12">
      <w:pPr>
        <w:pStyle w:val="Heading2"/>
        <w:tabs>
          <w:tab w:val="left" w:pos="851"/>
        </w:tabs>
        <w:spacing w:after="120"/>
        <w:ind w:left="737" w:hanging="737"/>
        <w:rPr>
          <w:rFonts w:cs="Arial"/>
          <w:szCs w:val="22"/>
        </w:rPr>
      </w:pPr>
      <w:r w:rsidRPr="00A70AC1">
        <w:rPr>
          <w:rFonts w:cs="Arial"/>
          <w:szCs w:val="22"/>
        </w:rPr>
        <w:t>Responses will be published in a Questions and Answers document to all companies who expressed an interest and were subsequently invited to tender.</w:t>
      </w:r>
    </w:p>
    <w:p w14:paraId="577C48B0" w14:textId="6E76BEC4" w:rsidR="000A0999" w:rsidRPr="00A70AC1" w:rsidRDefault="007C40D2" w:rsidP="001C5050">
      <w:pPr>
        <w:pStyle w:val="Heading2"/>
        <w:tabs>
          <w:tab w:val="left" w:pos="851"/>
        </w:tabs>
        <w:spacing w:after="120"/>
        <w:ind w:left="737" w:hanging="737"/>
        <w:rPr>
          <w:rFonts w:cs="Arial"/>
          <w:szCs w:val="22"/>
        </w:rPr>
      </w:pPr>
      <w:r w:rsidRPr="00A70AC1">
        <w:rPr>
          <w:rFonts w:cs="Arial"/>
          <w:szCs w:val="22"/>
        </w:rPr>
        <w:t xml:space="preserve">At times </w:t>
      </w:r>
      <w:r w:rsidR="005B1F6F" w:rsidRPr="00A70AC1">
        <w:rPr>
          <w:rFonts w:cs="Arial"/>
          <w:szCs w:val="22"/>
        </w:rPr>
        <w:t xml:space="preserve">the Authority </w:t>
      </w:r>
      <w:r w:rsidRPr="00A70AC1">
        <w:rPr>
          <w:rFonts w:cs="Arial"/>
          <w:szCs w:val="22"/>
        </w:rPr>
        <w:t>may issue communications to the email address for the tende</w:t>
      </w:r>
      <w:r w:rsidR="00087F84" w:rsidRPr="00A70AC1">
        <w:rPr>
          <w:rFonts w:cs="Arial"/>
          <w:szCs w:val="22"/>
        </w:rPr>
        <w:t>r contact provided in Appendix C</w:t>
      </w:r>
      <w:r w:rsidRPr="00A70AC1">
        <w:rPr>
          <w:rFonts w:cs="Arial"/>
          <w:szCs w:val="22"/>
        </w:rPr>
        <w:t xml:space="preserve"> (</w:t>
      </w:r>
      <w:r w:rsidR="00A83013" w:rsidRPr="00A70AC1">
        <w:rPr>
          <w:rFonts w:cs="Arial"/>
          <w:szCs w:val="22"/>
        </w:rPr>
        <w:t>Tender Questionnaire</w:t>
      </w:r>
      <w:r w:rsidRPr="00A70AC1">
        <w:rPr>
          <w:rFonts w:cs="Arial"/>
          <w:szCs w:val="22"/>
        </w:rPr>
        <w:t xml:space="preserve">), therefore please ensure that this mailbox is reviewed on a regular basis. </w:t>
      </w:r>
    </w:p>
    <w:p w14:paraId="55FD6FDD" w14:textId="77777777" w:rsidR="00121282" w:rsidRPr="00A70AC1" w:rsidRDefault="00121282" w:rsidP="002905A0">
      <w:pPr>
        <w:pStyle w:val="Heading1"/>
        <w:tabs>
          <w:tab w:val="left" w:pos="851"/>
        </w:tabs>
        <w:spacing w:before="120" w:after="120"/>
        <w:rPr>
          <w:rFonts w:cs="Arial"/>
          <w:szCs w:val="22"/>
        </w:rPr>
      </w:pPr>
      <w:bookmarkStart w:id="7" w:name="_Toc114216462"/>
      <w:r w:rsidRPr="00A70AC1">
        <w:rPr>
          <w:rFonts w:cs="Arial"/>
          <w:szCs w:val="22"/>
        </w:rPr>
        <w:t>Price</w:t>
      </w:r>
      <w:bookmarkEnd w:id="7"/>
    </w:p>
    <w:p w14:paraId="76B948A6" w14:textId="57DFC7F5" w:rsidR="00087F84" w:rsidRPr="00A70AC1" w:rsidRDefault="005F7FFB" w:rsidP="00500DF6">
      <w:pPr>
        <w:pStyle w:val="Heading2"/>
        <w:ind w:left="737" w:hanging="737"/>
        <w:rPr>
          <w:rFonts w:cs="Arial"/>
          <w:szCs w:val="22"/>
        </w:rPr>
      </w:pPr>
      <w:r w:rsidRPr="00A70AC1">
        <w:rPr>
          <w:rFonts w:cs="Arial"/>
          <w:szCs w:val="22"/>
        </w:rPr>
        <w:t xml:space="preserve">A FIRM price is requested for the </w:t>
      </w:r>
      <w:r w:rsidR="005617FC" w:rsidRPr="00A70AC1">
        <w:rPr>
          <w:rFonts w:cs="Arial"/>
          <w:szCs w:val="22"/>
        </w:rPr>
        <w:t>service</w:t>
      </w:r>
      <w:r w:rsidRPr="00A70AC1">
        <w:rPr>
          <w:rFonts w:cs="Arial"/>
          <w:szCs w:val="22"/>
        </w:rPr>
        <w:t xml:space="preserve"> broken out as per the </w:t>
      </w:r>
      <w:r w:rsidR="000900CC" w:rsidRPr="00A70AC1">
        <w:rPr>
          <w:rFonts w:cs="Arial"/>
          <w:szCs w:val="22"/>
        </w:rPr>
        <w:t xml:space="preserve">Pricing </w:t>
      </w:r>
      <w:r w:rsidR="00D8017D" w:rsidRPr="00A70AC1">
        <w:rPr>
          <w:rFonts w:cs="Arial"/>
          <w:szCs w:val="22"/>
        </w:rPr>
        <w:t>Matrix contained within Schedule 5.</w:t>
      </w:r>
    </w:p>
    <w:p w14:paraId="69093C67" w14:textId="77777777" w:rsidR="002905A0" w:rsidRPr="00A70AC1" w:rsidRDefault="002905A0" w:rsidP="002905A0">
      <w:pPr>
        <w:pStyle w:val="Heading1"/>
        <w:tabs>
          <w:tab w:val="left" w:pos="851"/>
        </w:tabs>
        <w:spacing w:before="120" w:after="120"/>
        <w:rPr>
          <w:rFonts w:cs="Arial"/>
          <w:szCs w:val="22"/>
        </w:rPr>
      </w:pPr>
      <w:bookmarkStart w:id="8" w:name="_Toc114216463"/>
      <w:r w:rsidRPr="00A70AC1">
        <w:rPr>
          <w:rFonts w:cs="Arial"/>
          <w:szCs w:val="22"/>
        </w:rPr>
        <w:lastRenderedPageBreak/>
        <w:t>Submitting a tender</w:t>
      </w:r>
      <w:bookmarkEnd w:id="8"/>
    </w:p>
    <w:p w14:paraId="225F2A8A" w14:textId="34A85817" w:rsidR="00A83013" w:rsidRPr="00A70AC1" w:rsidRDefault="003D5109" w:rsidP="00500DF6">
      <w:pPr>
        <w:pStyle w:val="Heading2"/>
        <w:ind w:left="737" w:hanging="737"/>
        <w:rPr>
          <w:rFonts w:cs="Arial"/>
          <w:szCs w:val="22"/>
        </w:rPr>
      </w:pPr>
      <w:r w:rsidRPr="00A70AC1">
        <w:rPr>
          <w:rFonts w:cs="Arial"/>
          <w:szCs w:val="22"/>
        </w:rPr>
        <w:t xml:space="preserve">Your </w:t>
      </w:r>
      <w:r w:rsidR="00B22835" w:rsidRPr="00A70AC1">
        <w:rPr>
          <w:rFonts w:cs="Arial"/>
          <w:szCs w:val="22"/>
        </w:rPr>
        <w:t xml:space="preserve">Tender </w:t>
      </w:r>
      <w:r w:rsidR="004E7AA2" w:rsidRPr="00A70AC1">
        <w:rPr>
          <w:rFonts w:cs="Arial"/>
          <w:szCs w:val="22"/>
        </w:rPr>
        <w:t>must</w:t>
      </w:r>
      <w:r w:rsidR="00B22835" w:rsidRPr="00A70AC1">
        <w:rPr>
          <w:rFonts w:cs="Arial"/>
          <w:szCs w:val="22"/>
        </w:rPr>
        <w:t xml:space="preserve"> be submitted </w:t>
      </w:r>
      <w:r w:rsidR="00426162" w:rsidRPr="00A70AC1">
        <w:rPr>
          <w:rFonts w:cs="Arial"/>
          <w:szCs w:val="22"/>
        </w:rPr>
        <w:t>via the Defence Sourcing Portal.</w:t>
      </w:r>
    </w:p>
    <w:p w14:paraId="37EFB1EC" w14:textId="52FC1EDA" w:rsidR="004F1475" w:rsidRPr="00A70AC1" w:rsidRDefault="004F1475" w:rsidP="00500DF6">
      <w:pPr>
        <w:pStyle w:val="Heading2"/>
        <w:ind w:left="737" w:hanging="737"/>
        <w:rPr>
          <w:b/>
        </w:rPr>
      </w:pPr>
      <w:r w:rsidRPr="00A70AC1">
        <w:t xml:space="preserve">A Tender must remain valid and capable of acceptance by the Authority for a period of </w:t>
      </w:r>
      <w:r w:rsidR="00917241" w:rsidRPr="00A70AC1">
        <w:t>30</w:t>
      </w:r>
      <w:r w:rsidR="00847117" w:rsidRPr="00A70AC1">
        <w:t xml:space="preserve"> days</w:t>
      </w:r>
      <w:r w:rsidRPr="00A70AC1">
        <w:t xml:space="preserve"> following the Tender Submission Deadline.  A Tender with a shorter validity period may be rejected.</w:t>
      </w:r>
    </w:p>
    <w:p w14:paraId="018970A6" w14:textId="2E375B7B" w:rsidR="000A0999" w:rsidRPr="00856F0F" w:rsidRDefault="00E612E3" w:rsidP="00500DF6">
      <w:pPr>
        <w:pStyle w:val="Heading2"/>
        <w:ind w:left="737" w:hanging="737"/>
        <w:rPr>
          <w:b/>
        </w:rPr>
      </w:pPr>
      <w:r w:rsidRPr="00A70AC1">
        <w:t xml:space="preserve">Bidders </w:t>
      </w:r>
      <w:r w:rsidR="00665B3C" w:rsidRPr="00A70AC1">
        <w:t xml:space="preserve">must submit </w:t>
      </w:r>
      <w:r w:rsidR="00C65562" w:rsidRPr="00A70AC1">
        <w:t xml:space="preserve">two versions of their tender. The Authority must receive both a PRICED and UNPRICED tender for the purposes of </w:t>
      </w:r>
      <w:r w:rsidR="00E10E53" w:rsidRPr="00A70AC1">
        <w:t xml:space="preserve">fair and transparent assessment of bids. The UNPRICED version must contain no pricing information of any kind. If </w:t>
      </w:r>
      <w:r w:rsidR="009B2353" w:rsidRPr="00A70AC1">
        <w:t>the UNPRICED version is found to contain pricing information, the Authority reserves the right to unilaterally, and without consultation, disqualify the tender from further consideration.</w:t>
      </w:r>
    </w:p>
    <w:p w14:paraId="29B33CAE" w14:textId="4AFA4483" w:rsidR="00856F0F" w:rsidRPr="00A70AC1" w:rsidRDefault="00856F0F" w:rsidP="00500DF6">
      <w:pPr>
        <w:pStyle w:val="Heading2"/>
        <w:ind w:left="737" w:hanging="737"/>
        <w:rPr>
          <w:b/>
        </w:rPr>
      </w:pPr>
      <w:r>
        <w:t>Please make sure to complete the Order Form</w:t>
      </w:r>
      <w:r w:rsidR="007045D8">
        <w:t>, Joint Schedules, and Call-Off Schedules where Supplier Information is to be provided (highlighted in yellow</w:t>
      </w:r>
      <w:proofErr w:type="gramStart"/>
      <w:r w:rsidR="007045D8">
        <w:t>).</w:t>
      </w:r>
      <w:r w:rsidR="00DE6244">
        <w:t>Please</w:t>
      </w:r>
      <w:proofErr w:type="gramEnd"/>
      <w:r w:rsidR="00DE6244">
        <w:t xml:space="preserve"> remove highlighting before submitting your tender.</w:t>
      </w:r>
    </w:p>
    <w:p w14:paraId="10B32F7A" w14:textId="77777777" w:rsidR="0077082E" w:rsidRPr="00A70AC1" w:rsidRDefault="00113459" w:rsidP="009A37CD">
      <w:pPr>
        <w:pStyle w:val="Heading1"/>
        <w:tabs>
          <w:tab w:val="left" w:pos="851"/>
        </w:tabs>
        <w:spacing w:before="120" w:after="120"/>
        <w:rPr>
          <w:rFonts w:cs="Arial"/>
          <w:szCs w:val="22"/>
        </w:rPr>
      </w:pPr>
      <w:bookmarkStart w:id="9" w:name="_Toc114216464"/>
      <w:r w:rsidRPr="00A70AC1">
        <w:rPr>
          <w:rFonts w:cs="Arial"/>
          <w:szCs w:val="22"/>
        </w:rPr>
        <w:t xml:space="preserve">tender </w:t>
      </w:r>
      <w:r w:rsidR="004771C4" w:rsidRPr="00A70AC1">
        <w:rPr>
          <w:rFonts w:cs="Arial"/>
          <w:szCs w:val="22"/>
        </w:rPr>
        <w:t>EVALUATION</w:t>
      </w:r>
      <w:bookmarkEnd w:id="9"/>
      <w:r w:rsidR="004771C4" w:rsidRPr="00A70AC1">
        <w:rPr>
          <w:rFonts w:cs="Arial"/>
          <w:szCs w:val="22"/>
        </w:rPr>
        <w:t xml:space="preserve"> </w:t>
      </w:r>
    </w:p>
    <w:p w14:paraId="45312460" w14:textId="77777777" w:rsidR="00564CCA" w:rsidRPr="00A70AC1" w:rsidRDefault="00564CCA" w:rsidP="00F172D8">
      <w:pPr>
        <w:pStyle w:val="Heading2"/>
        <w:tabs>
          <w:tab w:val="left" w:pos="851"/>
        </w:tabs>
        <w:spacing w:after="120"/>
        <w:ind w:left="737" w:hanging="737"/>
        <w:rPr>
          <w:rFonts w:cs="Arial"/>
          <w:szCs w:val="22"/>
        </w:rPr>
      </w:pPr>
      <w:r w:rsidRPr="00A70AC1">
        <w:rPr>
          <w:rFonts w:cs="Arial"/>
          <w:szCs w:val="22"/>
        </w:rPr>
        <w:t xml:space="preserve">Tenders will be evaluated in line with the </w:t>
      </w:r>
      <w:r w:rsidR="00E33788" w:rsidRPr="00A70AC1">
        <w:rPr>
          <w:rFonts w:cs="Arial"/>
          <w:szCs w:val="22"/>
        </w:rPr>
        <w:t>M</w:t>
      </w:r>
      <w:r w:rsidRPr="00A70AC1">
        <w:rPr>
          <w:rFonts w:cs="Arial"/>
          <w:szCs w:val="22"/>
        </w:rPr>
        <w:t xml:space="preserve">arking </w:t>
      </w:r>
      <w:r w:rsidR="00E33788" w:rsidRPr="00A70AC1">
        <w:rPr>
          <w:rFonts w:cs="Arial"/>
          <w:szCs w:val="22"/>
        </w:rPr>
        <w:t>S</w:t>
      </w:r>
      <w:r w:rsidR="00A83013" w:rsidRPr="00A70AC1">
        <w:rPr>
          <w:rFonts w:cs="Arial"/>
          <w:szCs w:val="22"/>
        </w:rPr>
        <w:t>cheme set out in Appendix C</w:t>
      </w:r>
      <w:r w:rsidRPr="00A70AC1">
        <w:rPr>
          <w:rFonts w:cs="Arial"/>
          <w:szCs w:val="22"/>
        </w:rPr>
        <w:t xml:space="preserve"> (</w:t>
      </w:r>
      <w:r w:rsidR="00A83013" w:rsidRPr="00A70AC1">
        <w:rPr>
          <w:rFonts w:cs="Arial"/>
          <w:szCs w:val="22"/>
        </w:rPr>
        <w:t>Tender Questionnaire</w:t>
      </w:r>
      <w:r w:rsidRPr="00A70AC1">
        <w:rPr>
          <w:rFonts w:cs="Arial"/>
          <w:szCs w:val="22"/>
        </w:rPr>
        <w:t xml:space="preserve">).  </w:t>
      </w:r>
    </w:p>
    <w:p w14:paraId="094D600A" w14:textId="1FB6C8F9" w:rsidR="004C6D87" w:rsidRPr="00A70AC1" w:rsidRDefault="0074525A" w:rsidP="0030185A">
      <w:pPr>
        <w:pStyle w:val="Heading2"/>
        <w:tabs>
          <w:tab w:val="left" w:pos="851"/>
        </w:tabs>
        <w:spacing w:after="120"/>
        <w:ind w:left="737" w:hanging="737"/>
        <w:rPr>
          <w:rFonts w:cs="Arial"/>
          <w:szCs w:val="22"/>
        </w:rPr>
      </w:pPr>
      <w:r w:rsidRPr="00A70AC1">
        <w:rPr>
          <w:rFonts w:cs="Arial"/>
          <w:szCs w:val="22"/>
        </w:rPr>
        <w:t>The</w:t>
      </w:r>
      <w:r w:rsidR="00924F06" w:rsidRPr="00A70AC1">
        <w:rPr>
          <w:rFonts w:cs="Arial"/>
          <w:szCs w:val="22"/>
        </w:rPr>
        <w:t xml:space="preserve"> evaluation will be divided in to three categories</w:t>
      </w:r>
      <w:r w:rsidR="00160DEB" w:rsidRPr="00A70AC1">
        <w:rPr>
          <w:rFonts w:cs="Arial"/>
          <w:szCs w:val="22"/>
        </w:rPr>
        <w:t>: Commercial, Technical Score, and Pricing Score.</w:t>
      </w:r>
      <w:r w:rsidRPr="00A70AC1">
        <w:rPr>
          <w:rFonts w:cs="Arial"/>
          <w:szCs w:val="22"/>
        </w:rPr>
        <w:t xml:space="preserve"> </w:t>
      </w:r>
    </w:p>
    <w:p w14:paraId="57D351F9" w14:textId="6B30199A" w:rsidR="00670CA7" w:rsidRPr="00A70AC1" w:rsidRDefault="00670CA7" w:rsidP="00670CA7">
      <w:pPr>
        <w:pStyle w:val="Heading3"/>
      </w:pPr>
      <w:r w:rsidRPr="00A70AC1">
        <w:t>The Commercial element comprises all pass/fail and other suitability questions, including:</w:t>
      </w:r>
    </w:p>
    <w:p w14:paraId="1F4B2302" w14:textId="58B5401B" w:rsidR="0011080D" w:rsidRPr="00A70AC1" w:rsidRDefault="0011080D" w:rsidP="0011080D">
      <w:pPr>
        <w:pStyle w:val="Heading4"/>
      </w:pPr>
      <w:r w:rsidRPr="00A70AC1">
        <w:t xml:space="preserve">Compliance with the </w:t>
      </w:r>
      <w:r w:rsidR="00543EAA" w:rsidRPr="00A70AC1">
        <w:t xml:space="preserve">Defence Cyber Protection Partnership (DCPP) </w:t>
      </w:r>
      <w:r w:rsidRPr="00A70AC1">
        <w:t>Cyber Essentials Scheme</w:t>
      </w:r>
    </w:p>
    <w:p w14:paraId="28E4AE0E" w14:textId="0593EEF4" w:rsidR="0011080D" w:rsidRPr="00A70AC1" w:rsidRDefault="00B45225" w:rsidP="0011080D">
      <w:pPr>
        <w:pStyle w:val="Heading4"/>
      </w:pPr>
      <w:r w:rsidRPr="00A70AC1">
        <w:t>Conflicts of Interest</w:t>
      </w:r>
    </w:p>
    <w:p w14:paraId="47D9B248" w14:textId="0BD01DAA" w:rsidR="00416FF9" w:rsidRPr="00A70AC1" w:rsidRDefault="00416FF9" w:rsidP="0011080D">
      <w:pPr>
        <w:pStyle w:val="Heading4"/>
      </w:pPr>
      <w:r w:rsidRPr="00A70AC1">
        <w:t>Accept</w:t>
      </w:r>
      <w:r w:rsidR="00982E6C" w:rsidRPr="00A70AC1">
        <w:t>ance of</w:t>
      </w:r>
      <w:r w:rsidRPr="00A70AC1">
        <w:t xml:space="preserve"> the Authority’s terms and conditions</w:t>
      </w:r>
    </w:p>
    <w:p w14:paraId="5C51F768" w14:textId="65C42917" w:rsidR="00416FF9" w:rsidRPr="00A70AC1" w:rsidRDefault="002B108B" w:rsidP="0011080D">
      <w:pPr>
        <w:pStyle w:val="Heading4"/>
      </w:pPr>
      <w:r w:rsidRPr="00A70AC1">
        <w:t>Please note that if your Tender is deemed Commercially non-compliant, the rest of your Tender will not be assessed.</w:t>
      </w:r>
    </w:p>
    <w:p w14:paraId="5B3AD38E" w14:textId="06C9CD19" w:rsidR="004A31F0" w:rsidRPr="00A70AC1" w:rsidRDefault="004A31F0" w:rsidP="004A31F0">
      <w:pPr>
        <w:pStyle w:val="Heading3"/>
      </w:pPr>
      <w:r w:rsidRPr="00A70AC1">
        <w:t xml:space="preserve">The ‘Technical Score’ shall be the sum of all </w:t>
      </w:r>
      <w:r w:rsidR="00B45225" w:rsidRPr="00A70AC1">
        <w:t>weighted scores</w:t>
      </w:r>
      <w:r w:rsidR="00CB4736" w:rsidRPr="00A70AC1">
        <w:t xml:space="preserve"> awarded </w:t>
      </w:r>
      <w:r w:rsidR="00960FC3" w:rsidRPr="00A70AC1">
        <w:t>against questions four (4) to nine (9).</w:t>
      </w:r>
    </w:p>
    <w:p w14:paraId="3F8E924B" w14:textId="16BACA3C" w:rsidR="00CB23D7" w:rsidRPr="00A70AC1" w:rsidRDefault="007F060F" w:rsidP="004A31F0">
      <w:pPr>
        <w:pStyle w:val="Heading3"/>
      </w:pPr>
      <w:r w:rsidRPr="00A70AC1">
        <w:t>The Pricing Score shall be awarded in accordance with</w:t>
      </w:r>
      <w:r w:rsidR="00FF2DE5" w:rsidRPr="00A70AC1">
        <w:t xml:space="preserve"> the formula presented at Appendix C, A10.</w:t>
      </w:r>
    </w:p>
    <w:p w14:paraId="04834C19" w14:textId="2CAC8BE8" w:rsidR="00500DF6" w:rsidRPr="00A70AC1" w:rsidRDefault="00500DF6" w:rsidP="001D798D">
      <w:pPr>
        <w:pStyle w:val="Heading2"/>
        <w:numPr>
          <w:ilvl w:val="0"/>
          <w:numId w:val="0"/>
        </w:numPr>
        <w:tabs>
          <w:tab w:val="left" w:pos="851"/>
        </w:tabs>
        <w:spacing w:after="120"/>
        <w:ind w:left="737"/>
        <w:rPr>
          <w:rFonts w:cs="Arial"/>
          <w:szCs w:val="22"/>
        </w:rPr>
      </w:pPr>
      <w:r w:rsidRPr="00A70AC1">
        <w:rPr>
          <w:rFonts w:cs="Arial"/>
          <w:szCs w:val="22"/>
        </w:rPr>
        <w:br w:type="page"/>
      </w:r>
    </w:p>
    <w:p w14:paraId="728006F0" w14:textId="77777777" w:rsidR="00E33788" w:rsidRPr="00A70AC1" w:rsidRDefault="00E33788" w:rsidP="001D798D">
      <w:pPr>
        <w:pStyle w:val="Heading2"/>
        <w:numPr>
          <w:ilvl w:val="0"/>
          <w:numId w:val="0"/>
        </w:numPr>
        <w:tabs>
          <w:tab w:val="left" w:pos="851"/>
        </w:tabs>
        <w:spacing w:after="120"/>
        <w:ind w:left="737"/>
        <w:rPr>
          <w:rFonts w:cs="Arial"/>
          <w:szCs w:val="22"/>
        </w:rPr>
      </w:pPr>
    </w:p>
    <w:p w14:paraId="786A23AA" w14:textId="77777777" w:rsidR="0030185A" w:rsidRPr="00A70AC1" w:rsidRDefault="0030185A" w:rsidP="0030185A">
      <w:pPr>
        <w:pStyle w:val="Heading2"/>
        <w:tabs>
          <w:tab w:val="left" w:pos="851"/>
        </w:tabs>
        <w:spacing w:after="120"/>
        <w:ind w:left="737" w:hanging="737"/>
        <w:rPr>
          <w:rFonts w:cs="Arial"/>
          <w:szCs w:val="22"/>
        </w:rPr>
      </w:pPr>
      <w:r w:rsidRPr="00A70AC1">
        <w:rPr>
          <w:rFonts w:cs="Arial"/>
          <w:szCs w:val="22"/>
        </w:rPr>
        <w:t xml:space="preserve">The Total Score Available for each question set out in Appendix </w:t>
      </w:r>
      <w:r w:rsidR="00A83013" w:rsidRPr="00A70AC1">
        <w:rPr>
          <w:rFonts w:cs="Arial"/>
          <w:szCs w:val="22"/>
        </w:rPr>
        <w:t>C</w:t>
      </w:r>
      <w:r w:rsidRPr="00A70AC1">
        <w:rPr>
          <w:rFonts w:cs="Arial"/>
          <w:szCs w:val="22"/>
        </w:rPr>
        <w:t xml:space="preserve"> (</w:t>
      </w:r>
      <w:r w:rsidR="00A83013" w:rsidRPr="00A70AC1">
        <w:rPr>
          <w:rFonts w:cs="Arial"/>
          <w:szCs w:val="22"/>
        </w:rPr>
        <w:t>Tender Questionnaire</w:t>
      </w:r>
      <w:r w:rsidRPr="00A70AC1">
        <w:rPr>
          <w:rFonts w:cs="Arial"/>
          <w:szCs w:val="22"/>
        </w:rPr>
        <w:t>) is as follows: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111"/>
        <w:gridCol w:w="1834"/>
      </w:tblGrid>
      <w:tr w:rsidR="0030185A" w:rsidRPr="00A70AC1" w14:paraId="553E82FF" w14:textId="77777777" w:rsidTr="00E3420B">
        <w:trPr>
          <w:cantSplit/>
          <w:tblHeader/>
        </w:trPr>
        <w:tc>
          <w:tcPr>
            <w:tcW w:w="1418" w:type="dxa"/>
            <w:shd w:val="clear" w:color="auto" w:fill="E0E0E0"/>
            <w:vAlign w:val="center"/>
          </w:tcPr>
          <w:p w14:paraId="1AE72E44" w14:textId="77777777" w:rsidR="0030185A" w:rsidRPr="00A70AC1" w:rsidRDefault="0030185A" w:rsidP="0030185A">
            <w:pPr>
              <w:pStyle w:val="MarginText"/>
              <w:spacing w:before="60" w:after="60"/>
              <w:jc w:val="center"/>
              <w:rPr>
                <w:rFonts w:cs="Arial"/>
                <w:b/>
                <w:szCs w:val="22"/>
              </w:rPr>
            </w:pPr>
            <w:r w:rsidRPr="00A70AC1">
              <w:rPr>
                <w:rFonts w:cs="Arial"/>
                <w:b/>
                <w:szCs w:val="22"/>
              </w:rPr>
              <w:t>QUESTION NUMBER</w:t>
            </w:r>
          </w:p>
        </w:tc>
        <w:tc>
          <w:tcPr>
            <w:tcW w:w="5111" w:type="dxa"/>
            <w:shd w:val="clear" w:color="auto" w:fill="E0E0E0"/>
            <w:vAlign w:val="center"/>
          </w:tcPr>
          <w:p w14:paraId="31E6A3C5" w14:textId="77777777" w:rsidR="0030185A" w:rsidRPr="00A70AC1" w:rsidRDefault="0030185A" w:rsidP="0030185A">
            <w:pPr>
              <w:pStyle w:val="MarginText"/>
              <w:spacing w:before="60" w:after="60"/>
              <w:jc w:val="center"/>
              <w:rPr>
                <w:rFonts w:cs="Arial"/>
                <w:b/>
                <w:szCs w:val="22"/>
              </w:rPr>
            </w:pPr>
            <w:r w:rsidRPr="00A70AC1">
              <w:rPr>
                <w:rFonts w:cs="Arial"/>
                <w:b/>
                <w:szCs w:val="22"/>
              </w:rPr>
              <w:t>QUESTION</w:t>
            </w:r>
          </w:p>
        </w:tc>
        <w:tc>
          <w:tcPr>
            <w:tcW w:w="1834" w:type="dxa"/>
            <w:shd w:val="clear" w:color="auto" w:fill="E0E0E0"/>
          </w:tcPr>
          <w:p w14:paraId="782597D3" w14:textId="77777777" w:rsidR="0030185A" w:rsidRPr="00A70AC1" w:rsidRDefault="0030185A" w:rsidP="0030185A">
            <w:pPr>
              <w:pStyle w:val="MarginText"/>
              <w:spacing w:before="60" w:after="60"/>
              <w:jc w:val="center"/>
              <w:rPr>
                <w:rFonts w:cs="Arial"/>
                <w:b/>
                <w:szCs w:val="22"/>
              </w:rPr>
            </w:pPr>
            <w:r w:rsidRPr="00A70AC1">
              <w:rPr>
                <w:rFonts w:cs="Arial"/>
                <w:b/>
                <w:szCs w:val="22"/>
              </w:rPr>
              <w:t>TOTAL SCORE AVAILABLE</w:t>
            </w:r>
          </w:p>
        </w:tc>
      </w:tr>
      <w:tr w:rsidR="006A2A0F" w:rsidRPr="00A70AC1" w14:paraId="382FDAB6" w14:textId="77777777" w:rsidTr="00E3420B">
        <w:trPr>
          <w:cantSplit/>
        </w:trPr>
        <w:tc>
          <w:tcPr>
            <w:tcW w:w="1418" w:type="dxa"/>
          </w:tcPr>
          <w:p w14:paraId="5A344887" w14:textId="77777777" w:rsidR="006A2A0F" w:rsidRPr="00A70AC1" w:rsidRDefault="006A2A0F" w:rsidP="00F15160">
            <w:pPr>
              <w:pStyle w:val="MarginText"/>
              <w:spacing w:before="60" w:after="60"/>
              <w:jc w:val="center"/>
              <w:rPr>
                <w:rFonts w:cs="Arial"/>
                <w:szCs w:val="22"/>
              </w:rPr>
            </w:pPr>
            <w:r w:rsidRPr="00A70AC1">
              <w:rPr>
                <w:rFonts w:cs="Arial"/>
                <w:szCs w:val="22"/>
              </w:rPr>
              <w:t>[1]</w:t>
            </w:r>
          </w:p>
        </w:tc>
        <w:tc>
          <w:tcPr>
            <w:tcW w:w="5111" w:type="dxa"/>
            <w:vAlign w:val="center"/>
          </w:tcPr>
          <w:p w14:paraId="22CF3F5B" w14:textId="77777777" w:rsidR="006A2A0F" w:rsidRPr="00A70AC1" w:rsidRDefault="00E3420B" w:rsidP="00E33BE9">
            <w:pPr>
              <w:pStyle w:val="MarginText"/>
              <w:spacing w:before="60" w:after="60"/>
              <w:jc w:val="left"/>
              <w:rPr>
                <w:rFonts w:cs="Arial"/>
                <w:szCs w:val="22"/>
              </w:rPr>
            </w:pPr>
            <w:r w:rsidRPr="00A70AC1">
              <w:rPr>
                <w:rFonts w:cs="Arial"/>
                <w:szCs w:val="22"/>
              </w:rPr>
              <w:t>Company Information</w:t>
            </w:r>
          </w:p>
        </w:tc>
        <w:tc>
          <w:tcPr>
            <w:tcW w:w="1834" w:type="dxa"/>
          </w:tcPr>
          <w:p w14:paraId="03BE5782" w14:textId="77777777" w:rsidR="006A2A0F" w:rsidRPr="00A70AC1" w:rsidRDefault="006A2A0F" w:rsidP="00F15160">
            <w:pPr>
              <w:pStyle w:val="MarginText"/>
              <w:spacing w:before="60" w:after="60"/>
              <w:jc w:val="center"/>
              <w:rPr>
                <w:rFonts w:cs="Arial"/>
                <w:szCs w:val="22"/>
              </w:rPr>
            </w:pPr>
            <w:r w:rsidRPr="00A70AC1">
              <w:rPr>
                <w:rFonts w:cs="Arial"/>
                <w:szCs w:val="22"/>
              </w:rPr>
              <w:t>Information Only</w:t>
            </w:r>
          </w:p>
        </w:tc>
      </w:tr>
      <w:tr w:rsidR="00E33BE9" w:rsidRPr="00A70AC1" w14:paraId="0A9E5F6B" w14:textId="77777777" w:rsidTr="00E3420B">
        <w:trPr>
          <w:cantSplit/>
        </w:trPr>
        <w:tc>
          <w:tcPr>
            <w:tcW w:w="1418" w:type="dxa"/>
          </w:tcPr>
          <w:p w14:paraId="1EE652B5" w14:textId="77777777" w:rsidR="00E33BE9" w:rsidRPr="00A70AC1" w:rsidRDefault="00E33BE9" w:rsidP="00F15160">
            <w:pPr>
              <w:pStyle w:val="MarginText"/>
              <w:spacing w:before="60" w:after="60"/>
              <w:jc w:val="center"/>
              <w:rPr>
                <w:rFonts w:cs="Arial"/>
                <w:szCs w:val="22"/>
              </w:rPr>
            </w:pPr>
            <w:r w:rsidRPr="00A70AC1">
              <w:rPr>
                <w:rFonts w:cs="Arial"/>
                <w:szCs w:val="22"/>
              </w:rPr>
              <w:t>[2]</w:t>
            </w:r>
          </w:p>
        </w:tc>
        <w:tc>
          <w:tcPr>
            <w:tcW w:w="5111" w:type="dxa"/>
            <w:vAlign w:val="center"/>
          </w:tcPr>
          <w:p w14:paraId="04FFB463" w14:textId="77777777" w:rsidR="00E33BE9" w:rsidRPr="00A70AC1" w:rsidRDefault="006A3734" w:rsidP="00E33BE9">
            <w:pPr>
              <w:rPr>
                <w:rFonts w:cs="Arial"/>
                <w:szCs w:val="22"/>
              </w:rPr>
            </w:pPr>
            <w:r w:rsidRPr="00A70AC1">
              <w:rPr>
                <w:rFonts w:cs="Arial"/>
                <w:szCs w:val="22"/>
              </w:rPr>
              <w:t>Potential Provider</w:t>
            </w:r>
            <w:r w:rsidR="00E3420B" w:rsidRPr="00A70AC1">
              <w:rPr>
                <w:rFonts w:cs="Arial"/>
                <w:szCs w:val="22"/>
              </w:rPr>
              <w:t xml:space="preserve"> Contact</w:t>
            </w:r>
          </w:p>
        </w:tc>
        <w:tc>
          <w:tcPr>
            <w:tcW w:w="1834" w:type="dxa"/>
          </w:tcPr>
          <w:p w14:paraId="60B7EA24" w14:textId="77777777" w:rsidR="00E33BE9" w:rsidRPr="00A70AC1" w:rsidRDefault="00E33BE9" w:rsidP="00F15160">
            <w:pPr>
              <w:pStyle w:val="MarginText"/>
              <w:spacing w:before="60" w:after="60"/>
              <w:jc w:val="center"/>
              <w:rPr>
                <w:rFonts w:cs="Arial"/>
                <w:szCs w:val="22"/>
              </w:rPr>
            </w:pPr>
            <w:r w:rsidRPr="00A70AC1">
              <w:rPr>
                <w:rFonts w:cs="Arial"/>
                <w:szCs w:val="22"/>
              </w:rPr>
              <w:t>Information Only</w:t>
            </w:r>
          </w:p>
        </w:tc>
      </w:tr>
      <w:tr w:rsidR="00E33BE9" w:rsidRPr="00A70AC1" w14:paraId="1C3C42BD" w14:textId="77777777" w:rsidTr="00E3420B">
        <w:trPr>
          <w:cantSplit/>
        </w:trPr>
        <w:tc>
          <w:tcPr>
            <w:tcW w:w="1418" w:type="dxa"/>
          </w:tcPr>
          <w:p w14:paraId="78BF3467" w14:textId="77777777" w:rsidR="00E33BE9" w:rsidRPr="00A70AC1" w:rsidRDefault="00E33BE9" w:rsidP="00F15160">
            <w:pPr>
              <w:pStyle w:val="MarginText"/>
              <w:spacing w:before="60" w:after="60"/>
              <w:jc w:val="center"/>
              <w:rPr>
                <w:rFonts w:cs="Arial"/>
                <w:szCs w:val="22"/>
              </w:rPr>
            </w:pPr>
            <w:r w:rsidRPr="00A70AC1">
              <w:rPr>
                <w:rFonts w:cs="Arial"/>
                <w:szCs w:val="22"/>
              </w:rPr>
              <w:t>[3]</w:t>
            </w:r>
          </w:p>
        </w:tc>
        <w:tc>
          <w:tcPr>
            <w:tcW w:w="5111" w:type="dxa"/>
            <w:vAlign w:val="center"/>
          </w:tcPr>
          <w:p w14:paraId="5A4A5DE2" w14:textId="219BDD44" w:rsidR="00E33BE9" w:rsidRPr="00A70AC1" w:rsidRDefault="002460E9" w:rsidP="00E33BE9">
            <w:pPr>
              <w:rPr>
                <w:rFonts w:cs="Arial"/>
                <w:szCs w:val="22"/>
              </w:rPr>
            </w:pPr>
            <w:r w:rsidRPr="00A70AC1">
              <w:rPr>
                <w:rFonts w:cs="Arial"/>
                <w:szCs w:val="22"/>
              </w:rPr>
              <w:t>Conflict of Interests</w:t>
            </w:r>
          </w:p>
        </w:tc>
        <w:tc>
          <w:tcPr>
            <w:tcW w:w="1834" w:type="dxa"/>
          </w:tcPr>
          <w:p w14:paraId="72009AB7" w14:textId="0FECBC75" w:rsidR="00E33BE9" w:rsidRPr="00A70AC1" w:rsidRDefault="00E33BE9" w:rsidP="003D274F">
            <w:pPr>
              <w:pStyle w:val="MarginText"/>
              <w:spacing w:before="60" w:after="60"/>
              <w:jc w:val="center"/>
              <w:rPr>
                <w:rFonts w:cs="Arial"/>
                <w:szCs w:val="22"/>
              </w:rPr>
            </w:pPr>
            <w:r w:rsidRPr="00A70AC1">
              <w:rPr>
                <w:rFonts w:cs="Arial"/>
                <w:szCs w:val="22"/>
              </w:rPr>
              <w:t>Pass/Fail</w:t>
            </w:r>
          </w:p>
        </w:tc>
      </w:tr>
      <w:tr w:rsidR="00635E9B" w:rsidRPr="00A70AC1" w14:paraId="0DA343AC" w14:textId="77777777" w:rsidTr="00E3420B">
        <w:trPr>
          <w:cantSplit/>
        </w:trPr>
        <w:tc>
          <w:tcPr>
            <w:tcW w:w="1418" w:type="dxa"/>
          </w:tcPr>
          <w:p w14:paraId="4F523909" w14:textId="44A6E3EF" w:rsidR="00635E9B" w:rsidRPr="00A70AC1" w:rsidRDefault="007A6229" w:rsidP="00F15160">
            <w:pPr>
              <w:pStyle w:val="MarginText"/>
              <w:spacing w:before="60" w:after="60"/>
              <w:jc w:val="center"/>
              <w:rPr>
                <w:rFonts w:cs="Arial"/>
                <w:szCs w:val="22"/>
              </w:rPr>
            </w:pPr>
            <w:r w:rsidRPr="00A70AC1">
              <w:rPr>
                <w:rFonts w:cs="Arial"/>
                <w:szCs w:val="22"/>
              </w:rPr>
              <w:t>[4]</w:t>
            </w:r>
          </w:p>
        </w:tc>
        <w:tc>
          <w:tcPr>
            <w:tcW w:w="5111" w:type="dxa"/>
            <w:vAlign w:val="center"/>
          </w:tcPr>
          <w:p w14:paraId="2062E4D0" w14:textId="35FD9346" w:rsidR="00635E9B" w:rsidRPr="00A70AC1" w:rsidRDefault="007A6229" w:rsidP="00A83013">
            <w:pPr>
              <w:rPr>
                <w:rFonts w:cs="Arial"/>
                <w:szCs w:val="22"/>
              </w:rPr>
            </w:pPr>
            <w:r w:rsidRPr="00A70AC1">
              <w:rPr>
                <w:rFonts w:cs="Arial"/>
                <w:szCs w:val="22"/>
              </w:rPr>
              <w:t>Cyber Risk Profile</w:t>
            </w:r>
          </w:p>
        </w:tc>
        <w:tc>
          <w:tcPr>
            <w:tcW w:w="1834" w:type="dxa"/>
          </w:tcPr>
          <w:p w14:paraId="0CF0D18A" w14:textId="74BF094D" w:rsidR="00635E9B" w:rsidRPr="00A70AC1" w:rsidRDefault="007A6229" w:rsidP="00770747">
            <w:pPr>
              <w:pStyle w:val="MarginText"/>
              <w:spacing w:before="60" w:after="60"/>
              <w:jc w:val="center"/>
              <w:rPr>
                <w:rFonts w:cs="Arial"/>
                <w:szCs w:val="22"/>
              </w:rPr>
            </w:pPr>
            <w:r w:rsidRPr="00A70AC1">
              <w:rPr>
                <w:rFonts w:cs="Arial"/>
                <w:szCs w:val="22"/>
              </w:rPr>
              <w:t>Pass/Fail</w:t>
            </w:r>
          </w:p>
        </w:tc>
      </w:tr>
      <w:tr w:rsidR="00E33BE9" w:rsidRPr="00A70AC1" w14:paraId="6B54D869" w14:textId="77777777" w:rsidTr="00E3420B">
        <w:trPr>
          <w:cantSplit/>
        </w:trPr>
        <w:tc>
          <w:tcPr>
            <w:tcW w:w="1418" w:type="dxa"/>
          </w:tcPr>
          <w:p w14:paraId="4ED901A2" w14:textId="01732AA7" w:rsidR="00E33BE9" w:rsidRPr="00A70AC1" w:rsidRDefault="00E33BE9" w:rsidP="00F15160">
            <w:pPr>
              <w:pStyle w:val="MarginText"/>
              <w:spacing w:before="60" w:after="60"/>
              <w:jc w:val="center"/>
              <w:rPr>
                <w:rFonts w:cs="Arial"/>
                <w:szCs w:val="22"/>
              </w:rPr>
            </w:pPr>
            <w:r w:rsidRPr="00A70AC1">
              <w:rPr>
                <w:rFonts w:cs="Arial"/>
                <w:szCs w:val="22"/>
              </w:rPr>
              <w:t>[</w:t>
            </w:r>
            <w:r w:rsidR="007A6229" w:rsidRPr="00A70AC1">
              <w:rPr>
                <w:rFonts w:cs="Arial"/>
                <w:szCs w:val="22"/>
              </w:rPr>
              <w:t>5</w:t>
            </w:r>
            <w:r w:rsidRPr="00A70AC1">
              <w:rPr>
                <w:rFonts w:cs="Arial"/>
                <w:szCs w:val="22"/>
              </w:rPr>
              <w:t>]</w:t>
            </w:r>
          </w:p>
        </w:tc>
        <w:tc>
          <w:tcPr>
            <w:tcW w:w="5111" w:type="dxa"/>
            <w:vAlign w:val="center"/>
          </w:tcPr>
          <w:p w14:paraId="76208DCC" w14:textId="5D481A49" w:rsidR="00E33BE9" w:rsidRPr="00A70AC1" w:rsidRDefault="00F118A5" w:rsidP="00A83013">
            <w:pPr>
              <w:rPr>
                <w:rFonts w:cs="Arial"/>
                <w:szCs w:val="22"/>
              </w:rPr>
            </w:pPr>
            <w:r w:rsidRPr="00A70AC1">
              <w:rPr>
                <w:rFonts w:cs="Arial"/>
                <w:szCs w:val="22"/>
              </w:rPr>
              <w:t>Experience</w:t>
            </w:r>
          </w:p>
        </w:tc>
        <w:tc>
          <w:tcPr>
            <w:tcW w:w="1834" w:type="dxa"/>
          </w:tcPr>
          <w:p w14:paraId="59ECC52B" w14:textId="25443BAB" w:rsidR="00E33BE9" w:rsidRPr="00A70AC1" w:rsidRDefault="00F118A5" w:rsidP="00770747">
            <w:pPr>
              <w:pStyle w:val="MarginText"/>
              <w:spacing w:before="60" w:after="60"/>
              <w:jc w:val="center"/>
              <w:rPr>
                <w:rFonts w:cs="Arial"/>
                <w:szCs w:val="22"/>
              </w:rPr>
            </w:pPr>
            <w:r w:rsidRPr="00A70AC1">
              <w:rPr>
                <w:rFonts w:cs="Arial"/>
                <w:szCs w:val="22"/>
              </w:rPr>
              <w:t>10%</w:t>
            </w:r>
          </w:p>
        </w:tc>
      </w:tr>
      <w:tr w:rsidR="00E33BE9" w:rsidRPr="00A70AC1" w14:paraId="5922571B" w14:textId="77777777" w:rsidTr="00E3420B">
        <w:trPr>
          <w:cantSplit/>
        </w:trPr>
        <w:tc>
          <w:tcPr>
            <w:tcW w:w="1418" w:type="dxa"/>
          </w:tcPr>
          <w:p w14:paraId="30FF3386" w14:textId="12B0F385" w:rsidR="00E33BE9" w:rsidRPr="00A70AC1" w:rsidRDefault="00A83013" w:rsidP="00F15160">
            <w:pPr>
              <w:pStyle w:val="MarginText"/>
              <w:spacing w:before="60" w:after="60"/>
              <w:jc w:val="center"/>
              <w:rPr>
                <w:rFonts w:cs="Arial"/>
                <w:szCs w:val="22"/>
              </w:rPr>
            </w:pPr>
            <w:r w:rsidRPr="00A70AC1">
              <w:rPr>
                <w:rFonts w:cs="Arial"/>
                <w:szCs w:val="22"/>
              </w:rPr>
              <w:t>[</w:t>
            </w:r>
            <w:r w:rsidR="007A6229" w:rsidRPr="00A70AC1">
              <w:rPr>
                <w:rFonts w:cs="Arial"/>
                <w:szCs w:val="22"/>
              </w:rPr>
              <w:t>6</w:t>
            </w:r>
            <w:r w:rsidR="00E33BE9" w:rsidRPr="00A70AC1">
              <w:rPr>
                <w:rFonts w:cs="Arial"/>
                <w:szCs w:val="22"/>
              </w:rPr>
              <w:t>]</w:t>
            </w:r>
          </w:p>
        </w:tc>
        <w:tc>
          <w:tcPr>
            <w:tcW w:w="5111" w:type="dxa"/>
            <w:vAlign w:val="center"/>
          </w:tcPr>
          <w:p w14:paraId="49686D6D" w14:textId="7AED9B89" w:rsidR="00E33BE9" w:rsidRPr="00A70AC1" w:rsidRDefault="00195F22" w:rsidP="00E3420B">
            <w:pPr>
              <w:rPr>
                <w:rFonts w:cs="Arial"/>
                <w:szCs w:val="22"/>
              </w:rPr>
            </w:pPr>
            <w:r w:rsidRPr="00A70AC1">
              <w:rPr>
                <w:rFonts w:cs="Arial"/>
                <w:szCs w:val="22"/>
              </w:rPr>
              <w:t>Project</w:t>
            </w:r>
            <w:r w:rsidR="007A20A8" w:rsidRPr="00A70AC1">
              <w:rPr>
                <w:rFonts w:cs="Arial"/>
                <w:szCs w:val="22"/>
              </w:rPr>
              <w:t xml:space="preserve"> and Payment Milestone</w:t>
            </w:r>
          </w:p>
        </w:tc>
        <w:tc>
          <w:tcPr>
            <w:tcW w:w="1834" w:type="dxa"/>
          </w:tcPr>
          <w:p w14:paraId="463ACEF5" w14:textId="6DAE516B" w:rsidR="00E33BE9" w:rsidRPr="00A70AC1" w:rsidRDefault="007A20A8" w:rsidP="00F15160">
            <w:pPr>
              <w:pStyle w:val="MarginText"/>
              <w:spacing w:before="60" w:after="60"/>
              <w:jc w:val="center"/>
              <w:rPr>
                <w:rFonts w:cs="Arial"/>
                <w:szCs w:val="22"/>
              </w:rPr>
            </w:pPr>
            <w:r w:rsidRPr="00A70AC1">
              <w:rPr>
                <w:rFonts w:cs="Arial"/>
                <w:szCs w:val="22"/>
              </w:rPr>
              <w:t>20%</w:t>
            </w:r>
          </w:p>
        </w:tc>
      </w:tr>
      <w:tr w:rsidR="00056FE5" w:rsidRPr="00A70AC1" w14:paraId="517F658B" w14:textId="77777777" w:rsidTr="00E3420B">
        <w:trPr>
          <w:cantSplit/>
        </w:trPr>
        <w:tc>
          <w:tcPr>
            <w:tcW w:w="1418" w:type="dxa"/>
          </w:tcPr>
          <w:p w14:paraId="4A14D03E" w14:textId="595207E2" w:rsidR="00056FE5" w:rsidRPr="00A70AC1" w:rsidRDefault="007A6229" w:rsidP="007A6229">
            <w:pPr>
              <w:pStyle w:val="MarginText"/>
              <w:spacing w:before="60" w:after="60"/>
              <w:jc w:val="center"/>
              <w:rPr>
                <w:rFonts w:cs="Arial"/>
                <w:szCs w:val="22"/>
              </w:rPr>
            </w:pPr>
            <w:r w:rsidRPr="00A70AC1">
              <w:rPr>
                <w:rFonts w:cs="Arial"/>
                <w:szCs w:val="22"/>
              </w:rPr>
              <w:t>[7</w:t>
            </w:r>
            <w:r w:rsidR="00AC1E21" w:rsidRPr="00A70AC1">
              <w:rPr>
                <w:rFonts w:cs="Arial"/>
                <w:szCs w:val="22"/>
              </w:rPr>
              <w:t>]</w:t>
            </w:r>
          </w:p>
        </w:tc>
        <w:tc>
          <w:tcPr>
            <w:tcW w:w="5111" w:type="dxa"/>
            <w:vAlign w:val="center"/>
          </w:tcPr>
          <w:p w14:paraId="1B85AA53" w14:textId="36A4BFD9" w:rsidR="00056FE5" w:rsidRPr="00A70AC1" w:rsidRDefault="00056FE5" w:rsidP="00E3420B">
            <w:pPr>
              <w:rPr>
                <w:rFonts w:cs="Arial"/>
                <w:szCs w:val="22"/>
              </w:rPr>
            </w:pPr>
            <w:r w:rsidRPr="00A70AC1">
              <w:rPr>
                <w:rFonts w:cs="Arial"/>
                <w:szCs w:val="22"/>
              </w:rPr>
              <w:t>Delivery Approach</w:t>
            </w:r>
          </w:p>
        </w:tc>
        <w:tc>
          <w:tcPr>
            <w:tcW w:w="1834" w:type="dxa"/>
          </w:tcPr>
          <w:p w14:paraId="71E3F6C9" w14:textId="4811AF1C" w:rsidR="00056FE5" w:rsidRPr="00A70AC1" w:rsidRDefault="00056FE5" w:rsidP="00F15160">
            <w:pPr>
              <w:pStyle w:val="MarginText"/>
              <w:spacing w:before="60" w:after="60"/>
              <w:jc w:val="center"/>
              <w:rPr>
                <w:rFonts w:cs="Arial"/>
                <w:szCs w:val="22"/>
              </w:rPr>
            </w:pPr>
            <w:r w:rsidRPr="00A70AC1">
              <w:rPr>
                <w:rFonts w:cs="Arial"/>
                <w:szCs w:val="22"/>
              </w:rPr>
              <w:t>15%</w:t>
            </w:r>
          </w:p>
        </w:tc>
      </w:tr>
      <w:tr w:rsidR="005732D5" w:rsidRPr="00A70AC1" w14:paraId="34298BB3" w14:textId="77777777" w:rsidTr="00E3420B">
        <w:trPr>
          <w:cantSplit/>
        </w:trPr>
        <w:tc>
          <w:tcPr>
            <w:tcW w:w="1418" w:type="dxa"/>
          </w:tcPr>
          <w:p w14:paraId="13C54EB3" w14:textId="6C137EEE" w:rsidR="005732D5" w:rsidRPr="00A70AC1" w:rsidRDefault="00AC1E21" w:rsidP="00F15160">
            <w:pPr>
              <w:pStyle w:val="MarginText"/>
              <w:spacing w:before="60" w:after="60"/>
              <w:jc w:val="center"/>
              <w:rPr>
                <w:rFonts w:cs="Arial"/>
                <w:szCs w:val="22"/>
              </w:rPr>
            </w:pPr>
            <w:r w:rsidRPr="00A70AC1">
              <w:rPr>
                <w:rFonts w:cs="Arial"/>
                <w:szCs w:val="22"/>
              </w:rPr>
              <w:t>[8]</w:t>
            </w:r>
          </w:p>
        </w:tc>
        <w:tc>
          <w:tcPr>
            <w:tcW w:w="5111" w:type="dxa"/>
            <w:vAlign w:val="center"/>
          </w:tcPr>
          <w:p w14:paraId="1368E9D8" w14:textId="4B9C0473" w:rsidR="005732D5" w:rsidRPr="00A70AC1" w:rsidRDefault="005732D5" w:rsidP="00E3420B">
            <w:pPr>
              <w:rPr>
                <w:rFonts w:cs="Arial"/>
                <w:szCs w:val="22"/>
              </w:rPr>
            </w:pPr>
            <w:r w:rsidRPr="00A70AC1">
              <w:rPr>
                <w:rFonts w:cs="Arial"/>
                <w:szCs w:val="22"/>
              </w:rPr>
              <w:t>Risk Transfer</w:t>
            </w:r>
          </w:p>
        </w:tc>
        <w:tc>
          <w:tcPr>
            <w:tcW w:w="1834" w:type="dxa"/>
          </w:tcPr>
          <w:p w14:paraId="3ADFBB84" w14:textId="736A40D4" w:rsidR="005732D5" w:rsidRPr="00A70AC1" w:rsidRDefault="00F556A5" w:rsidP="00F15160">
            <w:pPr>
              <w:pStyle w:val="MarginText"/>
              <w:spacing w:before="60" w:after="60"/>
              <w:jc w:val="center"/>
              <w:rPr>
                <w:rFonts w:cs="Arial"/>
                <w:szCs w:val="22"/>
              </w:rPr>
            </w:pPr>
            <w:r w:rsidRPr="00A70AC1">
              <w:rPr>
                <w:rFonts w:cs="Arial"/>
                <w:szCs w:val="22"/>
              </w:rPr>
              <w:t>5%</w:t>
            </w:r>
          </w:p>
        </w:tc>
      </w:tr>
      <w:tr w:rsidR="00195F22" w:rsidRPr="00A70AC1" w14:paraId="0026D178" w14:textId="77777777" w:rsidTr="00E3420B">
        <w:trPr>
          <w:cantSplit/>
        </w:trPr>
        <w:tc>
          <w:tcPr>
            <w:tcW w:w="1418" w:type="dxa"/>
          </w:tcPr>
          <w:p w14:paraId="2AF96007" w14:textId="6F7A179D" w:rsidR="00195F22" w:rsidRPr="00A70AC1" w:rsidRDefault="00AC1E21" w:rsidP="00F15160">
            <w:pPr>
              <w:pStyle w:val="MarginText"/>
              <w:spacing w:before="60" w:after="60"/>
              <w:jc w:val="center"/>
              <w:rPr>
                <w:rFonts w:cs="Arial"/>
                <w:szCs w:val="22"/>
              </w:rPr>
            </w:pPr>
            <w:r w:rsidRPr="00A70AC1">
              <w:rPr>
                <w:rFonts w:cs="Arial"/>
                <w:szCs w:val="22"/>
              </w:rPr>
              <w:t>[9]</w:t>
            </w:r>
          </w:p>
        </w:tc>
        <w:tc>
          <w:tcPr>
            <w:tcW w:w="5111" w:type="dxa"/>
            <w:vAlign w:val="center"/>
          </w:tcPr>
          <w:p w14:paraId="3BE5ADF5" w14:textId="76A00D2D" w:rsidR="00195F22" w:rsidRPr="00A70AC1" w:rsidRDefault="00892F63" w:rsidP="00E3420B">
            <w:pPr>
              <w:rPr>
                <w:rFonts w:cs="Arial"/>
                <w:szCs w:val="22"/>
              </w:rPr>
            </w:pPr>
            <w:r w:rsidRPr="00A70AC1">
              <w:rPr>
                <w:rFonts w:cs="Arial"/>
                <w:szCs w:val="22"/>
              </w:rPr>
              <w:t xml:space="preserve">Sustainability and Social Value </w:t>
            </w:r>
          </w:p>
        </w:tc>
        <w:tc>
          <w:tcPr>
            <w:tcW w:w="1834" w:type="dxa"/>
          </w:tcPr>
          <w:p w14:paraId="754F596E" w14:textId="7931EE86" w:rsidR="00195F22" w:rsidRPr="00A70AC1" w:rsidRDefault="00765195" w:rsidP="00F15160">
            <w:pPr>
              <w:pStyle w:val="MarginText"/>
              <w:spacing w:before="60" w:after="60"/>
              <w:jc w:val="center"/>
              <w:rPr>
                <w:rFonts w:cs="Arial"/>
                <w:szCs w:val="22"/>
              </w:rPr>
            </w:pPr>
            <w:r w:rsidRPr="00A70AC1">
              <w:rPr>
                <w:rFonts w:cs="Arial"/>
                <w:szCs w:val="22"/>
              </w:rPr>
              <w:t>1</w:t>
            </w:r>
            <w:r w:rsidR="00056FE5" w:rsidRPr="00A70AC1">
              <w:rPr>
                <w:rFonts w:cs="Arial"/>
                <w:szCs w:val="22"/>
              </w:rPr>
              <w:t>5</w:t>
            </w:r>
            <w:r w:rsidR="00E12E54" w:rsidRPr="00A70AC1">
              <w:rPr>
                <w:rFonts w:cs="Arial"/>
                <w:szCs w:val="22"/>
              </w:rPr>
              <w:t>%</w:t>
            </w:r>
          </w:p>
        </w:tc>
      </w:tr>
      <w:tr w:rsidR="00101079" w:rsidRPr="00A70AC1" w14:paraId="4B76A07B" w14:textId="77777777" w:rsidTr="00E3420B">
        <w:trPr>
          <w:cantSplit/>
        </w:trPr>
        <w:tc>
          <w:tcPr>
            <w:tcW w:w="1418" w:type="dxa"/>
          </w:tcPr>
          <w:p w14:paraId="071CBECA" w14:textId="0D797E8B" w:rsidR="00101079" w:rsidRPr="00A70AC1" w:rsidRDefault="00AC1E21" w:rsidP="00F15160">
            <w:pPr>
              <w:pStyle w:val="MarginText"/>
              <w:spacing w:before="60" w:after="60"/>
              <w:jc w:val="center"/>
              <w:rPr>
                <w:rFonts w:cs="Arial"/>
                <w:szCs w:val="22"/>
              </w:rPr>
            </w:pPr>
            <w:r w:rsidRPr="00A70AC1">
              <w:rPr>
                <w:rFonts w:cs="Arial"/>
                <w:szCs w:val="22"/>
              </w:rPr>
              <w:t>[10]</w:t>
            </w:r>
          </w:p>
        </w:tc>
        <w:tc>
          <w:tcPr>
            <w:tcW w:w="5111" w:type="dxa"/>
            <w:vAlign w:val="center"/>
          </w:tcPr>
          <w:p w14:paraId="74CFFFAE" w14:textId="2104D622" w:rsidR="00101079" w:rsidRPr="00A70AC1" w:rsidRDefault="006921C8" w:rsidP="00E3420B">
            <w:pPr>
              <w:rPr>
                <w:rFonts w:cs="Arial"/>
                <w:szCs w:val="22"/>
              </w:rPr>
            </w:pPr>
            <w:r w:rsidRPr="00A70AC1">
              <w:rPr>
                <w:rFonts w:cs="Arial"/>
                <w:szCs w:val="22"/>
              </w:rPr>
              <w:t>Price</w:t>
            </w:r>
          </w:p>
        </w:tc>
        <w:tc>
          <w:tcPr>
            <w:tcW w:w="1834" w:type="dxa"/>
          </w:tcPr>
          <w:p w14:paraId="6A90AE2B" w14:textId="6D10402F" w:rsidR="00101079" w:rsidRPr="00A70AC1" w:rsidRDefault="006921C8" w:rsidP="00F15160">
            <w:pPr>
              <w:pStyle w:val="MarginText"/>
              <w:spacing w:before="60" w:after="60"/>
              <w:jc w:val="center"/>
              <w:rPr>
                <w:rFonts w:cs="Arial"/>
                <w:szCs w:val="22"/>
              </w:rPr>
            </w:pPr>
            <w:r w:rsidRPr="00A70AC1">
              <w:rPr>
                <w:rFonts w:cs="Arial"/>
                <w:szCs w:val="22"/>
              </w:rPr>
              <w:t>40%</w:t>
            </w:r>
          </w:p>
        </w:tc>
      </w:tr>
      <w:tr w:rsidR="00F15160" w:rsidRPr="00A70AC1" w14:paraId="23A0333D" w14:textId="77777777" w:rsidTr="006C25AD">
        <w:trPr>
          <w:cantSplit/>
        </w:trPr>
        <w:tc>
          <w:tcPr>
            <w:tcW w:w="6529" w:type="dxa"/>
            <w:gridSpan w:val="2"/>
            <w:shd w:val="clear" w:color="auto" w:fill="000000" w:themeFill="text1"/>
          </w:tcPr>
          <w:p w14:paraId="1574994D" w14:textId="77777777" w:rsidR="00F15160" w:rsidRPr="00A70AC1" w:rsidRDefault="00F15160" w:rsidP="006C25AD">
            <w:pPr>
              <w:pStyle w:val="MarginText"/>
              <w:spacing w:before="60" w:after="60"/>
              <w:jc w:val="right"/>
              <w:rPr>
                <w:rFonts w:cs="Arial"/>
                <w:b/>
                <w:szCs w:val="22"/>
              </w:rPr>
            </w:pPr>
            <w:r w:rsidRPr="00A70AC1">
              <w:rPr>
                <w:rFonts w:cs="Arial"/>
                <w:b/>
                <w:szCs w:val="22"/>
              </w:rPr>
              <w:t xml:space="preserve">Total </w:t>
            </w:r>
          </w:p>
        </w:tc>
        <w:tc>
          <w:tcPr>
            <w:tcW w:w="1834" w:type="dxa"/>
            <w:shd w:val="clear" w:color="auto" w:fill="000000" w:themeFill="text1"/>
          </w:tcPr>
          <w:p w14:paraId="3529E76E" w14:textId="77777777" w:rsidR="00F15160" w:rsidRPr="00A70AC1" w:rsidRDefault="00F15160" w:rsidP="00F15160">
            <w:pPr>
              <w:pStyle w:val="MarginText"/>
              <w:spacing w:before="60" w:after="60"/>
              <w:jc w:val="center"/>
              <w:rPr>
                <w:rFonts w:cs="Arial"/>
                <w:b/>
                <w:szCs w:val="22"/>
              </w:rPr>
            </w:pPr>
            <w:r w:rsidRPr="00A70AC1">
              <w:rPr>
                <w:rFonts w:cs="Arial"/>
                <w:b/>
                <w:szCs w:val="22"/>
              </w:rPr>
              <w:t>100</w:t>
            </w:r>
          </w:p>
        </w:tc>
      </w:tr>
    </w:tbl>
    <w:p w14:paraId="00A8E8A0" w14:textId="77777777" w:rsidR="00FE038C" w:rsidRPr="00A70AC1" w:rsidRDefault="00FE038C" w:rsidP="00DB4AB7">
      <w:pPr>
        <w:pStyle w:val="Heading1"/>
        <w:tabs>
          <w:tab w:val="left" w:pos="851"/>
        </w:tabs>
        <w:spacing w:before="240" w:after="120"/>
        <w:rPr>
          <w:rFonts w:cs="Arial"/>
          <w:szCs w:val="22"/>
        </w:rPr>
      </w:pPr>
      <w:bookmarkStart w:id="10" w:name="_Toc114216465"/>
      <w:r w:rsidRPr="00A70AC1">
        <w:rPr>
          <w:rFonts w:cs="Arial"/>
          <w:szCs w:val="22"/>
        </w:rPr>
        <w:t>CONTRACT AWARD</w:t>
      </w:r>
      <w:bookmarkEnd w:id="10"/>
      <w:r w:rsidRPr="00A70AC1">
        <w:rPr>
          <w:rFonts w:cs="Arial"/>
          <w:szCs w:val="22"/>
        </w:rPr>
        <w:t xml:space="preserve"> </w:t>
      </w:r>
    </w:p>
    <w:p w14:paraId="6AF0F2E7" w14:textId="77777777" w:rsidR="00217776" w:rsidRPr="00A70AC1" w:rsidRDefault="00217776" w:rsidP="00217776">
      <w:pPr>
        <w:pStyle w:val="Heading2"/>
        <w:tabs>
          <w:tab w:val="left" w:pos="851"/>
        </w:tabs>
        <w:spacing w:after="120"/>
        <w:ind w:left="737" w:hanging="737"/>
        <w:rPr>
          <w:rFonts w:cs="Arial"/>
          <w:szCs w:val="22"/>
        </w:rPr>
      </w:pPr>
      <w:r w:rsidRPr="00A70AC1">
        <w:rPr>
          <w:rFonts w:cs="Arial"/>
          <w:szCs w:val="22"/>
        </w:rPr>
        <w:t xml:space="preserve">The Potential Provider that achieves the highest total score will be awarded the Contract. </w:t>
      </w:r>
    </w:p>
    <w:p w14:paraId="38A36B46" w14:textId="017C7E11" w:rsidR="00217776" w:rsidRPr="00A70AC1" w:rsidRDefault="00217776" w:rsidP="00217776">
      <w:pPr>
        <w:pStyle w:val="Heading2"/>
        <w:tabs>
          <w:tab w:val="left" w:pos="851"/>
        </w:tabs>
        <w:spacing w:after="120"/>
        <w:ind w:left="737" w:hanging="737"/>
        <w:rPr>
          <w:rFonts w:cs="Arial"/>
          <w:szCs w:val="22"/>
        </w:rPr>
      </w:pPr>
      <w:r w:rsidRPr="00A70AC1">
        <w:rPr>
          <w:rFonts w:cs="Arial"/>
          <w:szCs w:val="22"/>
        </w:rPr>
        <w:t>If two or more Potential Providers obtain the highest total score, the Potential Provider with the</w:t>
      </w:r>
      <w:r w:rsidR="009766A7" w:rsidRPr="00A70AC1">
        <w:rPr>
          <w:rFonts w:cs="Arial"/>
          <w:szCs w:val="22"/>
        </w:rPr>
        <w:t xml:space="preserve"> Lowest Price</w:t>
      </w:r>
      <w:r w:rsidRPr="00A70AC1">
        <w:rPr>
          <w:rFonts w:cs="Arial"/>
          <w:szCs w:val="22"/>
        </w:rPr>
        <w:t xml:space="preserve"> </w:t>
      </w:r>
      <w:r w:rsidR="00A279CA" w:rsidRPr="00A70AC1">
        <w:rPr>
          <w:rFonts w:cs="Arial"/>
          <w:szCs w:val="22"/>
        </w:rPr>
        <w:t xml:space="preserve">shall be awarded the Contract. </w:t>
      </w:r>
      <w:r w:rsidR="00481728" w:rsidRPr="00A70AC1">
        <w:rPr>
          <w:rFonts w:cs="Arial"/>
          <w:szCs w:val="22"/>
        </w:rPr>
        <w:t>In the unlikely event that both prices are the same,</w:t>
      </w:r>
      <w:r w:rsidR="009766A7" w:rsidRPr="00A70AC1">
        <w:rPr>
          <w:rFonts w:cs="Arial"/>
          <w:szCs w:val="22"/>
        </w:rPr>
        <w:t xml:space="preserve"> the highest score for </w:t>
      </w:r>
      <w:r w:rsidR="00842CAF" w:rsidRPr="00A70AC1">
        <w:rPr>
          <w:rFonts w:cs="Arial"/>
          <w:szCs w:val="22"/>
        </w:rPr>
        <w:t xml:space="preserve">Question 6: </w:t>
      </w:r>
      <w:r w:rsidR="009766A7" w:rsidRPr="00A70AC1">
        <w:rPr>
          <w:rFonts w:cs="Arial"/>
          <w:szCs w:val="22"/>
        </w:rPr>
        <w:t xml:space="preserve">Project and Payment Milestone </w:t>
      </w:r>
      <w:r w:rsidR="00842CAF" w:rsidRPr="00A70AC1">
        <w:rPr>
          <w:rFonts w:cs="Arial"/>
          <w:szCs w:val="22"/>
        </w:rPr>
        <w:t>shall</w:t>
      </w:r>
      <w:r w:rsidRPr="00A70AC1">
        <w:rPr>
          <w:rFonts w:cs="Arial"/>
          <w:szCs w:val="22"/>
        </w:rPr>
        <w:t xml:space="preserve"> be deemed the winner and awarded the Contract.  </w:t>
      </w:r>
    </w:p>
    <w:p w14:paraId="70573C43" w14:textId="2638E2D3" w:rsidR="00D34DFE" w:rsidRPr="00A70AC1" w:rsidRDefault="009E447F" w:rsidP="00D34DFE">
      <w:pPr>
        <w:pStyle w:val="Heading2"/>
        <w:tabs>
          <w:tab w:val="left" w:pos="851"/>
        </w:tabs>
        <w:spacing w:after="120"/>
        <w:ind w:left="737" w:hanging="737"/>
        <w:rPr>
          <w:rFonts w:cs="Arial"/>
          <w:szCs w:val="22"/>
        </w:rPr>
      </w:pPr>
      <w:r w:rsidRPr="00A70AC1">
        <w:rPr>
          <w:rFonts w:cs="Arial"/>
          <w:szCs w:val="22"/>
        </w:rPr>
        <w:t xml:space="preserve">If </w:t>
      </w:r>
      <w:r w:rsidR="00217776" w:rsidRPr="00A70AC1">
        <w:rPr>
          <w:rFonts w:cs="Arial"/>
          <w:szCs w:val="22"/>
        </w:rPr>
        <w:t xml:space="preserve">the Authority receives only one Tender in relation to this </w:t>
      </w:r>
      <w:r w:rsidR="00B423E5" w:rsidRPr="00A70AC1">
        <w:rPr>
          <w:rFonts w:cs="Arial"/>
          <w:szCs w:val="22"/>
        </w:rPr>
        <w:t>Further Competition</w:t>
      </w:r>
      <w:r w:rsidR="00217776" w:rsidRPr="00A70AC1">
        <w:rPr>
          <w:rFonts w:cs="Arial"/>
          <w:szCs w:val="22"/>
        </w:rPr>
        <w:t xml:space="preserve">, the </w:t>
      </w:r>
      <w:r w:rsidR="00FE038C" w:rsidRPr="00A70AC1">
        <w:rPr>
          <w:rFonts w:cs="Arial"/>
          <w:szCs w:val="22"/>
        </w:rPr>
        <w:t xml:space="preserve">Potential Provider </w:t>
      </w:r>
      <w:r w:rsidR="00217776" w:rsidRPr="00A70AC1">
        <w:rPr>
          <w:rFonts w:cs="Arial"/>
          <w:szCs w:val="22"/>
        </w:rPr>
        <w:t>will be awarded the Contract provided that the</w:t>
      </w:r>
      <w:r w:rsidR="00EE5134" w:rsidRPr="00A70AC1">
        <w:rPr>
          <w:rFonts w:cs="Arial"/>
          <w:szCs w:val="22"/>
        </w:rPr>
        <w:t>ir Tender is within</w:t>
      </w:r>
      <w:r w:rsidR="00217776" w:rsidRPr="00A70AC1">
        <w:rPr>
          <w:rFonts w:cs="Arial"/>
          <w:szCs w:val="22"/>
        </w:rPr>
        <w:t xml:space="preserve"> </w:t>
      </w:r>
      <w:r w:rsidRPr="00A70AC1">
        <w:rPr>
          <w:rFonts w:cs="Arial"/>
          <w:szCs w:val="22"/>
        </w:rPr>
        <w:t xml:space="preserve">the </w:t>
      </w:r>
      <w:r w:rsidR="00EE5134" w:rsidRPr="00A70AC1">
        <w:rPr>
          <w:rFonts w:cs="Arial"/>
          <w:szCs w:val="22"/>
        </w:rPr>
        <w:t>stated budget</w:t>
      </w:r>
      <w:r w:rsidR="000D3881" w:rsidRPr="00A70AC1">
        <w:rPr>
          <w:rFonts w:cs="Arial"/>
          <w:szCs w:val="22"/>
        </w:rPr>
        <w:t xml:space="preserve"> of </w:t>
      </w:r>
      <w:r w:rsidR="00EE5134" w:rsidRPr="00A70AC1">
        <w:rPr>
          <w:rFonts w:cs="Arial"/>
          <w:szCs w:val="22"/>
        </w:rPr>
        <w:t>£499,</w:t>
      </w:r>
      <w:r w:rsidR="00EF5D33" w:rsidRPr="00A70AC1">
        <w:rPr>
          <w:rFonts w:cs="Arial"/>
          <w:szCs w:val="22"/>
        </w:rPr>
        <w:t>8</w:t>
      </w:r>
      <w:r w:rsidR="00EE5134" w:rsidRPr="00A70AC1">
        <w:rPr>
          <w:rFonts w:cs="Arial"/>
          <w:szCs w:val="22"/>
        </w:rPr>
        <w:t>00 GBP</w:t>
      </w:r>
      <w:r w:rsidR="007C5961">
        <w:rPr>
          <w:rFonts w:cs="Arial"/>
          <w:szCs w:val="22"/>
        </w:rPr>
        <w:t xml:space="preserve"> including VAT (</w:t>
      </w:r>
      <w:r w:rsidR="00D10439">
        <w:rPr>
          <w:rFonts w:cs="Arial"/>
          <w:szCs w:val="22"/>
        </w:rPr>
        <w:t>£416,500 ex-VAT)</w:t>
      </w:r>
      <w:r w:rsidR="00EE5134" w:rsidRPr="00A70AC1">
        <w:rPr>
          <w:rFonts w:cs="Arial"/>
          <w:szCs w:val="22"/>
        </w:rPr>
        <w:t xml:space="preserve"> </w:t>
      </w:r>
      <w:r w:rsidR="005533C9" w:rsidRPr="00A70AC1">
        <w:rPr>
          <w:rFonts w:cs="Arial"/>
          <w:szCs w:val="22"/>
        </w:rPr>
        <w:t xml:space="preserve">AND passes the Technical Evaluation </w:t>
      </w:r>
      <w:r w:rsidR="00A279CA" w:rsidRPr="00A70AC1">
        <w:rPr>
          <w:rFonts w:cs="Arial"/>
          <w:szCs w:val="22"/>
        </w:rPr>
        <w:t>as described in Appendix C.</w:t>
      </w:r>
    </w:p>
    <w:p w14:paraId="39DB3174" w14:textId="70E8552A" w:rsidR="00D0241E" w:rsidRPr="00A70AC1" w:rsidRDefault="000A0999" w:rsidP="00500DF6">
      <w:pPr>
        <w:pStyle w:val="Heading2"/>
        <w:numPr>
          <w:ilvl w:val="0"/>
          <w:numId w:val="0"/>
        </w:numPr>
        <w:tabs>
          <w:tab w:val="left" w:pos="851"/>
        </w:tabs>
        <w:spacing w:after="120"/>
        <w:rPr>
          <w:rFonts w:cs="Arial"/>
          <w:b/>
          <w:bCs/>
          <w:szCs w:val="22"/>
        </w:rPr>
      </w:pPr>
      <w:r w:rsidRPr="00A70AC1">
        <w:rPr>
          <w:rFonts w:cs="Arial"/>
          <w:szCs w:val="22"/>
        </w:rPr>
        <w:br w:type="column"/>
      </w:r>
      <w:bookmarkStart w:id="11" w:name="_Toc114216466"/>
      <w:r w:rsidR="00500DF6" w:rsidRPr="00A70AC1">
        <w:rPr>
          <w:rFonts w:cs="Arial"/>
          <w:b/>
          <w:bCs/>
          <w:szCs w:val="22"/>
        </w:rPr>
        <w:lastRenderedPageBreak/>
        <w:t>APPENDIX A – TERMS OF THE FURTHER COMPETITION</w:t>
      </w:r>
      <w:bookmarkEnd w:id="11"/>
      <w:r w:rsidR="00500DF6" w:rsidRPr="00A70AC1">
        <w:rPr>
          <w:rFonts w:cs="Arial"/>
          <w:b/>
          <w:bCs/>
          <w:szCs w:val="22"/>
        </w:rPr>
        <w:t xml:space="preserve"> </w:t>
      </w:r>
    </w:p>
    <w:p w14:paraId="290502EA" w14:textId="77777777" w:rsidR="00D0241E" w:rsidRPr="00A70AC1" w:rsidRDefault="00D0241E" w:rsidP="00D0241E">
      <w:pPr>
        <w:spacing w:after="120"/>
        <w:jc w:val="center"/>
        <w:rPr>
          <w:rFonts w:cs="Arial"/>
          <w:b/>
          <w:szCs w:val="22"/>
        </w:rPr>
      </w:pPr>
    </w:p>
    <w:p w14:paraId="404D8155" w14:textId="77777777" w:rsidR="00D0241E" w:rsidRPr="00A70AC1" w:rsidRDefault="00D0241E" w:rsidP="009B27BD">
      <w:pPr>
        <w:pStyle w:val="Heading1"/>
        <w:numPr>
          <w:ilvl w:val="0"/>
          <w:numId w:val="22"/>
        </w:numPr>
        <w:spacing w:before="120" w:after="120"/>
        <w:rPr>
          <w:rFonts w:cs="Arial"/>
          <w:szCs w:val="22"/>
        </w:rPr>
      </w:pPr>
      <w:bookmarkStart w:id="12" w:name="_Toc342297362"/>
      <w:bookmarkStart w:id="13" w:name="_Toc114216467"/>
      <w:r w:rsidRPr="00A70AC1">
        <w:rPr>
          <w:rFonts w:cs="Arial"/>
          <w:szCs w:val="22"/>
        </w:rPr>
        <w:t>INTRODUCTION</w:t>
      </w:r>
      <w:bookmarkEnd w:id="12"/>
      <w:bookmarkEnd w:id="13"/>
    </w:p>
    <w:p w14:paraId="786767CD" w14:textId="77777777" w:rsidR="00D0241E" w:rsidRPr="00A70AC1" w:rsidRDefault="00D0241E" w:rsidP="00D0241E">
      <w:pPr>
        <w:pStyle w:val="Heading2"/>
        <w:spacing w:after="120"/>
        <w:rPr>
          <w:rFonts w:cs="Arial"/>
          <w:szCs w:val="22"/>
        </w:rPr>
      </w:pPr>
      <w:r w:rsidRPr="00A70AC1">
        <w:rPr>
          <w:rFonts w:cs="Arial"/>
          <w:szCs w:val="22"/>
        </w:rPr>
        <w:t xml:space="preserve">These Terms of the </w:t>
      </w:r>
      <w:r w:rsidR="00B423E5" w:rsidRPr="00A70AC1">
        <w:rPr>
          <w:rFonts w:cs="Arial"/>
          <w:szCs w:val="22"/>
        </w:rPr>
        <w:t>Further Competition</w:t>
      </w:r>
      <w:r w:rsidRPr="00A70AC1">
        <w:rPr>
          <w:rFonts w:cs="Arial"/>
          <w:szCs w:val="22"/>
        </w:rPr>
        <w:t xml:space="preserve"> regulate the conduct of the Potential Provider and the </w:t>
      </w:r>
      <w:r w:rsidR="005B1F6F" w:rsidRPr="00A70AC1">
        <w:rPr>
          <w:rFonts w:cs="Arial"/>
          <w:szCs w:val="22"/>
        </w:rPr>
        <w:t>Authority</w:t>
      </w:r>
      <w:r w:rsidRPr="00A70AC1">
        <w:rPr>
          <w:rFonts w:cs="Arial"/>
          <w:szCs w:val="22"/>
        </w:rPr>
        <w:t xml:space="preserve"> throughout the Further Competition. These terms also grant the </w:t>
      </w:r>
      <w:r w:rsidR="001C0799" w:rsidRPr="00A70AC1">
        <w:rPr>
          <w:rFonts w:cs="Arial"/>
          <w:szCs w:val="22"/>
        </w:rPr>
        <w:t>Authority</w:t>
      </w:r>
      <w:r w:rsidRPr="00A70AC1">
        <w:rPr>
          <w:rFonts w:cs="Arial"/>
          <w:szCs w:val="22"/>
        </w:rPr>
        <w:t xml:space="preserve"> specific rights and limit its liability. </w:t>
      </w:r>
    </w:p>
    <w:p w14:paraId="32062014" w14:textId="77777777" w:rsidR="00D0241E" w:rsidRPr="00A70AC1" w:rsidRDefault="00D0241E" w:rsidP="00D0241E">
      <w:pPr>
        <w:pStyle w:val="Heading2"/>
        <w:spacing w:after="120"/>
        <w:rPr>
          <w:rFonts w:cs="Arial"/>
          <w:szCs w:val="22"/>
        </w:rPr>
      </w:pPr>
      <w:r w:rsidRPr="00A70AC1">
        <w:rPr>
          <w:rFonts w:cs="Arial"/>
          <w:szCs w:val="22"/>
        </w:rPr>
        <w:t>In these Terms of the Further Competition any reference to 'person' includes, but is not limited to, any person, firm, body or association, corporate or incorporate.</w:t>
      </w:r>
    </w:p>
    <w:p w14:paraId="30097BCE" w14:textId="77777777" w:rsidR="000A0999" w:rsidRPr="00A70AC1" w:rsidRDefault="000A0999" w:rsidP="000A0999">
      <w:pPr>
        <w:pStyle w:val="Heading2"/>
        <w:numPr>
          <w:ilvl w:val="0"/>
          <w:numId w:val="0"/>
        </w:numPr>
        <w:spacing w:after="120"/>
        <w:ind w:left="720"/>
        <w:rPr>
          <w:rFonts w:cs="Arial"/>
          <w:szCs w:val="22"/>
        </w:rPr>
      </w:pPr>
    </w:p>
    <w:p w14:paraId="76DF4DD2" w14:textId="77777777" w:rsidR="00D0241E" w:rsidRPr="00A70AC1" w:rsidRDefault="00D0241E" w:rsidP="00D0241E">
      <w:pPr>
        <w:pStyle w:val="Heading1"/>
        <w:spacing w:before="120" w:after="120"/>
        <w:rPr>
          <w:rFonts w:cs="Arial"/>
          <w:szCs w:val="22"/>
        </w:rPr>
      </w:pPr>
      <w:bookmarkStart w:id="14" w:name="_Toc285814822"/>
      <w:bookmarkStart w:id="15" w:name="_Toc285814823"/>
      <w:bookmarkStart w:id="16" w:name="_Toc285814824"/>
      <w:bookmarkStart w:id="17" w:name="_Toc285814825"/>
      <w:bookmarkStart w:id="18" w:name="_Toc285814826"/>
      <w:bookmarkStart w:id="19" w:name="_Toc285814827"/>
      <w:bookmarkStart w:id="20" w:name="_Toc285814828"/>
      <w:bookmarkStart w:id="21" w:name="_Toc285814830"/>
      <w:bookmarkStart w:id="22" w:name="_Toc287440407"/>
      <w:bookmarkStart w:id="23" w:name="_Toc342297363"/>
      <w:bookmarkStart w:id="24" w:name="_Toc114216468"/>
      <w:bookmarkStart w:id="25" w:name="_Ref273967790"/>
      <w:bookmarkEnd w:id="14"/>
      <w:bookmarkEnd w:id="15"/>
      <w:bookmarkEnd w:id="16"/>
      <w:bookmarkEnd w:id="17"/>
      <w:bookmarkEnd w:id="18"/>
      <w:bookmarkEnd w:id="19"/>
      <w:bookmarkEnd w:id="20"/>
      <w:bookmarkEnd w:id="21"/>
      <w:r w:rsidRPr="00A70AC1">
        <w:rPr>
          <w:rFonts w:cs="Arial"/>
          <w:szCs w:val="22"/>
        </w:rPr>
        <w:t>CONDUCT</w:t>
      </w:r>
      <w:bookmarkEnd w:id="22"/>
      <w:bookmarkEnd w:id="23"/>
      <w:bookmarkEnd w:id="24"/>
    </w:p>
    <w:p w14:paraId="6FB97622" w14:textId="77777777" w:rsidR="00D0241E" w:rsidRPr="00A70AC1" w:rsidRDefault="00D0241E" w:rsidP="00D0241E">
      <w:pPr>
        <w:pStyle w:val="BodyTextIndent"/>
        <w:spacing w:after="120"/>
        <w:rPr>
          <w:rFonts w:cs="Arial"/>
          <w:szCs w:val="22"/>
        </w:rPr>
      </w:pPr>
      <w:r w:rsidRPr="00A70AC1">
        <w:rPr>
          <w:rFonts w:cs="Arial"/>
          <w:szCs w:val="22"/>
        </w:rPr>
        <w:t>The Potential Provider agrees to abide by these Terms of the Further Competition and any instructions given in the Further Competition Invitation and agrees to ensure that any of its staff, contractors, subcontractors, consortium members and advisers involved or connected with the Further Competition abide by the same.</w:t>
      </w:r>
    </w:p>
    <w:p w14:paraId="38F5F881" w14:textId="77777777" w:rsidR="000A0999" w:rsidRPr="00A70AC1" w:rsidRDefault="000A0999" w:rsidP="00D0241E">
      <w:pPr>
        <w:pStyle w:val="BodyTextIndent"/>
        <w:spacing w:after="120"/>
        <w:rPr>
          <w:rFonts w:cs="Arial"/>
          <w:szCs w:val="22"/>
        </w:rPr>
      </w:pPr>
    </w:p>
    <w:p w14:paraId="4F4B33F8" w14:textId="77777777" w:rsidR="00D0241E" w:rsidRPr="00A70AC1" w:rsidRDefault="00D0241E" w:rsidP="00D0241E">
      <w:pPr>
        <w:pStyle w:val="Heading2"/>
        <w:spacing w:after="120"/>
        <w:rPr>
          <w:rFonts w:cs="Arial"/>
          <w:szCs w:val="22"/>
          <w:u w:val="single"/>
        </w:rPr>
      </w:pPr>
      <w:r w:rsidRPr="00A70AC1">
        <w:rPr>
          <w:rFonts w:cs="Arial"/>
          <w:szCs w:val="22"/>
          <w:u w:val="single"/>
        </w:rPr>
        <w:t>Contact during the Further Competition exercise and canvassing</w:t>
      </w:r>
    </w:p>
    <w:p w14:paraId="13159966" w14:textId="77777777" w:rsidR="00D0241E" w:rsidRPr="00A70AC1" w:rsidRDefault="00D0241E" w:rsidP="00D0241E">
      <w:pPr>
        <w:pStyle w:val="BodyTextIndent"/>
        <w:spacing w:after="120"/>
        <w:rPr>
          <w:rFonts w:cs="Arial"/>
          <w:szCs w:val="22"/>
        </w:rPr>
      </w:pPr>
      <w:bookmarkStart w:id="26" w:name="_Ref280192254"/>
      <w:r w:rsidRPr="00A70AC1">
        <w:rPr>
          <w:rFonts w:cs="Arial"/>
          <w:szCs w:val="22"/>
        </w:rPr>
        <w:t xml:space="preserve">The Potential Provider must not directly or indirectly canvass any Minister, public sector employee or agent regarding this Further Competition or attempt to procure any information from the same regarding the Further Competition (except </w:t>
      </w:r>
      <w:proofErr w:type="gramStart"/>
      <w:r w:rsidRPr="00A70AC1">
        <w:rPr>
          <w:rFonts w:cs="Arial"/>
          <w:szCs w:val="22"/>
        </w:rPr>
        <w:t>where</w:t>
      </w:r>
      <w:proofErr w:type="gramEnd"/>
      <w:r w:rsidRPr="00A70AC1">
        <w:rPr>
          <w:rFonts w:cs="Arial"/>
          <w:szCs w:val="22"/>
        </w:rPr>
        <w:t xml:space="preserve"> permitted by the Further Competition Invitation). Any attempt to do so may result in the Potential Provider’s disqualification from this Further Competition. </w:t>
      </w:r>
    </w:p>
    <w:p w14:paraId="3EAA8B89" w14:textId="77777777" w:rsidR="000A0999" w:rsidRPr="00A70AC1" w:rsidRDefault="000A0999" w:rsidP="00D0241E">
      <w:pPr>
        <w:pStyle w:val="BodyTextIndent"/>
        <w:spacing w:after="120"/>
        <w:rPr>
          <w:rFonts w:cs="Arial"/>
          <w:szCs w:val="22"/>
        </w:rPr>
      </w:pPr>
    </w:p>
    <w:bookmarkEnd w:id="25"/>
    <w:bookmarkEnd w:id="26"/>
    <w:p w14:paraId="2FB7EA6D" w14:textId="77777777" w:rsidR="00D0241E" w:rsidRPr="00A70AC1" w:rsidRDefault="00D0241E" w:rsidP="00D0241E">
      <w:pPr>
        <w:pStyle w:val="Heading2"/>
        <w:spacing w:after="120"/>
        <w:rPr>
          <w:rFonts w:cs="Arial"/>
          <w:szCs w:val="22"/>
          <w:u w:val="single"/>
        </w:rPr>
      </w:pPr>
      <w:r w:rsidRPr="00A70AC1">
        <w:rPr>
          <w:rFonts w:cs="Arial"/>
          <w:szCs w:val="22"/>
          <w:u w:val="single"/>
        </w:rPr>
        <w:t>Collusive Behaviour</w:t>
      </w:r>
    </w:p>
    <w:p w14:paraId="3DA92167" w14:textId="77777777" w:rsidR="00D0241E" w:rsidRPr="00A70AC1" w:rsidRDefault="00D0241E" w:rsidP="00D0241E">
      <w:pPr>
        <w:pStyle w:val="Heading3"/>
        <w:tabs>
          <w:tab w:val="clear" w:pos="1800"/>
          <w:tab w:val="left" w:pos="1560"/>
        </w:tabs>
        <w:spacing w:after="120"/>
        <w:ind w:left="1560" w:hanging="850"/>
        <w:rPr>
          <w:rFonts w:cs="Arial"/>
          <w:szCs w:val="22"/>
        </w:rPr>
      </w:pPr>
      <w:bookmarkStart w:id="27" w:name="_Ref287364080"/>
      <w:r w:rsidRPr="00A70AC1">
        <w:rPr>
          <w:rFonts w:cs="Arial"/>
          <w:szCs w:val="22"/>
        </w:rPr>
        <w:t>The Potential Provider must not (and shall ensure that its subcontractors, consortium members, advisors or companies within its Group do not):</w:t>
      </w:r>
      <w:bookmarkEnd w:id="27"/>
    </w:p>
    <w:p w14:paraId="1C73430A" w14:textId="77777777" w:rsidR="00D0241E" w:rsidRPr="00A70AC1" w:rsidRDefault="00D0241E" w:rsidP="00D0241E">
      <w:pPr>
        <w:pStyle w:val="Heading4"/>
        <w:tabs>
          <w:tab w:val="clear" w:pos="2880"/>
          <w:tab w:val="left" w:pos="2552"/>
        </w:tabs>
        <w:spacing w:after="120"/>
        <w:ind w:left="2552" w:hanging="992"/>
        <w:rPr>
          <w:rFonts w:cs="Arial"/>
          <w:szCs w:val="22"/>
        </w:rPr>
      </w:pPr>
      <w:r w:rsidRPr="00A70AC1">
        <w:rPr>
          <w:rFonts w:cs="Arial"/>
          <w:szCs w:val="22"/>
        </w:rPr>
        <w:t xml:space="preserve">fix or adjust any element of the Tender by agreement or arrangement with any other </w:t>
      </w:r>
      <w:proofErr w:type="gramStart"/>
      <w:r w:rsidRPr="00A70AC1">
        <w:rPr>
          <w:rFonts w:cs="Arial"/>
          <w:szCs w:val="22"/>
        </w:rPr>
        <w:t>person;</w:t>
      </w:r>
      <w:proofErr w:type="gramEnd"/>
    </w:p>
    <w:p w14:paraId="0CDF8936" w14:textId="50B753BB" w:rsidR="00D0241E" w:rsidRPr="00A70AC1" w:rsidRDefault="00D0241E" w:rsidP="00D0241E">
      <w:pPr>
        <w:pStyle w:val="Heading4"/>
        <w:tabs>
          <w:tab w:val="clear" w:pos="2880"/>
          <w:tab w:val="left" w:pos="2552"/>
        </w:tabs>
        <w:spacing w:after="120"/>
        <w:ind w:left="2552" w:hanging="992"/>
        <w:rPr>
          <w:rFonts w:cs="Arial"/>
          <w:szCs w:val="22"/>
        </w:rPr>
      </w:pPr>
      <w:r w:rsidRPr="00A70AC1">
        <w:rPr>
          <w:rFonts w:cs="Arial"/>
          <w:szCs w:val="22"/>
        </w:rPr>
        <w:t xml:space="preserve">communicate with any person other than the </w:t>
      </w:r>
      <w:r w:rsidR="00A0186F" w:rsidRPr="00A70AC1">
        <w:rPr>
          <w:rFonts w:cs="Arial"/>
          <w:szCs w:val="22"/>
        </w:rPr>
        <w:t>Defence Infrastructure Organisation</w:t>
      </w:r>
      <w:r w:rsidR="0082694D" w:rsidRPr="00A70AC1">
        <w:rPr>
          <w:rFonts w:cs="Arial"/>
          <w:szCs w:val="22"/>
        </w:rPr>
        <w:t xml:space="preserve"> SFM-FP Team</w:t>
      </w:r>
      <w:r w:rsidRPr="00A70AC1">
        <w:rPr>
          <w:rFonts w:cs="Arial"/>
          <w:szCs w:val="22"/>
        </w:rPr>
        <w:t xml:space="preserve"> the value, price or rates set out in the Tender or information which would enable the precise or approximate value, price or rates to be calculated by any other </w:t>
      </w:r>
      <w:proofErr w:type="gramStart"/>
      <w:r w:rsidRPr="00A70AC1">
        <w:rPr>
          <w:rFonts w:cs="Arial"/>
          <w:szCs w:val="22"/>
        </w:rPr>
        <w:t>person;</w:t>
      </w:r>
      <w:proofErr w:type="gramEnd"/>
      <w:r w:rsidRPr="00A70AC1">
        <w:rPr>
          <w:rFonts w:cs="Arial"/>
          <w:szCs w:val="22"/>
        </w:rPr>
        <w:t xml:space="preserve"> </w:t>
      </w:r>
    </w:p>
    <w:p w14:paraId="769FA765" w14:textId="77777777" w:rsidR="00D0241E" w:rsidRPr="00A70AC1" w:rsidRDefault="00D0241E" w:rsidP="00D0241E">
      <w:pPr>
        <w:pStyle w:val="Heading4"/>
        <w:tabs>
          <w:tab w:val="clear" w:pos="2880"/>
          <w:tab w:val="left" w:pos="2552"/>
        </w:tabs>
        <w:spacing w:after="120"/>
        <w:ind w:left="2552" w:hanging="992"/>
        <w:rPr>
          <w:rFonts w:cs="Arial"/>
          <w:szCs w:val="22"/>
        </w:rPr>
      </w:pPr>
      <w:r w:rsidRPr="00A70AC1">
        <w:rPr>
          <w:rFonts w:cs="Arial"/>
          <w:szCs w:val="22"/>
        </w:rPr>
        <w:t xml:space="preserve">enter into any agreement or arrangement with any other person, so that person refrains from submitting a </w:t>
      </w:r>
      <w:proofErr w:type="gramStart"/>
      <w:r w:rsidRPr="00A70AC1">
        <w:rPr>
          <w:rFonts w:cs="Arial"/>
          <w:szCs w:val="22"/>
        </w:rPr>
        <w:t>Tender;</w:t>
      </w:r>
      <w:proofErr w:type="gramEnd"/>
      <w:r w:rsidRPr="00A70AC1">
        <w:rPr>
          <w:rFonts w:cs="Arial"/>
          <w:szCs w:val="22"/>
        </w:rPr>
        <w:t xml:space="preserve"> </w:t>
      </w:r>
    </w:p>
    <w:p w14:paraId="65E5B22B" w14:textId="77777777" w:rsidR="00D0241E" w:rsidRPr="00A70AC1" w:rsidRDefault="00D0241E" w:rsidP="00D0241E">
      <w:pPr>
        <w:pStyle w:val="Heading4"/>
        <w:tabs>
          <w:tab w:val="clear" w:pos="2880"/>
          <w:tab w:val="left" w:pos="2552"/>
        </w:tabs>
        <w:spacing w:after="120"/>
        <w:ind w:left="2552" w:hanging="992"/>
        <w:rPr>
          <w:rFonts w:cs="Arial"/>
          <w:szCs w:val="22"/>
        </w:rPr>
      </w:pPr>
      <w:r w:rsidRPr="00A70AC1">
        <w:rPr>
          <w:rFonts w:cs="Arial"/>
          <w:szCs w:val="22"/>
        </w:rPr>
        <w:t>share, permit or disclose to another person, access any information relating to the Tender (or another Tender to which it is party) with any other person; or</w:t>
      </w:r>
    </w:p>
    <w:p w14:paraId="37F10BCA" w14:textId="77777777" w:rsidR="00D0241E" w:rsidRPr="00A70AC1" w:rsidRDefault="00D0241E" w:rsidP="00D0241E">
      <w:pPr>
        <w:pStyle w:val="Heading4"/>
        <w:tabs>
          <w:tab w:val="clear" w:pos="2880"/>
          <w:tab w:val="left" w:pos="2552"/>
        </w:tabs>
        <w:spacing w:after="120"/>
        <w:ind w:left="2552" w:hanging="992"/>
        <w:rPr>
          <w:rFonts w:cs="Arial"/>
          <w:szCs w:val="22"/>
        </w:rPr>
      </w:pPr>
      <w:r w:rsidRPr="00A70AC1">
        <w:rPr>
          <w:rFonts w:cs="Arial"/>
          <w:szCs w:val="22"/>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w:t>
      </w:r>
    </w:p>
    <w:p w14:paraId="355E1B00" w14:textId="77777777" w:rsidR="00D0241E" w:rsidRPr="00A70AC1" w:rsidRDefault="00D0241E" w:rsidP="00D0241E">
      <w:pPr>
        <w:pStyle w:val="BodyTextIndent3"/>
        <w:spacing w:after="120"/>
        <w:rPr>
          <w:rFonts w:cs="Arial"/>
          <w:szCs w:val="22"/>
        </w:rPr>
      </w:pPr>
      <w:r w:rsidRPr="00A70AC1">
        <w:rPr>
          <w:rFonts w:cs="Arial"/>
          <w:szCs w:val="22"/>
        </w:rPr>
        <w:t xml:space="preserve">except where such prohibited acts are undertaken with persons who are also participants in the Potential Provider’s Tender, such as subcontractors, </w:t>
      </w:r>
      <w:r w:rsidRPr="00A70AC1">
        <w:rPr>
          <w:rFonts w:cs="Arial"/>
          <w:szCs w:val="22"/>
        </w:rPr>
        <w:lastRenderedPageBreak/>
        <w:t>consortium members, advisors or companies within its group, or where disclosure to such person is made in confidence in order to obtain quotations necessary for the preparation of the Tender or obtain any necessary security.</w:t>
      </w:r>
    </w:p>
    <w:p w14:paraId="763EA7F0" w14:textId="150D3F1B" w:rsidR="00D0241E" w:rsidRPr="00A70AC1" w:rsidRDefault="00D0241E" w:rsidP="00D0241E">
      <w:pPr>
        <w:pStyle w:val="Heading3"/>
        <w:tabs>
          <w:tab w:val="clear" w:pos="1800"/>
          <w:tab w:val="left" w:pos="1560"/>
        </w:tabs>
        <w:spacing w:after="120"/>
        <w:ind w:left="1560" w:hanging="850"/>
        <w:rPr>
          <w:rFonts w:cs="Arial"/>
          <w:szCs w:val="22"/>
        </w:rPr>
      </w:pPr>
      <w:r w:rsidRPr="00A70AC1">
        <w:rPr>
          <w:rFonts w:cs="Arial"/>
          <w:szCs w:val="22"/>
        </w:rPr>
        <w:t xml:space="preserve">If the Potential Provider breaches paragraph </w:t>
      </w:r>
      <w:r w:rsidR="00ED17E3" w:rsidRPr="00A70AC1">
        <w:fldChar w:fldCharType="begin"/>
      </w:r>
      <w:r w:rsidR="00ED17E3" w:rsidRPr="00A70AC1">
        <w:instrText xml:space="preserve"> REF _Ref287364080 \r \h  \* MERGEFORMAT </w:instrText>
      </w:r>
      <w:r w:rsidR="00ED17E3" w:rsidRPr="00A70AC1">
        <w:fldChar w:fldCharType="separate"/>
      </w:r>
      <w:r w:rsidR="00194955" w:rsidRPr="00A70AC1">
        <w:rPr>
          <w:rFonts w:cs="Arial"/>
          <w:szCs w:val="22"/>
        </w:rPr>
        <w:t>2.2.1</w:t>
      </w:r>
      <w:r w:rsidR="00ED17E3" w:rsidRPr="00A70AC1">
        <w:fldChar w:fldCharType="end"/>
      </w:r>
      <w:r w:rsidRPr="00A70AC1">
        <w:rPr>
          <w:rFonts w:cs="Arial"/>
          <w:szCs w:val="22"/>
        </w:rPr>
        <w:t xml:space="preserve">, the </w:t>
      </w:r>
      <w:r w:rsidR="005B1F6F" w:rsidRPr="00A70AC1">
        <w:rPr>
          <w:rFonts w:cs="Arial"/>
          <w:szCs w:val="22"/>
        </w:rPr>
        <w:t>Authority</w:t>
      </w:r>
      <w:r w:rsidRPr="00A70AC1">
        <w:rPr>
          <w:rFonts w:cs="Arial"/>
          <w:szCs w:val="22"/>
        </w:rPr>
        <w:t xml:space="preserve"> may (without prejudice to any other criminal or civil remedies available to it) disqualify the Potential Provider from further participation in the Further Competition.</w:t>
      </w:r>
    </w:p>
    <w:p w14:paraId="5CBD9354" w14:textId="77777777" w:rsidR="00D0241E" w:rsidRPr="00A70AC1" w:rsidRDefault="00D0241E" w:rsidP="00D0241E">
      <w:pPr>
        <w:pStyle w:val="Heading3"/>
        <w:tabs>
          <w:tab w:val="clear" w:pos="1800"/>
          <w:tab w:val="left" w:pos="1560"/>
        </w:tabs>
        <w:spacing w:after="120"/>
        <w:ind w:left="1560" w:hanging="850"/>
        <w:rPr>
          <w:rFonts w:cs="Arial"/>
          <w:szCs w:val="22"/>
        </w:rPr>
      </w:pPr>
      <w:bookmarkStart w:id="28" w:name="_Toc280187313"/>
      <w:r w:rsidRPr="00A70AC1">
        <w:rPr>
          <w:rFonts w:cs="Arial"/>
          <w:szCs w:val="22"/>
        </w:rPr>
        <w:t xml:space="preserve">The </w:t>
      </w:r>
      <w:r w:rsidR="005B1F6F" w:rsidRPr="00A70AC1">
        <w:rPr>
          <w:rFonts w:cs="Arial"/>
          <w:szCs w:val="22"/>
        </w:rPr>
        <w:t>Authority</w:t>
      </w:r>
      <w:r w:rsidRPr="00A70AC1">
        <w:rPr>
          <w:rFonts w:cs="Arial"/>
          <w:szCs w:val="22"/>
        </w:rPr>
        <w:t xml:space="preserve"> may require the Potential Provider to put in place any procedures or undertake any such action(s) that the </w:t>
      </w:r>
      <w:r w:rsidR="005B1F6F" w:rsidRPr="00A70AC1">
        <w:rPr>
          <w:rFonts w:cs="Arial"/>
          <w:szCs w:val="22"/>
        </w:rPr>
        <w:t>Authority</w:t>
      </w:r>
      <w:r w:rsidRPr="00A70AC1">
        <w:rPr>
          <w:rFonts w:cs="Arial"/>
          <w:szCs w:val="22"/>
        </w:rPr>
        <w:t xml:space="preserve"> in its sole discretion considers necessary to prevent or curtail any collusive behaviour.</w:t>
      </w:r>
    </w:p>
    <w:p w14:paraId="6FC9E224" w14:textId="77777777" w:rsidR="000A0999" w:rsidRPr="00A70AC1" w:rsidRDefault="000A0999" w:rsidP="000A0999">
      <w:pPr>
        <w:pStyle w:val="Heading3"/>
        <w:numPr>
          <w:ilvl w:val="0"/>
          <w:numId w:val="0"/>
        </w:numPr>
        <w:tabs>
          <w:tab w:val="left" w:pos="1560"/>
        </w:tabs>
        <w:spacing w:after="120"/>
        <w:ind w:left="1560"/>
        <w:rPr>
          <w:rFonts w:cs="Arial"/>
          <w:szCs w:val="22"/>
        </w:rPr>
      </w:pPr>
    </w:p>
    <w:p w14:paraId="2EF57D1C" w14:textId="77777777" w:rsidR="00D0241E" w:rsidRPr="00A70AC1" w:rsidRDefault="00D0241E" w:rsidP="00D0241E">
      <w:pPr>
        <w:pStyle w:val="Heading1"/>
        <w:spacing w:before="120" w:after="120"/>
        <w:rPr>
          <w:rFonts w:cs="Arial"/>
          <w:szCs w:val="22"/>
        </w:rPr>
      </w:pPr>
      <w:bookmarkStart w:id="29" w:name="_Toc342297364"/>
      <w:bookmarkStart w:id="30" w:name="_Toc114216469"/>
      <w:r w:rsidRPr="00A70AC1">
        <w:rPr>
          <w:rFonts w:cs="Arial"/>
          <w:szCs w:val="22"/>
        </w:rPr>
        <w:t>COmpliance</w:t>
      </w:r>
      <w:bookmarkEnd w:id="29"/>
      <w:bookmarkEnd w:id="30"/>
    </w:p>
    <w:p w14:paraId="1ACD62BB" w14:textId="4CA2CB24" w:rsidR="00D0241E" w:rsidRPr="00A70AC1" w:rsidRDefault="00D0241E" w:rsidP="00D0241E">
      <w:pPr>
        <w:pStyle w:val="BodyTextIndent"/>
        <w:spacing w:after="120"/>
        <w:rPr>
          <w:rFonts w:cs="Arial"/>
          <w:szCs w:val="22"/>
        </w:rPr>
      </w:pPr>
      <w:r w:rsidRPr="00A70AC1">
        <w:rPr>
          <w:rFonts w:cs="Arial"/>
          <w:szCs w:val="22"/>
        </w:rPr>
        <w:t>The Potential Provider agrees that in cases where their Tender is deemed non-compl</w:t>
      </w:r>
      <w:r w:rsidR="00C8704C" w:rsidRPr="00A70AC1">
        <w:rPr>
          <w:rFonts w:cs="Arial"/>
          <w:szCs w:val="22"/>
        </w:rPr>
        <w:t>ia</w:t>
      </w:r>
      <w:r w:rsidRPr="00A70AC1">
        <w:rPr>
          <w:rFonts w:cs="Arial"/>
          <w:szCs w:val="22"/>
        </w:rPr>
        <w:t>nt when compared with the requirements set out within the Invitation to Tender (</w:t>
      </w:r>
      <w:proofErr w:type="gramStart"/>
      <w:r w:rsidRPr="00A70AC1">
        <w:rPr>
          <w:rFonts w:cs="Arial"/>
          <w:szCs w:val="22"/>
        </w:rPr>
        <w:t>e.g.</w:t>
      </w:r>
      <w:proofErr w:type="gramEnd"/>
      <w:r w:rsidRPr="00A70AC1">
        <w:rPr>
          <w:rFonts w:cs="Arial"/>
          <w:szCs w:val="22"/>
        </w:rPr>
        <w:t xml:space="preserve"> budget, terms and conditions) they will be excluded from the Further Competition.</w:t>
      </w:r>
    </w:p>
    <w:p w14:paraId="54516551" w14:textId="77777777" w:rsidR="000A0999" w:rsidRPr="00A70AC1" w:rsidRDefault="000A0999" w:rsidP="00D0241E">
      <w:pPr>
        <w:pStyle w:val="BodyTextIndent"/>
        <w:spacing w:after="120"/>
        <w:rPr>
          <w:rFonts w:cs="Arial"/>
          <w:szCs w:val="22"/>
        </w:rPr>
      </w:pPr>
    </w:p>
    <w:p w14:paraId="51A8B5E8" w14:textId="77777777" w:rsidR="00D0241E" w:rsidRPr="00A70AC1" w:rsidRDefault="00D0241E" w:rsidP="00D0241E">
      <w:pPr>
        <w:pStyle w:val="Heading1"/>
        <w:spacing w:before="120" w:after="120"/>
        <w:rPr>
          <w:rFonts w:cs="Arial"/>
          <w:szCs w:val="22"/>
        </w:rPr>
      </w:pPr>
      <w:bookmarkStart w:id="31" w:name="_Toc287440409"/>
      <w:bookmarkStart w:id="32" w:name="_Toc342297365"/>
      <w:bookmarkStart w:id="33" w:name="_Toc114216470"/>
      <w:r w:rsidRPr="00A70AC1">
        <w:rPr>
          <w:rFonts w:cs="Arial"/>
          <w:szCs w:val="22"/>
        </w:rPr>
        <w:t xml:space="preserve">RIGHT TO CANCEL OR VARY THE </w:t>
      </w:r>
      <w:bookmarkEnd w:id="31"/>
      <w:r w:rsidRPr="00A70AC1">
        <w:rPr>
          <w:rFonts w:cs="Arial"/>
          <w:szCs w:val="22"/>
        </w:rPr>
        <w:t>Further Competition</w:t>
      </w:r>
      <w:bookmarkEnd w:id="32"/>
      <w:bookmarkEnd w:id="33"/>
    </w:p>
    <w:p w14:paraId="50576B2F" w14:textId="77777777" w:rsidR="00D0241E" w:rsidRPr="00A70AC1" w:rsidRDefault="005B1F6F" w:rsidP="00D0241E">
      <w:pPr>
        <w:pStyle w:val="Heading2"/>
        <w:spacing w:after="120"/>
        <w:rPr>
          <w:rFonts w:cs="Arial"/>
          <w:szCs w:val="22"/>
        </w:rPr>
      </w:pPr>
      <w:r w:rsidRPr="00A70AC1">
        <w:rPr>
          <w:rFonts w:cs="Arial"/>
          <w:szCs w:val="22"/>
        </w:rPr>
        <w:t xml:space="preserve">The Authority </w:t>
      </w:r>
      <w:r w:rsidR="00D0241E" w:rsidRPr="00A70AC1">
        <w:rPr>
          <w:rFonts w:cs="Arial"/>
          <w:szCs w:val="22"/>
        </w:rPr>
        <w:t xml:space="preserve">reserves the right: </w:t>
      </w:r>
    </w:p>
    <w:p w14:paraId="44B7C51D" w14:textId="45A5F783" w:rsidR="00D0241E" w:rsidRPr="00A70AC1" w:rsidRDefault="00D0241E" w:rsidP="00D0241E">
      <w:pPr>
        <w:pStyle w:val="Heading3"/>
        <w:tabs>
          <w:tab w:val="clear" w:pos="1800"/>
          <w:tab w:val="left" w:pos="1560"/>
        </w:tabs>
        <w:spacing w:after="120"/>
        <w:ind w:left="1560" w:hanging="850"/>
        <w:rPr>
          <w:rFonts w:cs="Arial"/>
          <w:szCs w:val="22"/>
        </w:rPr>
      </w:pPr>
      <w:r w:rsidRPr="00A70AC1">
        <w:rPr>
          <w:rFonts w:cs="Arial"/>
          <w:szCs w:val="22"/>
        </w:rPr>
        <w:t xml:space="preserve">amend, clarify, add to or withdraw all or any part of the Further Competition Invitation at any time during the Further </w:t>
      </w:r>
      <w:proofErr w:type="gramStart"/>
      <w:r w:rsidRPr="00A70AC1">
        <w:rPr>
          <w:rFonts w:cs="Arial"/>
          <w:szCs w:val="22"/>
        </w:rPr>
        <w:t>Competition;</w:t>
      </w:r>
      <w:proofErr w:type="gramEnd"/>
    </w:p>
    <w:p w14:paraId="5911B79C" w14:textId="77777777" w:rsidR="00D0241E" w:rsidRPr="00A70AC1" w:rsidRDefault="00D0241E" w:rsidP="00D0241E">
      <w:pPr>
        <w:pStyle w:val="Heading3"/>
        <w:tabs>
          <w:tab w:val="clear" w:pos="1800"/>
          <w:tab w:val="left" w:pos="1560"/>
        </w:tabs>
        <w:spacing w:after="120"/>
        <w:ind w:left="1560" w:hanging="850"/>
        <w:rPr>
          <w:rFonts w:cs="Arial"/>
          <w:szCs w:val="22"/>
        </w:rPr>
      </w:pPr>
      <w:r w:rsidRPr="00A70AC1">
        <w:rPr>
          <w:rFonts w:cs="Arial"/>
          <w:szCs w:val="22"/>
        </w:rPr>
        <w:t xml:space="preserve">to vary any timetable or deadlines set out in the Further Competition </w:t>
      </w:r>
      <w:proofErr w:type="gramStart"/>
      <w:r w:rsidRPr="00A70AC1">
        <w:rPr>
          <w:rFonts w:cs="Arial"/>
          <w:szCs w:val="22"/>
        </w:rPr>
        <w:t>Invitation;</w:t>
      </w:r>
      <w:proofErr w:type="gramEnd"/>
    </w:p>
    <w:p w14:paraId="17BDBFDB" w14:textId="77777777" w:rsidR="00D0241E" w:rsidRPr="00A70AC1" w:rsidRDefault="00D0241E" w:rsidP="00D0241E">
      <w:pPr>
        <w:pStyle w:val="Heading3"/>
        <w:tabs>
          <w:tab w:val="clear" w:pos="1800"/>
          <w:tab w:val="left" w:pos="1560"/>
        </w:tabs>
        <w:spacing w:after="120"/>
        <w:ind w:left="1560" w:hanging="850"/>
        <w:rPr>
          <w:rFonts w:cs="Arial"/>
          <w:szCs w:val="22"/>
        </w:rPr>
      </w:pPr>
      <w:r w:rsidRPr="00A70AC1">
        <w:rPr>
          <w:rFonts w:cs="Arial"/>
          <w:szCs w:val="22"/>
        </w:rPr>
        <w:t>not to conclude a contract for some or all of the goods and/or services (as applicable) for which Tenders are invited; and</w:t>
      </w:r>
    </w:p>
    <w:p w14:paraId="6575E26A" w14:textId="77777777" w:rsidR="00D0241E" w:rsidRPr="00A70AC1" w:rsidRDefault="00D0241E" w:rsidP="00D0241E">
      <w:pPr>
        <w:pStyle w:val="Heading3"/>
        <w:tabs>
          <w:tab w:val="clear" w:pos="1800"/>
          <w:tab w:val="left" w:pos="1560"/>
        </w:tabs>
        <w:spacing w:after="120"/>
        <w:ind w:left="1560" w:hanging="850"/>
        <w:rPr>
          <w:rFonts w:cs="Arial"/>
          <w:szCs w:val="22"/>
        </w:rPr>
      </w:pPr>
      <w:r w:rsidRPr="00A70AC1">
        <w:rPr>
          <w:rFonts w:cs="Arial"/>
          <w:szCs w:val="22"/>
        </w:rPr>
        <w:t>cancel all or part of the Further Competition at any stage at any time.</w:t>
      </w:r>
    </w:p>
    <w:p w14:paraId="08CC5B25" w14:textId="77777777" w:rsidR="00D0241E" w:rsidRPr="00A70AC1" w:rsidRDefault="00D0241E" w:rsidP="00D0241E">
      <w:pPr>
        <w:pStyle w:val="Heading2"/>
        <w:spacing w:after="120"/>
        <w:rPr>
          <w:rFonts w:cs="Arial"/>
          <w:szCs w:val="22"/>
        </w:rPr>
      </w:pPr>
      <w:r w:rsidRPr="00A70AC1">
        <w:rPr>
          <w:rFonts w:cs="Arial"/>
          <w:szCs w:val="22"/>
        </w:rPr>
        <w:t xml:space="preserve">The Potential Provider accepts and acknowledges that by issuing the Further Competition Invitation, the </w:t>
      </w:r>
      <w:r w:rsidR="005B1F6F" w:rsidRPr="00A70AC1">
        <w:rPr>
          <w:rFonts w:cs="Arial"/>
          <w:szCs w:val="22"/>
        </w:rPr>
        <w:t>Authority</w:t>
      </w:r>
      <w:r w:rsidRPr="00A70AC1">
        <w:rPr>
          <w:rFonts w:cs="Arial"/>
          <w:szCs w:val="22"/>
        </w:rPr>
        <w:t xml:space="preserve"> is not bound to accept a Tender or obliged to conclude a contract with the Potential Provider at all.</w:t>
      </w:r>
    </w:p>
    <w:bookmarkEnd w:id="28"/>
    <w:p w14:paraId="53D66108" w14:textId="18160A6D" w:rsidR="00F82C05" w:rsidRPr="00A70AC1" w:rsidRDefault="00F82C05" w:rsidP="00B423E5">
      <w:pPr>
        <w:rPr>
          <w:rFonts w:cs="Arial"/>
          <w:b/>
          <w:szCs w:val="22"/>
        </w:rPr>
      </w:pPr>
      <w:r w:rsidRPr="00A70AC1">
        <w:rPr>
          <w:rFonts w:cs="Arial"/>
          <w:b/>
          <w:szCs w:val="22"/>
        </w:rPr>
        <w:br w:type="page"/>
      </w:r>
    </w:p>
    <w:p w14:paraId="209AC66D" w14:textId="77777777" w:rsidR="0043749D" w:rsidRPr="00A70AC1" w:rsidRDefault="0043749D" w:rsidP="00B423E5">
      <w:pPr>
        <w:rPr>
          <w:rFonts w:cs="Arial"/>
        </w:rPr>
      </w:pPr>
    </w:p>
    <w:p w14:paraId="62555C07" w14:textId="62E72A14" w:rsidR="00B9252C" w:rsidRPr="00A70AC1" w:rsidRDefault="00D0241E" w:rsidP="006A3734">
      <w:pPr>
        <w:pStyle w:val="Heading1"/>
        <w:numPr>
          <w:ilvl w:val="0"/>
          <w:numId w:val="0"/>
        </w:numPr>
        <w:ind w:left="720" w:hanging="720"/>
        <w:rPr>
          <w:rFonts w:cs="Arial"/>
          <w:szCs w:val="22"/>
        </w:rPr>
      </w:pPr>
      <w:bookmarkStart w:id="34" w:name="_Toc114216471"/>
      <w:r w:rsidRPr="00A70AC1">
        <w:rPr>
          <w:rFonts w:cs="Arial"/>
          <w:szCs w:val="22"/>
        </w:rPr>
        <w:t>Appendix B –</w:t>
      </w:r>
      <w:r w:rsidR="00D34DFE" w:rsidRPr="00A70AC1">
        <w:rPr>
          <w:rFonts w:cs="Arial"/>
          <w:szCs w:val="22"/>
        </w:rPr>
        <w:t xml:space="preserve"> </w:t>
      </w:r>
      <w:r w:rsidR="006A3734" w:rsidRPr="00A70AC1">
        <w:rPr>
          <w:rFonts w:cs="Arial"/>
          <w:szCs w:val="22"/>
        </w:rPr>
        <w:t>SPECIFICATION</w:t>
      </w:r>
      <w:r w:rsidR="00FF3A36" w:rsidRPr="00A70AC1">
        <w:rPr>
          <w:rFonts w:cs="Arial"/>
          <w:szCs w:val="22"/>
        </w:rPr>
        <w:t>/statement of requirements</w:t>
      </w:r>
      <w:bookmarkEnd w:id="34"/>
      <w:r w:rsidR="006A3734" w:rsidRPr="00A70AC1">
        <w:rPr>
          <w:rFonts w:cs="Arial"/>
          <w:szCs w:val="22"/>
        </w:rPr>
        <w:t xml:space="preserve"> </w:t>
      </w:r>
    </w:p>
    <w:p w14:paraId="449E55E1" w14:textId="77777777" w:rsidR="00D0241E" w:rsidRPr="00A70AC1" w:rsidRDefault="000A5D86" w:rsidP="009B27BD">
      <w:pPr>
        <w:pStyle w:val="Heading1"/>
        <w:numPr>
          <w:ilvl w:val="0"/>
          <w:numId w:val="23"/>
        </w:numPr>
        <w:tabs>
          <w:tab w:val="clear" w:pos="720"/>
        </w:tabs>
        <w:overflowPunct w:val="0"/>
        <w:autoSpaceDE w:val="0"/>
        <w:autoSpaceDN w:val="0"/>
        <w:spacing w:after="120"/>
        <w:textAlignment w:val="baseline"/>
        <w:rPr>
          <w:rFonts w:cs="Arial"/>
          <w:szCs w:val="22"/>
        </w:rPr>
      </w:pPr>
      <w:bookmarkStart w:id="35" w:name="_Toc114216472"/>
      <w:r w:rsidRPr="00A70AC1">
        <w:rPr>
          <w:rFonts w:cs="Arial"/>
          <w:caps w:val="0"/>
          <w:szCs w:val="22"/>
        </w:rPr>
        <w:t>INTRODUCTION AND BACKGROUND TO THE AUTHORITY</w:t>
      </w:r>
      <w:bookmarkEnd w:id="35"/>
      <w:r w:rsidRPr="00A70AC1">
        <w:rPr>
          <w:rFonts w:cs="Arial"/>
          <w:caps w:val="0"/>
          <w:szCs w:val="22"/>
        </w:rPr>
        <w:t xml:space="preserve"> </w:t>
      </w:r>
      <w:r w:rsidR="00D0241E" w:rsidRPr="00A70AC1">
        <w:rPr>
          <w:rFonts w:cs="Arial"/>
          <w:caps w:val="0"/>
          <w:szCs w:val="22"/>
        </w:rPr>
        <w:tab/>
      </w:r>
      <w:r w:rsidRPr="00A70AC1">
        <w:rPr>
          <w:rFonts w:cs="Arial"/>
          <w:caps w:val="0"/>
          <w:szCs w:val="22"/>
        </w:rPr>
        <w:t xml:space="preserve"> </w:t>
      </w:r>
    </w:p>
    <w:p w14:paraId="2D7D7AE5" w14:textId="20E45861" w:rsidR="00D0162B" w:rsidRPr="00A70AC1" w:rsidRDefault="000A5D86" w:rsidP="00DE1E96">
      <w:pPr>
        <w:pStyle w:val="paragraph"/>
        <w:numPr>
          <w:ilvl w:val="0"/>
          <w:numId w:val="34"/>
        </w:numPr>
        <w:spacing w:before="0" w:beforeAutospacing="0" w:after="0" w:afterAutospacing="0"/>
        <w:textAlignment w:val="baseline"/>
        <w:rPr>
          <w:rFonts w:ascii="Arial" w:hAnsi="Arial" w:cs="Arial"/>
        </w:rPr>
      </w:pPr>
      <w:r w:rsidRPr="00A70AC1">
        <w:rPr>
          <w:rFonts w:cs="Arial"/>
          <w:szCs w:val="22"/>
        </w:rPr>
        <w:t xml:space="preserve"> </w:t>
      </w:r>
      <w:r w:rsidR="00D0162B" w:rsidRPr="00A70AC1">
        <w:rPr>
          <w:rFonts w:ascii="Arial" w:eastAsia="STZhongsong" w:hAnsi="Arial"/>
          <w:sz w:val="22"/>
          <w:szCs w:val="20"/>
          <w:lang w:eastAsia="zh-CN"/>
        </w:rPr>
        <w:t xml:space="preserve">The Defence Infrastructure Organisation </w:t>
      </w:r>
      <w:r w:rsidR="007A790D" w:rsidRPr="00A70AC1">
        <w:rPr>
          <w:rFonts w:ascii="Arial" w:eastAsia="STZhongsong" w:hAnsi="Arial"/>
          <w:sz w:val="22"/>
          <w:szCs w:val="20"/>
          <w:lang w:eastAsia="zh-CN"/>
        </w:rPr>
        <w:t xml:space="preserve">(DIO) </w:t>
      </w:r>
      <w:r w:rsidR="00D0162B" w:rsidRPr="00A70AC1">
        <w:rPr>
          <w:rFonts w:ascii="Arial" w:eastAsia="STZhongsong" w:hAnsi="Arial"/>
          <w:sz w:val="22"/>
          <w:szCs w:val="20"/>
          <w:lang w:eastAsia="zh-CN"/>
        </w:rPr>
        <w:t>has awar</w:t>
      </w:r>
      <w:r w:rsidR="007A790D" w:rsidRPr="00A70AC1">
        <w:rPr>
          <w:rFonts w:ascii="Arial" w:eastAsia="STZhongsong" w:hAnsi="Arial"/>
          <w:sz w:val="22"/>
          <w:szCs w:val="20"/>
          <w:lang w:eastAsia="zh-CN"/>
        </w:rPr>
        <w:t>d</w:t>
      </w:r>
      <w:r w:rsidR="00D0162B" w:rsidRPr="00A70AC1">
        <w:rPr>
          <w:rFonts w:ascii="Arial" w:eastAsia="STZhongsong" w:hAnsi="Arial"/>
          <w:sz w:val="22"/>
          <w:szCs w:val="20"/>
          <w:lang w:eastAsia="zh-CN"/>
        </w:rPr>
        <w:t>ed</w:t>
      </w:r>
      <w:r w:rsidR="00D0162B" w:rsidRPr="00A70AC1">
        <w:rPr>
          <w:rFonts w:cs="Arial"/>
          <w:szCs w:val="22"/>
        </w:rPr>
        <w:t xml:space="preserve"> </w:t>
      </w:r>
      <w:proofErr w:type="spellStart"/>
      <w:r w:rsidR="00D0162B" w:rsidRPr="00A70AC1">
        <w:rPr>
          <w:rStyle w:val="normaltextrun"/>
          <w:rFonts w:ascii="Arial" w:hAnsi="Arial" w:cs="Arial"/>
        </w:rPr>
        <w:t>Aquatrine</w:t>
      </w:r>
      <w:proofErr w:type="spellEnd"/>
      <w:r w:rsidR="00D0162B" w:rsidRPr="00A70AC1">
        <w:rPr>
          <w:rStyle w:val="normaltextrun"/>
          <w:rFonts w:ascii="Arial" w:hAnsi="Arial" w:cs="Arial"/>
        </w:rPr>
        <w:t xml:space="preserve"> is MOD’s GB-wide water and wastewater Public Private Partnership (PPP) project, providing water and wastewater services and manages environmental risk across the GB Defence Estate allowing the MOD to focus on its core business</w:t>
      </w:r>
      <w:r w:rsidR="007A790D" w:rsidRPr="00A70AC1">
        <w:rPr>
          <w:rFonts w:cs="Arial"/>
          <w:szCs w:val="22"/>
        </w:rPr>
        <w:t>.</w:t>
      </w:r>
    </w:p>
    <w:p w14:paraId="0951828A" w14:textId="3F764E2D" w:rsidR="000A5D86" w:rsidRPr="00A70AC1" w:rsidRDefault="000A5D86" w:rsidP="00D0241E">
      <w:pPr>
        <w:pStyle w:val="Heading2"/>
        <w:overflowPunct w:val="0"/>
        <w:autoSpaceDE w:val="0"/>
        <w:autoSpaceDN w:val="0"/>
        <w:spacing w:after="120"/>
        <w:textAlignment w:val="baseline"/>
        <w:rPr>
          <w:rFonts w:cs="Arial"/>
          <w:szCs w:val="22"/>
        </w:rPr>
      </w:pPr>
    </w:p>
    <w:p w14:paraId="1709ADE5" w14:textId="77777777" w:rsidR="00D0241E" w:rsidRPr="00A70AC1" w:rsidRDefault="00D0241E" w:rsidP="00D0241E">
      <w:pPr>
        <w:pStyle w:val="Heading1"/>
        <w:tabs>
          <w:tab w:val="clear" w:pos="720"/>
        </w:tabs>
        <w:overflowPunct w:val="0"/>
        <w:autoSpaceDE w:val="0"/>
        <w:autoSpaceDN w:val="0"/>
        <w:spacing w:after="120"/>
        <w:textAlignment w:val="baseline"/>
        <w:rPr>
          <w:rFonts w:cs="Arial"/>
          <w:szCs w:val="22"/>
        </w:rPr>
      </w:pPr>
      <w:bookmarkStart w:id="36" w:name="_Toc297554773"/>
      <w:bookmarkStart w:id="37" w:name="_Toc342297652"/>
      <w:bookmarkStart w:id="38" w:name="_Toc114216473"/>
      <w:bookmarkStart w:id="39" w:name="_Toc296415805"/>
      <w:bookmarkStart w:id="40" w:name="_Toc296415793"/>
      <w:r w:rsidRPr="00A70AC1">
        <w:rPr>
          <w:rFonts w:cs="Arial"/>
          <w:szCs w:val="22"/>
        </w:rPr>
        <w:t>Background to requirement/OVERVIEW</w:t>
      </w:r>
      <w:bookmarkEnd w:id="36"/>
      <w:r w:rsidRPr="00A70AC1">
        <w:rPr>
          <w:rFonts w:cs="Arial"/>
          <w:szCs w:val="22"/>
        </w:rPr>
        <w:t xml:space="preserve"> of requirement</w:t>
      </w:r>
      <w:bookmarkEnd w:id="37"/>
      <w:bookmarkEnd w:id="38"/>
    </w:p>
    <w:p w14:paraId="7BA471BF" w14:textId="19836ABC" w:rsidR="000E7BF9" w:rsidRPr="00A70AC1" w:rsidRDefault="000E7BF9" w:rsidP="000E7BF9">
      <w:pPr>
        <w:pStyle w:val="Heading2"/>
        <w:spacing w:after="120"/>
        <w:rPr>
          <w:rFonts w:cs="Arial"/>
        </w:rPr>
      </w:pPr>
      <w:bookmarkStart w:id="41" w:name="_Toc297554774"/>
      <w:bookmarkEnd w:id="39"/>
      <w:r w:rsidRPr="00A70AC1">
        <w:rPr>
          <w:rStyle w:val="normaltextrun"/>
          <w:rFonts w:cs="Arial"/>
          <w:color w:val="000000"/>
        </w:rPr>
        <w:t xml:space="preserve">DIO need a new Defence water and wastewater policy and implementation strategy to support the exit and reprovisioning planning for the </w:t>
      </w:r>
      <w:proofErr w:type="spellStart"/>
      <w:r w:rsidRPr="00A70AC1">
        <w:rPr>
          <w:rStyle w:val="normaltextrun"/>
          <w:rFonts w:cs="Arial"/>
          <w:color w:val="000000"/>
        </w:rPr>
        <w:t>Aquatrine</w:t>
      </w:r>
      <w:proofErr w:type="spellEnd"/>
      <w:r w:rsidRPr="00A70AC1">
        <w:rPr>
          <w:rStyle w:val="normaltextrun"/>
          <w:rFonts w:cs="Arial"/>
          <w:color w:val="000000"/>
        </w:rPr>
        <w:t xml:space="preserve"> Private Finance Initiative (PFI) contracts. The </w:t>
      </w:r>
      <w:proofErr w:type="gramStart"/>
      <w:r w:rsidRPr="00A70AC1">
        <w:rPr>
          <w:rStyle w:val="normaltextrun"/>
          <w:rFonts w:cs="Arial"/>
          <w:color w:val="000000"/>
        </w:rPr>
        <w:t>timescales</w:t>
      </w:r>
      <w:proofErr w:type="gramEnd"/>
      <w:r w:rsidRPr="00A70AC1">
        <w:rPr>
          <w:rStyle w:val="normaltextrun"/>
          <w:rFonts w:cs="Arial"/>
          <w:color w:val="000000"/>
        </w:rPr>
        <w:t xml:space="preserve"> for completion is no later than 30 Jun 2023 and is to examine and advise upon bespoke water industry operating and cost models, charging mechanisms and licensing issues.</w:t>
      </w:r>
      <w:r w:rsidRPr="00A70AC1">
        <w:rPr>
          <w:rStyle w:val="eop"/>
          <w:rFonts w:cs="Arial"/>
          <w:color w:val="000000"/>
        </w:rPr>
        <w:t> </w:t>
      </w:r>
    </w:p>
    <w:p w14:paraId="6960E1C9" w14:textId="78C4E3E2" w:rsidR="00D0241E" w:rsidRPr="00A70AC1" w:rsidRDefault="005513FA" w:rsidP="00D0241E">
      <w:pPr>
        <w:pStyle w:val="Heading2"/>
        <w:spacing w:after="120"/>
        <w:rPr>
          <w:rFonts w:cs="Arial"/>
          <w:szCs w:val="22"/>
        </w:rPr>
      </w:pPr>
      <w:r w:rsidRPr="00A70AC1">
        <w:rPr>
          <w:rFonts w:cs="Arial"/>
          <w:szCs w:val="22"/>
        </w:rPr>
        <w:t>Full details of the requirement are laid out within A</w:t>
      </w:r>
      <w:r w:rsidR="000E5930" w:rsidRPr="00A70AC1">
        <w:rPr>
          <w:rFonts w:cs="Arial"/>
          <w:szCs w:val="22"/>
        </w:rPr>
        <w:t>ppendix</w:t>
      </w:r>
      <w:r w:rsidRPr="00A70AC1">
        <w:rPr>
          <w:rFonts w:cs="Arial"/>
          <w:szCs w:val="22"/>
        </w:rPr>
        <w:t xml:space="preserve"> B1</w:t>
      </w:r>
    </w:p>
    <w:p w14:paraId="44C2D3AE" w14:textId="77777777" w:rsidR="004F1475" w:rsidRPr="00A70AC1" w:rsidRDefault="00F04525" w:rsidP="004F1475">
      <w:pPr>
        <w:pStyle w:val="Heading1"/>
        <w:tabs>
          <w:tab w:val="clear" w:pos="720"/>
        </w:tabs>
        <w:overflowPunct w:val="0"/>
        <w:autoSpaceDE w:val="0"/>
        <w:autoSpaceDN w:val="0"/>
        <w:spacing w:after="120"/>
        <w:textAlignment w:val="baseline"/>
        <w:rPr>
          <w:rFonts w:cs="Arial"/>
          <w:szCs w:val="22"/>
        </w:rPr>
      </w:pPr>
      <w:bookmarkStart w:id="42" w:name="_Toc114216474"/>
      <w:bookmarkEnd w:id="41"/>
      <w:r w:rsidRPr="00A70AC1">
        <w:rPr>
          <w:rFonts w:cs="Arial"/>
          <w:szCs w:val="22"/>
        </w:rPr>
        <w:t>SPECIFICATION</w:t>
      </w:r>
      <w:bookmarkEnd w:id="42"/>
    </w:p>
    <w:p w14:paraId="013F9720" w14:textId="6F628EE4" w:rsidR="004F1475" w:rsidRPr="00A70AC1" w:rsidRDefault="004F1475" w:rsidP="004F1475">
      <w:pPr>
        <w:pStyle w:val="Heading2"/>
        <w:rPr>
          <w:b/>
        </w:rPr>
      </w:pPr>
      <w:r w:rsidRPr="00A70AC1">
        <w:t>The Authority</w:t>
      </w:r>
      <w:r w:rsidR="00D34DFE" w:rsidRPr="00A70AC1">
        <w:t xml:space="preserve"> is seeking the provision of</w:t>
      </w:r>
      <w:r w:rsidRPr="00A70AC1">
        <w:t xml:space="preserve"> </w:t>
      </w:r>
      <w:r w:rsidR="000A5810" w:rsidRPr="00A70AC1">
        <w:t xml:space="preserve">Consultancy Services </w:t>
      </w:r>
      <w:r w:rsidR="00BD1A08" w:rsidRPr="00A70AC1">
        <w:t xml:space="preserve">under </w:t>
      </w:r>
      <w:r w:rsidR="00847117" w:rsidRPr="00A70AC1">
        <w:t>Lot 2</w:t>
      </w:r>
      <w:r w:rsidR="0058517C" w:rsidRPr="00A70AC1">
        <w:t xml:space="preserve"> for </w:t>
      </w:r>
      <w:r w:rsidR="00E45A23" w:rsidRPr="00A70AC1">
        <w:t>d</w:t>
      </w:r>
      <w:r w:rsidR="0058517C" w:rsidRPr="00A70AC1">
        <w:t xml:space="preserve">elivery of the services identified in </w:t>
      </w:r>
      <w:r w:rsidR="003E5204" w:rsidRPr="00A70AC1">
        <w:t>Appendix</w:t>
      </w:r>
      <w:r w:rsidR="0058517C" w:rsidRPr="00A70AC1">
        <w:t xml:space="preserve"> </w:t>
      </w:r>
      <w:r w:rsidR="00612178" w:rsidRPr="00A70AC1">
        <w:t>B</w:t>
      </w:r>
      <w:r w:rsidR="0058517C" w:rsidRPr="00A70AC1">
        <w:t>1</w:t>
      </w:r>
      <w:r w:rsidR="00847117" w:rsidRPr="00A70AC1">
        <w:t xml:space="preserve"> </w:t>
      </w:r>
      <w:r w:rsidRPr="00A70AC1">
        <w:rPr>
          <w:strike/>
        </w:rPr>
        <w:t>t</w:t>
      </w:r>
      <w:r w:rsidRPr="00A70AC1">
        <w:t xml:space="preserve">o </w:t>
      </w:r>
      <w:r w:rsidR="003E5204" w:rsidRPr="00A70AC1">
        <w:t xml:space="preserve">no later than </w:t>
      </w:r>
      <w:r w:rsidR="0084143C" w:rsidRPr="00D10439">
        <w:rPr>
          <w:b/>
          <w:bCs/>
        </w:rPr>
        <w:t>30</w:t>
      </w:r>
      <w:r w:rsidR="0084143C" w:rsidRPr="00D10439">
        <w:rPr>
          <w:b/>
          <w:bCs/>
          <w:vertAlign w:val="superscript"/>
        </w:rPr>
        <w:t>th</w:t>
      </w:r>
      <w:r w:rsidR="0084143C" w:rsidRPr="00D10439">
        <w:rPr>
          <w:b/>
          <w:bCs/>
        </w:rPr>
        <w:t xml:space="preserve"> June 2023</w:t>
      </w:r>
      <w:r w:rsidR="003E5204" w:rsidRPr="00A70AC1">
        <w:t>. There is</w:t>
      </w:r>
      <w:r w:rsidRPr="00A70AC1">
        <w:t xml:space="preserve"> with an </w:t>
      </w:r>
      <w:r w:rsidR="0038347E" w:rsidRPr="00A70AC1">
        <w:t xml:space="preserve">no </w:t>
      </w:r>
      <w:r w:rsidRPr="00A70AC1">
        <w:t>option to extend</w:t>
      </w:r>
      <w:r w:rsidR="00D10439">
        <w:t>.</w:t>
      </w:r>
      <w:r w:rsidRPr="00A70AC1">
        <w:t xml:space="preserve"> </w:t>
      </w:r>
    </w:p>
    <w:bookmarkEnd w:id="40"/>
    <w:p w14:paraId="32052BB5" w14:textId="3CFD555F" w:rsidR="00D34DFE" w:rsidRPr="00A70AC1" w:rsidRDefault="00E73CB8" w:rsidP="00EF70CD">
      <w:pPr>
        <w:rPr>
          <w:rFonts w:cs="Arial"/>
          <w:bCs/>
          <w:iCs/>
          <w:szCs w:val="22"/>
        </w:rPr>
      </w:pPr>
      <w:r w:rsidRPr="00A70AC1">
        <w:rPr>
          <w:rFonts w:cs="Arial"/>
          <w:bCs/>
          <w:iCs/>
          <w:szCs w:val="22"/>
        </w:rPr>
        <w:t xml:space="preserve">3.2 </w:t>
      </w:r>
      <w:r w:rsidRPr="00A70AC1">
        <w:rPr>
          <w:rFonts w:cs="Arial"/>
          <w:bCs/>
          <w:iCs/>
          <w:szCs w:val="22"/>
        </w:rPr>
        <w:tab/>
      </w:r>
      <w:r w:rsidR="009702C6" w:rsidRPr="00A70AC1">
        <w:rPr>
          <w:rFonts w:cs="Arial"/>
          <w:bCs/>
          <w:iCs/>
          <w:szCs w:val="22"/>
        </w:rPr>
        <w:t>The Scope of works</w:t>
      </w:r>
      <w:r w:rsidR="00FF4651" w:rsidRPr="00A70AC1">
        <w:rPr>
          <w:rFonts w:cs="Arial"/>
          <w:bCs/>
          <w:iCs/>
          <w:szCs w:val="22"/>
        </w:rPr>
        <w:t xml:space="preserve">, as identified </w:t>
      </w:r>
      <w:r w:rsidR="00072938" w:rsidRPr="00A70AC1">
        <w:rPr>
          <w:rFonts w:cs="Arial"/>
          <w:bCs/>
          <w:iCs/>
          <w:szCs w:val="22"/>
        </w:rPr>
        <w:t>in Annex B1</w:t>
      </w:r>
      <w:r w:rsidR="00100246" w:rsidRPr="00A70AC1">
        <w:rPr>
          <w:rFonts w:cs="Arial"/>
          <w:bCs/>
          <w:iCs/>
          <w:szCs w:val="22"/>
        </w:rPr>
        <w:t xml:space="preserve">, </w:t>
      </w:r>
      <w:r w:rsidR="00DA0E8B" w:rsidRPr="00A70AC1">
        <w:rPr>
          <w:rFonts w:cs="Arial"/>
          <w:bCs/>
          <w:iCs/>
          <w:szCs w:val="22"/>
        </w:rPr>
        <w:t xml:space="preserve">is additional to Lot 2 and therefore the Firm Price quotations </w:t>
      </w:r>
      <w:r w:rsidR="007D1F33" w:rsidRPr="00A70AC1">
        <w:rPr>
          <w:rFonts w:cs="Arial"/>
          <w:bCs/>
          <w:iCs/>
          <w:szCs w:val="22"/>
        </w:rPr>
        <w:t xml:space="preserve">(including </w:t>
      </w:r>
      <w:r w:rsidR="00D8191A" w:rsidRPr="00A70AC1">
        <w:rPr>
          <w:rFonts w:cs="Arial"/>
          <w:bCs/>
          <w:iCs/>
          <w:szCs w:val="22"/>
        </w:rPr>
        <w:t>Expenses) need to be submitted</w:t>
      </w:r>
      <w:r w:rsidR="00DA0E8B" w:rsidRPr="00A70AC1">
        <w:rPr>
          <w:rFonts w:cs="Arial"/>
          <w:bCs/>
          <w:iCs/>
          <w:szCs w:val="22"/>
        </w:rPr>
        <w:t>.</w:t>
      </w:r>
    </w:p>
    <w:p w14:paraId="0B6A9287" w14:textId="77777777" w:rsidR="00EF70CD" w:rsidRPr="00A70AC1" w:rsidRDefault="00EF70CD" w:rsidP="00EF70CD">
      <w:pPr>
        <w:rPr>
          <w:rFonts w:cs="Arial"/>
          <w:i/>
          <w:szCs w:val="22"/>
          <w:highlight w:val="green"/>
        </w:rPr>
      </w:pPr>
    </w:p>
    <w:p w14:paraId="1283FB5E" w14:textId="77777777" w:rsidR="00FC6D23" w:rsidRPr="00A70AC1" w:rsidRDefault="00FC6D23" w:rsidP="00D0241E">
      <w:pPr>
        <w:pStyle w:val="Heading1"/>
        <w:rPr>
          <w:rFonts w:cs="Arial"/>
          <w:szCs w:val="22"/>
        </w:rPr>
      </w:pPr>
      <w:bookmarkStart w:id="43" w:name="_Toc114216475"/>
      <w:bookmarkStart w:id="44" w:name="_Toc342297656"/>
      <w:r w:rsidRPr="00A70AC1">
        <w:rPr>
          <w:rFonts w:cs="Arial"/>
          <w:szCs w:val="22"/>
        </w:rPr>
        <w:t>CALL OFF CONTRACTS</w:t>
      </w:r>
      <w:bookmarkEnd w:id="43"/>
    </w:p>
    <w:p w14:paraId="309B9625" w14:textId="7C5D4C7C" w:rsidR="00FC6D23" w:rsidRPr="00A70AC1" w:rsidRDefault="003F1A91" w:rsidP="00FC6D23">
      <w:pPr>
        <w:pStyle w:val="Heading2"/>
      </w:pPr>
      <w:r w:rsidRPr="00A70AC1">
        <w:t>Th</w:t>
      </w:r>
      <w:r w:rsidR="00D564A6" w:rsidRPr="00A70AC1">
        <w:t>is Requirement</w:t>
      </w:r>
      <w:r w:rsidRPr="00A70AC1">
        <w:t xml:space="preserve"> is additional to the scope of defined under the Framework</w:t>
      </w:r>
      <w:r w:rsidR="00FC6D23" w:rsidRPr="00A70AC1">
        <w:t>.</w:t>
      </w:r>
      <w:r w:rsidR="004406EB" w:rsidRPr="00A70AC1">
        <w:t xml:space="preserve"> The following call off schedule</w:t>
      </w:r>
      <w:r w:rsidR="004654E4" w:rsidRPr="00A70AC1">
        <w:t>s</w:t>
      </w:r>
      <w:r w:rsidR="004406EB" w:rsidRPr="00A70AC1">
        <w:t xml:space="preserve"> will not be used</w:t>
      </w:r>
      <w:r w:rsidR="001C2A76" w:rsidRPr="00A70AC1">
        <w:t>.</w:t>
      </w:r>
    </w:p>
    <w:tbl>
      <w:tblPr>
        <w:tblStyle w:val="TableGrid"/>
        <w:tblW w:w="0" w:type="auto"/>
        <w:tblLook w:val="04A0" w:firstRow="1" w:lastRow="0" w:firstColumn="1" w:lastColumn="0" w:noHBand="0" w:noVBand="1"/>
      </w:tblPr>
      <w:tblGrid>
        <w:gridCol w:w="1134"/>
        <w:gridCol w:w="7508"/>
      </w:tblGrid>
      <w:tr w:rsidR="0053480E" w:rsidRPr="00A70AC1" w14:paraId="771DDBDD" w14:textId="77777777" w:rsidTr="0053480E">
        <w:tc>
          <w:tcPr>
            <w:tcW w:w="1134" w:type="dxa"/>
          </w:tcPr>
          <w:bookmarkEnd w:id="44"/>
          <w:p w14:paraId="706D105F" w14:textId="3461CE4B" w:rsidR="0053480E" w:rsidRPr="00A70AC1" w:rsidRDefault="0053480E" w:rsidP="00DB096A">
            <w:pPr>
              <w:jc w:val="left"/>
              <w:rPr>
                <w:rFonts w:cs="Arial"/>
                <w:szCs w:val="22"/>
                <w:u w:val="single"/>
              </w:rPr>
            </w:pPr>
            <w:r w:rsidRPr="00A70AC1">
              <w:rPr>
                <w:rFonts w:cs="Arial"/>
                <w:szCs w:val="22"/>
                <w:u w:val="single"/>
              </w:rPr>
              <w:t>Call Off Schedule</w:t>
            </w:r>
          </w:p>
        </w:tc>
        <w:tc>
          <w:tcPr>
            <w:tcW w:w="7508" w:type="dxa"/>
          </w:tcPr>
          <w:p w14:paraId="231A0C6B" w14:textId="187E3044" w:rsidR="0053480E" w:rsidRPr="00A70AC1" w:rsidRDefault="0053480E" w:rsidP="00D0241E">
            <w:pPr>
              <w:rPr>
                <w:rFonts w:cs="Arial"/>
                <w:szCs w:val="22"/>
                <w:u w:val="single"/>
              </w:rPr>
            </w:pPr>
            <w:r w:rsidRPr="00A70AC1">
              <w:rPr>
                <w:rFonts w:cs="Arial"/>
                <w:szCs w:val="22"/>
                <w:u w:val="single"/>
              </w:rPr>
              <w:t>Name</w:t>
            </w:r>
          </w:p>
        </w:tc>
      </w:tr>
      <w:tr w:rsidR="0053480E" w:rsidRPr="00A70AC1" w14:paraId="7D1FA24B" w14:textId="77777777" w:rsidTr="0053480E">
        <w:tc>
          <w:tcPr>
            <w:tcW w:w="1134" w:type="dxa"/>
          </w:tcPr>
          <w:p w14:paraId="4F889C41" w14:textId="5B080189" w:rsidR="0053480E" w:rsidRPr="00A70AC1" w:rsidRDefault="0053480E" w:rsidP="00D0241E">
            <w:pPr>
              <w:rPr>
                <w:rFonts w:cs="Arial"/>
                <w:szCs w:val="22"/>
              </w:rPr>
            </w:pPr>
            <w:r w:rsidRPr="00A70AC1">
              <w:rPr>
                <w:rFonts w:cs="Arial"/>
                <w:szCs w:val="22"/>
              </w:rPr>
              <w:t>1</w:t>
            </w:r>
          </w:p>
        </w:tc>
        <w:tc>
          <w:tcPr>
            <w:tcW w:w="7508" w:type="dxa"/>
          </w:tcPr>
          <w:p w14:paraId="46DF43E7" w14:textId="1061C24A" w:rsidR="0053480E" w:rsidRPr="00A70AC1" w:rsidRDefault="0053480E" w:rsidP="00D0241E">
            <w:pPr>
              <w:rPr>
                <w:rFonts w:cs="Arial"/>
                <w:szCs w:val="22"/>
              </w:rPr>
            </w:pPr>
            <w:r w:rsidRPr="00A70AC1">
              <w:rPr>
                <w:rFonts w:cs="Arial"/>
                <w:szCs w:val="22"/>
              </w:rPr>
              <w:t>Transparency Reports</w:t>
            </w:r>
          </w:p>
        </w:tc>
      </w:tr>
      <w:tr w:rsidR="0053480E" w:rsidRPr="00A70AC1" w14:paraId="4DC21998" w14:textId="77777777" w:rsidTr="0053480E">
        <w:tc>
          <w:tcPr>
            <w:tcW w:w="1134" w:type="dxa"/>
          </w:tcPr>
          <w:p w14:paraId="41A20E28" w14:textId="6DDD8F38" w:rsidR="0053480E" w:rsidRPr="00A70AC1" w:rsidRDefault="00DA4FDB" w:rsidP="00D0241E">
            <w:pPr>
              <w:rPr>
                <w:rFonts w:cs="Arial"/>
                <w:szCs w:val="22"/>
              </w:rPr>
            </w:pPr>
            <w:r w:rsidRPr="00A70AC1">
              <w:rPr>
                <w:rFonts w:cs="Arial"/>
                <w:szCs w:val="22"/>
              </w:rPr>
              <w:t>2</w:t>
            </w:r>
          </w:p>
        </w:tc>
        <w:tc>
          <w:tcPr>
            <w:tcW w:w="7508" w:type="dxa"/>
          </w:tcPr>
          <w:p w14:paraId="0105F891" w14:textId="07DE1523" w:rsidR="0053480E" w:rsidRPr="00A70AC1" w:rsidRDefault="00DA4FDB" w:rsidP="00D0241E">
            <w:pPr>
              <w:rPr>
                <w:rFonts w:cs="Arial"/>
                <w:szCs w:val="22"/>
              </w:rPr>
            </w:pPr>
            <w:r w:rsidRPr="00A70AC1">
              <w:rPr>
                <w:rFonts w:cs="Arial"/>
                <w:szCs w:val="22"/>
              </w:rPr>
              <w:t>Staff Transfer</w:t>
            </w:r>
          </w:p>
        </w:tc>
      </w:tr>
      <w:tr w:rsidR="0053480E" w:rsidRPr="00A70AC1" w14:paraId="7E11838D" w14:textId="77777777" w:rsidTr="0053480E">
        <w:tc>
          <w:tcPr>
            <w:tcW w:w="1134" w:type="dxa"/>
          </w:tcPr>
          <w:p w14:paraId="2A5CC27F" w14:textId="15C328E0" w:rsidR="0053480E" w:rsidRPr="00A70AC1" w:rsidRDefault="002A2198" w:rsidP="00D0241E">
            <w:pPr>
              <w:rPr>
                <w:rFonts w:cs="Arial"/>
                <w:szCs w:val="22"/>
              </w:rPr>
            </w:pPr>
            <w:r w:rsidRPr="00A70AC1">
              <w:rPr>
                <w:rFonts w:cs="Arial"/>
                <w:szCs w:val="22"/>
              </w:rPr>
              <w:t>3</w:t>
            </w:r>
          </w:p>
        </w:tc>
        <w:tc>
          <w:tcPr>
            <w:tcW w:w="7508" w:type="dxa"/>
          </w:tcPr>
          <w:p w14:paraId="439E59A7" w14:textId="68DD884F" w:rsidR="0053480E" w:rsidRPr="00A70AC1" w:rsidRDefault="002A2198" w:rsidP="00D0241E">
            <w:pPr>
              <w:rPr>
                <w:rFonts w:cs="Arial"/>
                <w:szCs w:val="22"/>
              </w:rPr>
            </w:pPr>
            <w:r w:rsidRPr="00A70AC1">
              <w:rPr>
                <w:rFonts w:cs="Arial"/>
                <w:szCs w:val="22"/>
              </w:rPr>
              <w:t>Continuous Improvement</w:t>
            </w:r>
          </w:p>
        </w:tc>
      </w:tr>
      <w:tr w:rsidR="002A2198" w:rsidRPr="00A70AC1" w14:paraId="5EACD1C6" w14:textId="77777777" w:rsidTr="0053480E">
        <w:tc>
          <w:tcPr>
            <w:tcW w:w="1134" w:type="dxa"/>
          </w:tcPr>
          <w:p w14:paraId="7FED960B" w14:textId="771DBD5C" w:rsidR="002A2198" w:rsidRPr="00A70AC1" w:rsidRDefault="00EE79A1" w:rsidP="00D0241E">
            <w:pPr>
              <w:rPr>
                <w:rFonts w:cs="Arial"/>
                <w:szCs w:val="22"/>
              </w:rPr>
            </w:pPr>
            <w:r w:rsidRPr="00A70AC1">
              <w:rPr>
                <w:rFonts w:cs="Arial"/>
                <w:szCs w:val="22"/>
              </w:rPr>
              <w:t>6</w:t>
            </w:r>
          </w:p>
        </w:tc>
        <w:tc>
          <w:tcPr>
            <w:tcW w:w="7508" w:type="dxa"/>
          </w:tcPr>
          <w:p w14:paraId="58A21FDA" w14:textId="30112923" w:rsidR="002A2198" w:rsidRPr="00A70AC1" w:rsidRDefault="00EE79A1" w:rsidP="00D0241E">
            <w:pPr>
              <w:rPr>
                <w:rFonts w:cs="Arial"/>
                <w:szCs w:val="22"/>
              </w:rPr>
            </w:pPr>
            <w:r w:rsidRPr="00A70AC1">
              <w:rPr>
                <w:rFonts w:cs="Arial"/>
                <w:szCs w:val="22"/>
              </w:rPr>
              <w:t>ICT Services</w:t>
            </w:r>
          </w:p>
        </w:tc>
      </w:tr>
      <w:tr w:rsidR="00D93F12" w:rsidRPr="00A70AC1" w14:paraId="4FCD2B54" w14:textId="77777777" w:rsidTr="0053480E">
        <w:tc>
          <w:tcPr>
            <w:tcW w:w="1134" w:type="dxa"/>
          </w:tcPr>
          <w:p w14:paraId="42C9DBCD" w14:textId="02E8A0EE" w:rsidR="00D93F12" w:rsidRPr="00A70AC1" w:rsidRDefault="00D93F12" w:rsidP="00D93F12">
            <w:pPr>
              <w:rPr>
                <w:rFonts w:cs="Arial"/>
                <w:szCs w:val="22"/>
              </w:rPr>
            </w:pPr>
            <w:r w:rsidRPr="00A70AC1">
              <w:rPr>
                <w:rFonts w:cs="Arial"/>
                <w:szCs w:val="22"/>
              </w:rPr>
              <w:t>8</w:t>
            </w:r>
          </w:p>
        </w:tc>
        <w:tc>
          <w:tcPr>
            <w:tcW w:w="7508" w:type="dxa"/>
          </w:tcPr>
          <w:p w14:paraId="55022EE0" w14:textId="63BE5FEC" w:rsidR="00D93F12" w:rsidRPr="00A70AC1" w:rsidRDefault="00D93F12" w:rsidP="00D93F12">
            <w:pPr>
              <w:rPr>
                <w:rFonts w:cs="Arial"/>
                <w:szCs w:val="22"/>
              </w:rPr>
            </w:pPr>
            <w:r w:rsidRPr="00A70AC1">
              <w:rPr>
                <w:rFonts w:cs="Arial"/>
                <w:szCs w:val="22"/>
              </w:rPr>
              <w:t>Business Continuity and Disaster Recovery</w:t>
            </w:r>
          </w:p>
        </w:tc>
      </w:tr>
      <w:tr w:rsidR="00D93F12" w:rsidRPr="00A70AC1" w14:paraId="1AFA412A" w14:textId="77777777" w:rsidTr="0053480E">
        <w:tc>
          <w:tcPr>
            <w:tcW w:w="1134" w:type="dxa"/>
          </w:tcPr>
          <w:p w14:paraId="58B5250C" w14:textId="57AA8BF5" w:rsidR="00D93F12" w:rsidRPr="00A70AC1" w:rsidRDefault="00D93F12" w:rsidP="00D93F12">
            <w:pPr>
              <w:rPr>
                <w:rFonts w:cs="Arial"/>
                <w:szCs w:val="22"/>
              </w:rPr>
            </w:pPr>
            <w:r w:rsidRPr="00A70AC1">
              <w:rPr>
                <w:rFonts w:cs="Arial"/>
                <w:szCs w:val="22"/>
              </w:rPr>
              <w:t>9</w:t>
            </w:r>
          </w:p>
        </w:tc>
        <w:tc>
          <w:tcPr>
            <w:tcW w:w="7508" w:type="dxa"/>
          </w:tcPr>
          <w:p w14:paraId="385B207E" w14:textId="5B7C9FAC" w:rsidR="00D93F12" w:rsidRPr="00A70AC1" w:rsidRDefault="00D93F12" w:rsidP="00D93F12">
            <w:pPr>
              <w:rPr>
                <w:rFonts w:cs="Arial"/>
                <w:szCs w:val="22"/>
              </w:rPr>
            </w:pPr>
            <w:r w:rsidRPr="00A70AC1">
              <w:rPr>
                <w:rFonts w:cs="Arial"/>
                <w:szCs w:val="22"/>
              </w:rPr>
              <w:t>Security</w:t>
            </w:r>
          </w:p>
        </w:tc>
      </w:tr>
      <w:tr w:rsidR="00D93F12" w:rsidRPr="00A70AC1" w14:paraId="7F1DCF60" w14:textId="77777777" w:rsidTr="0053480E">
        <w:tc>
          <w:tcPr>
            <w:tcW w:w="1134" w:type="dxa"/>
          </w:tcPr>
          <w:p w14:paraId="46D01617" w14:textId="7B9B0272" w:rsidR="00D93F12" w:rsidRPr="00A70AC1" w:rsidRDefault="006660AC" w:rsidP="00D93F12">
            <w:pPr>
              <w:rPr>
                <w:rFonts w:cs="Arial"/>
                <w:szCs w:val="22"/>
              </w:rPr>
            </w:pPr>
            <w:r w:rsidRPr="00A70AC1">
              <w:rPr>
                <w:rFonts w:cs="Arial"/>
                <w:szCs w:val="22"/>
              </w:rPr>
              <w:t>10</w:t>
            </w:r>
          </w:p>
        </w:tc>
        <w:tc>
          <w:tcPr>
            <w:tcW w:w="7508" w:type="dxa"/>
          </w:tcPr>
          <w:p w14:paraId="37EC4B9E" w14:textId="089E2849" w:rsidR="00D93F12" w:rsidRPr="00A70AC1" w:rsidRDefault="00D74C36" w:rsidP="00D93F12">
            <w:pPr>
              <w:rPr>
                <w:rFonts w:cs="Arial"/>
                <w:szCs w:val="22"/>
              </w:rPr>
            </w:pPr>
            <w:r w:rsidRPr="00A70AC1">
              <w:rPr>
                <w:rFonts w:cs="Arial"/>
                <w:szCs w:val="22"/>
              </w:rPr>
              <w:t>Exit Management</w:t>
            </w:r>
          </w:p>
        </w:tc>
      </w:tr>
      <w:tr w:rsidR="00D93F12" w:rsidRPr="00A70AC1" w14:paraId="24B32A11" w14:textId="77777777" w:rsidTr="0053480E">
        <w:tc>
          <w:tcPr>
            <w:tcW w:w="1134" w:type="dxa"/>
          </w:tcPr>
          <w:p w14:paraId="6746FB87" w14:textId="741931EC" w:rsidR="00D93F12" w:rsidRPr="00A70AC1" w:rsidRDefault="0083218D" w:rsidP="00D93F12">
            <w:pPr>
              <w:rPr>
                <w:rFonts w:cs="Arial"/>
                <w:szCs w:val="22"/>
              </w:rPr>
            </w:pPr>
            <w:r w:rsidRPr="00A70AC1">
              <w:rPr>
                <w:rFonts w:cs="Arial"/>
                <w:szCs w:val="22"/>
              </w:rPr>
              <w:t>11</w:t>
            </w:r>
          </w:p>
        </w:tc>
        <w:tc>
          <w:tcPr>
            <w:tcW w:w="7508" w:type="dxa"/>
          </w:tcPr>
          <w:p w14:paraId="292C5485" w14:textId="2BEBF175" w:rsidR="00D93F12" w:rsidRPr="00A70AC1" w:rsidRDefault="0083218D" w:rsidP="00D93F12">
            <w:pPr>
              <w:rPr>
                <w:rFonts w:cs="Arial"/>
                <w:szCs w:val="22"/>
              </w:rPr>
            </w:pPr>
            <w:r w:rsidRPr="00A70AC1">
              <w:rPr>
                <w:rFonts w:cs="Arial"/>
                <w:szCs w:val="22"/>
              </w:rPr>
              <w:t>Installation Works</w:t>
            </w:r>
          </w:p>
        </w:tc>
      </w:tr>
      <w:tr w:rsidR="00D93F12" w:rsidRPr="00A70AC1" w14:paraId="40B5EB9B" w14:textId="77777777" w:rsidTr="0053480E">
        <w:tc>
          <w:tcPr>
            <w:tcW w:w="1134" w:type="dxa"/>
          </w:tcPr>
          <w:p w14:paraId="69826C1F" w14:textId="77FB3CB9" w:rsidR="00D93F12" w:rsidRPr="00A70AC1" w:rsidRDefault="0083218D" w:rsidP="00D93F12">
            <w:pPr>
              <w:rPr>
                <w:rFonts w:cs="Arial"/>
                <w:szCs w:val="22"/>
              </w:rPr>
            </w:pPr>
            <w:r w:rsidRPr="00A70AC1">
              <w:rPr>
                <w:rFonts w:cs="Arial"/>
                <w:szCs w:val="22"/>
              </w:rPr>
              <w:t>12</w:t>
            </w:r>
          </w:p>
        </w:tc>
        <w:tc>
          <w:tcPr>
            <w:tcW w:w="7508" w:type="dxa"/>
          </w:tcPr>
          <w:p w14:paraId="4B7ACA76" w14:textId="29B233C9" w:rsidR="00D93F12" w:rsidRPr="00A70AC1" w:rsidRDefault="00715385" w:rsidP="00D93F12">
            <w:pPr>
              <w:rPr>
                <w:rFonts w:cs="Arial"/>
                <w:szCs w:val="22"/>
              </w:rPr>
            </w:pPr>
            <w:r w:rsidRPr="00A70AC1">
              <w:rPr>
                <w:rFonts w:cs="Arial"/>
                <w:szCs w:val="22"/>
              </w:rPr>
              <w:t>Clustering</w:t>
            </w:r>
          </w:p>
        </w:tc>
      </w:tr>
      <w:tr w:rsidR="00D93F12" w:rsidRPr="00A70AC1" w14:paraId="3EF44D73" w14:textId="77777777" w:rsidTr="0053480E">
        <w:tc>
          <w:tcPr>
            <w:tcW w:w="1134" w:type="dxa"/>
          </w:tcPr>
          <w:p w14:paraId="4FDAFB91" w14:textId="6EE02648" w:rsidR="00D93F12" w:rsidRPr="00A70AC1" w:rsidRDefault="00555946" w:rsidP="00D93F12">
            <w:pPr>
              <w:rPr>
                <w:rFonts w:cs="Arial"/>
                <w:szCs w:val="22"/>
              </w:rPr>
            </w:pPr>
            <w:r w:rsidRPr="00A70AC1">
              <w:rPr>
                <w:rFonts w:cs="Arial"/>
                <w:szCs w:val="22"/>
              </w:rPr>
              <w:t>13</w:t>
            </w:r>
          </w:p>
        </w:tc>
        <w:tc>
          <w:tcPr>
            <w:tcW w:w="7508" w:type="dxa"/>
          </w:tcPr>
          <w:p w14:paraId="1EF1D7E6" w14:textId="2D2A47DE" w:rsidR="00D93F12" w:rsidRPr="00A70AC1" w:rsidRDefault="00062FF9" w:rsidP="00D93F12">
            <w:pPr>
              <w:rPr>
                <w:rFonts w:cs="Arial"/>
                <w:szCs w:val="22"/>
              </w:rPr>
            </w:pPr>
            <w:r w:rsidRPr="00A70AC1">
              <w:rPr>
                <w:rFonts w:cs="Arial"/>
                <w:szCs w:val="22"/>
              </w:rPr>
              <w:t>Implementation Plan and Testing</w:t>
            </w:r>
          </w:p>
        </w:tc>
      </w:tr>
      <w:tr w:rsidR="00D93F12" w:rsidRPr="00A70AC1" w14:paraId="29EA8A26" w14:textId="77777777" w:rsidTr="0053480E">
        <w:tc>
          <w:tcPr>
            <w:tcW w:w="1134" w:type="dxa"/>
          </w:tcPr>
          <w:p w14:paraId="46C3DDD5" w14:textId="5A6E6524" w:rsidR="00D93F12" w:rsidRPr="00A70AC1" w:rsidRDefault="00555946" w:rsidP="00D93F12">
            <w:pPr>
              <w:rPr>
                <w:rFonts w:cs="Arial"/>
                <w:szCs w:val="22"/>
              </w:rPr>
            </w:pPr>
            <w:r w:rsidRPr="00A70AC1">
              <w:rPr>
                <w:rFonts w:cs="Arial"/>
                <w:szCs w:val="22"/>
              </w:rPr>
              <w:t>14</w:t>
            </w:r>
          </w:p>
        </w:tc>
        <w:tc>
          <w:tcPr>
            <w:tcW w:w="7508" w:type="dxa"/>
          </w:tcPr>
          <w:p w14:paraId="6321FCC2" w14:textId="582B056C" w:rsidR="00D93F12" w:rsidRPr="00A70AC1" w:rsidRDefault="00555946" w:rsidP="00D93F12">
            <w:pPr>
              <w:rPr>
                <w:rFonts w:cs="Arial"/>
                <w:szCs w:val="22"/>
              </w:rPr>
            </w:pPr>
            <w:r w:rsidRPr="00A70AC1">
              <w:rPr>
                <w:rFonts w:cs="Arial"/>
                <w:szCs w:val="22"/>
              </w:rPr>
              <w:t>Service Levels</w:t>
            </w:r>
          </w:p>
        </w:tc>
      </w:tr>
      <w:tr w:rsidR="00716E2B" w:rsidRPr="00A70AC1" w14:paraId="4D3D5285" w14:textId="77777777" w:rsidTr="0053480E">
        <w:tc>
          <w:tcPr>
            <w:tcW w:w="1134" w:type="dxa"/>
          </w:tcPr>
          <w:p w14:paraId="50DEDDB4" w14:textId="1083378E" w:rsidR="00716E2B" w:rsidRPr="00A70AC1" w:rsidRDefault="00810C5D" w:rsidP="00D93F12">
            <w:pPr>
              <w:rPr>
                <w:rFonts w:cs="Arial"/>
                <w:szCs w:val="22"/>
              </w:rPr>
            </w:pPr>
            <w:r w:rsidRPr="00A70AC1">
              <w:rPr>
                <w:rFonts w:cs="Arial"/>
                <w:szCs w:val="22"/>
              </w:rPr>
              <w:t>16</w:t>
            </w:r>
          </w:p>
        </w:tc>
        <w:tc>
          <w:tcPr>
            <w:tcW w:w="7508" w:type="dxa"/>
          </w:tcPr>
          <w:p w14:paraId="10EC1DBB" w14:textId="5BC0DF30" w:rsidR="00716E2B" w:rsidRPr="00A70AC1" w:rsidRDefault="00716E2B" w:rsidP="00D93F12">
            <w:pPr>
              <w:rPr>
                <w:rFonts w:cs="Arial"/>
                <w:szCs w:val="22"/>
              </w:rPr>
            </w:pPr>
            <w:r w:rsidRPr="00A70AC1">
              <w:rPr>
                <w:rFonts w:cs="Arial"/>
                <w:szCs w:val="22"/>
              </w:rPr>
              <w:t>Benchmarking</w:t>
            </w:r>
          </w:p>
        </w:tc>
      </w:tr>
      <w:tr w:rsidR="00810C5D" w:rsidRPr="00A70AC1" w14:paraId="332B57FC" w14:textId="77777777" w:rsidTr="0053480E">
        <w:tc>
          <w:tcPr>
            <w:tcW w:w="1134" w:type="dxa"/>
          </w:tcPr>
          <w:p w14:paraId="3CC68D26" w14:textId="130C76CA" w:rsidR="00810C5D" w:rsidRPr="00A70AC1" w:rsidRDefault="00810C5D" w:rsidP="00D93F12">
            <w:pPr>
              <w:rPr>
                <w:rFonts w:cs="Arial"/>
                <w:szCs w:val="22"/>
              </w:rPr>
            </w:pPr>
            <w:r w:rsidRPr="00A70AC1">
              <w:rPr>
                <w:rFonts w:cs="Arial"/>
                <w:szCs w:val="22"/>
              </w:rPr>
              <w:t>18</w:t>
            </w:r>
          </w:p>
        </w:tc>
        <w:tc>
          <w:tcPr>
            <w:tcW w:w="7508" w:type="dxa"/>
          </w:tcPr>
          <w:p w14:paraId="2821C911" w14:textId="40B559A9" w:rsidR="00810C5D" w:rsidRPr="00A70AC1" w:rsidRDefault="00107F2A" w:rsidP="00D93F12">
            <w:pPr>
              <w:rPr>
                <w:rFonts w:cs="Arial"/>
                <w:szCs w:val="22"/>
              </w:rPr>
            </w:pPr>
            <w:r w:rsidRPr="00A70AC1">
              <w:rPr>
                <w:rFonts w:cs="Arial"/>
                <w:szCs w:val="22"/>
              </w:rPr>
              <w:t>Background Checks</w:t>
            </w:r>
          </w:p>
        </w:tc>
      </w:tr>
      <w:tr w:rsidR="00622D9E" w:rsidRPr="00A70AC1" w14:paraId="34835862" w14:textId="77777777" w:rsidTr="0053480E">
        <w:tc>
          <w:tcPr>
            <w:tcW w:w="1134" w:type="dxa"/>
          </w:tcPr>
          <w:p w14:paraId="2EEE53B9" w14:textId="5CE545E9" w:rsidR="00622D9E" w:rsidRPr="00A70AC1" w:rsidRDefault="00622D9E" w:rsidP="00D93F12">
            <w:pPr>
              <w:rPr>
                <w:rFonts w:cs="Arial"/>
                <w:szCs w:val="22"/>
              </w:rPr>
            </w:pPr>
            <w:r w:rsidRPr="00A70AC1">
              <w:rPr>
                <w:rFonts w:cs="Arial"/>
                <w:szCs w:val="22"/>
              </w:rPr>
              <w:t>19</w:t>
            </w:r>
          </w:p>
        </w:tc>
        <w:tc>
          <w:tcPr>
            <w:tcW w:w="7508" w:type="dxa"/>
          </w:tcPr>
          <w:p w14:paraId="080EA2AC" w14:textId="6201B89C" w:rsidR="00622D9E" w:rsidRPr="00A70AC1" w:rsidRDefault="00622D9E" w:rsidP="00D93F12">
            <w:pPr>
              <w:rPr>
                <w:rFonts w:cs="Arial"/>
                <w:szCs w:val="22"/>
              </w:rPr>
            </w:pPr>
            <w:r w:rsidRPr="00A70AC1">
              <w:rPr>
                <w:rFonts w:cs="Arial"/>
                <w:szCs w:val="22"/>
              </w:rPr>
              <w:t>Scottish Law</w:t>
            </w:r>
          </w:p>
        </w:tc>
      </w:tr>
    </w:tbl>
    <w:p w14:paraId="5BDBE5FA" w14:textId="77777777" w:rsidR="001C0799" w:rsidRPr="00A70AC1" w:rsidRDefault="001C0799" w:rsidP="00D0241E">
      <w:pPr>
        <w:rPr>
          <w:rFonts w:cs="Arial"/>
          <w:szCs w:val="22"/>
        </w:rPr>
      </w:pPr>
    </w:p>
    <w:p w14:paraId="1C2865BF" w14:textId="77777777" w:rsidR="00D77BE7" w:rsidRPr="00A70AC1" w:rsidRDefault="00D77BE7" w:rsidP="00D0241E">
      <w:pPr>
        <w:rPr>
          <w:rFonts w:cs="Arial"/>
          <w:szCs w:val="22"/>
        </w:rPr>
      </w:pPr>
      <w:r w:rsidRPr="00A70AC1">
        <w:rPr>
          <w:rFonts w:cs="Arial"/>
          <w:szCs w:val="22"/>
        </w:rPr>
        <w:br w:type="page"/>
      </w:r>
    </w:p>
    <w:p w14:paraId="3C5B371C" w14:textId="77777777" w:rsidR="00D77BE7" w:rsidRPr="00A70AC1" w:rsidRDefault="00D77BE7" w:rsidP="00D77BE7">
      <w:pPr>
        <w:pStyle w:val="paragraph"/>
        <w:spacing w:before="0" w:beforeAutospacing="0" w:after="0" w:afterAutospacing="0"/>
        <w:textAlignment w:val="baseline"/>
        <w:rPr>
          <w:rStyle w:val="normaltextrun"/>
          <w:rFonts w:ascii="Arial" w:hAnsi="Arial" w:cs="Arial"/>
          <w:b/>
          <w:bCs/>
        </w:rPr>
      </w:pPr>
      <w:r w:rsidRPr="00A70AC1">
        <w:rPr>
          <w:rStyle w:val="normaltextrun"/>
          <w:rFonts w:ascii="Arial" w:hAnsi="Arial"/>
          <w:b/>
          <w:bCs/>
        </w:rPr>
        <w:lastRenderedPageBreak/>
        <w:t>APPENDIX B1</w:t>
      </w:r>
      <w:r w:rsidRPr="00A70AC1">
        <w:rPr>
          <w:rStyle w:val="normaltextrun"/>
          <w:rFonts w:ascii="Arial" w:hAnsi="Arial" w:cs="Arial"/>
          <w:b/>
          <w:bCs/>
        </w:rPr>
        <w:t xml:space="preserve"> </w:t>
      </w:r>
    </w:p>
    <w:p w14:paraId="125E06DD" w14:textId="77777777" w:rsidR="00D77BE7" w:rsidRPr="00A70AC1" w:rsidRDefault="00D77BE7" w:rsidP="00D77BE7">
      <w:pPr>
        <w:pStyle w:val="paragraph"/>
        <w:spacing w:before="0" w:beforeAutospacing="0" w:after="0" w:afterAutospacing="0"/>
        <w:textAlignment w:val="baseline"/>
        <w:rPr>
          <w:rStyle w:val="normaltextrun"/>
          <w:rFonts w:ascii="Arial" w:hAnsi="Arial" w:cs="Arial"/>
          <w:b/>
          <w:bCs/>
        </w:rPr>
      </w:pPr>
    </w:p>
    <w:p w14:paraId="3C3A1005" w14:textId="270622E5" w:rsidR="00D77BE7" w:rsidRPr="00A70AC1" w:rsidRDefault="00D77BE7" w:rsidP="00D77BE7">
      <w:pPr>
        <w:pStyle w:val="paragraph"/>
        <w:spacing w:before="0" w:beforeAutospacing="0" w:after="0" w:afterAutospacing="0"/>
        <w:textAlignment w:val="baseline"/>
        <w:rPr>
          <w:rFonts w:ascii="Segoe UI" w:hAnsi="Segoe UI" w:cs="Segoe UI"/>
          <w:b/>
          <w:sz w:val="18"/>
          <w:szCs w:val="18"/>
        </w:rPr>
      </w:pPr>
      <w:r w:rsidRPr="00A70AC1">
        <w:rPr>
          <w:rStyle w:val="normaltextrun"/>
          <w:rFonts w:ascii="Arial" w:hAnsi="Arial" w:cs="Arial"/>
          <w:b/>
        </w:rPr>
        <w:t xml:space="preserve">STATEMENT OF REQUIREMENT (SOR) FOR </w:t>
      </w:r>
      <w:r w:rsidR="007D7A8A" w:rsidRPr="00A70AC1">
        <w:rPr>
          <w:rStyle w:val="normaltextrun"/>
          <w:rFonts w:ascii="Arial" w:hAnsi="Arial" w:cs="Arial"/>
          <w:b/>
          <w:bCs/>
        </w:rPr>
        <w:t>WATER TECHNICAL EXPERT</w:t>
      </w:r>
    </w:p>
    <w:p w14:paraId="1A857173" w14:textId="77777777" w:rsidR="00D77BE7" w:rsidRPr="00A70AC1" w:rsidRDefault="00D77BE7" w:rsidP="00D77BE7">
      <w:pPr>
        <w:widowControl w:val="0"/>
        <w:rPr>
          <w:rFonts w:cs="Arial"/>
          <w:szCs w:val="22"/>
        </w:rPr>
      </w:pPr>
    </w:p>
    <w:p w14:paraId="6F19A73A"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eop"/>
          <w:rFonts w:ascii="Arial" w:hAnsi="Arial" w:cs="Arial"/>
        </w:rPr>
        <w:t>  </w:t>
      </w:r>
    </w:p>
    <w:p w14:paraId="463153CE"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Introduction</w:t>
      </w:r>
      <w:r w:rsidRPr="00A70AC1">
        <w:rPr>
          <w:rStyle w:val="eop"/>
          <w:rFonts w:ascii="Arial" w:hAnsi="Arial" w:cs="Arial"/>
        </w:rPr>
        <w:t> </w:t>
      </w:r>
    </w:p>
    <w:p w14:paraId="6D68E9DD"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eop"/>
          <w:rFonts w:ascii="Arial" w:hAnsi="Arial" w:cs="Arial"/>
        </w:rPr>
        <w:t> </w:t>
      </w:r>
    </w:p>
    <w:p w14:paraId="6CE0AFEE" w14:textId="4491B914" w:rsidR="00D77BE7" w:rsidRPr="00A70AC1" w:rsidRDefault="00D77BE7" w:rsidP="00D77BE7">
      <w:pPr>
        <w:pStyle w:val="paragraph"/>
        <w:numPr>
          <w:ilvl w:val="0"/>
          <w:numId w:val="34"/>
        </w:numPr>
        <w:spacing w:before="0" w:beforeAutospacing="0" w:after="0" w:afterAutospacing="0"/>
        <w:textAlignment w:val="baseline"/>
        <w:rPr>
          <w:rFonts w:ascii="Arial" w:hAnsi="Arial" w:cs="Arial"/>
        </w:rPr>
      </w:pPr>
      <w:r w:rsidRPr="00A70AC1">
        <w:rPr>
          <w:rStyle w:val="normaltextrun"/>
          <w:rFonts w:ascii="Arial" w:hAnsi="Arial" w:cs="Arial"/>
          <w:color w:val="000000"/>
        </w:rPr>
        <w:t xml:space="preserve">The Defence Infrastructure Organisation (DIO) need a new Defence water and wastewater policy and implementation strategy to support the exit and reprovisioning planning for the </w:t>
      </w:r>
      <w:proofErr w:type="spellStart"/>
      <w:r w:rsidRPr="00A70AC1">
        <w:rPr>
          <w:rStyle w:val="normaltextrun"/>
          <w:rFonts w:ascii="Arial" w:hAnsi="Arial" w:cs="Arial"/>
          <w:color w:val="000000"/>
        </w:rPr>
        <w:t>Aquatrine</w:t>
      </w:r>
      <w:proofErr w:type="spellEnd"/>
      <w:r w:rsidRPr="00A70AC1">
        <w:rPr>
          <w:rStyle w:val="normaltextrun"/>
          <w:rFonts w:ascii="Arial" w:hAnsi="Arial" w:cs="Arial"/>
          <w:color w:val="000000"/>
        </w:rPr>
        <w:t xml:space="preserve"> Private Finance Initiative (PFI) contracts. The timescale for completion is </w:t>
      </w:r>
      <w:r w:rsidRPr="009C51BB">
        <w:rPr>
          <w:rStyle w:val="normaltextrun"/>
          <w:rFonts w:ascii="Arial" w:hAnsi="Arial" w:cs="Arial"/>
          <w:b/>
          <w:bCs/>
          <w:color w:val="000000"/>
        </w:rPr>
        <w:t>no later than 30 Jun 2023</w:t>
      </w:r>
      <w:r w:rsidRPr="00A70AC1">
        <w:rPr>
          <w:rStyle w:val="normaltextrun"/>
          <w:rFonts w:ascii="Arial" w:hAnsi="Arial" w:cs="Arial"/>
          <w:color w:val="000000"/>
        </w:rPr>
        <w:t xml:space="preserve"> and is to examine and advise upon bespoke water industry operating and cost models, charging mechanisms and licensing issues.</w:t>
      </w:r>
      <w:r w:rsidRPr="00A70AC1">
        <w:rPr>
          <w:rStyle w:val="eop"/>
          <w:rFonts w:ascii="Arial" w:hAnsi="Arial" w:cs="Arial"/>
          <w:color w:val="000000"/>
        </w:rPr>
        <w:t> </w:t>
      </w:r>
    </w:p>
    <w:p w14:paraId="02CA25FD" w14:textId="77777777" w:rsidR="00D77BE7" w:rsidRPr="00A70AC1" w:rsidRDefault="00D77BE7" w:rsidP="00D77BE7">
      <w:pPr>
        <w:pStyle w:val="paragraph"/>
        <w:spacing w:before="0" w:beforeAutospacing="0" w:after="0" w:afterAutospacing="0"/>
        <w:ind w:firstLine="70"/>
        <w:textAlignment w:val="baseline"/>
        <w:rPr>
          <w:rFonts w:ascii="Segoe UI" w:hAnsi="Segoe UI" w:cs="Segoe UI"/>
          <w:sz w:val="18"/>
          <w:szCs w:val="18"/>
        </w:rPr>
      </w:pPr>
    </w:p>
    <w:p w14:paraId="20201D60"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Current situation</w:t>
      </w:r>
      <w:r w:rsidRPr="00A70AC1">
        <w:rPr>
          <w:rStyle w:val="eop"/>
          <w:rFonts w:ascii="Arial" w:hAnsi="Arial" w:cs="Arial"/>
        </w:rPr>
        <w:t> </w:t>
      </w:r>
    </w:p>
    <w:p w14:paraId="0B13A3C7"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eop"/>
          <w:rFonts w:ascii="Arial" w:hAnsi="Arial" w:cs="Arial"/>
        </w:rPr>
        <w:t> </w:t>
      </w:r>
    </w:p>
    <w:p w14:paraId="0B7EC0BE"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is MOD’s GB-wide water and wastewater Public Private Partnership (PPP) project, providing water and wastewater services and manages environmental risk across the GB Defence Estate allowing the MOD to focus on its core business. This has been achieved by utilising water industry expertise to improve MOD’s performance in environmental compliance and sustainability over the contract term.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covers circa 2,600 sites on the MOD Estate, representing approximately 85% of the GB MOD Estate.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has provides strategic management of the water and wastewater systems and assets. Its effect has been an upgrading of the MOD infrastructure so that it capable of meeting environmental standards using private sector capital. </w:t>
      </w:r>
      <w:r w:rsidRPr="00A70AC1">
        <w:rPr>
          <w:rStyle w:val="eop"/>
          <w:rFonts w:ascii="Arial" w:hAnsi="Arial" w:cs="Arial"/>
        </w:rPr>
        <w:t> </w:t>
      </w:r>
    </w:p>
    <w:p w14:paraId="18B4FC63" w14:textId="77777777" w:rsidR="00D77BE7" w:rsidRPr="00A70AC1" w:rsidRDefault="00D77BE7" w:rsidP="00D77BE7">
      <w:pPr>
        <w:pStyle w:val="paragraph"/>
        <w:spacing w:before="0" w:beforeAutospacing="0" w:after="0" w:afterAutospacing="0"/>
        <w:ind w:left="720"/>
        <w:textAlignment w:val="baseline"/>
        <w:rPr>
          <w:rFonts w:ascii="Arial" w:hAnsi="Arial" w:cs="Arial"/>
        </w:rPr>
      </w:pPr>
    </w:p>
    <w:p w14:paraId="724320C1"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bCs/>
        </w:rPr>
        <w:t>Current Scope</w:t>
      </w:r>
      <w:r w:rsidRPr="00A70AC1">
        <w:rPr>
          <w:rStyle w:val="normaltextrun"/>
          <w:rFonts w:ascii="Arial" w:hAnsi="Arial" w:cs="Arial"/>
        </w:rPr>
        <w:t xml:space="preserve">. The scope of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covers all MOD sites throughout Great Britain (</w:t>
      </w:r>
      <w:proofErr w:type="gramStart"/>
      <w:r w:rsidRPr="00A70AC1">
        <w:rPr>
          <w:rStyle w:val="normaltextrun"/>
          <w:rFonts w:ascii="Arial" w:hAnsi="Arial" w:cs="Arial"/>
        </w:rPr>
        <w:t>i.e.</w:t>
      </w:r>
      <w:proofErr w:type="gramEnd"/>
      <w:r w:rsidRPr="00A70AC1">
        <w:rPr>
          <w:rStyle w:val="normaltextrun"/>
          <w:rFonts w:ascii="Arial" w:hAnsi="Arial" w:cs="Arial"/>
        </w:rPr>
        <w:t xml:space="preserve"> England, Scotland and Wales) unless they have been specifically excluded. It generally excludes sites occupied by US forces, certain other PFI sites, SFA built post-Commencement, and Army Careers Offices. Sites which are currently in disposal or are disposed of during the life of the contract remain in scope until legal completion of the sale has taken place. There remain some legacy locations where MOD is still the service provider to non-MOD assets, such as former Service Families Accommodation and some </w:t>
      </w:r>
      <w:proofErr w:type="spellStart"/>
      <w:r w:rsidRPr="00A70AC1">
        <w:rPr>
          <w:rStyle w:val="normaltextrun"/>
          <w:rFonts w:ascii="Arial" w:hAnsi="Arial" w:cs="Arial"/>
        </w:rPr>
        <w:t>Annington</w:t>
      </w:r>
      <w:proofErr w:type="spellEnd"/>
      <w:r w:rsidRPr="00A70AC1">
        <w:rPr>
          <w:rStyle w:val="normaltextrun"/>
          <w:rFonts w:ascii="Arial" w:hAnsi="Arial" w:cs="Arial"/>
        </w:rPr>
        <w:t xml:space="preserve"> homes developments.</w:t>
      </w:r>
      <w:r w:rsidRPr="00A70AC1">
        <w:rPr>
          <w:rStyle w:val="eop"/>
          <w:rFonts w:ascii="Arial" w:hAnsi="Arial" w:cs="Arial"/>
        </w:rPr>
        <w:t> </w:t>
      </w:r>
    </w:p>
    <w:p w14:paraId="144C6E33" w14:textId="77777777" w:rsidR="00D77BE7" w:rsidRPr="00A70AC1" w:rsidRDefault="00D77BE7" w:rsidP="00D77BE7">
      <w:pPr>
        <w:pStyle w:val="paragraph"/>
        <w:spacing w:before="0" w:beforeAutospacing="0" w:after="0" w:afterAutospacing="0"/>
        <w:ind w:left="720"/>
        <w:textAlignment w:val="baseline"/>
        <w:rPr>
          <w:rFonts w:ascii="Arial" w:hAnsi="Arial" w:cs="Arial"/>
        </w:rPr>
      </w:pPr>
    </w:p>
    <w:p w14:paraId="532C4529" w14:textId="77777777" w:rsidR="00D77BE7" w:rsidRPr="00A70AC1" w:rsidRDefault="00D77BE7" w:rsidP="00D77BE7">
      <w:pPr>
        <w:pStyle w:val="paragraph"/>
        <w:numPr>
          <w:ilvl w:val="1"/>
          <w:numId w:val="34"/>
        </w:numPr>
        <w:spacing w:before="0" w:beforeAutospacing="0" w:after="0" w:afterAutospacing="0"/>
        <w:textAlignment w:val="baseline"/>
        <w:rPr>
          <w:rStyle w:val="superscript"/>
          <w:rFonts w:ascii="Arial" w:hAnsi="Arial" w:cs="Arial"/>
        </w:rPr>
      </w:pPr>
      <w:r w:rsidRPr="00A70AC1">
        <w:rPr>
          <w:rStyle w:val="normaltextrun"/>
          <w:rFonts w:ascii="Arial" w:hAnsi="Arial" w:cs="Arial"/>
          <w:b/>
          <w:bCs/>
        </w:rPr>
        <w:t xml:space="preserve">Current service delivery principles and delivery of duties. </w:t>
      </w:r>
      <w:r w:rsidRPr="00A70AC1">
        <w:rPr>
          <w:rStyle w:val="normaltextrun"/>
          <w:rFonts w:ascii="Arial" w:hAnsi="Arial" w:cs="Arial"/>
        </w:rPr>
        <w:t xml:space="preserve">The Statement of Need sets out the service standards for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and the Key User Requirements to be met by the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Service Providers, which are:</w:t>
      </w:r>
      <w:r w:rsidRPr="00A70AC1">
        <w:rPr>
          <w:rStyle w:val="FootnoteReference"/>
          <w:rFonts w:ascii="Arial" w:hAnsi="Arial" w:cs="Arial"/>
        </w:rPr>
        <w:footnoteReference w:id="2"/>
      </w:r>
    </w:p>
    <w:p w14:paraId="64661D4B" w14:textId="77777777" w:rsidR="00D77BE7" w:rsidRPr="00A70AC1" w:rsidRDefault="00D77BE7" w:rsidP="00D77BE7">
      <w:pPr>
        <w:pStyle w:val="paragraph"/>
        <w:spacing w:before="0" w:beforeAutospacing="0" w:after="0" w:afterAutospacing="0"/>
        <w:ind w:left="1440"/>
        <w:textAlignment w:val="baseline"/>
        <w:rPr>
          <w:rStyle w:val="superscript"/>
          <w:rFonts w:ascii="Arial" w:hAnsi="Arial" w:cs="Arial"/>
        </w:rPr>
      </w:pPr>
    </w:p>
    <w:p w14:paraId="3C7EB990" w14:textId="77777777" w:rsidR="00D77BE7" w:rsidRPr="00A70AC1" w:rsidRDefault="00D77BE7" w:rsidP="00D77BE7">
      <w:pPr>
        <w:pStyle w:val="paragraph"/>
        <w:numPr>
          <w:ilvl w:val="2"/>
          <w:numId w:val="34"/>
        </w:numPr>
        <w:spacing w:before="0" w:beforeAutospacing="0" w:after="0" w:afterAutospacing="0"/>
        <w:textAlignment w:val="baseline"/>
        <w:rPr>
          <w:rFonts w:ascii="Arial" w:hAnsi="Arial" w:cs="Arial"/>
        </w:rPr>
      </w:pPr>
      <w:r w:rsidRPr="00A70AC1">
        <w:rPr>
          <w:rStyle w:val="normaltextrun"/>
          <w:rFonts w:ascii="Arial" w:hAnsi="Arial" w:cs="Arial"/>
        </w:rPr>
        <w:t>The provision of wholesome, potable water.</w:t>
      </w:r>
      <w:r w:rsidRPr="00A70AC1">
        <w:rPr>
          <w:rStyle w:val="eop"/>
          <w:rFonts w:ascii="Arial" w:hAnsi="Arial" w:cs="Arial"/>
        </w:rPr>
        <w:t> </w:t>
      </w:r>
    </w:p>
    <w:p w14:paraId="64A191B1" w14:textId="77777777" w:rsidR="00D77BE7" w:rsidRPr="00A70AC1" w:rsidRDefault="00D77BE7" w:rsidP="00D77BE7">
      <w:pPr>
        <w:pStyle w:val="paragraph"/>
        <w:numPr>
          <w:ilvl w:val="2"/>
          <w:numId w:val="34"/>
        </w:numPr>
        <w:spacing w:before="0" w:beforeAutospacing="0" w:after="0" w:afterAutospacing="0"/>
        <w:textAlignment w:val="baseline"/>
        <w:rPr>
          <w:rFonts w:ascii="Arial" w:hAnsi="Arial" w:cs="Arial"/>
        </w:rPr>
      </w:pPr>
      <w:r w:rsidRPr="00A70AC1">
        <w:rPr>
          <w:rStyle w:val="normaltextrun"/>
          <w:rFonts w:ascii="Arial" w:hAnsi="Arial" w:cs="Arial"/>
        </w:rPr>
        <w:t>The provision of water for firefighting.</w:t>
      </w:r>
      <w:r w:rsidRPr="00A70AC1">
        <w:rPr>
          <w:rStyle w:val="eop"/>
          <w:rFonts w:ascii="Arial" w:hAnsi="Arial" w:cs="Arial"/>
        </w:rPr>
        <w:t> </w:t>
      </w:r>
    </w:p>
    <w:p w14:paraId="255F1EFA" w14:textId="77777777" w:rsidR="00D77BE7" w:rsidRPr="00A70AC1" w:rsidRDefault="00D77BE7" w:rsidP="00D77BE7">
      <w:pPr>
        <w:pStyle w:val="paragraph"/>
        <w:numPr>
          <w:ilvl w:val="2"/>
          <w:numId w:val="34"/>
        </w:numPr>
        <w:spacing w:before="0" w:beforeAutospacing="0" w:after="0" w:afterAutospacing="0"/>
        <w:textAlignment w:val="baseline"/>
        <w:rPr>
          <w:rFonts w:ascii="Arial" w:hAnsi="Arial" w:cs="Arial"/>
        </w:rPr>
      </w:pPr>
      <w:r w:rsidRPr="00A70AC1">
        <w:rPr>
          <w:rStyle w:val="normaltextrun"/>
          <w:rFonts w:ascii="Arial" w:hAnsi="Arial" w:cs="Arial"/>
        </w:rPr>
        <w:t>The collection and removal of surface and foul water.</w:t>
      </w:r>
      <w:r w:rsidRPr="00A70AC1">
        <w:rPr>
          <w:rStyle w:val="eop"/>
          <w:rFonts w:ascii="Arial" w:hAnsi="Arial" w:cs="Arial"/>
        </w:rPr>
        <w:t> </w:t>
      </w:r>
    </w:p>
    <w:p w14:paraId="4D3410F8" w14:textId="77777777" w:rsidR="00D77BE7" w:rsidRPr="00A70AC1" w:rsidRDefault="00D77BE7" w:rsidP="00D77BE7">
      <w:pPr>
        <w:pStyle w:val="paragraph"/>
        <w:numPr>
          <w:ilvl w:val="2"/>
          <w:numId w:val="34"/>
        </w:numPr>
        <w:spacing w:before="0" w:beforeAutospacing="0" w:after="0" w:afterAutospacing="0"/>
        <w:textAlignment w:val="baseline"/>
        <w:rPr>
          <w:rFonts w:ascii="Arial" w:hAnsi="Arial" w:cs="Arial"/>
        </w:rPr>
      </w:pPr>
      <w:r w:rsidRPr="00A70AC1">
        <w:rPr>
          <w:rStyle w:val="normaltextrun"/>
          <w:rFonts w:ascii="Arial" w:hAnsi="Arial" w:cs="Arial"/>
        </w:rPr>
        <w:lastRenderedPageBreak/>
        <w:t>Prevention of flooding as a result of failure to take away surface or foul water.</w:t>
      </w:r>
      <w:r w:rsidRPr="00A70AC1">
        <w:rPr>
          <w:rStyle w:val="eop"/>
          <w:rFonts w:ascii="Arial" w:hAnsi="Arial" w:cs="Arial"/>
        </w:rPr>
        <w:t> </w:t>
      </w:r>
    </w:p>
    <w:p w14:paraId="617BE41E" w14:textId="77777777" w:rsidR="00D77BE7" w:rsidRPr="00A70AC1" w:rsidRDefault="00D77BE7" w:rsidP="00D77BE7">
      <w:pPr>
        <w:pStyle w:val="paragraph"/>
        <w:numPr>
          <w:ilvl w:val="2"/>
          <w:numId w:val="34"/>
        </w:numPr>
        <w:spacing w:before="0" w:beforeAutospacing="0" w:after="0" w:afterAutospacing="0"/>
        <w:textAlignment w:val="baseline"/>
        <w:rPr>
          <w:rFonts w:ascii="Arial" w:hAnsi="Arial" w:cs="Arial"/>
        </w:rPr>
      </w:pPr>
      <w:r w:rsidRPr="00A70AC1">
        <w:rPr>
          <w:rStyle w:val="normaltextrun"/>
          <w:rFonts w:ascii="Arial" w:hAnsi="Arial" w:cs="Arial"/>
        </w:rPr>
        <w:t>The provision of a 24hr Helpline.</w:t>
      </w:r>
      <w:r w:rsidRPr="00A70AC1">
        <w:rPr>
          <w:rStyle w:val="eop"/>
          <w:rFonts w:ascii="Arial" w:hAnsi="Arial" w:cs="Arial"/>
        </w:rPr>
        <w:t> </w:t>
      </w:r>
    </w:p>
    <w:p w14:paraId="68EB2D8F" w14:textId="77777777" w:rsidR="00D77BE7" w:rsidRPr="00A70AC1" w:rsidRDefault="00D77BE7" w:rsidP="00D77BE7">
      <w:pPr>
        <w:pStyle w:val="paragraph"/>
        <w:spacing w:before="0" w:beforeAutospacing="0" w:after="0" w:afterAutospacing="0"/>
        <w:ind w:left="1440"/>
        <w:textAlignment w:val="baseline"/>
        <w:rPr>
          <w:rStyle w:val="superscript"/>
          <w:rFonts w:ascii="Arial" w:hAnsi="Arial" w:cs="Arial"/>
        </w:rPr>
      </w:pPr>
    </w:p>
    <w:p w14:paraId="213FBEE9" w14:textId="77777777" w:rsidR="00D77BE7" w:rsidRPr="00A70AC1" w:rsidRDefault="00D77BE7" w:rsidP="00D77BE7">
      <w:pPr>
        <w:pStyle w:val="paragraph"/>
        <w:numPr>
          <w:ilvl w:val="1"/>
          <w:numId w:val="34"/>
        </w:numPr>
        <w:spacing w:before="0" w:beforeAutospacing="0" w:after="0" w:afterAutospacing="0"/>
        <w:textAlignment w:val="baseline"/>
        <w:rPr>
          <w:rStyle w:val="superscript"/>
          <w:rFonts w:ascii="Arial" w:hAnsi="Arial" w:cs="Arial"/>
        </w:rPr>
      </w:pPr>
      <w:r w:rsidRPr="00A70AC1">
        <w:rPr>
          <w:rStyle w:val="superscript"/>
          <w:rFonts w:ascii="Arial" w:hAnsi="Arial" w:cs="Arial"/>
        </w:rPr>
        <w:t xml:space="preserve">This is an output specification covering all sites. It requires the </w:t>
      </w:r>
      <w:proofErr w:type="spellStart"/>
      <w:r w:rsidRPr="00A70AC1">
        <w:rPr>
          <w:rStyle w:val="superscript"/>
          <w:rFonts w:ascii="Arial" w:hAnsi="Arial" w:cs="Arial"/>
        </w:rPr>
        <w:t>Aquatrine</w:t>
      </w:r>
      <w:proofErr w:type="spellEnd"/>
      <w:r w:rsidRPr="00A70AC1">
        <w:rPr>
          <w:rStyle w:val="superscript"/>
          <w:rFonts w:ascii="Arial" w:hAnsi="Arial" w:cs="Arial"/>
        </w:rPr>
        <w:t xml:space="preserve"> Service Providers to deliver no less a service than that provided by statutory undertakers and in some cases the service will be superior. In addition, there is an Asset Condition requirement focused on increasing the standards over the contract period, designed to protect MOD from </w:t>
      </w:r>
      <w:proofErr w:type="spellStart"/>
      <w:r w:rsidRPr="00A70AC1">
        <w:rPr>
          <w:rStyle w:val="superscript"/>
          <w:rFonts w:ascii="Arial" w:hAnsi="Arial" w:cs="Arial"/>
        </w:rPr>
        <w:t>Aquatrine</w:t>
      </w:r>
      <w:proofErr w:type="spellEnd"/>
      <w:r w:rsidRPr="00A70AC1">
        <w:rPr>
          <w:rStyle w:val="superscript"/>
          <w:rFonts w:ascii="Arial" w:hAnsi="Arial" w:cs="Arial"/>
        </w:rPr>
        <w:t xml:space="preserve"> Service Provider failure to maintain the assets. The water and wastewater assets (boreholes, sewage works etc) have been transferred to the </w:t>
      </w:r>
      <w:proofErr w:type="spellStart"/>
      <w:r w:rsidRPr="00A70AC1">
        <w:rPr>
          <w:rStyle w:val="superscript"/>
          <w:rFonts w:ascii="Arial" w:hAnsi="Arial" w:cs="Arial"/>
        </w:rPr>
        <w:t>Aquatrine</w:t>
      </w:r>
      <w:proofErr w:type="spellEnd"/>
      <w:r w:rsidRPr="00A70AC1">
        <w:rPr>
          <w:rStyle w:val="superscript"/>
          <w:rFonts w:ascii="Arial" w:hAnsi="Arial" w:cs="Arial"/>
        </w:rPr>
        <w:t xml:space="preserve"> Service Provider using leases, and the conduits (pipes) via an easement (commonly called licenced assets as opposed to leased assets). During the term of the contract, the Service Provider has the right to exploit the assets for third party income on a profit-sharing basis. Third party exploitation further increases the value for money (</w:t>
      </w:r>
      <w:proofErr w:type="spellStart"/>
      <w:r w:rsidRPr="00A70AC1">
        <w:rPr>
          <w:rStyle w:val="superscript"/>
          <w:rFonts w:ascii="Arial" w:hAnsi="Arial" w:cs="Arial"/>
        </w:rPr>
        <w:t>VfM</w:t>
      </w:r>
      <w:proofErr w:type="spellEnd"/>
      <w:r w:rsidRPr="00A70AC1">
        <w:rPr>
          <w:rStyle w:val="superscript"/>
          <w:rFonts w:ascii="Arial" w:hAnsi="Arial" w:cs="Arial"/>
        </w:rPr>
        <w:t xml:space="preserve">) offered by the </w:t>
      </w:r>
      <w:proofErr w:type="spellStart"/>
      <w:r w:rsidRPr="00A70AC1">
        <w:rPr>
          <w:rStyle w:val="superscript"/>
          <w:rFonts w:ascii="Arial" w:hAnsi="Arial" w:cs="Arial"/>
        </w:rPr>
        <w:t>Aquatrine</w:t>
      </w:r>
      <w:proofErr w:type="spellEnd"/>
      <w:r w:rsidRPr="00A70AC1">
        <w:rPr>
          <w:rStyle w:val="superscript"/>
          <w:rFonts w:ascii="Arial" w:hAnsi="Arial" w:cs="Arial"/>
        </w:rPr>
        <w:t xml:space="preserve"> arrangement, however, this has not been taken up by the Service Providers in any significant way.</w:t>
      </w:r>
    </w:p>
    <w:p w14:paraId="258BC311"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eop"/>
          <w:rFonts w:ascii="Arial" w:hAnsi="Arial" w:cs="Arial"/>
        </w:rPr>
        <w:t>  </w:t>
      </w:r>
    </w:p>
    <w:p w14:paraId="7DC73585"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The requirement for change</w:t>
      </w:r>
      <w:r w:rsidRPr="00A70AC1">
        <w:rPr>
          <w:rStyle w:val="eop"/>
          <w:rFonts w:ascii="Arial" w:hAnsi="Arial" w:cs="Arial"/>
        </w:rPr>
        <w:t> </w:t>
      </w:r>
    </w:p>
    <w:p w14:paraId="5E5D210E" w14:textId="77777777" w:rsidR="00D77BE7" w:rsidRPr="00A70AC1" w:rsidRDefault="00D77BE7" w:rsidP="00D77BE7">
      <w:pPr>
        <w:pStyle w:val="paragraph"/>
        <w:spacing w:before="0" w:beforeAutospacing="0" w:after="0" w:afterAutospacing="0"/>
        <w:ind w:left="360"/>
        <w:textAlignment w:val="baseline"/>
        <w:rPr>
          <w:rFonts w:ascii="Segoe UI" w:hAnsi="Segoe UI" w:cs="Segoe UI"/>
          <w:sz w:val="18"/>
          <w:szCs w:val="18"/>
        </w:rPr>
      </w:pPr>
      <w:r w:rsidRPr="00A70AC1">
        <w:rPr>
          <w:rStyle w:val="eop"/>
          <w:rFonts w:ascii="Arial" w:hAnsi="Arial" w:cs="Arial"/>
        </w:rPr>
        <w:t> </w:t>
      </w:r>
    </w:p>
    <w:p w14:paraId="35CA0C19" w14:textId="77777777" w:rsidR="00D77BE7" w:rsidRPr="00A70AC1" w:rsidRDefault="00D77BE7" w:rsidP="00D77BE7">
      <w:pPr>
        <w:pStyle w:val="paragraph"/>
        <w:numPr>
          <w:ilvl w:val="0"/>
          <w:numId w:val="34"/>
        </w:numPr>
        <w:spacing w:before="0" w:beforeAutospacing="0" w:after="0" w:afterAutospacing="0"/>
        <w:textAlignment w:val="baseline"/>
        <w:rPr>
          <w:rFonts w:ascii="Arial" w:hAnsi="Arial" w:cs="Arial"/>
        </w:rPr>
      </w:pPr>
      <w:r w:rsidRPr="00A70AC1">
        <w:rPr>
          <w:rStyle w:val="normaltextrun"/>
          <w:rFonts w:ascii="Arial" w:hAnsi="Arial" w:cs="Arial"/>
          <w:color w:val="202124"/>
        </w:rPr>
        <w:t xml:space="preserve">In October 2018, the UK Government announced it would no longer use the PFI model for new investments </w:t>
      </w:r>
      <w:r w:rsidRPr="00A70AC1">
        <w:rPr>
          <w:rStyle w:val="normaltextrun"/>
          <w:rFonts w:ascii="Arial" w:hAnsi="Arial" w:cs="Arial"/>
        </w:rPr>
        <w:t>while continuing to honour existing operational PFI contracts</w:t>
      </w:r>
      <w:r w:rsidRPr="00A70AC1">
        <w:rPr>
          <w:rStyle w:val="FootnoteReference"/>
          <w:rFonts w:ascii="Arial" w:hAnsi="Arial" w:cs="Arial"/>
        </w:rPr>
        <w:footnoteReference w:id="3"/>
      </w:r>
      <w:r w:rsidRPr="00A70AC1">
        <w:rPr>
          <w:rStyle w:val="normaltextrun"/>
          <w:rFonts w:ascii="Arial" w:hAnsi="Arial" w:cs="Arial"/>
        </w:rPr>
        <w:t>.</w:t>
      </w:r>
      <w:r w:rsidRPr="00A70AC1">
        <w:rPr>
          <w:rStyle w:val="normaltextrun"/>
          <w:rFonts w:ascii="Arial" w:hAnsi="Arial" w:cs="Arial"/>
          <w:color w:val="202124"/>
        </w:rPr>
        <w:t xml:space="preserve"> </w:t>
      </w:r>
      <w:r w:rsidRPr="00A70AC1">
        <w:rPr>
          <w:rStyle w:val="normaltextrun"/>
          <w:rFonts w:ascii="Arial" w:hAnsi="Arial" w:cs="Arial"/>
          <w:color w:val="000000"/>
          <w:shd w:val="clear" w:color="auto" w:fill="FFFFFF"/>
        </w:rPr>
        <w:t>DIO is required to replace MOD’s existing PFI contracts delivering infrastructure services to Defence through the PFI Replacement Programme (PFI RP) and is implementing a strategic and consistent approach to managing PFI exit and re-provision, thereby seeking to reduce the risks of failing to secure Value for Money in the future arrangements.  </w:t>
      </w:r>
      <w:r w:rsidRPr="00A70AC1">
        <w:rPr>
          <w:rStyle w:val="eop"/>
          <w:rFonts w:ascii="Arial" w:hAnsi="Arial" w:cs="Arial"/>
          <w:color w:val="000000"/>
        </w:rPr>
        <w:t> </w:t>
      </w:r>
    </w:p>
    <w:p w14:paraId="233EF825"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eop"/>
          <w:rFonts w:ascii="Arial" w:hAnsi="Arial" w:cs="Arial"/>
        </w:rPr>
        <w:t> </w:t>
      </w:r>
    </w:p>
    <w:p w14:paraId="41C26DD8"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The requirement for support</w:t>
      </w:r>
      <w:r w:rsidRPr="00A70AC1">
        <w:rPr>
          <w:rStyle w:val="eop"/>
          <w:rFonts w:ascii="Arial" w:hAnsi="Arial" w:cs="Arial"/>
        </w:rPr>
        <w:t> </w:t>
      </w:r>
    </w:p>
    <w:p w14:paraId="5AFCDF78" w14:textId="77777777" w:rsidR="00D77BE7" w:rsidRPr="00A70AC1" w:rsidRDefault="00D77BE7" w:rsidP="00D77BE7">
      <w:pPr>
        <w:pStyle w:val="paragraph"/>
        <w:spacing w:before="0" w:beforeAutospacing="0" w:after="0" w:afterAutospacing="0"/>
        <w:ind w:left="360"/>
        <w:textAlignment w:val="baseline"/>
        <w:rPr>
          <w:rFonts w:ascii="Segoe UI" w:hAnsi="Segoe UI" w:cs="Segoe UI"/>
          <w:sz w:val="18"/>
          <w:szCs w:val="18"/>
        </w:rPr>
      </w:pPr>
      <w:r w:rsidRPr="00A70AC1">
        <w:rPr>
          <w:rStyle w:val="eop"/>
          <w:rFonts w:ascii="Arial" w:hAnsi="Arial" w:cs="Arial"/>
        </w:rPr>
        <w:t> </w:t>
      </w:r>
    </w:p>
    <w:p w14:paraId="3215DCEE"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rPr>
        <w:t xml:space="preserve">DIO requires specialist water industry technical support to </w:t>
      </w:r>
      <w:r w:rsidRPr="00A70AC1">
        <w:rPr>
          <w:rStyle w:val="normaltextrun"/>
          <w:rFonts w:ascii="Arial" w:hAnsi="Arial" w:cs="Arial"/>
          <w:color w:val="000000" w:themeColor="text1"/>
        </w:rPr>
        <w:t>help inform, shape and improve the future development of MOD’s water, wastewater and sewage service delivery across the GB estate.</w:t>
      </w:r>
      <w:r w:rsidRPr="00A70AC1">
        <w:rPr>
          <w:rStyle w:val="eop"/>
          <w:rFonts w:ascii="Arial" w:hAnsi="Arial" w:cs="Arial"/>
          <w:color w:val="000000" w:themeColor="text1"/>
        </w:rPr>
        <w:t> </w:t>
      </w:r>
    </w:p>
    <w:p w14:paraId="0BC9643D" w14:textId="77777777" w:rsidR="00D77BE7" w:rsidRPr="00A70AC1" w:rsidRDefault="00D77BE7" w:rsidP="00D77BE7">
      <w:pPr>
        <w:pStyle w:val="paragraph"/>
        <w:spacing w:before="0" w:beforeAutospacing="0" w:after="0" w:afterAutospacing="0"/>
        <w:ind w:left="360"/>
        <w:textAlignment w:val="baseline"/>
        <w:rPr>
          <w:rStyle w:val="normaltextrun"/>
          <w:rFonts w:ascii="Arial" w:hAnsi="Arial" w:cs="Arial"/>
        </w:rPr>
      </w:pPr>
    </w:p>
    <w:p w14:paraId="48174077"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rPr>
        <w:t>Contract duration</w:t>
      </w:r>
      <w:r w:rsidRPr="00A70AC1">
        <w:rPr>
          <w:rStyle w:val="normaltextrun"/>
          <w:rFonts w:ascii="Arial" w:hAnsi="Arial" w:cs="Arial"/>
        </w:rPr>
        <w:t xml:space="preserve">. The contract must be delivered in full no later than end Jun 23; this duration cannot be exceeded. The extent of delivery period is fixed, the project is on the PFI RP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replacement project critical path and drives several key activities in the procurement cycle that cannot be deferred.</w:t>
      </w:r>
      <w:r w:rsidRPr="00A70AC1">
        <w:rPr>
          <w:rStyle w:val="eop"/>
          <w:rFonts w:ascii="Arial" w:hAnsi="Arial" w:cs="Arial"/>
        </w:rPr>
        <w:t> </w:t>
      </w:r>
    </w:p>
    <w:p w14:paraId="3F10F9EF" w14:textId="77777777" w:rsidR="00D77BE7" w:rsidRPr="00A70AC1" w:rsidRDefault="00D77BE7" w:rsidP="00D77BE7">
      <w:pPr>
        <w:pStyle w:val="ListParagraph"/>
        <w:rPr>
          <w:rFonts w:cs="Arial"/>
        </w:rPr>
      </w:pPr>
    </w:p>
    <w:p w14:paraId="09512476" w14:textId="77777777" w:rsidR="00D77BE7" w:rsidRPr="00A70AC1" w:rsidRDefault="00D77BE7" w:rsidP="00D77BE7">
      <w:pPr>
        <w:pStyle w:val="paragraph"/>
        <w:numPr>
          <w:ilvl w:val="0"/>
          <w:numId w:val="34"/>
        </w:numPr>
        <w:spacing w:before="0" w:beforeAutospacing="0" w:after="0" w:afterAutospacing="0"/>
        <w:textAlignment w:val="baseline"/>
        <w:rPr>
          <w:rFonts w:ascii="Arial" w:hAnsi="Arial" w:cs="Arial"/>
        </w:rPr>
      </w:pPr>
      <w:r w:rsidRPr="00A70AC1">
        <w:rPr>
          <w:rFonts w:ascii="Arial" w:hAnsi="Arial" w:cs="Arial"/>
          <w:b/>
          <w:bCs/>
        </w:rPr>
        <w:t>Technical competence</w:t>
      </w:r>
      <w:r w:rsidRPr="00A70AC1">
        <w:rPr>
          <w:rFonts w:ascii="Arial" w:hAnsi="Arial" w:cs="Arial"/>
        </w:rPr>
        <w:t>. DIO would expect the supplier to have both a detailed strategic understanding of the water industry (with well-established, demonstrable working relationships with such organisations as Ofwat, Drinking Water Inspectorate (DWI), Water UK, The Environment Agency (and Natural Resources Wales), Defra, Consumer Council for Water (</w:t>
      </w:r>
      <w:proofErr w:type="spellStart"/>
      <w:r w:rsidRPr="00A70AC1">
        <w:rPr>
          <w:rFonts w:ascii="Arial" w:hAnsi="Arial" w:cs="Arial"/>
        </w:rPr>
        <w:t>CCWater</w:t>
      </w:r>
      <w:proofErr w:type="spellEnd"/>
      <w:r w:rsidRPr="00A70AC1">
        <w:rPr>
          <w:rFonts w:ascii="Arial" w:hAnsi="Arial" w:cs="Arial"/>
        </w:rPr>
        <w:t xml:space="preserve"> and </w:t>
      </w:r>
      <w:proofErr w:type="spellStart"/>
      <w:r w:rsidRPr="00A70AC1">
        <w:rPr>
          <w:rFonts w:ascii="Arial" w:hAnsi="Arial" w:cs="Arial"/>
        </w:rPr>
        <w:t>CCWater</w:t>
      </w:r>
      <w:proofErr w:type="spellEnd"/>
      <w:r w:rsidRPr="00A70AC1">
        <w:rPr>
          <w:rFonts w:ascii="Arial" w:hAnsi="Arial" w:cs="Arial"/>
        </w:rPr>
        <w:t xml:space="preserve"> Wales) etc) as well as in-depth industry know how across a range of specialist water industry related technical areas including:</w:t>
      </w:r>
    </w:p>
    <w:p w14:paraId="08F08628" w14:textId="77777777" w:rsidR="00D77BE7" w:rsidRPr="00A70AC1" w:rsidRDefault="00D77BE7" w:rsidP="00D77BE7">
      <w:pPr>
        <w:pStyle w:val="ListParagraph"/>
        <w:rPr>
          <w:rFonts w:cs="Arial"/>
        </w:rPr>
      </w:pPr>
    </w:p>
    <w:p w14:paraId="0E57645B"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shd w:val="clear" w:color="auto" w:fill="FFFFFF"/>
        </w:rPr>
        <w:lastRenderedPageBreak/>
        <w:t>Leakage detection and reduction.</w:t>
      </w:r>
    </w:p>
    <w:p w14:paraId="49B1B6E6"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shd w:val="clear" w:color="auto" w:fill="FFFFFF"/>
        </w:rPr>
        <w:t>Surface water management and flooding.</w:t>
      </w:r>
    </w:p>
    <w:p w14:paraId="41C2661A"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shd w:val="clear" w:color="auto" w:fill="FFFFFF"/>
        </w:rPr>
        <w:t xml:space="preserve">Future abstraction and water sourcing policy implications. </w:t>
      </w:r>
    </w:p>
    <w:p w14:paraId="59D3D766"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shd w:val="clear" w:color="auto" w:fill="FFFFFF"/>
        </w:rPr>
        <w:t xml:space="preserve">Supply and demand options, aimed at reduced consumption, </w:t>
      </w:r>
    </w:p>
    <w:p w14:paraId="2EFB49BC"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shd w:val="clear" w:color="auto" w:fill="FFFFFF"/>
        </w:rPr>
        <w:t xml:space="preserve">Metering. </w:t>
      </w:r>
    </w:p>
    <w:p w14:paraId="7948776D"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themeColor="text1"/>
        </w:rPr>
        <w:t xml:space="preserve">Rainwater harvesting. </w:t>
      </w:r>
    </w:p>
    <w:p w14:paraId="6C1A9166"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color w:val="000000"/>
          <w:shd w:val="clear" w:color="auto" w:fill="FFFFFF"/>
        </w:rPr>
        <w:t>Nature based solutions, biodiversity and enhancing estate / catchment area stewardship.</w:t>
      </w:r>
    </w:p>
    <w:p w14:paraId="5248D92F"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color w:val="000000"/>
        </w:rPr>
      </w:pPr>
      <w:r w:rsidRPr="00A70AC1">
        <w:rPr>
          <w:rStyle w:val="normaltextrun"/>
          <w:rFonts w:ascii="Arial" w:hAnsi="Arial" w:cs="Arial"/>
          <w:color w:val="000000"/>
          <w:shd w:val="clear" w:color="auto" w:fill="FFFFFF"/>
        </w:rPr>
        <w:t>Market deregulation implications and opportunities and the potential for self-supply efficiencies, cost savings and the ability to share resources.</w:t>
      </w:r>
    </w:p>
    <w:p w14:paraId="4FC0C5E7"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color w:val="000000"/>
        </w:rPr>
      </w:pPr>
      <w:r w:rsidRPr="00A70AC1">
        <w:rPr>
          <w:rStyle w:val="normaltextrun"/>
          <w:rFonts w:ascii="Arial" w:hAnsi="Arial" w:cs="Arial"/>
          <w:color w:val="000000"/>
          <w:shd w:val="clear" w:color="auto" w:fill="FFFFFF"/>
        </w:rPr>
        <w:t>Retail market reform, the introduction of competition and industry funding (Ofwat PR24 and beyond)</w:t>
      </w:r>
    </w:p>
    <w:p w14:paraId="317502FD"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color w:val="000000"/>
        </w:rPr>
      </w:pPr>
      <w:r w:rsidRPr="00A70AC1">
        <w:rPr>
          <w:rStyle w:val="normaltextrun"/>
          <w:rFonts w:ascii="Arial" w:hAnsi="Arial" w:cs="Arial"/>
          <w:color w:val="000000"/>
        </w:rPr>
        <w:t xml:space="preserve">The types of cost models and charging mechanisms utilised in the water industry for large domestic and or commercial customers and their applicability to MOD, including </w:t>
      </w:r>
      <w:r w:rsidRPr="00A70AC1">
        <w:rPr>
          <w:rStyle w:val="normaltextrun"/>
          <w:rFonts w:ascii="Arial" w:hAnsi="Arial" w:cs="Arial"/>
          <w:color w:val="000000"/>
          <w:shd w:val="clear" w:color="auto" w:fill="FFFFFF"/>
        </w:rPr>
        <w:t>service provision agreements without transfer of assets.</w:t>
      </w:r>
      <w:r w:rsidRPr="00A70AC1">
        <w:rPr>
          <w:rStyle w:val="normaltextrun"/>
          <w:rFonts w:ascii="Arial" w:hAnsi="Arial" w:cs="Arial"/>
          <w:color w:val="000000"/>
        </w:rPr>
        <w:t xml:space="preserve"> </w:t>
      </w:r>
    </w:p>
    <w:p w14:paraId="7100761B" w14:textId="77777777" w:rsidR="00D77BE7" w:rsidRPr="00A70AC1" w:rsidRDefault="00D77BE7" w:rsidP="00D77BE7">
      <w:pPr>
        <w:pStyle w:val="paragraph"/>
        <w:numPr>
          <w:ilvl w:val="1"/>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color w:val="000000"/>
        </w:rPr>
        <w:t>The requirement for Trade Licences / Effluent Discharge Consents and the implications of such licences to MOD.</w:t>
      </w:r>
      <w:r w:rsidRPr="00A70AC1">
        <w:rPr>
          <w:rStyle w:val="eop"/>
          <w:rFonts w:ascii="Arial" w:hAnsi="Arial" w:cs="Arial"/>
          <w:color w:val="000000"/>
        </w:rPr>
        <w:t xml:space="preserve"> </w:t>
      </w:r>
    </w:p>
    <w:p w14:paraId="39BFCD9D" w14:textId="77777777" w:rsidR="00D77BE7" w:rsidRPr="00A70AC1" w:rsidRDefault="00D77BE7" w:rsidP="00D77BE7">
      <w:pPr>
        <w:pStyle w:val="paragraph"/>
        <w:numPr>
          <w:ilvl w:val="1"/>
          <w:numId w:val="34"/>
        </w:numPr>
        <w:spacing w:before="0" w:beforeAutospacing="0" w:after="0" w:afterAutospacing="0"/>
        <w:textAlignment w:val="baseline"/>
        <w:rPr>
          <w:rStyle w:val="eop"/>
          <w:rFonts w:ascii="Arial" w:hAnsi="Arial" w:cs="Arial"/>
          <w:color w:val="000000" w:themeColor="text1"/>
        </w:rPr>
      </w:pPr>
      <w:r w:rsidRPr="00A70AC1">
        <w:rPr>
          <w:rStyle w:val="normaltextrun"/>
          <w:rFonts w:ascii="Arial" w:hAnsi="Arial" w:cs="Arial"/>
          <w:color w:val="000000" w:themeColor="text1"/>
        </w:rPr>
        <w:t xml:space="preserve">The effect on other utility agreements such as the MOD’s agreement with </w:t>
      </w:r>
      <w:proofErr w:type="spellStart"/>
      <w:r w:rsidRPr="00A70AC1">
        <w:rPr>
          <w:rStyle w:val="normaltextrun"/>
          <w:rFonts w:ascii="Arial" w:hAnsi="Arial" w:cs="Arial"/>
          <w:color w:val="000000" w:themeColor="text1"/>
        </w:rPr>
        <w:t>Annington</w:t>
      </w:r>
      <w:proofErr w:type="spellEnd"/>
      <w:r w:rsidRPr="00A70AC1">
        <w:rPr>
          <w:rStyle w:val="normaltextrun"/>
          <w:rFonts w:ascii="Arial" w:hAnsi="Arial" w:cs="Arial"/>
          <w:color w:val="000000" w:themeColor="text1"/>
        </w:rPr>
        <w:t xml:space="preserve"> Property Limited.</w:t>
      </w:r>
    </w:p>
    <w:p w14:paraId="0E3FD7C8" w14:textId="77777777" w:rsidR="00D77BE7" w:rsidRPr="00A70AC1" w:rsidRDefault="00D77BE7" w:rsidP="00D77BE7">
      <w:pPr>
        <w:pStyle w:val="paragraph"/>
        <w:numPr>
          <w:ilvl w:val="1"/>
          <w:numId w:val="34"/>
        </w:numPr>
        <w:spacing w:before="0" w:beforeAutospacing="0" w:after="0" w:afterAutospacing="0"/>
        <w:textAlignment w:val="baseline"/>
        <w:rPr>
          <w:rStyle w:val="normaltextrun"/>
          <w:rFonts w:ascii="Arial" w:hAnsi="Arial" w:cs="Arial"/>
        </w:rPr>
      </w:pPr>
      <w:r w:rsidRPr="00A70AC1">
        <w:rPr>
          <w:rStyle w:val="normaltextrun"/>
          <w:rFonts w:ascii="Arial" w:hAnsi="Arial" w:cs="Arial"/>
        </w:rPr>
        <w:t>How best to avoid future ambiguity on demarcation points between supplier networks and MOD networks and land.</w:t>
      </w:r>
    </w:p>
    <w:p w14:paraId="4245BBAB" w14:textId="77777777" w:rsidR="00D77BE7" w:rsidRPr="00A70AC1" w:rsidRDefault="00D77BE7" w:rsidP="00D77BE7">
      <w:pPr>
        <w:pStyle w:val="paragraph"/>
        <w:numPr>
          <w:ilvl w:val="1"/>
          <w:numId w:val="34"/>
        </w:numPr>
        <w:spacing w:before="0" w:beforeAutospacing="0" w:after="0" w:afterAutospacing="0"/>
        <w:textAlignment w:val="baseline"/>
        <w:rPr>
          <w:rFonts w:ascii="Arial" w:hAnsi="Arial" w:cs="Arial"/>
        </w:rPr>
      </w:pPr>
      <w:r w:rsidRPr="00A70AC1">
        <w:rPr>
          <w:rFonts w:ascii="Arial" w:hAnsi="Arial" w:cs="Arial"/>
        </w:rPr>
        <w:t>Innovation and the use of emergent technology (such as AI) to enhance service provision and mitigate future workforce risks.</w:t>
      </w:r>
    </w:p>
    <w:p w14:paraId="083D68D0" w14:textId="77777777" w:rsidR="00D77BE7" w:rsidRPr="00A70AC1" w:rsidRDefault="00D77BE7" w:rsidP="00D77BE7">
      <w:pPr>
        <w:pStyle w:val="paragraph"/>
        <w:spacing w:before="0" w:beforeAutospacing="0" w:after="0" w:afterAutospacing="0"/>
        <w:ind w:left="720"/>
        <w:textAlignment w:val="baseline"/>
        <w:rPr>
          <w:rFonts w:ascii="Segoe UI" w:hAnsi="Segoe UI" w:cs="Segoe UI"/>
          <w:sz w:val="18"/>
          <w:szCs w:val="18"/>
        </w:rPr>
      </w:pPr>
      <w:r w:rsidRPr="00A70AC1">
        <w:rPr>
          <w:rStyle w:val="eop"/>
          <w:rFonts w:ascii="Arial" w:hAnsi="Arial" w:cs="Arial"/>
          <w:sz w:val="22"/>
          <w:szCs w:val="22"/>
        </w:rPr>
        <w:t> </w:t>
      </w:r>
    </w:p>
    <w:p w14:paraId="36EAB74C"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Project deliverables</w:t>
      </w:r>
      <w:r w:rsidRPr="00A70AC1">
        <w:rPr>
          <w:rStyle w:val="eop"/>
          <w:rFonts w:ascii="Arial" w:hAnsi="Arial" w:cs="Arial"/>
        </w:rPr>
        <w:t> </w:t>
      </w:r>
    </w:p>
    <w:p w14:paraId="6586C03D" w14:textId="77777777" w:rsidR="00D77BE7" w:rsidRPr="00A70AC1" w:rsidRDefault="00D77BE7" w:rsidP="00D77BE7">
      <w:pPr>
        <w:pStyle w:val="paragraph"/>
        <w:spacing w:before="0" w:beforeAutospacing="0" w:after="0" w:afterAutospacing="0"/>
        <w:ind w:left="720"/>
        <w:textAlignment w:val="baseline"/>
        <w:rPr>
          <w:rFonts w:ascii="Segoe UI" w:hAnsi="Segoe UI" w:cs="Segoe UI"/>
          <w:sz w:val="18"/>
          <w:szCs w:val="18"/>
        </w:rPr>
      </w:pPr>
      <w:r w:rsidRPr="00A70AC1">
        <w:rPr>
          <w:rStyle w:val="eop"/>
          <w:rFonts w:ascii="Arial" w:hAnsi="Arial" w:cs="Arial"/>
          <w:sz w:val="22"/>
          <w:szCs w:val="22"/>
        </w:rPr>
        <w:t> </w:t>
      </w:r>
    </w:p>
    <w:p w14:paraId="7D89D7FF"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rPr>
        <w:t>PFI RP believes this project contains four key deliverables:</w:t>
      </w:r>
      <w:r w:rsidRPr="00A70AC1">
        <w:rPr>
          <w:rStyle w:val="eop"/>
          <w:rFonts w:ascii="Arial" w:hAnsi="Arial" w:cs="Arial"/>
        </w:rPr>
        <w:t> </w:t>
      </w:r>
    </w:p>
    <w:p w14:paraId="2C304ACC" w14:textId="77777777" w:rsidR="00D77BE7" w:rsidRPr="00A70AC1" w:rsidRDefault="00D77BE7" w:rsidP="00D77BE7">
      <w:pPr>
        <w:pStyle w:val="paragraph"/>
        <w:spacing w:before="0" w:beforeAutospacing="0" w:after="0" w:afterAutospacing="0"/>
        <w:ind w:left="360"/>
        <w:textAlignment w:val="baseline"/>
        <w:rPr>
          <w:rStyle w:val="eop"/>
          <w:rFonts w:ascii="Arial" w:hAnsi="Arial" w:cs="Arial"/>
        </w:rPr>
      </w:pPr>
    </w:p>
    <w:p w14:paraId="53B24302"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bCs/>
        </w:rPr>
        <w:t>Deliverable 1: Higher level option analysis.</w:t>
      </w:r>
      <w:r w:rsidRPr="00A70AC1">
        <w:rPr>
          <w:rStyle w:val="normaltextrun"/>
          <w:rFonts w:ascii="Arial" w:hAnsi="Arial" w:cs="Arial"/>
        </w:rPr>
        <w:t xml:space="preserve"> Assess and make recommendations on whether MOD retains ownership of its current water, wastewater and sewage services through its private network or seeks to change service delivery, through transfer or adoption of assets, across GB, to statutory providers. This will be achieved by identifying and presenting evidence of Defence’s strategic and military capability drivers in respect of the provision of its water, wastewater and sewage services balanced against the myriad of technical delivery issues that may face private network owners or large domestic / commercial customers (as noted in para 7 above). The evidence presented is to enable MOD to take a decision regarding whether MOD retains its private network or seeks to divest itself of the assets and associated service provision capability in this area</w:t>
      </w:r>
      <w:r w:rsidRPr="00A70AC1">
        <w:rPr>
          <w:rStyle w:val="FootnoteReference"/>
          <w:rFonts w:ascii="Arial" w:hAnsi="Arial" w:cs="Arial"/>
        </w:rPr>
        <w:footnoteReference w:id="4"/>
      </w:r>
      <w:r w:rsidRPr="00A70AC1">
        <w:rPr>
          <w:rStyle w:val="normaltextrun"/>
          <w:rFonts w:ascii="Arial" w:hAnsi="Arial" w:cs="Arial"/>
        </w:rPr>
        <w:t>. </w:t>
      </w:r>
    </w:p>
    <w:p w14:paraId="78C187D4" w14:textId="77777777" w:rsidR="00D77BE7" w:rsidRPr="00A70AC1" w:rsidRDefault="00D77BE7" w:rsidP="00D77BE7">
      <w:pPr>
        <w:pStyle w:val="paragraph"/>
        <w:spacing w:before="0" w:beforeAutospacing="0" w:after="0" w:afterAutospacing="0"/>
        <w:ind w:left="360"/>
        <w:textAlignment w:val="baseline"/>
        <w:rPr>
          <w:rStyle w:val="normaltextrun"/>
          <w:rFonts w:ascii="Arial" w:hAnsi="Arial" w:cs="Arial"/>
        </w:rPr>
      </w:pPr>
    </w:p>
    <w:p w14:paraId="3384C3A2"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bCs/>
        </w:rPr>
        <w:t>Deliverable 2: Delivery options analysis.</w:t>
      </w:r>
      <w:r w:rsidRPr="00A70AC1">
        <w:rPr>
          <w:rStyle w:val="normaltextrun"/>
          <w:rFonts w:ascii="Arial" w:hAnsi="Arial" w:cs="Arial"/>
        </w:rPr>
        <w:t xml:space="preserve"> Present a range of delivery options for the provision of water, wastewater and sewage services that support the outcomes of Deliverable 1 regarding MOD’s future ownership of its wastewater </w:t>
      </w:r>
      <w:r w:rsidRPr="00A70AC1">
        <w:rPr>
          <w:rStyle w:val="normaltextrun"/>
          <w:rFonts w:ascii="Arial" w:hAnsi="Arial" w:cs="Arial"/>
        </w:rPr>
        <w:lastRenderedPageBreak/>
        <w:t>and sewage services through its private network. These options are to incorporate options analysis, SWOT analysis, the types of delivery agreement, cost models, charging mechanisms, licensing issues etc. that are capable of supporting the detail analysis required by MOD’s Combined Operational Effectiveness Investment Appraisal (COEIA) process to make an evidenced based decision on the most appropriate VFM option to take forward.</w:t>
      </w:r>
      <w:r w:rsidRPr="00A70AC1">
        <w:rPr>
          <w:rStyle w:val="eop"/>
          <w:rFonts w:ascii="Arial" w:hAnsi="Arial" w:cs="Arial"/>
        </w:rPr>
        <w:t> </w:t>
      </w:r>
    </w:p>
    <w:p w14:paraId="0751DBD2" w14:textId="77777777" w:rsidR="00D77BE7" w:rsidRPr="00A70AC1" w:rsidRDefault="00D77BE7" w:rsidP="00D77BE7">
      <w:pPr>
        <w:pStyle w:val="paragraph"/>
        <w:spacing w:before="0" w:beforeAutospacing="0" w:after="0" w:afterAutospacing="0"/>
        <w:ind w:left="360"/>
        <w:textAlignment w:val="baseline"/>
        <w:rPr>
          <w:rStyle w:val="normaltextrun"/>
          <w:rFonts w:ascii="Arial" w:hAnsi="Arial" w:cs="Arial"/>
        </w:rPr>
      </w:pPr>
    </w:p>
    <w:p w14:paraId="6A6AC314"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bCs/>
        </w:rPr>
        <w:t xml:space="preserve">Deliverable 3: Risk transfer. </w:t>
      </w:r>
      <w:r w:rsidRPr="00A70AC1">
        <w:rPr>
          <w:rStyle w:val="normaltextrun"/>
          <w:rFonts w:ascii="Arial" w:hAnsi="Arial" w:cs="Arial"/>
        </w:rPr>
        <w:t xml:space="preserve">Examine the degree of risk transfer to future suppliers, that support the outcomes of Deliverable 1, and make recommendations on what risk should be transferred to suppliers and what may need to be retained by MOD. MOD assumes that the current degree of risk transfer achieved via the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arrangements are unlikely to be replicated in future delivery models and would wish to establish a commercially acceptable, VFM solution for future arrangements.</w:t>
      </w:r>
      <w:r w:rsidRPr="00A70AC1">
        <w:rPr>
          <w:rStyle w:val="eop"/>
          <w:rFonts w:ascii="Arial" w:hAnsi="Arial" w:cs="Arial"/>
        </w:rPr>
        <w:t> </w:t>
      </w:r>
    </w:p>
    <w:p w14:paraId="1CCAD486" w14:textId="77777777" w:rsidR="00D77BE7" w:rsidRPr="00A70AC1" w:rsidRDefault="00D77BE7" w:rsidP="00D77BE7">
      <w:pPr>
        <w:pStyle w:val="paragraph"/>
        <w:spacing w:before="0" w:beforeAutospacing="0" w:after="0" w:afterAutospacing="0"/>
        <w:ind w:left="360"/>
        <w:textAlignment w:val="baseline"/>
        <w:rPr>
          <w:rStyle w:val="normaltextrun"/>
          <w:rFonts w:ascii="Arial" w:hAnsi="Arial" w:cs="Arial"/>
        </w:rPr>
      </w:pPr>
    </w:p>
    <w:p w14:paraId="2C47CEA1" w14:textId="77777777" w:rsidR="00D77BE7" w:rsidRPr="00A70AC1" w:rsidRDefault="00D77BE7" w:rsidP="00D77BE7">
      <w:pPr>
        <w:pStyle w:val="paragraph"/>
        <w:numPr>
          <w:ilvl w:val="0"/>
          <w:numId w:val="34"/>
        </w:numPr>
        <w:spacing w:before="0" w:beforeAutospacing="0" w:after="0" w:afterAutospacing="0"/>
        <w:textAlignment w:val="baseline"/>
        <w:rPr>
          <w:rFonts w:ascii="Arial" w:hAnsi="Arial" w:cs="Arial"/>
        </w:rPr>
      </w:pPr>
      <w:r w:rsidRPr="00A70AC1">
        <w:rPr>
          <w:rStyle w:val="normaltextrun"/>
          <w:rFonts w:ascii="Arial" w:hAnsi="Arial" w:cs="Arial"/>
          <w:b/>
          <w:bCs/>
        </w:rPr>
        <w:t>Deliverable 4: Climate change and sustainability</w:t>
      </w:r>
      <w:r w:rsidRPr="00A70AC1">
        <w:rPr>
          <w:rStyle w:val="normaltextrun"/>
          <w:rFonts w:ascii="Arial" w:hAnsi="Arial" w:cs="Arial"/>
        </w:rPr>
        <w:t xml:space="preserve">. The incorporation of comprehensive, estate wide measures to combat climate change and increase sustainability are to be at the heart of any future delivery strategy, enabling MOD to become market leaders in addressing such areas as </w:t>
      </w:r>
      <w:r w:rsidRPr="00A70AC1">
        <w:rPr>
          <w:rStyle w:val="normaltextrun"/>
          <w:rFonts w:ascii="Arial" w:hAnsi="Arial" w:cs="Arial"/>
          <w:color w:val="000000" w:themeColor="text1"/>
        </w:rPr>
        <w:t>l</w:t>
      </w:r>
      <w:r w:rsidRPr="00A70AC1">
        <w:rPr>
          <w:rStyle w:val="normaltextrun"/>
          <w:rFonts w:ascii="Arial" w:hAnsi="Arial" w:cs="Arial"/>
          <w:color w:val="000000"/>
          <w:shd w:val="clear" w:color="auto" w:fill="FFFFFF"/>
        </w:rPr>
        <w:t xml:space="preserve">eakage, </w:t>
      </w:r>
      <w:r w:rsidRPr="00A70AC1">
        <w:rPr>
          <w:rStyle w:val="normaltextrun"/>
          <w:rFonts w:ascii="Arial" w:hAnsi="Arial" w:cs="Arial"/>
          <w:color w:val="000000" w:themeColor="text1"/>
        </w:rPr>
        <w:t>f</w:t>
      </w:r>
      <w:r w:rsidRPr="00A70AC1">
        <w:rPr>
          <w:rStyle w:val="normaltextrun"/>
          <w:rFonts w:ascii="Arial" w:hAnsi="Arial" w:cs="Arial"/>
          <w:color w:val="000000"/>
          <w:shd w:val="clear" w:color="auto" w:fill="FFFFFF"/>
        </w:rPr>
        <w:t xml:space="preserve">looding, </w:t>
      </w:r>
      <w:r w:rsidRPr="00A70AC1">
        <w:rPr>
          <w:rStyle w:val="normaltextrun"/>
          <w:rFonts w:ascii="Arial" w:hAnsi="Arial" w:cs="Arial"/>
          <w:color w:val="000000" w:themeColor="text1"/>
        </w:rPr>
        <w:t>r</w:t>
      </w:r>
      <w:r w:rsidRPr="00A70AC1">
        <w:rPr>
          <w:rStyle w:val="normaltextrun"/>
          <w:rFonts w:ascii="Arial" w:hAnsi="Arial" w:cs="Arial"/>
          <w:color w:val="000000"/>
          <w:shd w:val="clear" w:color="auto" w:fill="FFFFFF"/>
        </w:rPr>
        <w:t xml:space="preserve">educed </w:t>
      </w:r>
      <w:r w:rsidRPr="00A70AC1">
        <w:rPr>
          <w:rStyle w:val="normaltextrun"/>
          <w:rFonts w:ascii="Arial" w:hAnsi="Arial" w:cs="Arial"/>
          <w:color w:val="000000" w:themeColor="text1"/>
        </w:rPr>
        <w:t>a</w:t>
      </w:r>
      <w:r w:rsidRPr="00A70AC1">
        <w:rPr>
          <w:rStyle w:val="normaltextrun"/>
          <w:rFonts w:ascii="Arial" w:hAnsi="Arial" w:cs="Arial"/>
          <w:color w:val="000000"/>
          <w:shd w:val="clear" w:color="auto" w:fill="FFFFFF"/>
        </w:rPr>
        <w:t xml:space="preserve">bstraction, </w:t>
      </w:r>
      <w:r w:rsidRPr="00A70AC1">
        <w:rPr>
          <w:rStyle w:val="normaltextrun"/>
          <w:rFonts w:ascii="Arial" w:hAnsi="Arial" w:cs="Arial"/>
          <w:color w:val="000000" w:themeColor="text1"/>
        </w:rPr>
        <w:t>r</w:t>
      </w:r>
      <w:r w:rsidRPr="00A70AC1">
        <w:rPr>
          <w:rStyle w:val="normaltextrun"/>
          <w:rFonts w:ascii="Arial" w:hAnsi="Arial" w:cs="Arial"/>
          <w:color w:val="000000"/>
          <w:shd w:val="clear" w:color="auto" w:fill="FFFFFF"/>
        </w:rPr>
        <w:t>educed consumption, metering, rainwater harvesting, nature-based solutions and enhanced estate stewardship (this is not an exhaustive list). The supplier is to work with MOD to identify opportunities associated with each delivery option arising from Deliverable 2.</w:t>
      </w:r>
      <w:r w:rsidRPr="00A70AC1">
        <w:rPr>
          <w:rStyle w:val="eop"/>
          <w:rFonts w:ascii="Arial" w:hAnsi="Arial" w:cs="Arial"/>
          <w:color w:val="000000"/>
        </w:rPr>
        <w:t> </w:t>
      </w:r>
    </w:p>
    <w:p w14:paraId="59CEC7EF" w14:textId="77777777" w:rsidR="00D77BE7" w:rsidRPr="00A70AC1" w:rsidRDefault="00D77BE7" w:rsidP="00D77BE7">
      <w:pPr>
        <w:pStyle w:val="paragraph"/>
        <w:spacing w:before="0" w:beforeAutospacing="0" w:after="0" w:afterAutospacing="0"/>
        <w:ind w:left="720"/>
        <w:textAlignment w:val="baseline"/>
        <w:rPr>
          <w:rFonts w:ascii="Segoe UI" w:hAnsi="Segoe UI" w:cs="Segoe UI"/>
          <w:sz w:val="18"/>
          <w:szCs w:val="18"/>
        </w:rPr>
      </w:pPr>
      <w:r w:rsidRPr="00A70AC1">
        <w:rPr>
          <w:rStyle w:val="eop"/>
          <w:rFonts w:ascii="Arial" w:hAnsi="Arial" w:cs="Arial"/>
          <w:sz w:val="22"/>
          <w:szCs w:val="22"/>
        </w:rPr>
        <w:t> </w:t>
      </w:r>
    </w:p>
    <w:p w14:paraId="6CD906AB"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Project scope</w:t>
      </w:r>
      <w:r w:rsidRPr="00A70AC1">
        <w:rPr>
          <w:rStyle w:val="eop"/>
          <w:rFonts w:ascii="Arial" w:hAnsi="Arial" w:cs="Arial"/>
        </w:rPr>
        <w:t> </w:t>
      </w:r>
    </w:p>
    <w:p w14:paraId="5CE1CF12" w14:textId="77777777" w:rsidR="00D77BE7" w:rsidRPr="00A70AC1" w:rsidRDefault="00D77BE7" w:rsidP="00D77BE7">
      <w:pPr>
        <w:pStyle w:val="paragraph"/>
        <w:spacing w:before="0" w:beforeAutospacing="0" w:after="0" w:afterAutospacing="0"/>
        <w:ind w:left="720"/>
        <w:textAlignment w:val="baseline"/>
        <w:rPr>
          <w:rFonts w:ascii="Segoe UI" w:hAnsi="Segoe UI" w:cs="Segoe UI"/>
          <w:sz w:val="18"/>
          <w:szCs w:val="18"/>
        </w:rPr>
      </w:pPr>
      <w:r w:rsidRPr="00A70AC1">
        <w:rPr>
          <w:rStyle w:val="eop"/>
          <w:rFonts w:ascii="Arial" w:hAnsi="Arial" w:cs="Arial"/>
          <w:sz w:val="22"/>
          <w:szCs w:val="22"/>
        </w:rPr>
        <w:t> </w:t>
      </w:r>
    </w:p>
    <w:p w14:paraId="5DD1D69B"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bCs/>
        </w:rPr>
        <w:t>Higher level option analysis</w:t>
      </w:r>
      <w:r w:rsidRPr="00A70AC1">
        <w:rPr>
          <w:rStyle w:val="normaltextrun"/>
          <w:rFonts w:ascii="Arial" w:hAnsi="Arial" w:cs="Arial"/>
        </w:rPr>
        <w:t xml:space="preserve">. The supplier is to </w:t>
      </w:r>
      <w:proofErr w:type="gramStart"/>
      <w:r w:rsidRPr="00A70AC1">
        <w:rPr>
          <w:rStyle w:val="normaltextrun"/>
          <w:rFonts w:ascii="Arial" w:hAnsi="Arial" w:cs="Arial"/>
        </w:rPr>
        <w:t>conduct an assessment of</w:t>
      </w:r>
      <w:proofErr w:type="gramEnd"/>
      <w:r w:rsidRPr="00A70AC1">
        <w:rPr>
          <w:rStyle w:val="normaltextrun"/>
          <w:rFonts w:ascii="Arial" w:hAnsi="Arial" w:cs="Arial"/>
        </w:rPr>
        <w:t xml:space="preserve"> MOD’s future operational capability requirements in respect of either retaining or divesting itself of its current private water, wastewater and sewage network. To achieve this the successful bidder will have access, as a minimum, to DIO senior leadership, MOD’s Financial Military Capability (Infrastructure) organisation, the Heads of Infrastructure for all MOD end users (MOD’s Top-Level Budgets (TLBs)), the DIO’s Regional Delivery (RD) Organisation,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Service Providers and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performance and asset data. The supplier will also utilise their </w:t>
      </w:r>
      <w:r w:rsidRPr="00A70AC1">
        <w:rPr>
          <w:rFonts w:ascii="Arial" w:hAnsi="Arial" w:cs="Arial"/>
        </w:rPr>
        <w:t xml:space="preserve">strategic understanding of the water industry, including the likely legislative and regulatory changes that may be planned or anticipated and the potential impacts of deregulation, to ensure ‘industry factors’ are considered alongside MOD’s operational capability requirements. </w:t>
      </w:r>
      <w:r w:rsidRPr="00A70AC1">
        <w:rPr>
          <w:rStyle w:val="normaltextrun"/>
          <w:rFonts w:ascii="Arial" w:hAnsi="Arial" w:cs="Arial"/>
        </w:rPr>
        <w:t xml:space="preserve">Suppliers may also wish to conduct market testing across the wider water industry to assess market appetite. The outcome of this assessment will be to present evidence and recommendations to enable MOD to </w:t>
      </w:r>
      <w:proofErr w:type="gramStart"/>
      <w:r w:rsidRPr="00A70AC1">
        <w:rPr>
          <w:rStyle w:val="normaltextrun"/>
          <w:rFonts w:ascii="Arial" w:hAnsi="Arial" w:cs="Arial"/>
        </w:rPr>
        <w:t>make a decision</w:t>
      </w:r>
      <w:proofErr w:type="gramEnd"/>
      <w:r w:rsidRPr="00A70AC1">
        <w:rPr>
          <w:rStyle w:val="normaltextrun"/>
          <w:rFonts w:ascii="Arial" w:hAnsi="Arial" w:cs="Arial"/>
        </w:rPr>
        <w:t xml:space="preserve"> on whether MOD retains ownership of its current water, wastewater and sewage services through its private network or seeks to change service delivery, through transfer or adoption of assets, across GB, to statutory providers.</w:t>
      </w:r>
      <w:r w:rsidRPr="00A70AC1">
        <w:rPr>
          <w:rStyle w:val="eop"/>
          <w:rFonts w:ascii="Arial" w:hAnsi="Arial" w:cs="Arial"/>
        </w:rPr>
        <w:t> </w:t>
      </w:r>
    </w:p>
    <w:p w14:paraId="5622D5D1" w14:textId="77777777" w:rsidR="00D77BE7" w:rsidRPr="00A70AC1" w:rsidRDefault="00D77BE7" w:rsidP="00D77BE7">
      <w:pPr>
        <w:pStyle w:val="paragraph"/>
        <w:spacing w:before="0" w:beforeAutospacing="0" w:after="0" w:afterAutospacing="0"/>
        <w:ind w:left="360"/>
        <w:textAlignment w:val="baseline"/>
        <w:rPr>
          <w:rStyle w:val="normaltextrun"/>
          <w:rFonts w:ascii="Arial" w:hAnsi="Arial" w:cs="Arial"/>
        </w:rPr>
      </w:pPr>
    </w:p>
    <w:p w14:paraId="1171A725" w14:textId="77777777" w:rsidR="00D77BE7" w:rsidRPr="00A70AC1" w:rsidRDefault="00D77BE7" w:rsidP="00D77BE7">
      <w:pPr>
        <w:pStyle w:val="paragraph"/>
        <w:numPr>
          <w:ilvl w:val="0"/>
          <w:numId w:val="34"/>
        </w:numPr>
        <w:spacing w:before="0" w:beforeAutospacing="0" w:after="0" w:afterAutospacing="0"/>
        <w:textAlignment w:val="baseline"/>
        <w:rPr>
          <w:rStyle w:val="eop"/>
          <w:rFonts w:ascii="Arial" w:hAnsi="Arial" w:cs="Arial"/>
        </w:rPr>
      </w:pPr>
      <w:r w:rsidRPr="00A70AC1">
        <w:rPr>
          <w:rStyle w:val="normaltextrun"/>
          <w:rFonts w:ascii="Arial" w:hAnsi="Arial" w:cs="Arial"/>
          <w:b/>
          <w:bCs/>
        </w:rPr>
        <w:t>Delivery options analysis.</w:t>
      </w:r>
      <w:r w:rsidRPr="00A70AC1">
        <w:rPr>
          <w:rStyle w:val="normaltextrun"/>
          <w:rFonts w:ascii="Arial" w:hAnsi="Arial" w:cs="Arial"/>
        </w:rPr>
        <w:t xml:space="preserve"> Having supported MOD make an evidenced based decision on whether the MOD’s private water network is to be retained or transferred out of MOD ownership (or part transferred), the supplier is to develop and present of a range of delivery options for the provision of water, wastewater </w:t>
      </w:r>
      <w:r w:rsidRPr="00A70AC1">
        <w:rPr>
          <w:rStyle w:val="normaltextrun"/>
          <w:rFonts w:ascii="Arial" w:hAnsi="Arial" w:cs="Arial"/>
        </w:rPr>
        <w:lastRenderedPageBreak/>
        <w:t>and sewage services. These options are to incorporate options analysis, SWOT analysis and clearly demonstrate:</w:t>
      </w:r>
      <w:r w:rsidRPr="00A70AC1">
        <w:rPr>
          <w:rStyle w:val="eop"/>
          <w:rFonts w:ascii="Arial" w:hAnsi="Arial" w:cs="Arial"/>
        </w:rPr>
        <w:t> </w:t>
      </w:r>
    </w:p>
    <w:p w14:paraId="5025DF5A" w14:textId="77777777" w:rsidR="00D77BE7" w:rsidRPr="00A70AC1" w:rsidRDefault="00D77BE7" w:rsidP="00D77BE7">
      <w:pPr>
        <w:pStyle w:val="paragraph"/>
        <w:spacing w:before="0" w:beforeAutospacing="0" w:after="0" w:afterAutospacing="0"/>
        <w:ind w:left="360"/>
        <w:textAlignment w:val="baseline"/>
        <w:rPr>
          <w:rFonts w:ascii="Arial" w:hAnsi="Arial" w:cs="Arial"/>
        </w:rPr>
      </w:pPr>
    </w:p>
    <w:p w14:paraId="57F66047"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Style w:val="eop"/>
          <w:rFonts w:ascii="Arial" w:hAnsi="Arial" w:cs="Arial"/>
        </w:rPr>
      </w:pPr>
      <w:r w:rsidRPr="00A70AC1">
        <w:rPr>
          <w:rStyle w:val="normaltextrun"/>
          <w:rFonts w:ascii="Arial" w:hAnsi="Arial" w:cs="Arial"/>
        </w:rPr>
        <w:t>They meet Defence requirements</w:t>
      </w:r>
      <w:r w:rsidRPr="00A70AC1">
        <w:rPr>
          <w:rStyle w:val="eop"/>
          <w:rFonts w:ascii="Arial" w:hAnsi="Arial" w:cs="Arial"/>
        </w:rPr>
        <w:t>.</w:t>
      </w:r>
    </w:p>
    <w:p w14:paraId="21D862CE"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Fonts w:ascii="Arial" w:hAnsi="Arial" w:cs="Arial"/>
        </w:rPr>
      </w:pPr>
      <w:r w:rsidRPr="00A70AC1">
        <w:rPr>
          <w:rStyle w:val="eop"/>
          <w:rFonts w:ascii="Arial" w:hAnsi="Arial" w:cs="Arial"/>
        </w:rPr>
        <w:t>How they address the specialist technical factors listed in sub-paragraphs 7a to 7n.</w:t>
      </w:r>
    </w:p>
    <w:p w14:paraId="0553389B"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Fonts w:ascii="Arial" w:hAnsi="Arial" w:cs="Arial"/>
        </w:rPr>
      </w:pPr>
      <w:r w:rsidRPr="00A70AC1">
        <w:rPr>
          <w:rStyle w:val="normaltextrun"/>
          <w:rFonts w:ascii="Arial" w:hAnsi="Arial" w:cs="Arial"/>
        </w:rPr>
        <w:t>They are in line with or exceed the statutory / regulatory standards applied by Ofwat.</w:t>
      </w:r>
    </w:p>
    <w:p w14:paraId="64AF3586"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Fonts w:ascii="Arial" w:hAnsi="Arial" w:cs="Arial"/>
        </w:rPr>
      </w:pPr>
      <w:r w:rsidRPr="00A70AC1">
        <w:rPr>
          <w:rStyle w:val="normaltextrun"/>
          <w:rFonts w:ascii="Arial" w:hAnsi="Arial" w:cs="Arial"/>
        </w:rPr>
        <w:t>Consideration of the impacts of future market deregulation, abstraction legislative and regulatory change.</w:t>
      </w:r>
    </w:p>
    <w:p w14:paraId="30A53DC2"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Fonts w:ascii="Arial" w:hAnsi="Arial" w:cs="Arial"/>
        </w:rPr>
      </w:pPr>
      <w:r w:rsidRPr="00A70AC1">
        <w:rPr>
          <w:rStyle w:val="normaltextrun"/>
          <w:rFonts w:ascii="Arial" w:hAnsi="Arial" w:cs="Arial"/>
        </w:rPr>
        <w:t>The types of delivery agreement recommended.</w:t>
      </w:r>
    </w:p>
    <w:p w14:paraId="4E3EFA6A"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Fonts w:ascii="Arial" w:hAnsi="Arial" w:cs="Arial"/>
        </w:rPr>
      </w:pPr>
      <w:r w:rsidRPr="00A70AC1">
        <w:rPr>
          <w:rStyle w:val="normaltextrun"/>
          <w:rFonts w:ascii="Arial" w:hAnsi="Arial" w:cs="Arial"/>
        </w:rPr>
        <w:t>Recommended charging mechanisms and cost models to be utilised.</w:t>
      </w:r>
      <w:r w:rsidRPr="00A70AC1">
        <w:rPr>
          <w:rStyle w:val="eop"/>
          <w:rFonts w:ascii="Arial" w:hAnsi="Arial" w:cs="Arial"/>
        </w:rPr>
        <w:t> </w:t>
      </w:r>
    </w:p>
    <w:p w14:paraId="6119A486" w14:textId="77777777" w:rsidR="00D77BE7" w:rsidRPr="00A70AC1" w:rsidRDefault="00D77BE7" w:rsidP="00D77BE7">
      <w:pPr>
        <w:pStyle w:val="paragraph"/>
        <w:numPr>
          <w:ilvl w:val="1"/>
          <w:numId w:val="39"/>
        </w:numPr>
        <w:tabs>
          <w:tab w:val="num" w:pos="1080"/>
        </w:tabs>
        <w:spacing w:before="0" w:beforeAutospacing="0" w:after="0" w:afterAutospacing="0"/>
        <w:ind w:left="1440"/>
        <w:textAlignment w:val="baseline"/>
        <w:rPr>
          <w:rFonts w:ascii="Arial" w:hAnsi="Arial" w:cs="Arial"/>
        </w:rPr>
      </w:pPr>
      <w:r w:rsidRPr="00A70AC1">
        <w:rPr>
          <w:rStyle w:val="normaltextrun"/>
          <w:rFonts w:ascii="Arial" w:hAnsi="Arial" w:cs="Arial"/>
        </w:rPr>
        <w:t>Any licensing or leasing issues that may be present (</w:t>
      </w:r>
      <w:proofErr w:type="gramStart"/>
      <w:r w:rsidRPr="00A70AC1">
        <w:rPr>
          <w:rStyle w:val="normaltextrun"/>
          <w:rFonts w:ascii="Arial" w:hAnsi="Arial" w:cs="Arial"/>
        </w:rPr>
        <w:t>e.g.</w:t>
      </w:r>
      <w:proofErr w:type="gramEnd"/>
      <w:r w:rsidRPr="00A70AC1">
        <w:rPr>
          <w:rStyle w:val="normaltextrun"/>
          <w:rFonts w:ascii="Arial" w:hAnsi="Arial" w:cs="Arial"/>
        </w:rPr>
        <w:t xml:space="preserve"> IFRS16)</w:t>
      </w:r>
      <w:r w:rsidRPr="00A70AC1">
        <w:rPr>
          <w:rStyle w:val="eop"/>
          <w:rFonts w:ascii="Arial" w:hAnsi="Arial" w:cs="Arial"/>
        </w:rPr>
        <w:t>.</w:t>
      </w:r>
    </w:p>
    <w:p w14:paraId="2FC997BA" w14:textId="77777777" w:rsidR="00D77BE7" w:rsidRPr="00A70AC1" w:rsidRDefault="00D77BE7" w:rsidP="00D77BE7">
      <w:pPr>
        <w:pStyle w:val="paragraph"/>
        <w:spacing w:before="0" w:beforeAutospacing="0" w:after="0" w:afterAutospacing="0"/>
        <w:ind w:left="720"/>
        <w:textAlignment w:val="baseline"/>
        <w:rPr>
          <w:rFonts w:ascii="Segoe UI" w:hAnsi="Segoe UI" w:cs="Segoe UI"/>
          <w:sz w:val="18"/>
          <w:szCs w:val="18"/>
        </w:rPr>
      </w:pPr>
      <w:r w:rsidRPr="00A70AC1">
        <w:rPr>
          <w:rStyle w:val="eop"/>
          <w:rFonts w:ascii="Arial" w:hAnsi="Arial" w:cs="Arial"/>
        </w:rPr>
        <w:t> </w:t>
      </w:r>
    </w:p>
    <w:p w14:paraId="63CE7563" w14:textId="77777777" w:rsidR="00D77BE7" w:rsidRPr="00A70AC1" w:rsidRDefault="00D77BE7" w:rsidP="00D77BE7">
      <w:pPr>
        <w:pStyle w:val="paragraph"/>
        <w:numPr>
          <w:ilvl w:val="0"/>
          <w:numId w:val="40"/>
        </w:numPr>
        <w:spacing w:before="0" w:beforeAutospacing="0" w:after="0" w:afterAutospacing="0"/>
        <w:ind w:left="360"/>
        <w:textAlignment w:val="baseline"/>
        <w:rPr>
          <w:rFonts w:ascii="Arial" w:hAnsi="Arial" w:cs="Arial"/>
        </w:rPr>
      </w:pPr>
      <w:r w:rsidRPr="00A70AC1">
        <w:rPr>
          <w:rStyle w:val="normaltextrun"/>
          <w:rFonts w:ascii="Arial" w:hAnsi="Arial" w:cs="Arial"/>
        </w:rPr>
        <w:t>The information contained within each option analysis is to be capable of providing evidence to support the detailed analysis required by MOD’s COEIA process to make an evidenced based decision on the most appropriate VFM option to take forward.</w:t>
      </w:r>
      <w:r w:rsidRPr="00A70AC1">
        <w:rPr>
          <w:rStyle w:val="eop"/>
          <w:rFonts w:ascii="Arial" w:hAnsi="Arial" w:cs="Arial"/>
        </w:rPr>
        <w:t> </w:t>
      </w:r>
    </w:p>
    <w:p w14:paraId="027A475D" w14:textId="77777777" w:rsidR="00D77BE7" w:rsidRPr="00A70AC1" w:rsidRDefault="00D77BE7" w:rsidP="00D77BE7">
      <w:pPr>
        <w:pStyle w:val="paragraph"/>
        <w:spacing w:before="0" w:beforeAutospacing="0" w:after="0" w:afterAutospacing="0"/>
        <w:ind w:left="360"/>
        <w:textAlignment w:val="baseline"/>
        <w:rPr>
          <w:rFonts w:ascii="Arial" w:hAnsi="Arial" w:cs="Arial"/>
        </w:rPr>
      </w:pPr>
    </w:p>
    <w:p w14:paraId="28105995" w14:textId="77777777" w:rsidR="00D77BE7" w:rsidRPr="00A70AC1" w:rsidRDefault="00D77BE7" w:rsidP="00D77BE7">
      <w:pPr>
        <w:pStyle w:val="paragraph"/>
        <w:numPr>
          <w:ilvl w:val="0"/>
          <w:numId w:val="40"/>
        </w:numPr>
        <w:spacing w:before="0" w:beforeAutospacing="0" w:after="0" w:afterAutospacing="0"/>
        <w:ind w:left="360"/>
        <w:textAlignment w:val="baseline"/>
        <w:rPr>
          <w:rStyle w:val="eop"/>
          <w:rFonts w:ascii="Arial" w:hAnsi="Arial" w:cs="Arial"/>
        </w:rPr>
      </w:pPr>
      <w:r w:rsidRPr="00A70AC1">
        <w:rPr>
          <w:rStyle w:val="normaltextrun"/>
          <w:rFonts w:ascii="Arial" w:hAnsi="Arial" w:cs="Arial"/>
          <w:b/>
          <w:bCs/>
        </w:rPr>
        <w:t xml:space="preserve">Risk transfer. </w:t>
      </w:r>
      <w:r w:rsidRPr="00A70AC1">
        <w:rPr>
          <w:rStyle w:val="normaltextrun"/>
          <w:rFonts w:ascii="Arial" w:hAnsi="Arial" w:cs="Arial"/>
        </w:rPr>
        <w:t>The supplier</w:t>
      </w:r>
      <w:r w:rsidRPr="00A70AC1">
        <w:rPr>
          <w:rStyle w:val="normaltextrun"/>
          <w:rFonts w:ascii="Arial" w:hAnsi="Arial" w:cs="Arial"/>
          <w:b/>
          <w:bCs/>
        </w:rPr>
        <w:t xml:space="preserve"> </w:t>
      </w:r>
      <w:r w:rsidRPr="00A70AC1">
        <w:rPr>
          <w:rStyle w:val="normaltextrun"/>
          <w:rFonts w:ascii="Arial" w:hAnsi="Arial" w:cs="Arial"/>
        </w:rPr>
        <w:t xml:space="preserve">should analyse the extent of the current risk transfer by MOD to its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suppliers to determine</w:t>
      </w:r>
      <w:r w:rsidRPr="00A70AC1">
        <w:rPr>
          <w:rStyle w:val="normaltextrun"/>
          <w:rFonts w:ascii="Arial" w:hAnsi="Arial" w:cs="Arial"/>
          <w:b/>
          <w:bCs/>
        </w:rPr>
        <w:t xml:space="preserve"> </w:t>
      </w:r>
      <w:r w:rsidRPr="00A70AC1">
        <w:rPr>
          <w:rStyle w:val="normaltextrun"/>
          <w:rFonts w:ascii="Arial" w:hAnsi="Arial" w:cs="Arial"/>
        </w:rPr>
        <w:t xml:space="preserve">the degree of risk transfer that may be feasible under current and future market conditions. The supplier should prepare a detailed set of recommendations to MOD on what risk must / should / could be transferred to future MOD suppliers, and what risk may need to be retained by MOD. The MOD assumes that the current degree of risk transfer achieved via the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arrangements are unlikely to be replicated in future delivery models and would wish to establish a commercially acceptable, VFM solution for future arrangements that treats both MOD and future suppliers fairly.</w:t>
      </w:r>
    </w:p>
    <w:p w14:paraId="164975B6" w14:textId="77777777" w:rsidR="00D77BE7" w:rsidRPr="00A70AC1" w:rsidRDefault="00D77BE7" w:rsidP="00D77BE7">
      <w:pPr>
        <w:pStyle w:val="paragraph"/>
        <w:spacing w:before="0" w:beforeAutospacing="0" w:after="0" w:afterAutospacing="0"/>
        <w:ind w:left="360"/>
        <w:textAlignment w:val="baseline"/>
        <w:rPr>
          <w:rStyle w:val="normaltextrun"/>
          <w:rFonts w:ascii="Arial" w:hAnsi="Arial" w:cs="Arial"/>
        </w:rPr>
      </w:pPr>
    </w:p>
    <w:p w14:paraId="1B3583A9" w14:textId="77777777" w:rsidR="00D77BE7" w:rsidRPr="00A70AC1" w:rsidRDefault="00D77BE7" w:rsidP="00D77BE7">
      <w:pPr>
        <w:pStyle w:val="paragraph"/>
        <w:numPr>
          <w:ilvl w:val="0"/>
          <w:numId w:val="40"/>
        </w:numPr>
        <w:spacing w:before="0" w:beforeAutospacing="0" w:after="0" w:afterAutospacing="0"/>
        <w:ind w:left="360"/>
        <w:textAlignment w:val="baseline"/>
        <w:rPr>
          <w:rStyle w:val="eop"/>
          <w:rFonts w:ascii="Arial" w:hAnsi="Arial" w:cs="Arial"/>
          <w:color w:val="000000" w:themeColor="text1"/>
        </w:rPr>
      </w:pPr>
      <w:r w:rsidRPr="00A70AC1">
        <w:rPr>
          <w:rStyle w:val="normaltextrun"/>
          <w:rFonts w:ascii="Arial" w:hAnsi="Arial" w:cs="Arial"/>
          <w:b/>
          <w:bCs/>
        </w:rPr>
        <w:t>Climate change and sustainability</w:t>
      </w:r>
      <w:r w:rsidRPr="00A70AC1">
        <w:rPr>
          <w:rStyle w:val="normaltextrun"/>
          <w:rFonts w:ascii="Arial" w:hAnsi="Arial" w:cs="Arial"/>
        </w:rPr>
        <w:t xml:space="preserve">. MOD perceives there is a significant opportunity that accompanies the replacement of the </w:t>
      </w:r>
      <w:proofErr w:type="spellStart"/>
      <w:r w:rsidRPr="00A70AC1">
        <w:rPr>
          <w:rStyle w:val="normaltextrun"/>
          <w:rFonts w:ascii="Arial" w:hAnsi="Arial" w:cs="Arial"/>
        </w:rPr>
        <w:t>Aquatrine</w:t>
      </w:r>
      <w:proofErr w:type="spellEnd"/>
      <w:r w:rsidRPr="00A70AC1">
        <w:rPr>
          <w:rStyle w:val="normaltextrun"/>
          <w:rFonts w:ascii="Arial" w:hAnsi="Arial" w:cs="Arial"/>
        </w:rPr>
        <w:t xml:space="preserve"> contracts to address a wide range of climate change, sustainability and net zero related initiatives. The incorporation of comprehensive, estate wide measures to combat climate change and increase sustainability are to be at the heart of any future delivery strategy, enabling MOD to become market leaders in addressing such areas as </w:t>
      </w:r>
      <w:r w:rsidRPr="00A70AC1">
        <w:rPr>
          <w:rStyle w:val="normaltextrun"/>
          <w:rFonts w:ascii="Arial" w:hAnsi="Arial" w:cs="Arial"/>
          <w:color w:val="000000"/>
          <w:shd w:val="clear" w:color="auto" w:fill="FFFFFF"/>
        </w:rPr>
        <w:t>Leakage, Flooding, Reduced Abstraction, Reduced consumption, metering, rainwater harvesting, nature-based solutions and enhanced estate stewardship (this is not an exhaustive list). The supplier is to work with MOD’s climate change and sustainability personnel to identify opportunities associated with each delivery option.</w:t>
      </w:r>
    </w:p>
    <w:p w14:paraId="6F08BB3D" w14:textId="77777777" w:rsidR="00D77BE7" w:rsidRPr="00A70AC1" w:rsidRDefault="00D77BE7" w:rsidP="00D77BE7">
      <w:pPr>
        <w:pStyle w:val="paragraph"/>
        <w:spacing w:before="0" w:beforeAutospacing="0" w:after="0" w:afterAutospacing="0"/>
        <w:ind w:left="720"/>
        <w:textAlignment w:val="baseline"/>
        <w:rPr>
          <w:rFonts w:ascii="Segoe UI" w:hAnsi="Segoe UI" w:cs="Segoe UI"/>
          <w:sz w:val="18"/>
          <w:szCs w:val="18"/>
        </w:rPr>
      </w:pPr>
      <w:r w:rsidRPr="00A70AC1">
        <w:rPr>
          <w:rStyle w:val="eop"/>
          <w:rFonts w:ascii="Arial" w:hAnsi="Arial" w:cs="Arial"/>
          <w:sz w:val="22"/>
          <w:szCs w:val="22"/>
        </w:rPr>
        <w:t> </w:t>
      </w:r>
    </w:p>
    <w:p w14:paraId="3D0412FD"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normaltextrun"/>
          <w:rFonts w:ascii="Arial" w:hAnsi="Arial" w:cs="Arial"/>
          <w:b/>
          <w:bCs/>
        </w:rPr>
        <w:t>Governance</w:t>
      </w:r>
      <w:r w:rsidRPr="00A70AC1">
        <w:rPr>
          <w:rStyle w:val="eop"/>
          <w:rFonts w:ascii="Arial" w:hAnsi="Arial" w:cs="Arial"/>
        </w:rPr>
        <w:t> </w:t>
      </w:r>
    </w:p>
    <w:p w14:paraId="60594940" w14:textId="77777777" w:rsidR="00D77BE7" w:rsidRPr="00A70AC1" w:rsidRDefault="00D77BE7" w:rsidP="00D77BE7">
      <w:pPr>
        <w:pStyle w:val="paragraph"/>
        <w:spacing w:before="0" w:beforeAutospacing="0" w:after="0" w:afterAutospacing="0"/>
        <w:textAlignment w:val="baseline"/>
        <w:rPr>
          <w:rFonts w:ascii="Segoe UI" w:hAnsi="Segoe UI" w:cs="Segoe UI"/>
          <w:sz w:val="18"/>
          <w:szCs w:val="18"/>
        </w:rPr>
      </w:pPr>
      <w:r w:rsidRPr="00A70AC1">
        <w:rPr>
          <w:rStyle w:val="eop"/>
          <w:rFonts w:ascii="Arial" w:hAnsi="Arial" w:cs="Arial"/>
        </w:rPr>
        <w:t> </w:t>
      </w:r>
    </w:p>
    <w:p w14:paraId="5C5C182E" w14:textId="77777777" w:rsidR="00D77BE7" w:rsidRPr="00A70AC1" w:rsidRDefault="00D77BE7" w:rsidP="00D77BE7">
      <w:pPr>
        <w:pStyle w:val="paragraph"/>
        <w:numPr>
          <w:ilvl w:val="0"/>
          <w:numId w:val="40"/>
        </w:numPr>
        <w:spacing w:before="0" w:beforeAutospacing="0" w:after="0" w:afterAutospacing="0"/>
        <w:ind w:left="360"/>
        <w:textAlignment w:val="baseline"/>
        <w:rPr>
          <w:rStyle w:val="eop"/>
          <w:rFonts w:ascii="Arial" w:hAnsi="Arial" w:cs="Arial"/>
        </w:rPr>
      </w:pPr>
      <w:r w:rsidRPr="00A70AC1">
        <w:rPr>
          <w:rStyle w:val="normaltextrun"/>
          <w:rFonts w:ascii="Arial" w:hAnsi="Arial" w:cs="Arial"/>
        </w:rPr>
        <w:t>Project Governance will be maintained via the PFI RP Programme Board (PB) and a dedicated Project Support Group (PSG). The supplier shall be required to report to the SRO and PB on a 6-weekly report cycle, briefing boards members on progress and presenting options for decision as required.</w:t>
      </w:r>
      <w:r w:rsidRPr="00A70AC1">
        <w:rPr>
          <w:rStyle w:val="eop"/>
          <w:rFonts w:ascii="Arial" w:hAnsi="Arial" w:cs="Arial"/>
        </w:rPr>
        <w:t> In the interim the supplier will work on daily basis under auspices of a dedicated working group, with weekly progress updates being required.</w:t>
      </w:r>
    </w:p>
    <w:p w14:paraId="5418872F" w14:textId="77777777" w:rsidR="00D77BE7" w:rsidRPr="00A70AC1" w:rsidRDefault="00D77BE7" w:rsidP="00D77BE7">
      <w:pPr>
        <w:pStyle w:val="paragraph"/>
        <w:spacing w:before="0" w:beforeAutospacing="0" w:after="0" w:afterAutospacing="0"/>
        <w:textAlignment w:val="baseline"/>
        <w:rPr>
          <w:rFonts w:ascii="Arial" w:hAnsi="Arial" w:cs="Arial"/>
        </w:rPr>
      </w:pPr>
    </w:p>
    <w:p w14:paraId="33406757" w14:textId="77777777" w:rsidR="001822F5" w:rsidRPr="00A70AC1" w:rsidRDefault="00D77BE7" w:rsidP="001822F5">
      <w:pPr>
        <w:pStyle w:val="paragraph"/>
        <w:spacing w:before="0" w:beforeAutospacing="0" w:after="0" w:afterAutospacing="0"/>
        <w:textAlignment w:val="baseline"/>
        <w:rPr>
          <w:rStyle w:val="normaltextrun"/>
          <w:rFonts w:ascii="Arial" w:hAnsi="Arial" w:cs="Arial"/>
        </w:rPr>
      </w:pPr>
      <w:r w:rsidRPr="00A70AC1">
        <w:rPr>
          <w:rStyle w:val="normaltextrun"/>
          <w:rFonts w:ascii="Arial" w:hAnsi="Arial" w:cs="Arial"/>
          <w:b/>
          <w:bCs/>
        </w:rPr>
        <w:lastRenderedPageBreak/>
        <w:t>Project and payment milestones</w:t>
      </w:r>
      <w:r w:rsidRPr="00A70AC1">
        <w:rPr>
          <w:rStyle w:val="normaltextrun"/>
          <w:rFonts w:ascii="Arial" w:hAnsi="Arial" w:cs="Arial"/>
        </w:rPr>
        <w:t xml:space="preserve">. </w:t>
      </w:r>
    </w:p>
    <w:p w14:paraId="48C94CF2" w14:textId="77777777" w:rsidR="001822F5" w:rsidRPr="00A70AC1" w:rsidRDefault="001822F5" w:rsidP="001822F5">
      <w:pPr>
        <w:pStyle w:val="ListParagraph"/>
        <w:rPr>
          <w:rStyle w:val="normaltextrun"/>
          <w:rFonts w:cs="Arial"/>
        </w:rPr>
      </w:pPr>
    </w:p>
    <w:p w14:paraId="4C06F42F" w14:textId="4192AE95" w:rsidR="00D77BE7" w:rsidRPr="00A70AC1" w:rsidRDefault="00D77BE7" w:rsidP="00D77BE7">
      <w:pPr>
        <w:pStyle w:val="paragraph"/>
        <w:numPr>
          <w:ilvl w:val="0"/>
          <w:numId w:val="40"/>
        </w:numPr>
        <w:spacing w:before="0" w:beforeAutospacing="0" w:after="0" w:afterAutospacing="0"/>
        <w:ind w:left="360"/>
        <w:textAlignment w:val="baseline"/>
        <w:rPr>
          <w:rStyle w:val="normaltextrun"/>
          <w:rFonts w:ascii="Arial" w:hAnsi="Arial" w:cs="Arial"/>
        </w:rPr>
      </w:pPr>
      <w:r w:rsidRPr="00A70AC1">
        <w:rPr>
          <w:rStyle w:val="normaltextrun"/>
          <w:rFonts w:ascii="Arial" w:hAnsi="Arial" w:cs="Arial"/>
        </w:rPr>
        <w:t>The supplier shall present a project plan, with payment milestones linked to specific deliverables as part of the tender submission. The detailed content of the plan, milestones and payment milestones will be subject to amendment and agreement with the buyer at the commencement of the contract.</w:t>
      </w:r>
    </w:p>
    <w:p w14:paraId="7CE10FEF" w14:textId="77777777" w:rsidR="00262BE6" w:rsidRPr="00A70AC1" w:rsidRDefault="00262BE6" w:rsidP="00262BE6">
      <w:pPr>
        <w:pStyle w:val="ListParagraph"/>
        <w:rPr>
          <w:rStyle w:val="normaltextrun"/>
          <w:rFonts w:cs="Arial"/>
        </w:rPr>
      </w:pPr>
    </w:p>
    <w:p w14:paraId="38DC777F" w14:textId="64949D29" w:rsidR="00262BE6" w:rsidRPr="00A70AC1" w:rsidRDefault="00AD41C0" w:rsidP="001822F5">
      <w:pPr>
        <w:pStyle w:val="paragraph"/>
        <w:spacing w:before="0" w:beforeAutospacing="0" w:after="0" w:afterAutospacing="0"/>
        <w:textAlignment w:val="baseline"/>
        <w:rPr>
          <w:rStyle w:val="normaltextrun"/>
          <w:rFonts w:ascii="Arial" w:hAnsi="Arial" w:cs="Arial"/>
          <w:b/>
          <w:bCs/>
        </w:rPr>
      </w:pPr>
      <w:r w:rsidRPr="00A70AC1">
        <w:rPr>
          <w:rStyle w:val="normaltextrun"/>
          <w:rFonts w:ascii="Arial" w:hAnsi="Arial" w:cs="Arial"/>
          <w:b/>
          <w:bCs/>
        </w:rPr>
        <w:t>Security Requirements</w:t>
      </w:r>
    </w:p>
    <w:p w14:paraId="10FD2812" w14:textId="77777777" w:rsidR="00262BE6" w:rsidRPr="00A70AC1" w:rsidRDefault="00262BE6" w:rsidP="00262BE6">
      <w:pPr>
        <w:pStyle w:val="ListParagraph"/>
        <w:rPr>
          <w:rStyle w:val="eop"/>
          <w:rFonts w:cs="Arial"/>
        </w:rPr>
      </w:pPr>
    </w:p>
    <w:p w14:paraId="26010A84" w14:textId="420E5A83" w:rsidR="00262BE6" w:rsidRPr="00A70AC1" w:rsidRDefault="00AD41C0" w:rsidP="00D77BE7">
      <w:pPr>
        <w:pStyle w:val="paragraph"/>
        <w:numPr>
          <w:ilvl w:val="0"/>
          <w:numId w:val="40"/>
        </w:numPr>
        <w:spacing w:before="0" w:beforeAutospacing="0" w:after="0" w:afterAutospacing="0"/>
        <w:ind w:left="360"/>
        <w:textAlignment w:val="baseline"/>
        <w:rPr>
          <w:rStyle w:val="eop"/>
          <w:rFonts w:ascii="Arial" w:hAnsi="Arial" w:cs="Arial"/>
        </w:rPr>
      </w:pPr>
      <w:r w:rsidRPr="00A70AC1">
        <w:rPr>
          <w:rStyle w:val="eop"/>
          <w:rFonts w:ascii="Arial" w:hAnsi="Arial" w:cs="Arial"/>
        </w:rPr>
        <w:t>All personnel employed by the Potential Provider to work</w:t>
      </w:r>
      <w:r w:rsidR="00AA0D82" w:rsidRPr="00A70AC1">
        <w:rPr>
          <w:rStyle w:val="eop"/>
          <w:rFonts w:ascii="Arial" w:hAnsi="Arial" w:cs="Arial"/>
        </w:rPr>
        <w:t xml:space="preserve"> on, or handle information related to this Contract must have a valid UK Security Clearance of </w:t>
      </w:r>
      <w:r w:rsidR="007C0F25" w:rsidRPr="00A70AC1">
        <w:rPr>
          <w:rStyle w:val="eop"/>
          <w:rFonts w:ascii="Arial" w:hAnsi="Arial" w:cs="Arial"/>
        </w:rPr>
        <w:t xml:space="preserve">at least </w:t>
      </w:r>
      <w:r w:rsidR="008438B8" w:rsidRPr="00A70AC1">
        <w:rPr>
          <w:rStyle w:val="eop"/>
          <w:rFonts w:ascii="Arial" w:hAnsi="Arial" w:cs="Arial"/>
        </w:rPr>
        <w:t>Baseline Personnel Security Standard (</w:t>
      </w:r>
      <w:r w:rsidR="007C0F25" w:rsidRPr="00A70AC1">
        <w:rPr>
          <w:rStyle w:val="eop"/>
          <w:rFonts w:ascii="Arial" w:hAnsi="Arial" w:cs="Arial"/>
        </w:rPr>
        <w:t>BPSS</w:t>
      </w:r>
      <w:r w:rsidR="008438B8" w:rsidRPr="00A70AC1">
        <w:rPr>
          <w:rStyle w:val="eop"/>
          <w:rFonts w:ascii="Arial" w:hAnsi="Arial" w:cs="Arial"/>
        </w:rPr>
        <w:t>)</w:t>
      </w:r>
      <w:r w:rsidR="006B6B0F" w:rsidRPr="00A70AC1">
        <w:rPr>
          <w:rStyle w:val="eop"/>
          <w:rFonts w:ascii="Arial" w:hAnsi="Arial" w:cs="Arial"/>
        </w:rPr>
        <w:t>.</w:t>
      </w:r>
    </w:p>
    <w:p w14:paraId="2F6BCB7F" w14:textId="77777777" w:rsidR="00A658A4" w:rsidRPr="00A70AC1" w:rsidRDefault="00A658A4" w:rsidP="00A658A4">
      <w:pPr>
        <w:pStyle w:val="paragraph"/>
        <w:spacing w:before="0" w:beforeAutospacing="0" w:after="0" w:afterAutospacing="0"/>
        <w:ind w:left="360"/>
        <w:textAlignment w:val="baseline"/>
        <w:rPr>
          <w:rStyle w:val="eop"/>
          <w:rFonts w:ascii="Arial" w:hAnsi="Arial" w:cs="Arial"/>
        </w:rPr>
      </w:pPr>
    </w:p>
    <w:p w14:paraId="0B9D0409" w14:textId="04EF8C30" w:rsidR="006B6B0F" w:rsidRPr="00A70AC1" w:rsidRDefault="00335214" w:rsidP="00D77BE7">
      <w:pPr>
        <w:pStyle w:val="paragraph"/>
        <w:numPr>
          <w:ilvl w:val="0"/>
          <w:numId w:val="40"/>
        </w:numPr>
        <w:spacing w:before="0" w:beforeAutospacing="0" w:after="0" w:afterAutospacing="0"/>
        <w:ind w:left="360"/>
        <w:textAlignment w:val="baseline"/>
        <w:rPr>
          <w:rStyle w:val="eop"/>
          <w:rFonts w:ascii="Arial" w:hAnsi="Arial" w:cs="Arial"/>
        </w:rPr>
      </w:pPr>
      <w:r w:rsidRPr="00A70AC1">
        <w:rPr>
          <w:rStyle w:val="eop"/>
          <w:rFonts w:ascii="Arial" w:hAnsi="Arial" w:cs="Arial"/>
        </w:rPr>
        <w:t>Further to DEFCON 658 the Cyber Risk Profile of the Contract is Very Low, as defined in Def Stan 05-138.</w:t>
      </w:r>
    </w:p>
    <w:p w14:paraId="38CAF960" w14:textId="77777777" w:rsidR="00262BE6" w:rsidRPr="00A70AC1" w:rsidRDefault="00262BE6" w:rsidP="00262BE6">
      <w:pPr>
        <w:pStyle w:val="ListParagraph"/>
        <w:rPr>
          <w:rStyle w:val="eop"/>
          <w:rFonts w:cs="Arial"/>
        </w:rPr>
      </w:pPr>
    </w:p>
    <w:p w14:paraId="41D28E4F" w14:textId="3F719095" w:rsidR="00D77BE7" w:rsidRPr="00A70AC1" w:rsidRDefault="00D77BE7" w:rsidP="00D77BE7"/>
    <w:p w14:paraId="45AA415E" w14:textId="77777777" w:rsidR="00D77BE7" w:rsidRPr="00A70AC1" w:rsidRDefault="00D77BE7" w:rsidP="00D77BE7">
      <w:pPr>
        <w:widowControl w:val="0"/>
        <w:rPr>
          <w:rFonts w:cs="Arial"/>
          <w:szCs w:val="22"/>
        </w:rPr>
      </w:pPr>
    </w:p>
    <w:p w14:paraId="1049BFD7" w14:textId="1D03217C" w:rsidR="003A335F" w:rsidRPr="00A70AC1" w:rsidRDefault="003A335F" w:rsidP="00D0241E">
      <w:pPr>
        <w:rPr>
          <w:rFonts w:cs="Arial"/>
          <w:szCs w:val="22"/>
        </w:rPr>
      </w:pPr>
      <w:r w:rsidRPr="00A70AC1">
        <w:rPr>
          <w:rFonts w:cs="Arial"/>
          <w:szCs w:val="22"/>
        </w:rPr>
        <w:br w:type="page"/>
      </w:r>
    </w:p>
    <w:p w14:paraId="673B1BE2" w14:textId="77777777" w:rsidR="00C23D66" w:rsidRPr="00A70AC1" w:rsidRDefault="00C23D66" w:rsidP="00D0241E">
      <w:pPr>
        <w:rPr>
          <w:rFonts w:cs="Arial"/>
          <w:szCs w:val="22"/>
        </w:rPr>
      </w:pPr>
    </w:p>
    <w:p w14:paraId="78515B8A" w14:textId="77777777" w:rsidR="00D0241E" w:rsidRPr="00A70AC1" w:rsidRDefault="00D0241E" w:rsidP="00A110A9">
      <w:pPr>
        <w:pStyle w:val="Heading1"/>
        <w:numPr>
          <w:ilvl w:val="0"/>
          <w:numId w:val="0"/>
        </w:numPr>
        <w:rPr>
          <w:rFonts w:cs="Arial"/>
          <w:szCs w:val="22"/>
        </w:rPr>
      </w:pPr>
      <w:bookmarkStart w:id="45" w:name="_Toc114216476"/>
      <w:r w:rsidRPr="00A70AC1">
        <w:rPr>
          <w:rFonts w:cs="Arial"/>
          <w:szCs w:val="22"/>
        </w:rPr>
        <w:t>Appendix C – Further Competition Questionnaire</w:t>
      </w:r>
      <w:bookmarkEnd w:id="45"/>
    </w:p>
    <w:p w14:paraId="6431C56D" w14:textId="77777777" w:rsidR="00D0241E" w:rsidRPr="00A70AC1" w:rsidRDefault="00D0241E" w:rsidP="009B27BD">
      <w:pPr>
        <w:pStyle w:val="Heading1"/>
        <w:keepNext w:val="0"/>
        <w:widowControl w:val="0"/>
        <w:numPr>
          <w:ilvl w:val="0"/>
          <w:numId w:val="24"/>
        </w:numPr>
        <w:tabs>
          <w:tab w:val="left" w:pos="851"/>
        </w:tabs>
        <w:spacing w:after="120"/>
        <w:rPr>
          <w:rFonts w:cs="Arial"/>
          <w:szCs w:val="22"/>
        </w:rPr>
      </w:pPr>
      <w:bookmarkStart w:id="46" w:name="_Toc300056695"/>
      <w:bookmarkStart w:id="47" w:name="_Toc114216477"/>
      <w:r w:rsidRPr="00A70AC1">
        <w:rPr>
          <w:rFonts w:cs="Arial"/>
          <w:szCs w:val="22"/>
        </w:rPr>
        <w:t>introduction</w:t>
      </w:r>
      <w:bookmarkEnd w:id="46"/>
      <w:bookmarkEnd w:id="47"/>
    </w:p>
    <w:p w14:paraId="646FD005" w14:textId="77777777" w:rsidR="00D0241E" w:rsidRPr="00A70AC1" w:rsidRDefault="001C0799" w:rsidP="00D0241E">
      <w:pPr>
        <w:pStyle w:val="Heading2"/>
        <w:widowControl w:val="0"/>
        <w:tabs>
          <w:tab w:val="left" w:pos="851"/>
        </w:tabs>
        <w:spacing w:after="120"/>
        <w:ind w:left="737" w:hanging="737"/>
        <w:rPr>
          <w:rFonts w:cs="Arial"/>
          <w:szCs w:val="22"/>
        </w:rPr>
      </w:pPr>
      <w:r w:rsidRPr="00A70AC1">
        <w:rPr>
          <w:rFonts w:cs="Arial"/>
          <w:szCs w:val="22"/>
        </w:rPr>
        <w:t>Appendix C</w:t>
      </w:r>
      <w:r w:rsidR="00D0241E" w:rsidRPr="00A70AC1">
        <w:rPr>
          <w:rFonts w:cs="Arial"/>
          <w:szCs w:val="22"/>
        </w:rPr>
        <w:t xml:space="preserve"> sets out the questions that will be evaluated as part of this </w:t>
      </w:r>
      <w:r w:rsidR="00B423E5" w:rsidRPr="00A70AC1">
        <w:rPr>
          <w:rFonts w:cs="Arial"/>
          <w:szCs w:val="22"/>
        </w:rPr>
        <w:t>Further Competition</w:t>
      </w:r>
      <w:r w:rsidR="00D0241E" w:rsidRPr="00A70AC1">
        <w:rPr>
          <w:rFonts w:cs="Arial"/>
          <w:szCs w:val="22"/>
        </w:rPr>
        <w:t xml:space="preserve">. </w:t>
      </w:r>
    </w:p>
    <w:p w14:paraId="308C3F76" w14:textId="77777777" w:rsidR="00D0241E" w:rsidRPr="00A70AC1" w:rsidRDefault="00D0241E" w:rsidP="00D0241E">
      <w:pPr>
        <w:pStyle w:val="Heading2"/>
        <w:widowControl w:val="0"/>
        <w:tabs>
          <w:tab w:val="left" w:pos="851"/>
        </w:tabs>
        <w:spacing w:after="120"/>
        <w:ind w:left="737" w:hanging="737"/>
        <w:rPr>
          <w:rFonts w:cs="Arial"/>
          <w:szCs w:val="22"/>
        </w:rPr>
      </w:pPr>
      <w:r w:rsidRPr="00A70AC1">
        <w:rPr>
          <w:rFonts w:cs="Arial"/>
          <w:szCs w:val="22"/>
        </w:rPr>
        <w:t xml:space="preserve">The following information has been provided in relation to each question (where applicable): </w:t>
      </w:r>
    </w:p>
    <w:p w14:paraId="0F6B5E13" w14:textId="77777777" w:rsidR="00D0241E" w:rsidRPr="00A70AC1" w:rsidRDefault="00D0241E" w:rsidP="00D0241E">
      <w:pPr>
        <w:pStyle w:val="Heading3"/>
        <w:widowControl w:val="0"/>
        <w:tabs>
          <w:tab w:val="clear" w:pos="1800"/>
          <w:tab w:val="num" w:pos="1418"/>
        </w:tabs>
        <w:spacing w:after="120"/>
        <w:ind w:left="1418" w:hanging="698"/>
        <w:rPr>
          <w:rFonts w:cs="Arial"/>
          <w:szCs w:val="22"/>
        </w:rPr>
      </w:pPr>
      <w:r w:rsidRPr="00A70AC1">
        <w:rPr>
          <w:rFonts w:cs="Arial"/>
          <w:szCs w:val="22"/>
        </w:rPr>
        <w:t xml:space="preserve">Weighting – highlights the relative importance of the </w:t>
      </w:r>
      <w:proofErr w:type="gramStart"/>
      <w:r w:rsidRPr="00A70AC1">
        <w:rPr>
          <w:rFonts w:cs="Arial"/>
          <w:szCs w:val="22"/>
        </w:rPr>
        <w:t>question</w:t>
      </w:r>
      <w:r w:rsidR="002E12EA" w:rsidRPr="00A70AC1">
        <w:rPr>
          <w:rFonts w:cs="Arial"/>
          <w:szCs w:val="22"/>
        </w:rPr>
        <w:t>;</w:t>
      </w:r>
      <w:proofErr w:type="gramEnd"/>
    </w:p>
    <w:p w14:paraId="2504A7F7" w14:textId="77777777" w:rsidR="00D0241E" w:rsidRPr="00A70AC1" w:rsidRDefault="00D0241E" w:rsidP="00D0241E">
      <w:pPr>
        <w:pStyle w:val="Heading3"/>
        <w:widowControl w:val="0"/>
        <w:tabs>
          <w:tab w:val="clear" w:pos="1800"/>
          <w:tab w:val="num" w:pos="1418"/>
        </w:tabs>
        <w:spacing w:after="120"/>
        <w:ind w:left="1418" w:hanging="698"/>
        <w:rPr>
          <w:rFonts w:cs="Arial"/>
          <w:szCs w:val="22"/>
        </w:rPr>
      </w:pPr>
      <w:r w:rsidRPr="00A70AC1">
        <w:rPr>
          <w:rFonts w:cs="Arial"/>
          <w:szCs w:val="22"/>
        </w:rPr>
        <w:t>Guidance – sets out information for the Potential Provider to consider when preparing a response</w:t>
      </w:r>
      <w:r w:rsidR="002E12EA" w:rsidRPr="00A70AC1">
        <w:rPr>
          <w:rFonts w:cs="Arial"/>
          <w:szCs w:val="22"/>
        </w:rPr>
        <w:t>; and</w:t>
      </w:r>
    </w:p>
    <w:p w14:paraId="3EAC76E3" w14:textId="77777777" w:rsidR="00D0241E" w:rsidRPr="00A70AC1" w:rsidRDefault="00D0241E" w:rsidP="00D0241E">
      <w:pPr>
        <w:pStyle w:val="Heading3"/>
        <w:widowControl w:val="0"/>
        <w:tabs>
          <w:tab w:val="clear" w:pos="1800"/>
          <w:tab w:val="num" w:pos="1418"/>
        </w:tabs>
        <w:spacing w:after="120"/>
        <w:ind w:left="1418" w:hanging="698"/>
        <w:rPr>
          <w:rFonts w:cs="Arial"/>
          <w:szCs w:val="22"/>
        </w:rPr>
      </w:pPr>
      <w:r w:rsidRPr="00A70AC1">
        <w:rPr>
          <w:rFonts w:cs="Arial"/>
          <w:szCs w:val="22"/>
        </w:rPr>
        <w:t>Marking Scheme – details the marks available to evaluators during evaluation</w:t>
      </w:r>
      <w:r w:rsidR="002E12EA" w:rsidRPr="00A70AC1">
        <w:rPr>
          <w:rFonts w:cs="Arial"/>
          <w:szCs w:val="22"/>
        </w:rPr>
        <w:t>.</w:t>
      </w:r>
      <w:r w:rsidRPr="00A70AC1">
        <w:rPr>
          <w:rFonts w:cs="Arial"/>
          <w:szCs w:val="22"/>
        </w:rPr>
        <w:t xml:space="preserve"> </w:t>
      </w:r>
    </w:p>
    <w:p w14:paraId="7959B93B" w14:textId="77777777" w:rsidR="0040535D" w:rsidRPr="00A70AC1" w:rsidRDefault="0040535D" w:rsidP="0040535D">
      <w:pPr>
        <w:pStyle w:val="Heading3"/>
        <w:widowControl w:val="0"/>
        <w:numPr>
          <w:ilvl w:val="0"/>
          <w:numId w:val="0"/>
        </w:numPr>
        <w:spacing w:after="120"/>
        <w:ind w:left="1418"/>
        <w:rPr>
          <w:rFonts w:cs="Arial"/>
          <w:szCs w:val="22"/>
        </w:rPr>
      </w:pPr>
    </w:p>
    <w:p w14:paraId="0223F350" w14:textId="77777777" w:rsidR="00D0241E" w:rsidRPr="00A70AC1" w:rsidRDefault="00D0241E" w:rsidP="00D0241E">
      <w:pPr>
        <w:pStyle w:val="Heading1"/>
        <w:tabs>
          <w:tab w:val="left" w:pos="851"/>
        </w:tabs>
        <w:spacing w:before="120" w:after="120"/>
        <w:rPr>
          <w:rFonts w:cs="Arial"/>
          <w:szCs w:val="22"/>
        </w:rPr>
      </w:pPr>
      <w:bookmarkStart w:id="48" w:name="_Toc114216478"/>
      <w:bookmarkStart w:id="49" w:name="_Toc323222359"/>
      <w:r w:rsidRPr="00A70AC1">
        <w:rPr>
          <w:rFonts w:cs="Arial"/>
          <w:szCs w:val="22"/>
        </w:rPr>
        <w:t>DOCUMENT COMPLETION</w:t>
      </w:r>
      <w:bookmarkEnd w:id="48"/>
      <w:r w:rsidRPr="00A70AC1">
        <w:rPr>
          <w:rFonts w:cs="Arial"/>
          <w:szCs w:val="22"/>
        </w:rPr>
        <w:t xml:space="preserve"> </w:t>
      </w:r>
      <w:bookmarkEnd w:id="49"/>
    </w:p>
    <w:p w14:paraId="383A06AD" w14:textId="77777777" w:rsidR="00D0241E" w:rsidRPr="00A70AC1" w:rsidRDefault="00F04525" w:rsidP="00D0241E">
      <w:pPr>
        <w:pStyle w:val="Heading2"/>
        <w:widowControl w:val="0"/>
        <w:tabs>
          <w:tab w:val="left" w:pos="851"/>
        </w:tabs>
        <w:spacing w:after="120"/>
        <w:ind w:left="737" w:hanging="737"/>
        <w:rPr>
          <w:rFonts w:cs="Arial"/>
          <w:szCs w:val="22"/>
        </w:rPr>
      </w:pPr>
      <w:r w:rsidRPr="00A70AC1">
        <w:rPr>
          <w:rFonts w:cs="Arial"/>
          <w:szCs w:val="22"/>
        </w:rPr>
        <w:t>Potential Providers</w:t>
      </w:r>
      <w:r w:rsidR="00D0241E" w:rsidRPr="00A70AC1">
        <w:rPr>
          <w:rFonts w:cs="Arial"/>
          <w:b/>
          <w:szCs w:val="22"/>
        </w:rPr>
        <w:t xml:space="preserve"> must</w:t>
      </w:r>
      <w:r w:rsidR="00D0241E" w:rsidRPr="00A70AC1">
        <w:rPr>
          <w:rFonts w:cs="Arial"/>
          <w:szCs w:val="22"/>
        </w:rPr>
        <w:t xml:space="preserve"> provide a response to every question</w:t>
      </w:r>
      <w:r w:rsidR="006A3734" w:rsidRPr="00A70AC1">
        <w:rPr>
          <w:rFonts w:cs="Arial"/>
          <w:szCs w:val="22"/>
        </w:rPr>
        <w:t xml:space="preserve"> in </w:t>
      </w:r>
      <w:r w:rsidR="00D0241E" w:rsidRPr="00A70AC1">
        <w:rPr>
          <w:rFonts w:cs="Arial"/>
          <w:szCs w:val="22"/>
        </w:rPr>
        <w:t>the blue shaded boxes. All responses must be in Arial font, no less than size 11.</w:t>
      </w:r>
    </w:p>
    <w:p w14:paraId="251EE0AF" w14:textId="77777777" w:rsidR="00D0241E" w:rsidRPr="00A70AC1" w:rsidRDefault="00F04525" w:rsidP="00D0241E">
      <w:pPr>
        <w:pStyle w:val="Heading2"/>
        <w:tabs>
          <w:tab w:val="left" w:pos="851"/>
        </w:tabs>
        <w:spacing w:after="120"/>
        <w:ind w:left="737" w:hanging="737"/>
        <w:rPr>
          <w:rFonts w:cs="Arial"/>
          <w:szCs w:val="22"/>
        </w:rPr>
      </w:pPr>
      <w:r w:rsidRPr="00A70AC1">
        <w:rPr>
          <w:rFonts w:cs="Arial"/>
          <w:szCs w:val="22"/>
        </w:rPr>
        <w:t>Potential Providers</w:t>
      </w:r>
      <w:r w:rsidR="00D0241E" w:rsidRPr="00A70AC1">
        <w:rPr>
          <w:rFonts w:cs="Arial"/>
          <w:szCs w:val="22"/>
        </w:rPr>
        <w:t xml:space="preserve"> </w:t>
      </w:r>
      <w:r w:rsidR="00D0241E" w:rsidRPr="00A70AC1">
        <w:rPr>
          <w:rFonts w:cs="Arial"/>
          <w:b/>
          <w:szCs w:val="22"/>
        </w:rPr>
        <w:t>must not</w:t>
      </w:r>
      <w:r w:rsidR="00D0241E" w:rsidRPr="00A70AC1">
        <w:rPr>
          <w:rFonts w:cs="Arial"/>
          <w:szCs w:val="22"/>
        </w:rPr>
        <w:t xml:space="preserve"> alter / amend the document in any way. </w:t>
      </w:r>
    </w:p>
    <w:p w14:paraId="2C9E6F25" w14:textId="1557E035" w:rsidR="00D0241E" w:rsidRPr="00A70AC1" w:rsidRDefault="00F04525" w:rsidP="00D0241E">
      <w:pPr>
        <w:pStyle w:val="Heading2"/>
        <w:tabs>
          <w:tab w:val="left" w:pos="851"/>
        </w:tabs>
        <w:spacing w:after="120"/>
        <w:ind w:left="737" w:hanging="737"/>
        <w:rPr>
          <w:rFonts w:cs="Arial"/>
          <w:szCs w:val="22"/>
        </w:rPr>
      </w:pPr>
      <w:r w:rsidRPr="00A70AC1">
        <w:rPr>
          <w:rFonts w:cs="Arial"/>
          <w:szCs w:val="22"/>
        </w:rPr>
        <w:t>Potential Providers</w:t>
      </w:r>
      <w:r w:rsidR="00D0241E" w:rsidRPr="00A70AC1">
        <w:rPr>
          <w:rFonts w:cs="Arial"/>
          <w:szCs w:val="22"/>
        </w:rPr>
        <w:t xml:space="preserve"> </w:t>
      </w:r>
      <w:r w:rsidR="00D0241E" w:rsidRPr="00A70AC1">
        <w:rPr>
          <w:rFonts w:cs="Arial"/>
          <w:b/>
          <w:szCs w:val="22"/>
        </w:rPr>
        <w:t>must not</w:t>
      </w:r>
      <w:r w:rsidR="00D0241E" w:rsidRPr="00A70AC1">
        <w:rPr>
          <w:rFonts w:cs="Arial"/>
          <w:szCs w:val="22"/>
        </w:rPr>
        <w:t xml:space="preserve"> submit any additional information with your Tender other than that specifically requested in this document or </w:t>
      </w:r>
      <w:r w:rsidR="0043749D" w:rsidRPr="00A70AC1">
        <w:rPr>
          <w:rFonts w:cs="Arial"/>
          <w:szCs w:val="22"/>
        </w:rPr>
        <w:t>[</w:t>
      </w:r>
      <w:r w:rsidR="00D0241E" w:rsidRPr="00A70AC1">
        <w:rPr>
          <w:rFonts w:cs="Arial"/>
          <w:szCs w:val="22"/>
        </w:rPr>
        <w:t xml:space="preserve">Appendix B – </w:t>
      </w:r>
      <w:r w:rsidR="00584701" w:rsidRPr="00A70AC1">
        <w:rPr>
          <w:rFonts w:cs="Arial"/>
          <w:szCs w:val="22"/>
        </w:rPr>
        <w:t>Specification/Statement of Requirements</w:t>
      </w:r>
      <w:r w:rsidR="00D0241E" w:rsidRPr="00A70AC1">
        <w:rPr>
          <w:rFonts w:cs="Arial"/>
          <w:szCs w:val="22"/>
        </w:rPr>
        <w:t>.</w:t>
      </w:r>
      <w:r w:rsidR="0043749D" w:rsidRPr="00A70AC1">
        <w:rPr>
          <w:rFonts w:cs="Arial"/>
          <w:szCs w:val="22"/>
        </w:rPr>
        <w:t xml:space="preserve">] </w:t>
      </w:r>
    </w:p>
    <w:p w14:paraId="27C2C808" w14:textId="77777777" w:rsidR="002F1508" w:rsidRPr="00A70AC1" w:rsidRDefault="002F1508" w:rsidP="0040535D">
      <w:pPr>
        <w:pStyle w:val="Heading2"/>
        <w:numPr>
          <w:ilvl w:val="0"/>
          <w:numId w:val="0"/>
        </w:numPr>
        <w:tabs>
          <w:tab w:val="left" w:pos="851"/>
        </w:tabs>
        <w:spacing w:after="120"/>
        <w:ind w:left="737"/>
        <w:rPr>
          <w:rFonts w:cs="Arial"/>
          <w:szCs w:val="22"/>
        </w:rPr>
        <w:sectPr w:rsidR="002F1508" w:rsidRPr="00A70AC1" w:rsidSect="009E22EF">
          <w:headerReference w:type="even" r:id="rId11"/>
          <w:headerReference w:type="default" r:id="rId12"/>
          <w:footerReference w:type="default" r:id="rId13"/>
          <w:headerReference w:type="first" r:id="rId14"/>
          <w:endnotePr>
            <w:numFmt w:val="decimal"/>
          </w:endnotePr>
          <w:pgSz w:w="11909" w:h="16834" w:code="9"/>
          <w:pgMar w:top="1440" w:right="1440" w:bottom="1560" w:left="1440" w:header="426" w:footer="433" w:gutter="0"/>
          <w:cols w:space="720"/>
          <w:noEndnote/>
        </w:sectPr>
      </w:pPr>
    </w:p>
    <w:p w14:paraId="79DAD954" w14:textId="77777777" w:rsidR="00D0241E" w:rsidRPr="00A70AC1" w:rsidRDefault="00D0241E" w:rsidP="00D0241E">
      <w:pPr>
        <w:pStyle w:val="Heading1"/>
        <w:keepNext w:val="0"/>
        <w:widowControl w:val="0"/>
        <w:tabs>
          <w:tab w:val="left" w:pos="851"/>
        </w:tabs>
        <w:spacing w:before="120"/>
        <w:rPr>
          <w:rFonts w:cs="Arial"/>
          <w:szCs w:val="22"/>
        </w:rPr>
      </w:pPr>
      <w:bookmarkStart w:id="50" w:name="_Toc300056696"/>
      <w:bookmarkStart w:id="51" w:name="_Toc114216479"/>
      <w:r w:rsidRPr="00A70AC1">
        <w:rPr>
          <w:rFonts w:cs="Arial"/>
          <w:szCs w:val="22"/>
        </w:rPr>
        <w:lastRenderedPageBreak/>
        <w:t>RESPONSE TEMPLATE</w:t>
      </w:r>
      <w:bookmarkEnd w:id="50"/>
      <w:bookmarkEnd w:id="51"/>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4920"/>
        <w:gridCol w:w="127"/>
        <w:gridCol w:w="1976"/>
        <w:gridCol w:w="22"/>
      </w:tblGrid>
      <w:tr w:rsidR="0029470C" w:rsidRPr="00A70AC1" w14:paraId="450B5B75" w14:textId="77777777" w:rsidTr="004C7CF6">
        <w:trPr>
          <w:cantSplit/>
          <w:trHeight w:val="454"/>
          <w:jc w:val="center"/>
        </w:trPr>
        <w:tc>
          <w:tcPr>
            <w:tcW w:w="0" w:type="auto"/>
            <w:shd w:val="clear" w:color="auto" w:fill="000000"/>
            <w:vAlign w:val="center"/>
          </w:tcPr>
          <w:p w14:paraId="2091EE31" w14:textId="77777777" w:rsidR="0029470C" w:rsidRPr="00A70AC1" w:rsidRDefault="0029470C" w:rsidP="00CD138B">
            <w:pPr>
              <w:widowControl w:val="0"/>
              <w:spacing w:before="60" w:after="60"/>
              <w:rPr>
                <w:rFonts w:cs="Arial"/>
                <w:b/>
                <w:color w:val="FFFFFF"/>
              </w:rPr>
            </w:pPr>
            <w:r w:rsidRPr="00A70AC1">
              <w:rPr>
                <w:rFonts w:cs="Arial"/>
                <w:b/>
                <w:color w:val="FFFFFF"/>
              </w:rPr>
              <w:t>A1</w:t>
            </w:r>
          </w:p>
        </w:tc>
        <w:tc>
          <w:tcPr>
            <w:tcW w:w="7516" w:type="dxa"/>
            <w:gridSpan w:val="2"/>
            <w:shd w:val="clear" w:color="auto" w:fill="000000"/>
            <w:vAlign w:val="center"/>
          </w:tcPr>
          <w:p w14:paraId="196B96A2" w14:textId="77777777" w:rsidR="0029470C" w:rsidRPr="00A70AC1" w:rsidRDefault="0029470C" w:rsidP="00CD138B">
            <w:pPr>
              <w:widowControl w:val="0"/>
              <w:spacing w:before="60" w:after="60"/>
              <w:rPr>
                <w:rFonts w:cs="Arial"/>
                <w:b/>
                <w:color w:val="FFFFFF"/>
              </w:rPr>
            </w:pPr>
            <w:r w:rsidRPr="00A70AC1">
              <w:rPr>
                <w:rFonts w:cs="Arial"/>
                <w:b/>
                <w:color w:val="FFFFFF"/>
              </w:rPr>
              <w:t>Company Information</w:t>
            </w:r>
          </w:p>
        </w:tc>
        <w:tc>
          <w:tcPr>
            <w:tcW w:w="2385" w:type="dxa"/>
            <w:gridSpan w:val="2"/>
            <w:shd w:val="clear" w:color="auto" w:fill="000000"/>
            <w:vAlign w:val="center"/>
          </w:tcPr>
          <w:p w14:paraId="4F7E8D9B" w14:textId="77777777" w:rsidR="0029470C" w:rsidRPr="00A70AC1" w:rsidRDefault="0029470C" w:rsidP="00CD138B">
            <w:pPr>
              <w:widowControl w:val="0"/>
              <w:spacing w:before="60" w:after="60"/>
              <w:jc w:val="right"/>
              <w:rPr>
                <w:rFonts w:cs="Arial"/>
                <w:b/>
                <w:color w:val="FFFFFF"/>
              </w:rPr>
            </w:pPr>
            <w:r w:rsidRPr="00A70AC1">
              <w:rPr>
                <w:rFonts w:cs="Arial"/>
                <w:b/>
                <w:color w:val="FFFFFF"/>
              </w:rPr>
              <w:t>Information Only</w:t>
            </w:r>
          </w:p>
        </w:tc>
      </w:tr>
      <w:tr w:rsidR="0029470C" w:rsidRPr="00A70AC1" w14:paraId="778C2ED3" w14:textId="77777777" w:rsidTr="004C7CF6">
        <w:trPr>
          <w:cantSplit/>
          <w:trHeight w:val="454"/>
          <w:jc w:val="center"/>
        </w:trPr>
        <w:tc>
          <w:tcPr>
            <w:tcW w:w="10495" w:type="dxa"/>
            <w:gridSpan w:val="5"/>
            <w:vAlign w:val="center"/>
          </w:tcPr>
          <w:p w14:paraId="5FC083C6"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b/>
              </w:rPr>
              <w:t>Please Note:</w:t>
            </w:r>
            <w:r w:rsidRPr="00A70AC1">
              <w:rPr>
                <w:rFonts w:cs="Arial"/>
              </w:rPr>
              <w:t xml:space="preserve"> Question A1 is an information only answer</w:t>
            </w:r>
          </w:p>
        </w:tc>
      </w:tr>
      <w:tr w:rsidR="0029470C" w:rsidRPr="00A70AC1" w14:paraId="381C3859" w14:textId="77777777" w:rsidTr="004C7CF6">
        <w:trPr>
          <w:cantSplit/>
          <w:trHeight w:val="454"/>
          <w:jc w:val="center"/>
        </w:trPr>
        <w:tc>
          <w:tcPr>
            <w:tcW w:w="10495" w:type="dxa"/>
            <w:gridSpan w:val="5"/>
            <w:vAlign w:val="center"/>
          </w:tcPr>
          <w:p w14:paraId="57ED4412" w14:textId="77777777" w:rsidR="0029470C" w:rsidRPr="00A70AC1" w:rsidRDefault="0029470C" w:rsidP="00CD138B">
            <w:pPr>
              <w:rPr>
                <w:rFonts w:cs="Arial"/>
              </w:rPr>
            </w:pPr>
            <w:r w:rsidRPr="00A70AC1">
              <w:rPr>
                <w:rFonts w:cs="Arial"/>
              </w:rPr>
              <w:t xml:space="preserve">Please state full company name. </w:t>
            </w:r>
          </w:p>
          <w:p w14:paraId="44594446" w14:textId="77777777" w:rsidR="0029470C" w:rsidRPr="00A70AC1" w:rsidRDefault="0029470C" w:rsidP="00CD138B">
            <w:pPr>
              <w:rPr>
                <w:rFonts w:cs="Arial"/>
              </w:rPr>
            </w:pPr>
          </w:p>
          <w:p w14:paraId="2F9D1430" w14:textId="77777777" w:rsidR="0029470C" w:rsidRPr="00A70AC1" w:rsidRDefault="0029470C" w:rsidP="00CD138B">
            <w:pPr>
              <w:rPr>
                <w:rFonts w:cs="Arial"/>
              </w:rPr>
            </w:pPr>
          </w:p>
        </w:tc>
      </w:tr>
      <w:tr w:rsidR="0029470C" w:rsidRPr="00A70AC1" w14:paraId="1B7529C1" w14:textId="77777777" w:rsidTr="004C7CF6">
        <w:trPr>
          <w:gridAfter w:val="1"/>
          <w:wAfter w:w="27" w:type="dxa"/>
          <w:cantSplit/>
          <w:trHeight w:val="454"/>
          <w:jc w:val="center"/>
        </w:trPr>
        <w:tc>
          <w:tcPr>
            <w:tcW w:w="0" w:type="auto"/>
            <w:tcBorders>
              <w:top w:val="single" w:sz="4" w:space="0" w:color="auto"/>
              <w:left w:val="single" w:sz="4" w:space="0" w:color="auto"/>
              <w:bottom w:val="single" w:sz="4" w:space="0" w:color="auto"/>
              <w:right w:val="single" w:sz="4" w:space="0" w:color="auto"/>
            </w:tcBorders>
            <w:shd w:val="clear" w:color="auto" w:fill="000000"/>
            <w:vAlign w:val="center"/>
          </w:tcPr>
          <w:p w14:paraId="2DAA900A" w14:textId="77777777" w:rsidR="0029470C" w:rsidRPr="00A70AC1" w:rsidRDefault="0029470C" w:rsidP="00CD138B">
            <w:pPr>
              <w:widowControl w:val="0"/>
              <w:spacing w:before="60" w:after="60"/>
              <w:rPr>
                <w:rFonts w:cs="Arial"/>
                <w:b/>
                <w:color w:val="FFFFFF"/>
              </w:rPr>
            </w:pPr>
            <w:r w:rsidRPr="00A70AC1">
              <w:rPr>
                <w:rFonts w:cs="Arial"/>
                <w:b/>
                <w:color w:val="FFFFFF"/>
              </w:rPr>
              <w:t>A2</w:t>
            </w:r>
          </w:p>
        </w:tc>
        <w:tc>
          <w:tcPr>
            <w:tcW w:w="7309" w:type="dxa"/>
            <w:tcBorders>
              <w:top w:val="single" w:sz="4" w:space="0" w:color="auto"/>
              <w:left w:val="single" w:sz="4" w:space="0" w:color="auto"/>
              <w:bottom w:val="single" w:sz="4" w:space="0" w:color="auto"/>
              <w:right w:val="single" w:sz="4" w:space="0" w:color="auto"/>
            </w:tcBorders>
            <w:shd w:val="clear" w:color="auto" w:fill="000000"/>
            <w:vAlign w:val="center"/>
          </w:tcPr>
          <w:p w14:paraId="0364A415" w14:textId="77777777" w:rsidR="0029470C" w:rsidRPr="00A70AC1" w:rsidRDefault="0029470C" w:rsidP="00CD138B">
            <w:pPr>
              <w:widowControl w:val="0"/>
              <w:overflowPunct w:val="0"/>
              <w:autoSpaceDE w:val="0"/>
              <w:autoSpaceDN w:val="0"/>
              <w:adjustRightInd w:val="0"/>
              <w:spacing w:before="60" w:after="60"/>
              <w:textAlignment w:val="baseline"/>
              <w:rPr>
                <w:rFonts w:cs="Arial"/>
                <w:b/>
                <w:color w:val="FFFFFF"/>
              </w:rPr>
            </w:pPr>
            <w:r w:rsidRPr="00A70AC1">
              <w:rPr>
                <w:rFonts w:cs="Arial"/>
                <w:b/>
                <w:color w:val="FFFFFF"/>
              </w:rPr>
              <w:t>Potential Provider Contact</w:t>
            </w:r>
          </w:p>
        </w:tc>
        <w:tc>
          <w:tcPr>
            <w:tcW w:w="2565"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6F761F1"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rPr>
            </w:pPr>
            <w:r w:rsidRPr="00A70AC1">
              <w:rPr>
                <w:rFonts w:cs="Arial"/>
                <w:b/>
              </w:rPr>
              <w:t>Information Only</w:t>
            </w:r>
          </w:p>
        </w:tc>
      </w:tr>
      <w:tr w:rsidR="0029470C" w:rsidRPr="00A70AC1" w14:paraId="7A7CE4D5" w14:textId="77777777" w:rsidTr="004C7CF6">
        <w:trPr>
          <w:gridAfter w:val="1"/>
          <w:wAfter w:w="27" w:type="dxa"/>
          <w:cantSplit/>
          <w:trHeight w:val="454"/>
          <w:jc w:val="center"/>
        </w:trPr>
        <w:tc>
          <w:tcPr>
            <w:tcW w:w="10468" w:type="dxa"/>
            <w:gridSpan w:val="4"/>
            <w:vAlign w:val="center"/>
          </w:tcPr>
          <w:p w14:paraId="78CF845C"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b/>
              </w:rPr>
              <w:t>Please Note:</w:t>
            </w:r>
            <w:r w:rsidRPr="00A70AC1">
              <w:rPr>
                <w:rFonts w:cs="Arial"/>
              </w:rPr>
              <w:t xml:space="preserve"> Question A2 is an information only answer</w:t>
            </w:r>
          </w:p>
          <w:p w14:paraId="4C15C6EA"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p>
        </w:tc>
      </w:tr>
      <w:tr w:rsidR="0029470C" w:rsidRPr="00A70AC1" w14:paraId="212B4CE4" w14:textId="77777777" w:rsidTr="004C7CF6">
        <w:trPr>
          <w:gridAfter w:val="1"/>
          <w:wAfter w:w="27" w:type="dxa"/>
          <w:cantSplit/>
          <w:trHeight w:val="149"/>
          <w:jc w:val="center"/>
        </w:trPr>
        <w:tc>
          <w:tcPr>
            <w:tcW w:w="4995" w:type="dxa"/>
            <w:vAlign w:val="center"/>
          </w:tcPr>
          <w:p w14:paraId="2463B9D0" w14:textId="77777777" w:rsidR="0029470C" w:rsidRPr="00A70AC1" w:rsidRDefault="0029470C" w:rsidP="00CD138B">
            <w:pPr>
              <w:rPr>
                <w:rFonts w:cs="Arial"/>
              </w:rPr>
            </w:pPr>
            <w:r w:rsidRPr="00A70AC1">
              <w:rPr>
                <w:rFonts w:cs="Arial"/>
              </w:rPr>
              <w:t>2.1 Please state the contact’s name</w:t>
            </w:r>
          </w:p>
        </w:tc>
        <w:tc>
          <w:tcPr>
            <w:tcW w:w="5473" w:type="dxa"/>
            <w:gridSpan w:val="3"/>
            <w:vAlign w:val="center"/>
          </w:tcPr>
          <w:p w14:paraId="20DC32E9" w14:textId="77777777" w:rsidR="0029470C" w:rsidRPr="00A70AC1" w:rsidRDefault="0029470C" w:rsidP="00CD138B">
            <w:pPr>
              <w:rPr>
                <w:rFonts w:cs="Arial"/>
              </w:rPr>
            </w:pPr>
          </w:p>
          <w:p w14:paraId="3A99E006" w14:textId="77777777" w:rsidR="0029470C" w:rsidRPr="00A70AC1" w:rsidRDefault="0029470C" w:rsidP="00CD138B">
            <w:pPr>
              <w:rPr>
                <w:rFonts w:cs="Arial"/>
              </w:rPr>
            </w:pPr>
          </w:p>
          <w:p w14:paraId="3C3415AE" w14:textId="77777777" w:rsidR="0029470C" w:rsidRPr="00A70AC1" w:rsidRDefault="0029470C" w:rsidP="00CD138B">
            <w:pPr>
              <w:rPr>
                <w:rFonts w:cs="Arial"/>
              </w:rPr>
            </w:pPr>
          </w:p>
          <w:p w14:paraId="35308356" w14:textId="77777777" w:rsidR="0029470C" w:rsidRPr="00A70AC1" w:rsidRDefault="0029470C" w:rsidP="00CD138B">
            <w:pPr>
              <w:rPr>
                <w:rFonts w:cs="Arial"/>
              </w:rPr>
            </w:pPr>
          </w:p>
        </w:tc>
      </w:tr>
      <w:tr w:rsidR="0029470C" w:rsidRPr="00A70AC1" w14:paraId="60803F78" w14:textId="77777777" w:rsidTr="004C7CF6">
        <w:trPr>
          <w:gridAfter w:val="1"/>
          <w:wAfter w:w="27" w:type="dxa"/>
          <w:cantSplit/>
          <w:trHeight w:val="149"/>
          <w:jc w:val="center"/>
        </w:trPr>
        <w:tc>
          <w:tcPr>
            <w:tcW w:w="4995" w:type="dxa"/>
            <w:vAlign w:val="center"/>
          </w:tcPr>
          <w:p w14:paraId="153187B8" w14:textId="77777777" w:rsidR="0029470C" w:rsidRPr="00A70AC1" w:rsidRDefault="0029470C" w:rsidP="00CD138B">
            <w:pPr>
              <w:rPr>
                <w:rFonts w:cs="Arial"/>
              </w:rPr>
            </w:pPr>
            <w:r w:rsidRPr="00A70AC1">
              <w:rPr>
                <w:rFonts w:cs="Arial"/>
              </w:rPr>
              <w:t>2.2 Please state the contact’s telephone number</w:t>
            </w:r>
          </w:p>
        </w:tc>
        <w:tc>
          <w:tcPr>
            <w:tcW w:w="5473" w:type="dxa"/>
            <w:gridSpan w:val="3"/>
            <w:vAlign w:val="center"/>
          </w:tcPr>
          <w:p w14:paraId="28305CDC" w14:textId="77777777" w:rsidR="0029470C" w:rsidRPr="00A70AC1" w:rsidRDefault="0029470C" w:rsidP="00CD138B">
            <w:pPr>
              <w:rPr>
                <w:rFonts w:cs="Arial"/>
              </w:rPr>
            </w:pPr>
          </w:p>
          <w:p w14:paraId="6267348B" w14:textId="77777777" w:rsidR="0029470C" w:rsidRPr="00A70AC1" w:rsidRDefault="0029470C" w:rsidP="00CD138B">
            <w:pPr>
              <w:rPr>
                <w:rFonts w:cs="Arial"/>
              </w:rPr>
            </w:pPr>
          </w:p>
          <w:p w14:paraId="2C57A36C" w14:textId="77777777" w:rsidR="0029470C" w:rsidRPr="00A70AC1" w:rsidRDefault="0029470C" w:rsidP="00CD138B">
            <w:pPr>
              <w:rPr>
                <w:rFonts w:cs="Arial"/>
              </w:rPr>
            </w:pPr>
          </w:p>
          <w:p w14:paraId="3925216E" w14:textId="77777777" w:rsidR="0029470C" w:rsidRPr="00A70AC1" w:rsidRDefault="0029470C" w:rsidP="00CD138B">
            <w:pPr>
              <w:rPr>
                <w:rFonts w:cs="Arial"/>
              </w:rPr>
            </w:pPr>
          </w:p>
        </w:tc>
      </w:tr>
      <w:tr w:rsidR="0029470C" w:rsidRPr="00A70AC1" w14:paraId="0DC5E5AA" w14:textId="77777777" w:rsidTr="004C7CF6">
        <w:trPr>
          <w:gridAfter w:val="1"/>
          <w:wAfter w:w="27" w:type="dxa"/>
          <w:cantSplit/>
          <w:trHeight w:val="149"/>
          <w:jc w:val="center"/>
        </w:trPr>
        <w:tc>
          <w:tcPr>
            <w:tcW w:w="4995" w:type="dxa"/>
            <w:vAlign w:val="center"/>
          </w:tcPr>
          <w:p w14:paraId="330FB583" w14:textId="77777777" w:rsidR="0029470C" w:rsidRPr="00A70AC1" w:rsidRDefault="0029470C" w:rsidP="00CD138B">
            <w:pPr>
              <w:rPr>
                <w:rFonts w:cs="Arial"/>
              </w:rPr>
            </w:pPr>
            <w:r w:rsidRPr="00A70AC1">
              <w:rPr>
                <w:rFonts w:cs="Arial"/>
              </w:rPr>
              <w:t>2.3 Please state the contact’s e-mail address</w:t>
            </w:r>
          </w:p>
        </w:tc>
        <w:tc>
          <w:tcPr>
            <w:tcW w:w="5473" w:type="dxa"/>
            <w:gridSpan w:val="3"/>
            <w:vAlign w:val="center"/>
          </w:tcPr>
          <w:p w14:paraId="7CB33109" w14:textId="77777777" w:rsidR="0029470C" w:rsidRPr="00A70AC1" w:rsidRDefault="0029470C" w:rsidP="00CD138B">
            <w:pPr>
              <w:rPr>
                <w:rFonts w:cs="Arial"/>
              </w:rPr>
            </w:pPr>
          </w:p>
          <w:p w14:paraId="016D2D4B" w14:textId="77777777" w:rsidR="0029470C" w:rsidRPr="00A70AC1" w:rsidRDefault="0029470C" w:rsidP="00CD138B">
            <w:pPr>
              <w:rPr>
                <w:rFonts w:cs="Arial"/>
              </w:rPr>
            </w:pPr>
          </w:p>
          <w:p w14:paraId="546F5602" w14:textId="77777777" w:rsidR="0029470C" w:rsidRPr="00A70AC1" w:rsidRDefault="0029470C" w:rsidP="00CD138B">
            <w:pPr>
              <w:rPr>
                <w:rFonts w:cs="Arial"/>
              </w:rPr>
            </w:pPr>
          </w:p>
          <w:p w14:paraId="4E437AAC" w14:textId="77777777" w:rsidR="0029470C" w:rsidRPr="00A70AC1" w:rsidRDefault="0029470C" w:rsidP="00CD138B">
            <w:pPr>
              <w:rPr>
                <w:rFonts w:cs="Arial"/>
              </w:rPr>
            </w:pPr>
          </w:p>
        </w:tc>
      </w:tr>
      <w:tr w:rsidR="0029470C" w:rsidRPr="00A70AC1" w14:paraId="5F205C19" w14:textId="77777777" w:rsidTr="004C7CF6">
        <w:trPr>
          <w:gridAfter w:val="1"/>
          <w:wAfter w:w="27" w:type="dxa"/>
          <w:cantSplit/>
          <w:trHeight w:val="454"/>
          <w:jc w:val="center"/>
        </w:trPr>
        <w:tc>
          <w:tcPr>
            <w:tcW w:w="0" w:type="auto"/>
            <w:shd w:val="clear" w:color="auto" w:fill="000000"/>
            <w:vAlign w:val="center"/>
          </w:tcPr>
          <w:p w14:paraId="7C0861AD" w14:textId="77777777" w:rsidR="0029470C" w:rsidRPr="00A70AC1" w:rsidRDefault="0029470C" w:rsidP="00CD138B">
            <w:pPr>
              <w:widowControl w:val="0"/>
              <w:spacing w:before="60" w:after="60"/>
              <w:rPr>
                <w:rFonts w:cs="Arial"/>
                <w:b/>
                <w:color w:val="FFFFFF"/>
              </w:rPr>
            </w:pPr>
            <w:r w:rsidRPr="00A70AC1">
              <w:rPr>
                <w:rFonts w:cs="Arial"/>
                <w:b/>
                <w:color w:val="FFFFFF"/>
              </w:rPr>
              <w:t>A3</w:t>
            </w:r>
          </w:p>
        </w:tc>
        <w:tc>
          <w:tcPr>
            <w:tcW w:w="7309" w:type="dxa"/>
            <w:shd w:val="clear" w:color="auto" w:fill="000000"/>
            <w:vAlign w:val="center"/>
          </w:tcPr>
          <w:p w14:paraId="68982F84" w14:textId="77777777" w:rsidR="0029470C" w:rsidRPr="00A70AC1" w:rsidRDefault="0029470C" w:rsidP="00CD138B">
            <w:pPr>
              <w:widowControl w:val="0"/>
              <w:overflowPunct w:val="0"/>
              <w:autoSpaceDE w:val="0"/>
              <w:autoSpaceDN w:val="0"/>
              <w:adjustRightInd w:val="0"/>
              <w:spacing w:before="60" w:after="60"/>
              <w:textAlignment w:val="baseline"/>
              <w:rPr>
                <w:rFonts w:cs="Arial"/>
                <w:color w:val="FFFFFF"/>
              </w:rPr>
            </w:pPr>
            <w:r w:rsidRPr="00A70AC1">
              <w:rPr>
                <w:rFonts w:cs="Arial"/>
                <w:b/>
                <w:color w:val="FFFFFF"/>
              </w:rPr>
              <w:t>Conflict of Interests</w:t>
            </w:r>
          </w:p>
        </w:tc>
        <w:tc>
          <w:tcPr>
            <w:tcW w:w="2565" w:type="dxa"/>
            <w:gridSpan w:val="2"/>
            <w:shd w:val="clear" w:color="auto" w:fill="000000"/>
            <w:vAlign w:val="center"/>
          </w:tcPr>
          <w:p w14:paraId="3163DCF4"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color w:val="FFFFFF"/>
              </w:rPr>
            </w:pPr>
            <w:r w:rsidRPr="00A70AC1">
              <w:rPr>
                <w:rFonts w:cs="Arial"/>
                <w:b/>
              </w:rPr>
              <w:t>Pass/Fail</w:t>
            </w:r>
          </w:p>
        </w:tc>
      </w:tr>
      <w:tr w:rsidR="0029470C" w:rsidRPr="00A70AC1" w14:paraId="21774840" w14:textId="77777777" w:rsidTr="00A658A4">
        <w:trPr>
          <w:gridAfter w:val="1"/>
          <w:wAfter w:w="27" w:type="dxa"/>
          <w:cantSplit/>
          <w:trHeight w:val="454"/>
          <w:jc w:val="center"/>
        </w:trPr>
        <w:tc>
          <w:tcPr>
            <w:tcW w:w="10468" w:type="dxa"/>
            <w:gridSpan w:val="4"/>
            <w:tcBorders>
              <w:bottom w:val="single" w:sz="4" w:space="0" w:color="auto"/>
            </w:tcBorders>
            <w:vAlign w:val="center"/>
          </w:tcPr>
          <w:p w14:paraId="777A14A7"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b/>
              </w:rPr>
              <w:t>Please Note:</w:t>
            </w:r>
            <w:r w:rsidRPr="00A70AC1">
              <w:rPr>
                <w:rFonts w:cs="Arial"/>
              </w:rPr>
              <w:t xml:space="preserve"> Question A1 is a Yes / No question is a Pass / Fail question, therefore if a Potential Provider cannot or is unwilling to answer ‘Yes’, their Tender will be deemed non-compliant, and they will be unable to be considered for this requirement. A ‘Yes’ will dictate that a Conflict-of-Interest Management Plan (COIMP) is required. To declare a Conflict of interest in delivering the follow-on commercial arrangements for </w:t>
            </w:r>
            <w:proofErr w:type="spellStart"/>
            <w:r w:rsidRPr="00A70AC1">
              <w:rPr>
                <w:rFonts w:cs="Arial"/>
              </w:rPr>
              <w:t>Aquatrine</w:t>
            </w:r>
            <w:proofErr w:type="spellEnd"/>
            <w:r w:rsidRPr="00A70AC1">
              <w:rPr>
                <w:rFonts w:cs="Arial"/>
              </w:rPr>
              <w:t xml:space="preserve"> A, B and C. </w:t>
            </w:r>
          </w:p>
        </w:tc>
      </w:tr>
      <w:tr w:rsidR="0029470C" w:rsidRPr="00A70AC1" w14:paraId="29EBE306" w14:textId="77777777" w:rsidTr="00A658A4">
        <w:trPr>
          <w:gridAfter w:val="1"/>
          <w:wAfter w:w="27" w:type="dxa"/>
          <w:cantSplit/>
          <w:trHeight w:val="454"/>
          <w:jc w:val="center"/>
        </w:trPr>
        <w:tc>
          <w:tcPr>
            <w:tcW w:w="10468" w:type="dxa"/>
            <w:gridSpan w:val="4"/>
            <w:tcBorders>
              <w:bottom w:val="single" w:sz="4" w:space="0" w:color="auto"/>
            </w:tcBorders>
            <w:vAlign w:val="center"/>
          </w:tcPr>
          <w:p w14:paraId="781B8335" w14:textId="77777777" w:rsidR="0029470C" w:rsidRPr="00A70AC1" w:rsidRDefault="0029470C" w:rsidP="00CD138B">
            <w:pPr>
              <w:rPr>
                <w:rFonts w:cs="Arial"/>
              </w:rPr>
            </w:pPr>
            <w:r w:rsidRPr="00A70AC1">
              <w:rPr>
                <w:rFonts w:cs="Arial"/>
              </w:rPr>
              <w:t>Please confirm whether you have any potential, actual or perceived conflicts of interest that may be relevant to this requirement.</w:t>
            </w:r>
          </w:p>
          <w:p w14:paraId="52857ECA" w14:textId="77777777" w:rsidR="0029470C" w:rsidRPr="00A70AC1" w:rsidRDefault="0029470C" w:rsidP="00CD138B">
            <w:pPr>
              <w:pStyle w:val="ListParagraph"/>
              <w:numPr>
                <w:ilvl w:val="0"/>
                <w:numId w:val="37"/>
              </w:numPr>
              <w:spacing w:after="200" w:line="276" w:lineRule="auto"/>
              <w:contextualSpacing/>
              <w:rPr>
                <w:rFonts w:cs="Arial"/>
              </w:rPr>
            </w:pPr>
            <w:r w:rsidRPr="00A70AC1">
              <w:rPr>
                <w:rFonts w:cs="Arial"/>
              </w:rPr>
              <w:t>No – Pass</w:t>
            </w:r>
          </w:p>
          <w:p w14:paraId="665DF302" w14:textId="77777777" w:rsidR="0029470C" w:rsidRPr="00A70AC1" w:rsidRDefault="0029470C" w:rsidP="00CD138B">
            <w:pPr>
              <w:pStyle w:val="ListParagraph"/>
              <w:numPr>
                <w:ilvl w:val="0"/>
                <w:numId w:val="37"/>
              </w:numPr>
              <w:spacing w:after="200" w:line="276" w:lineRule="auto"/>
              <w:contextualSpacing/>
              <w:rPr>
                <w:rFonts w:cs="Arial"/>
              </w:rPr>
            </w:pPr>
            <w:r w:rsidRPr="00A70AC1">
              <w:rPr>
                <w:rFonts w:cs="Arial"/>
              </w:rPr>
              <w:t>Yes, but have a COIMP – Pass (</w:t>
            </w:r>
            <w:r w:rsidRPr="00A70AC1">
              <w:rPr>
                <w:rFonts w:cs="Arial"/>
                <w:b/>
                <w:bCs/>
              </w:rPr>
              <w:t>subject to COIMP demonstrating sufficient mitigation</w:t>
            </w:r>
            <w:r w:rsidRPr="00A70AC1">
              <w:rPr>
                <w:rFonts w:cs="Arial"/>
              </w:rPr>
              <w:t>)</w:t>
            </w:r>
          </w:p>
          <w:p w14:paraId="3D407595" w14:textId="77777777" w:rsidR="0029470C" w:rsidRPr="00A70AC1" w:rsidRDefault="0029470C" w:rsidP="00CD138B">
            <w:pPr>
              <w:pStyle w:val="ListParagraph"/>
              <w:numPr>
                <w:ilvl w:val="0"/>
                <w:numId w:val="37"/>
              </w:numPr>
              <w:spacing w:after="200" w:line="276" w:lineRule="auto"/>
              <w:contextualSpacing/>
              <w:rPr>
                <w:rFonts w:cs="Arial"/>
              </w:rPr>
            </w:pPr>
            <w:r w:rsidRPr="00A70AC1">
              <w:rPr>
                <w:rFonts w:cs="Arial"/>
              </w:rPr>
              <w:t>Yes, but no COIMP - Fail</w:t>
            </w:r>
          </w:p>
          <w:p w14:paraId="6CEBB782"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If</w:t>
            </w:r>
            <w:r w:rsidRPr="00A70AC1">
              <w:rPr>
                <w:rFonts w:cs="Arial"/>
                <w:b/>
                <w:bCs/>
              </w:rPr>
              <w:t xml:space="preserve"> yes</w:t>
            </w:r>
            <w:r w:rsidRPr="00A70AC1">
              <w:rPr>
                <w:rFonts w:cs="Arial"/>
              </w:rPr>
              <w:t xml:space="preserve">, please provide a COIMP. </w:t>
            </w:r>
          </w:p>
        </w:tc>
      </w:tr>
    </w:tbl>
    <w:p w14:paraId="3928203E" w14:textId="77777777" w:rsidR="004C7CF6" w:rsidRPr="00A70AC1" w:rsidRDefault="004C7CF6">
      <w:r w:rsidRPr="00A70AC1">
        <w:br w:type="page"/>
      </w:r>
    </w:p>
    <w:tbl>
      <w:tblPr>
        <w:tblW w:w="10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
        <w:gridCol w:w="227"/>
        <w:gridCol w:w="3046"/>
        <w:gridCol w:w="661"/>
        <w:gridCol w:w="695"/>
        <w:gridCol w:w="1944"/>
        <w:gridCol w:w="736"/>
        <w:gridCol w:w="2565"/>
        <w:gridCol w:w="248"/>
      </w:tblGrid>
      <w:tr w:rsidR="0029470C" w:rsidRPr="00A70AC1" w14:paraId="6A24DBEE" w14:textId="77777777" w:rsidTr="00CD138B">
        <w:trPr>
          <w:gridAfter w:val="1"/>
          <w:wAfter w:w="248" w:type="dxa"/>
          <w:cantSplit/>
          <w:trHeight w:val="454"/>
          <w:jc w:val="center"/>
        </w:trPr>
        <w:tc>
          <w:tcPr>
            <w:tcW w:w="594" w:type="dxa"/>
            <w:gridSpan w:val="2"/>
            <w:shd w:val="clear" w:color="auto" w:fill="000000"/>
            <w:vAlign w:val="center"/>
          </w:tcPr>
          <w:p w14:paraId="59712D20" w14:textId="17A53D2A" w:rsidR="0029470C" w:rsidRPr="00A70AC1" w:rsidRDefault="0029470C" w:rsidP="00CD138B">
            <w:pPr>
              <w:widowControl w:val="0"/>
              <w:spacing w:before="60" w:after="60"/>
              <w:rPr>
                <w:rFonts w:cs="Arial"/>
                <w:b/>
                <w:color w:val="FFFFFF"/>
              </w:rPr>
            </w:pPr>
            <w:r w:rsidRPr="00A70AC1">
              <w:rPr>
                <w:rFonts w:cs="Arial"/>
                <w:b/>
                <w:color w:val="FFFFFF"/>
              </w:rPr>
              <w:lastRenderedPageBreak/>
              <w:t>A4</w:t>
            </w:r>
          </w:p>
        </w:tc>
        <w:tc>
          <w:tcPr>
            <w:tcW w:w="7309" w:type="dxa"/>
            <w:gridSpan w:val="6"/>
            <w:shd w:val="clear" w:color="auto" w:fill="000000"/>
            <w:vAlign w:val="center"/>
          </w:tcPr>
          <w:p w14:paraId="65DD1D8F" w14:textId="77777777" w:rsidR="0029470C" w:rsidRPr="00A70AC1" w:rsidRDefault="0029470C" w:rsidP="00CD138B">
            <w:pPr>
              <w:widowControl w:val="0"/>
              <w:overflowPunct w:val="0"/>
              <w:autoSpaceDE w:val="0"/>
              <w:autoSpaceDN w:val="0"/>
              <w:adjustRightInd w:val="0"/>
              <w:spacing w:before="60" w:after="60"/>
              <w:textAlignment w:val="baseline"/>
              <w:rPr>
                <w:rFonts w:cs="Arial"/>
                <w:b/>
                <w:color w:val="FFFFFF"/>
              </w:rPr>
            </w:pPr>
            <w:r w:rsidRPr="00A70AC1">
              <w:rPr>
                <w:rFonts w:cs="Arial"/>
                <w:b/>
                <w:color w:val="FFFFFF"/>
              </w:rPr>
              <w:t>Cyber Risk Profile</w:t>
            </w:r>
          </w:p>
        </w:tc>
        <w:tc>
          <w:tcPr>
            <w:tcW w:w="2565" w:type="dxa"/>
            <w:shd w:val="clear" w:color="auto" w:fill="000000"/>
            <w:vAlign w:val="center"/>
          </w:tcPr>
          <w:p w14:paraId="6EC3D73B"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color w:val="FFFFFF"/>
              </w:rPr>
            </w:pPr>
            <w:r w:rsidRPr="00A70AC1">
              <w:rPr>
                <w:rFonts w:cs="Arial"/>
                <w:b/>
                <w:color w:val="FFFFFF"/>
              </w:rPr>
              <w:t>Pass/Fail</w:t>
            </w:r>
          </w:p>
        </w:tc>
      </w:tr>
      <w:tr w:rsidR="0029470C" w:rsidRPr="00A70AC1" w14:paraId="253F10FC" w14:textId="77777777" w:rsidTr="00CD138B">
        <w:trPr>
          <w:gridAfter w:val="1"/>
          <w:wAfter w:w="248" w:type="dxa"/>
          <w:cantSplit/>
          <w:trHeight w:val="454"/>
          <w:jc w:val="center"/>
        </w:trPr>
        <w:tc>
          <w:tcPr>
            <w:tcW w:w="10468" w:type="dxa"/>
            <w:gridSpan w:val="9"/>
            <w:shd w:val="clear" w:color="auto" w:fill="D9D9D9"/>
            <w:vAlign w:val="center"/>
          </w:tcPr>
          <w:p w14:paraId="23163013" w14:textId="77777777" w:rsidR="0029470C" w:rsidRPr="00A70AC1" w:rsidRDefault="0029470C" w:rsidP="00CD138B">
            <w:pPr>
              <w:widowControl w:val="0"/>
              <w:overflowPunct w:val="0"/>
              <w:autoSpaceDE w:val="0"/>
              <w:autoSpaceDN w:val="0"/>
              <w:adjustRightInd w:val="0"/>
              <w:spacing w:before="60" w:after="60"/>
              <w:textAlignment w:val="baseline"/>
              <w:rPr>
                <w:rFonts w:cs="Arial"/>
                <w:b/>
              </w:rPr>
            </w:pPr>
            <w:r w:rsidRPr="00A70AC1">
              <w:rPr>
                <w:rFonts w:cs="Arial"/>
                <w:b/>
              </w:rPr>
              <w:t xml:space="preserve">Question: </w:t>
            </w:r>
            <w:r w:rsidRPr="00A70AC1">
              <w:rPr>
                <w:rFonts w:cs="Arial"/>
                <w:bCs/>
              </w:rPr>
              <w:t>The supplier must</w:t>
            </w:r>
            <w:r w:rsidRPr="00A70AC1">
              <w:rPr>
                <w:rFonts w:cs="Arial"/>
              </w:rPr>
              <w:t xml:space="preserve"> provide evidence of a compliant Supplier Assurance Questionnaire (SAQ)</w:t>
            </w:r>
            <w:r w:rsidRPr="00A70AC1">
              <w:t xml:space="preserve">– </w:t>
            </w:r>
          </w:p>
        </w:tc>
      </w:tr>
      <w:tr w:rsidR="0029470C" w:rsidRPr="00A70AC1" w14:paraId="0ACAB615" w14:textId="77777777" w:rsidTr="00CD138B">
        <w:trPr>
          <w:gridAfter w:val="1"/>
          <w:wAfter w:w="248" w:type="dxa"/>
          <w:cantSplit/>
          <w:trHeight w:val="454"/>
          <w:jc w:val="center"/>
        </w:trPr>
        <w:tc>
          <w:tcPr>
            <w:tcW w:w="10468" w:type="dxa"/>
            <w:gridSpan w:val="9"/>
            <w:tcBorders>
              <w:top w:val="nil"/>
            </w:tcBorders>
            <w:vAlign w:val="center"/>
          </w:tcPr>
          <w:p w14:paraId="49F1D02F" w14:textId="4CF8EA2C" w:rsidR="00685AF3" w:rsidRPr="00A70AC1" w:rsidRDefault="004027A0" w:rsidP="00CD138B">
            <w:pPr>
              <w:rPr>
                <w:rFonts w:cs="Arial"/>
              </w:rPr>
            </w:pPr>
            <w:r w:rsidRPr="00A70AC1">
              <w:rPr>
                <w:rFonts w:cs="Arial"/>
              </w:rPr>
              <w:t xml:space="preserve">To pass this question, the Potential Provider must complete </w:t>
            </w:r>
            <w:r w:rsidR="00536A61" w:rsidRPr="00A70AC1">
              <w:rPr>
                <w:rFonts w:cs="Arial"/>
              </w:rPr>
              <w:t xml:space="preserve">the Defence Cyber Security Partnership’s (DCPP) </w:t>
            </w:r>
            <w:hyperlink r:id="rId15" w:history="1">
              <w:r w:rsidR="00536A61" w:rsidRPr="006A1633">
                <w:rPr>
                  <w:rStyle w:val="Hyperlink"/>
                  <w:rFonts w:cs="Arial"/>
                </w:rPr>
                <w:t>SAQ</w:t>
              </w:r>
            </w:hyperlink>
            <w:r w:rsidR="006A45FC" w:rsidRPr="00A70AC1">
              <w:rPr>
                <w:rFonts w:cs="Arial"/>
              </w:rPr>
              <w:t>, being sure to input the following Risk Assessment Reference (RAR) Number in the appropriate box.</w:t>
            </w:r>
          </w:p>
          <w:p w14:paraId="7B2C9824" w14:textId="77777777" w:rsidR="006A45FC" w:rsidRPr="00A70AC1" w:rsidRDefault="006A45FC" w:rsidP="00CD138B">
            <w:pPr>
              <w:rPr>
                <w:rFonts w:cs="Arial"/>
              </w:rPr>
            </w:pPr>
          </w:p>
          <w:p w14:paraId="35D1A6F9" w14:textId="6D4AA236" w:rsidR="006A45FC" w:rsidRPr="00A70AC1" w:rsidRDefault="006A45FC" w:rsidP="00CD138B">
            <w:pPr>
              <w:rPr>
                <w:rFonts w:cs="Arial"/>
              </w:rPr>
            </w:pPr>
            <w:r w:rsidRPr="00A70AC1">
              <w:rPr>
                <w:rFonts w:cs="Arial"/>
              </w:rPr>
              <w:t xml:space="preserve">RAR: </w:t>
            </w:r>
            <w:r w:rsidR="0073470A" w:rsidRPr="00A70AC1">
              <w:t>792855110</w:t>
            </w:r>
          </w:p>
          <w:p w14:paraId="2D546829" w14:textId="77777777" w:rsidR="00685AF3" w:rsidRPr="00A70AC1" w:rsidRDefault="00685AF3" w:rsidP="00CD138B">
            <w:pPr>
              <w:rPr>
                <w:rFonts w:cs="Arial"/>
              </w:rPr>
            </w:pPr>
          </w:p>
          <w:p w14:paraId="39968ACD" w14:textId="79E5F0DE" w:rsidR="00554A41" w:rsidRPr="00A70AC1" w:rsidRDefault="00554A41" w:rsidP="00554A41">
            <w:pPr>
              <w:rPr>
                <w:rFonts w:cs="Arial"/>
              </w:rPr>
            </w:pPr>
            <w:r w:rsidRPr="00A70AC1">
              <w:rPr>
                <w:rFonts w:cs="Arial"/>
              </w:rPr>
              <w:t>Further to DEFCON 658 the Cyber Risk Profile of the Contract is Very Low, as defined in Def Stan 05-138.</w:t>
            </w:r>
          </w:p>
          <w:p w14:paraId="3085038C" w14:textId="77777777" w:rsidR="00554A41" w:rsidRPr="00A70AC1" w:rsidRDefault="00554A41" w:rsidP="00554A41">
            <w:pPr>
              <w:rPr>
                <w:rFonts w:cs="Arial"/>
              </w:rPr>
            </w:pPr>
          </w:p>
          <w:p w14:paraId="7F7B6358" w14:textId="5CCC8698" w:rsidR="0029470C" w:rsidRPr="00A70AC1" w:rsidRDefault="0029470C" w:rsidP="00CD138B">
            <w:pPr>
              <w:rPr>
                <w:rFonts w:cs="Arial"/>
              </w:rPr>
            </w:pPr>
            <w:r w:rsidRPr="00A70AC1">
              <w:rPr>
                <w:rFonts w:cs="Arial"/>
              </w:rPr>
              <w:t>Please provide copies of the completed SAQ and the email you receive from the DCPP team.</w:t>
            </w:r>
          </w:p>
          <w:p w14:paraId="1840ACD1" w14:textId="77777777" w:rsidR="00A658A4" w:rsidRPr="00A70AC1" w:rsidRDefault="00A658A4" w:rsidP="00CD138B">
            <w:pPr>
              <w:rPr>
                <w:rFonts w:cs="Arial"/>
              </w:rPr>
            </w:pPr>
          </w:p>
          <w:p w14:paraId="3B9F11F8" w14:textId="60F5C6BB" w:rsidR="0029470C" w:rsidRPr="00A70AC1" w:rsidRDefault="0029470C" w:rsidP="00CD138B">
            <w:pPr>
              <w:pStyle w:val="ListParagraph"/>
              <w:numPr>
                <w:ilvl w:val="0"/>
                <w:numId w:val="38"/>
              </w:numPr>
              <w:spacing w:after="200" w:line="276" w:lineRule="auto"/>
              <w:contextualSpacing/>
              <w:rPr>
                <w:rFonts w:cs="Arial"/>
              </w:rPr>
            </w:pPr>
            <w:r w:rsidRPr="00A70AC1">
              <w:rPr>
                <w:rFonts w:cs="Arial"/>
              </w:rPr>
              <w:t>Compliant – Pass</w:t>
            </w:r>
          </w:p>
          <w:p w14:paraId="4FD5CF7F" w14:textId="77777777" w:rsidR="002F1508" w:rsidRPr="00A70AC1" w:rsidRDefault="002F1508" w:rsidP="002F1508">
            <w:pPr>
              <w:pStyle w:val="ListParagraph"/>
              <w:spacing w:after="200" w:line="276" w:lineRule="auto"/>
              <w:contextualSpacing/>
              <w:rPr>
                <w:rFonts w:cs="Arial"/>
              </w:rPr>
            </w:pPr>
          </w:p>
          <w:p w14:paraId="17DF50D6" w14:textId="759646AD" w:rsidR="002F1508" w:rsidRPr="00A70AC1" w:rsidRDefault="0029470C" w:rsidP="002F1508">
            <w:pPr>
              <w:pStyle w:val="ListParagraph"/>
              <w:numPr>
                <w:ilvl w:val="0"/>
                <w:numId w:val="38"/>
              </w:numPr>
              <w:spacing w:after="200" w:line="276" w:lineRule="auto"/>
              <w:contextualSpacing/>
              <w:rPr>
                <w:rFonts w:cs="Arial"/>
              </w:rPr>
            </w:pPr>
            <w:r w:rsidRPr="00A70AC1">
              <w:rPr>
                <w:rFonts w:cs="Arial"/>
              </w:rPr>
              <w:t>Non-Compliant – Fail</w:t>
            </w:r>
          </w:p>
          <w:p w14:paraId="3E5C4FD9" w14:textId="77777777" w:rsidR="002F1508" w:rsidRPr="00A70AC1" w:rsidRDefault="002F1508" w:rsidP="00733046">
            <w:pPr>
              <w:pStyle w:val="ListParagraph"/>
              <w:spacing w:after="200" w:line="276" w:lineRule="auto"/>
              <w:contextualSpacing/>
              <w:rPr>
                <w:rFonts w:cs="Arial"/>
              </w:rPr>
            </w:pPr>
          </w:p>
          <w:p w14:paraId="1E28E6A9" w14:textId="77777777" w:rsidR="0029470C" w:rsidRPr="00A70AC1" w:rsidRDefault="0029470C" w:rsidP="00CD138B">
            <w:pPr>
              <w:pStyle w:val="ListParagraph"/>
              <w:numPr>
                <w:ilvl w:val="0"/>
                <w:numId w:val="38"/>
              </w:numPr>
              <w:spacing w:after="200" w:line="276" w:lineRule="auto"/>
              <w:contextualSpacing/>
              <w:rPr>
                <w:rFonts w:cs="Arial"/>
              </w:rPr>
            </w:pPr>
            <w:r w:rsidRPr="00A70AC1">
              <w:rPr>
                <w:rFonts w:cs="Arial"/>
              </w:rPr>
              <w:t>Non-submission – Fail</w:t>
            </w:r>
          </w:p>
          <w:p w14:paraId="53B2BB5D" w14:textId="3313EAF1" w:rsidR="00733046" w:rsidRPr="00A70AC1" w:rsidRDefault="00733046" w:rsidP="00733046">
            <w:pPr>
              <w:pStyle w:val="ListParagraph"/>
              <w:spacing w:after="200" w:line="276" w:lineRule="auto"/>
              <w:contextualSpacing/>
              <w:rPr>
                <w:rFonts w:cs="Arial"/>
              </w:rPr>
            </w:pPr>
          </w:p>
        </w:tc>
      </w:tr>
      <w:tr w:rsidR="0029470C" w:rsidRPr="00A70AC1" w14:paraId="02C0CEC8" w14:textId="77777777" w:rsidTr="00CD138B">
        <w:trPr>
          <w:gridAfter w:val="1"/>
          <w:wAfter w:w="248" w:type="dxa"/>
          <w:cantSplit/>
          <w:trHeight w:val="454"/>
          <w:jc w:val="center"/>
        </w:trPr>
        <w:tc>
          <w:tcPr>
            <w:tcW w:w="594" w:type="dxa"/>
            <w:gridSpan w:val="2"/>
            <w:shd w:val="clear" w:color="auto" w:fill="000000"/>
            <w:vAlign w:val="center"/>
          </w:tcPr>
          <w:p w14:paraId="1DB7E832" w14:textId="77777777" w:rsidR="0029470C" w:rsidRPr="00A70AC1" w:rsidRDefault="0029470C" w:rsidP="00CD138B">
            <w:pPr>
              <w:widowControl w:val="0"/>
              <w:spacing w:before="60" w:after="60"/>
              <w:rPr>
                <w:rFonts w:cs="Arial"/>
                <w:b/>
                <w:color w:val="FFFFFF"/>
              </w:rPr>
            </w:pPr>
            <w:r w:rsidRPr="00A70AC1">
              <w:rPr>
                <w:rFonts w:cs="Arial"/>
                <w:b/>
                <w:color w:val="FFFFFF"/>
              </w:rPr>
              <w:t>A5</w:t>
            </w:r>
          </w:p>
        </w:tc>
        <w:tc>
          <w:tcPr>
            <w:tcW w:w="7309" w:type="dxa"/>
            <w:gridSpan w:val="6"/>
            <w:shd w:val="clear" w:color="auto" w:fill="000000"/>
            <w:vAlign w:val="center"/>
          </w:tcPr>
          <w:p w14:paraId="33539238" w14:textId="77777777" w:rsidR="0029470C" w:rsidRPr="00A70AC1" w:rsidRDefault="0029470C" w:rsidP="00CD138B">
            <w:pPr>
              <w:widowControl w:val="0"/>
              <w:overflowPunct w:val="0"/>
              <w:autoSpaceDE w:val="0"/>
              <w:autoSpaceDN w:val="0"/>
              <w:adjustRightInd w:val="0"/>
              <w:spacing w:before="60" w:after="60"/>
              <w:textAlignment w:val="baseline"/>
              <w:rPr>
                <w:rFonts w:cs="Arial"/>
                <w:b/>
                <w:color w:val="FFFFFF"/>
              </w:rPr>
            </w:pPr>
            <w:r w:rsidRPr="00A70AC1">
              <w:rPr>
                <w:rFonts w:cs="Arial"/>
                <w:b/>
                <w:color w:val="FFFFFF"/>
              </w:rPr>
              <w:t>Experience</w:t>
            </w:r>
          </w:p>
        </w:tc>
        <w:tc>
          <w:tcPr>
            <w:tcW w:w="2565" w:type="dxa"/>
            <w:shd w:val="clear" w:color="auto" w:fill="000000"/>
            <w:vAlign w:val="center"/>
          </w:tcPr>
          <w:p w14:paraId="281D2FD5"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color w:val="FFFFFF"/>
              </w:rPr>
            </w:pPr>
            <w:r w:rsidRPr="00A70AC1">
              <w:rPr>
                <w:rFonts w:cs="Arial"/>
                <w:b/>
                <w:color w:val="FFFFFF"/>
              </w:rPr>
              <w:t>Weighting 10%</w:t>
            </w:r>
          </w:p>
        </w:tc>
      </w:tr>
      <w:tr w:rsidR="0029470C" w:rsidRPr="00A70AC1" w14:paraId="01FF8AA0" w14:textId="77777777" w:rsidTr="00CD138B">
        <w:trPr>
          <w:gridAfter w:val="1"/>
          <w:wAfter w:w="248" w:type="dxa"/>
          <w:cantSplit/>
          <w:trHeight w:val="454"/>
          <w:jc w:val="center"/>
        </w:trPr>
        <w:tc>
          <w:tcPr>
            <w:tcW w:w="10468" w:type="dxa"/>
            <w:gridSpan w:val="9"/>
            <w:shd w:val="clear" w:color="auto" w:fill="D9D9D9"/>
            <w:vAlign w:val="center"/>
          </w:tcPr>
          <w:p w14:paraId="39C97E50" w14:textId="77777777" w:rsidR="0029470C" w:rsidRPr="00A70AC1" w:rsidRDefault="0029470C" w:rsidP="00CD138B">
            <w:pPr>
              <w:widowControl w:val="0"/>
              <w:overflowPunct w:val="0"/>
              <w:autoSpaceDE w:val="0"/>
              <w:autoSpaceDN w:val="0"/>
              <w:adjustRightInd w:val="0"/>
              <w:spacing w:before="60" w:after="60"/>
              <w:textAlignment w:val="baseline"/>
              <w:rPr>
                <w:rFonts w:cs="Arial"/>
                <w:b/>
              </w:rPr>
            </w:pPr>
            <w:r w:rsidRPr="00A70AC1">
              <w:rPr>
                <w:rFonts w:cs="Arial"/>
                <w:b/>
              </w:rPr>
              <w:t xml:space="preserve">Question: </w:t>
            </w:r>
            <w:r w:rsidRPr="00A70AC1">
              <w:rPr>
                <w:rFonts w:cs="Arial"/>
              </w:rPr>
              <w:t xml:space="preserve">Please provide evidence of where you have been commissioned to facilitate the delivery of similar services to an organisation of comparable scale. </w:t>
            </w:r>
          </w:p>
        </w:tc>
      </w:tr>
      <w:tr w:rsidR="0029470C" w:rsidRPr="00A70AC1" w14:paraId="1A0BD43A" w14:textId="77777777" w:rsidTr="00CD138B">
        <w:trPr>
          <w:gridAfter w:val="1"/>
          <w:wAfter w:w="248" w:type="dxa"/>
          <w:cantSplit/>
          <w:trHeight w:val="454"/>
          <w:jc w:val="center"/>
        </w:trPr>
        <w:tc>
          <w:tcPr>
            <w:tcW w:w="10468" w:type="dxa"/>
            <w:gridSpan w:val="9"/>
            <w:tcBorders>
              <w:bottom w:val="single" w:sz="4" w:space="0" w:color="auto"/>
            </w:tcBorders>
            <w:shd w:val="clear" w:color="auto" w:fill="D9D9D9"/>
            <w:vAlign w:val="center"/>
          </w:tcPr>
          <w:p w14:paraId="4375D226" w14:textId="77777777" w:rsidR="0029470C" w:rsidRPr="00A70AC1" w:rsidRDefault="0029470C" w:rsidP="00CD138B">
            <w:pPr>
              <w:widowControl w:val="0"/>
              <w:overflowPunct w:val="0"/>
              <w:autoSpaceDE w:val="0"/>
              <w:autoSpaceDN w:val="0"/>
              <w:adjustRightInd w:val="0"/>
              <w:spacing w:before="60" w:after="60"/>
              <w:jc w:val="center"/>
              <w:textAlignment w:val="baseline"/>
              <w:rPr>
                <w:rFonts w:cs="Arial"/>
                <w:b/>
              </w:rPr>
            </w:pPr>
            <w:r w:rsidRPr="00A70AC1">
              <w:rPr>
                <w:rFonts w:cs="Arial"/>
                <w:b/>
              </w:rPr>
              <w:t>Guidance</w:t>
            </w:r>
          </w:p>
        </w:tc>
      </w:tr>
      <w:tr w:rsidR="0029470C" w:rsidRPr="00A70AC1" w14:paraId="792DB8CC" w14:textId="77777777" w:rsidTr="00CD138B">
        <w:trPr>
          <w:gridAfter w:val="1"/>
          <w:wAfter w:w="248" w:type="dxa"/>
          <w:cantSplit/>
          <w:trHeight w:val="454"/>
          <w:jc w:val="center"/>
        </w:trPr>
        <w:tc>
          <w:tcPr>
            <w:tcW w:w="10468" w:type="dxa"/>
            <w:gridSpan w:val="9"/>
            <w:tcBorders>
              <w:top w:val="single" w:sz="4" w:space="0" w:color="auto"/>
              <w:left w:val="single" w:sz="4" w:space="0" w:color="auto"/>
              <w:bottom w:val="single" w:sz="4" w:space="0" w:color="auto"/>
              <w:right w:val="single" w:sz="4" w:space="0" w:color="auto"/>
            </w:tcBorders>
          </w:tcPr>
          <w:p w14:paraId="52D96613"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Please respond to this question in Microsoft Word and return your response to the Authority saving the response in the following format (Question Number, Supplier Name, Question, response is not to exceed 750 words in Arial</w:t>
            </w:r>
            <w:r w:rsidRPr="00A70AC1">
              <w:rPr>
                <w:rFonts w:ascii="Tahoma" w:hAnsi="Tahoma" w:cs="Tahoma"/>
                <w:sz w:val="24"/>
              </w:rPr>
              <w:t xml:space="preserve"> font size 11</w:t>
            </w:r>
            <w:r w:rsidRPr="00A70AC1">
              <w:rPr>
                <w:rFonts w:cs="Arial"/>
              </w:rPr>
              <w:t xml:space="preserve">). </w:t>
            </w:r>
          </w:p>
        </w:tc>
      </w:tr>
      <w:tr w:rsidR="0029470C" w:rsidRPr="00A70AC1" w14:paraId="7F61EEB3" w14:textId="77777777" w:rsidTr="00CD138B">
        <w:trPr>
          <w:gridAfter w:val="1"/>
          <w:wAfter w:w="248" w:type="dxa"/>
          <w:cantSplit/>
          <w:trHeight w:val="454"/>
          <w:jc w:val="center"/>
        </w:trPr>
        <w:tc>
          <w:tcPr>
            <w:tcW w:w="567" w:type="dxa"/>
            <w:tcBorders>
              <w:top w:val="nil"/>
            </w:tcBorders>
            <w:shd w:val="clear" w:color="auto" w:fill="000000"/>
            <w:vAlign w:val="center"/>
          </w:tcPr>
          <w:p w14:paraId="6A175867" w14:textId="77777777" w:rsidR="0029470C" w:rsidRPr="00A70AC1" w:rsidRDefault="0029470C" w:rsidP="00CD138B">
            <w:pPr>
              <w:widowControl w:val="0"/>
              <w:spacing w:before="60" w:after="60"/>
              <w:rPr>
                <w:rFonts w:cs="Arial"/>
                <w:b/>
                <w:color w:val="FFFFFF"/>
              </w:rPr>
            </w:pPr>
            <w:r w:rsidRPr="00A70AC1">
              <w:rPr>
                <w:rFonts w:cs="Arial"/>
                <w:b/>
                <w:color w:val="FFFFFF"/>
              </w:rPr>
              <w:t>A6</w:t>
            </w:r>
          </w:p>
        </w:tc>
        <w:tc>
          <w:tcPr>
            <w:tcW w:w="4656" w:type="dxa"/>
            <w:gridSpan w:val="5"/>
            <w:tcBorders>
              <w:top w:val="nil"/>
            </w:tcBorders>
            <w:shd w:val="clear" w:color="auto" w:fill="000000"/>
            <w:vAlign w:val="center"/>
          </w:tcPr>
          <w:p w14:paraId="1CA74FA5" w14:textId="77777777" w:rsidR="0029470C" w:rsidRPr="00A70AC1" w:rsidRDefault="0029470C" w:rsidP="00CD138B">
            <w:pPr>
              <w:widowControl w:val="0"/>
              <w:spacing w:before="60" w:after="60"/>
              <w:rPr>
                <w:rFonts w:cs="Arial"/>
                <w:b/>
                <w:color w:val="FFFFFF"/>
              </w:rPr>
            </w:pPr>
            <w:r w:rsidRPr="00A70AC1">
              <w:rPr>
                <w:rFonts w:cs="Arial"/>
                <w:b/>
                <w:color w:val="FFFFFF"/>
              </w:rPr>
              <w:t>Project and Payment Milestones</w:t>
            </w:r>
          </w:p>
        </w:tc>
        <w:tc>
          <w:tcPr>
            <w:tcW w:w="5245" w:type="dxa"/>
            <w:gridSpan w:val="3"/>
            <w:tcBorders>
              <w:top w:val="nil"/>
            </w:tcBorders>
            <w:shd w:val="clear" w:color="auto" w:fill="000000"/>
            <w:vAlign w:val="center"/>
          </w:tcPr>
          <w:p w14:paraId="59A739D1" w14:textId="77777777" w:rsidR="0029470C" w:rsidRPr="00A70AC1" w:rsidRDefault="0029470C" w:rsidP="00CD138B">
            <w:pPr>
              <w:widowControl w:val="0"/>
              <w:spacing w:before="60" w:after="60"/>
              <w:jc w:val="right"/>
              <w:rPr>
                <w:rFonts w:cs="Arial"/>
                <w:b/>
                <w:color w:val="FFFFFF"/>
              </w:rPr>
            </w:pPr>
            <w:r w:rsidRPr="00A70AC1">
              <w:rPr>
                <w:rFonts w:cs="Arial"/>
                <w:b/>
                <w:color w:val="FFFFFF"/>
              </w:rPr>
              <w:t>Weighting 20%</w:t>
            </w:r>
          </w:p>
        </w:tc>
      </w:tr>
      <w:tr w:rsidR="0029470C" w:rsidRPr="00A70AC1" w14:paraId="4203AA6E" w14:textId="77777777" w:rsidTr="00CD138B">
        <w:trPr>
          <w:gridAfter w:val="1"/>
          <w:wAfter w:w="248" w:type="dxa"/>
          <w:cantSplit/>
          <w:trHeight w:val="454"/>
          <w:jc w:val="center"/>
        </w:trPr>
        <w:tc>
          <w:tcPr>
            <w:tcW w:w="10468" w:type="dxa"/>
            <w:gridSpan w:val="9"/>
            <w:shd w:val="clear" w:color="auto" w:fill="D9D9D9"/>
            <w:vAlign w:val="center"/>
          </w:tcPr>
          <w:p w14:paraId="6B0F38D1" w14:textId="77777777" w:rsidR="0029470C" w:rsidRPr="00A70AC1" w:rsidRDefault="0029470C" w:rsidP="00CD138B">
            <w:pPr>
              <w:widowControl w:val="0"/>
              <w:overflowPunct w:val="0"/>
              <w:autoSpaceDE w:val="0"/>
              <w:autoSpaceDN w:val="0"/>
              <w:adjustRightInd w:val="0"/>
              <w:spacing w:before="60" w:after="60"/>
              <w:textAlignment w:val="baseline"/>
              <w:rPr>
                <w:rFonts w:cs="Arial"/>
                <w:bCs/>
              </w:rPr>
            </w:pPr>
            <w:r w:rsidRPr="00A70AC1">
              <w:rPr>
                <w:rFonts w:cs="Arial"/>
                <w:b/>
              </w:rPr>
              <w:t xml:space="preserve">Question: </w:t>
            </w:r>
            <w:r w:rsidRPr="00A70AC1">
              <w:rPr>
                <w:rFonts w:cs="Arial"/>
                <w:bCs/>
              </w:rPr>
              <w:t xml:space="preserve">Please provide a DRAFT project plan with proposed payment milestones linked to the specific deliverables detailed in the Statement of Requirement, within the constraints detailed below (funding profile), and indicating where appropriate that the bidder’s integral resource required to meet the early deliverables is available or can be generated. </w:t>
            </w:r>
          </w:p>
        </w:tc>
      </w:tr>
      <w:tr w:rsidR="0029470C" w:rsidRPr="00A70AC1" w14:paraId="2C0B0538" w14:textId="77777777" w:rsidTr="00CD138B">
        <w:trPr>
          <w:gridAfter w:val="1"/>
          <w:wAfter w:w="248" w:type="dxa"/>
          <w:cantSplit/>
          <w:trHeight w:val="454"/>
          <w:jc w:val="center"/>
        </w:trPr>
        <w:tc>
          <w:tcPr>
            <w:tcW w:w="10468" w:type="dxa"/>
            <w:gridSpan w:val="9"/>
            <w:shd w:val="clear" w:color="auto" w:fill="D9D9D9"/>
            <w:vAlign w:val="center"/>
          </w:tcPr>
          <w:p w14:paraId="21AE0538" w14:textId="77777777" w:rsidR="0029470C" w:rsidRPr="00A70AC1" w:rsidRDefault="0029470C" w:rsidP="00CD138B">
            <w:pPr>
              <w:widowControl w:val="0"/>
              <w:overflowPunct w:val="0"/>
              <w:autoSpaceDE w:val="0"/>
              <w:autoSpaceDN w:val="0"/>
              <w:adjustRightInd w:val="0"/>
              <w:spacing w:before="60" w:after="60"/>
              <w:jc w:val="center"/>
              <w:textAlignment w:val="baseline"/>
              <w:rPr>
                <w:rFonts w:cs="Arial"/>
              </w:rPr>
            </w:pPr>
            <w:r w:rsidRPr="00A70AC1">
              <w:rPr>
                <w:rFonts w:cs="Arial"/>
                <w:b/>
              </w:rPr>
              <w:t>Guidance</w:t>
            </w:r>
          </w:p>
        </w:tc>
      </w:tr>
      <w:tr w:rsidR="0029470C" w:rsidRPr="00A70AC1" w14:paraId="5AE0DF5E" w14:textId="77777777" w:rsidTr="00CD138B">
        <w:trPr>
          <w:gridAfter w:val="1"/>
          <w:wAfter w:w="248" w:type="dxa"/>
          <w:cantSplit/>
          <w:trHeight w:val="454"/>
          <w:jc w:val="center"/>
        </w:trPr>
        <w:tc>
          <w:tcPr>
            <w:tcW w:w="10468" w:type="dxa"/>
            <w:gridSpan w:val="9"/>
          </w:tcPr>
          <w:p w14:paraId="3DD400F2" w14:textId="77777777" w:rsidR="0029470C" w:rsidRPr="00A70AC1" w:rsidRDefault="0029470C" w:rsidP="00CD138B">
            <w:pPr>
              <w:widowControl w:val="0"/>
              <w:overflowPunct w:val="0"/>
              <w:autoSpaceDE w:val="0"/>
              <w:autoSpaceDN w:val="0"/>
              <w:adjustRightInd w:val="0"/>
              <w:spacing w:before="60" w:after="60"/>
              <w:textAlignment w:val="baseline"/>
              <w:rPr>
                <w:rFonts w:cs="Arial"/>
                <w:bCs/>
              </w:rPr>
            </w:pPr>
            <w:r w:rsidRPr="00A70AC1">
              <w:rPr>
                <w:rFonts w:cs="Arial"/>
                <w:bCs/>
              </w:rPr>
              <w:t xml:space="preserve">The project length cannot exceed 30 June 2023 and is not to exceed £499,800 (inclusive of all non-recoverable VAT). </w:t>
            </w:r>
          </w:p>
          <w:p w14:paraId="09352852" w14:textId="77777777" w:rsidR="0029470C" w:rsidRPr="00A70AC1" w:rsidRDefault="0029470C" w:rsidP="00CD138B">
            <w:pPr>
              <w:pStyle w:val="paragraph"/>
              <w:spacing w:before="0" w:beforeAutospacing="0" w:after="0" w:afterAutospacing="0"/>
              <w:textAlignment w:val="baseline"/>
              <w:rPr>
                <w:rFonts w:ascii="Segoe UI" w:hAnsi="Segoe UI" w:cs="Segoe UI"/>
                <w:color w:val="242424"/>
                <w:sz w:val="21"/>
                <w:szCs w:val="21"/>
                <w:shd w:val="clear" w:color="auto" w:fill="FFFFFF"/>
              </w:rPr>
            </w:pPr>
          </w:p>
          <w:p w14:paraId="5758948D" w14:textId="77777777" w:rsidR="0029470C" w:rsidRPr="00A70AC1" w:rsidRDefault="0029470C" w:rsidP="00CD138B">
            <w:pPr>
              <w:pStyle w:val="paragraph"/>
              <w:spacing w:before="0" w:beforeAutospacing="0" w:after="0" w:afterAutospacing="0"/>
              <w:textAlignment w:val="baseline"/>
              <w:rPr>
                <w:rFonts w:ascii="Arial" w:hAnsi="Arial" w:cs="Arial"/>
                <w:bCs/>
                <w:sz w:val="22"/>
                <w:szCs w:val="22"/>
              </w:rPr>
            </w:pPr>
            <w:r w:rsidRPr="00A70AC1">
              <w:rPr>
                <w:rFonts w:ascii="Arial" w:hAnsi="Arial" w:cs="Arial"/>
                <w:bCs/>
                <w:sz w:val="22"/>
                <w:szCs w:val="22"/>
              </w:rPr>
              <w:t>The final value and timing of milestone payments shall be subject to negotiation with the successful bidder at Contract Award.</w:t>
            </w:r>
          </w:p>
          <w:p w14:paraId="7C47B8FD" w14:textId="77777777" w:rsidR="0029470C" w:rsidRPr="00A70AC1" w:rsidRDefault="0029470C" w:rsidP="00CD138B">
            <w:pPr>
              <w:pStyle w:val="paragraph"/>
              <w:spacing w:before="0" w:beforeAutospacing="0" w:after="0" w:afterAutospacing="0"/>
              <w:textAlignment w:val="baseline"/>
              <w:rPr>
                <w:rFonts w:ascii="Arial" w:hAnsi="Arial" w:cs="Arial"/>
                <w:bCs/>
                <w:sz w:val="22"/>
                <w:szCs w:val="22"/>
              </w:rPr>
            </w:pPr>
          </w:p>
          <w:p w14:paraId="733ED010"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 xml:space="preserve">Please respond to this question in Microsoft Word and return your response to the Authority saving the response in the following format (Question Number, Supplier Name, Question, response is not to exceed 1000 words in Arial font size 11. Additionally, you may also attach a single page schematic (e.g., a Gantt chart) to illustrate the project lifecycle. </w:t>
            </w:r>
          </w:p>
          <w:p w14:paraId="6690C4F5" w14:textId="556A8A0C" w:rsidR="00A658A4" w:rsidRPr="00A70AC1" w:rsidRDefault="00A658A4" w:rsidP="00CD138B">
            <w:pPr>
              <w:widowControl w:val="0"/>
              <w:overflowPunct w:val="0"/>
              <w:autoSpaceDE w:val="0"/>
              <w:autoSpaceDN w:val="0"/>
              <w:adjustRightInd w:val="0"/>
              <w:spacing w:before="60" w:after="60"/>
              <w:textAlignment w:val="baseline"/>
              <w:rPr>
                <w:rFonts w:cs="Arial"/>
              </w:rPr>
            </w:pPr>
          </w:p>
        </w:tc>
      </w:tr>
      <w:tr w:rsidR="0029470C" w:rsidRPr="00A70AC1" w14:paraId="3E7FBFBF" w14:textId="77777777" w:rsidTr="00CD138B">
        <w:trPr>
          <w:gridAfter w:val="1"/>
          <w:wAfter w:w="248" w:type="dxa"/>
          <w:trHeight w:val="454"/>
          <w:jc w:val="center"/>
        </w:trPr>
        <w:tc>
          <w:tcPr>
            <w:tcW w:w="567" w:type="dxa"/>
            <w:shd w:val="clear" w:color="auto" w:fill="000000"/>
            <w:vAlign w:val="center"/>
          </w:tcPr>
          <w:p w14:paraId="7FE5F65B" w14:textId="77777777" w:rsidR="0029470C" w:rsidRPr="00A70AC1" w:rsidRDefault="0029470C" w:rsidP="00CD138B">
            <w:pPr>
              <w:widowControl w:val="0"/>
              <w:spacing w:before="60" w:after="60"/>
              <w:rPr>
                <w:rFonts w:cs="Arial"/>
                <w:b/>
                <w:color w:val="FFFFFF"/>
              </w:rPr>
            </w:pPr>
            <w:r w:rsidRPr="00A70AC1">
              <w:rPr>
                <w:rFonts w:cs="Arial"/>
                <w:b/>
                <w:color w:val="FFFFFF"/>
              </w:rPr>
              <w:lastRenderedPageBreak/>
              <w:br w:type="page"/>
              <w:t>A7</w:t>
            </w:r>
          </w:p>
        </w:tc>
        <w:tc>
          <w:tcPr>
            <w:tcW w:w="3300" w:type="dxa"/>
            <w:gridSpan w:val="3"/>
            <w:shd w:val="clear" w:color="auto" w:fill="000000"/>
            <w:vAlign w:val="center"/>
          </w:tcPr>
          <w:p w14:paraId="3428FFC3" w14:textId="77777777" w:rsidR="0029470C" w:rsidRPr="00A70AC1" w:rsidRDefault="0029470C" w:rsidP="00CD138B">
            <w:pPr>
              <w:widowControl w:val="0"/>
              <w:spacing w:before="60" w:after="60"/>
              <w:rPr>
                <w:rFonts w:cs="Arial"/>
                <w:b/>
                <w:color w:val="FFFFFF"/>
              </w:rPr>
            </w:pPr>
            <w:r w:rsidRPr="00A70AC1">
              <w:rPr>
                <w:rFonts w:cs="Arial"/>
                <w:b/>
                <w:color w:val="FFFFFF"/>
              </w:rPr>
              <w:t xml:space="preserve">Delivery Approach </w:t>
            </w:r>
          </w:p>
        </w:tc>
        <w:tc>
          <w:tcPr>
            <w:tcW w:w="3300" w:type="dxa"/>
            <w:gridSpan w:val="3"/>
            <w:shd w:val="clear" w:color="auto" w:fill="000000"/>
            <w:vAlign w:val="center"/>
          </w:tcPr>
          <w:p w14:paraId="23E8BBAD" w14:textId="77777777" w:rsidR="0029470C" w:rsidRPr="00A70AC1" w:rsidRDefault="0029470C" w:rsidP="00CD138B">
            <w:pPr>
              <w:widowControl w:val="0"/>
              <w:spacing w:before="60" w:after="60"/>
              <w:rPr>
                <w:rFonts w:cs="Arial"/>
                <w:b/>
                <w:color w:val="FFFFFF"/>
              </w:rPr>
            </w:pPr>
          </w:p>
        </w:tc>
        <w:tc>
          <w:tcPr>
            <w:tcW w:w="3301" w:type="dxa"/>
            <w:gridSpan w:val="2"/>
            <w:shd w:val="clear" w:color="auto" w:fill="000000"/>
            <w:vAlign w:val="center"/>
          </w:tcPr>
          <w:p w14:paraId="32749B8A" w14:textId="77777777" w:rsidR="0029470C" w:rsidRPr="00A70AC1" w:rsidRDefault="0029470C" w:rsidP="00CD138B">
            <w:pPr>
              <w:widowControl w:val="0"/>
              <w:spacing w:before="60" w:after="60"/>
              <w:jc w:val="right"/>
              <w:rPr>
                <w:rFonts w:cs="Arial"/>
                <w:b/>
                <w:color w:val="FFFFFF"/>
              </w:rPr>
            </w:pPr>
            <w:r w:rsidRPr="00A70AC1">
              <w:rPr>
                <w:rFonts w:cs="Arial"/>
                <w:b/>
                <w:color w:val="FFFFFF"/>
              </w:rPr>
              <w:t>Weighting 15%</w:t>
            </w:r>
          </w:p>
        </w:tc>
      </w:tr>
      <w:tr w:rsidR="0029470C" w:rsidRPr="00A70AC1" w14:paraId="016CF147" w14:textId="77777777" w:rsidTr="00CD138B">
        <w:trPr>
          <w:gridAfter w:val="1"/>
          <w:wAfter w:w="248" w:type="dxa"/>
          <w:trHeight w:val="454"/>
          <w:jc w:val="center"/>
        </w:trPr>
        <w:tc>
          <w:tcPr>
            <w:tcW w:w="10468" w:type="dxa"/>
            <w:gridSpan w:val="9"/>
            <w:shd w:val="clear" w:color="auto" w:fill="D9D9D9"/>
            <w:vAlign w:val="center"/>
          </w:tcPr>
          <w:p w14:paraId="45EBC838"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b/>
              </w:rPr>
              <w:t>Question:</w:t>
            </w:r>
            <w:r w:rsidRPr="00A70AC1">
              <w:rPr>
                <w:rFonts w:cs="Arial"/>
              </w:rPr>
              <w:t xml:space="preserve"> Describe the approach you will adopt to meet deliverable 1, as detailed in the requirement, including the specific methodology to produce the evidence that will be used to inform and support the Authority’s final decision making. </w:t>
            </w:r>
          </w:p>
        </w:tc>
      </w:tr>
      <w:tr w:rsidR="0029470C" w:rsidRPr="00A70AC1" w14:paraId="430C3298" w14:textId="77777777" w:rsidTr="00CD138B">
        <w:trPr>
          <w:gridAfter w:val="1"/>
          <w:wAfter w:w="248" w:type="dxa"/>
          <w:trHeight w:val="454"/>
          <w:jc w:val="center"/>
        </w:trPr>
        <w:tc>
          <w:tcPr>
            <w:tcW w:w="10468" w:type="dxa"/>
            <w:gridSpan w:val="9"/>
            <w:tcBorders>
              <w:bottom w:val="single" w:sz="4" w:space="0" w:color="auto"/>
            </w:tcBorders>
            <w:shd w:val="clear" w:color="auto" w:fill="D9D9D9"/>
            <w:vAlign w:val="center"/>
          </w:tcPr>
          <w:p w14:paraId="4B70D79B" w14:textId="77777777" w:rsidR="0029470C" w:rsidRPr="00A70AC1" w:rsidRDefault="0029470C" w:rsidP="00CD138B">
            <w:pPr>
              <w:widowControl w:val="0"/>
              <w:overflowPunct w:val="0"/>
              <w:autoSpaceDE w:val="0"/>
              <w:autoSpaceDN w:val="0"/>
              <w:adjustRightInd w:val="0"/>
              <w:spacing w:before="60" w:after="60"/>
              <w:jc w:val="center"/>
              <w:textAlignment w:val="baseline"/>
              <w:rPr>
                <w:rFonts w:cs="Arial"/>
                <w:b/>
              </w:rPr>
            </w:pPr>
            <w:r w:rsidRPr="00A70AC1">
              <w:rPr>
                <w:rFonts w:cs="Arial"/>
                <w:b/>
              </w:rPr>
              <w:t>Guidance</w:t>
            </w:r>
          </w:p>
        </w:tc>
      </w:tr>
      <w:tr w:rsidR="0029470C" w:rsidRPr="00A70AC1" w14:paraId="04824F60" w14:textId="77777777" w:rsidTr="00CD138B">
        <w:trPr>
          <w:gridAfter w:val="1"/>
          <w:wAfter w:w="248" w:type="dxa"/>
          <w:trHeight w:val="454"/>
          <w:jc w:val="center"/>
        </w:trPr>
        <w:tc>
          <w:tcPr>
            <w:tcW w:w="10468" w:type="dxa"/>
            <w:gridSpan w:val="9"/>
            <w:tcBorders>
              <w:bottom w:val="single" w:sz="4" w:space="0" w:color="auto"/>
            </w:tcBorders>
          </w:tcPr>
          <w:p w14:paraId="45FDDBFE"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 xml:space="preserve">You should detail your approach to Service Delivery including the following: </w:t>
            </w:r>
          </w:p>
          <w:p w14:paraId="36ED72E5" w14:textId="77777777" w:rsidR="0029470C" w:rsidRPr="00A70AC1" w:rsidRDefault="0029470C" w:rsidP="00CD138B">
            <w:pPr>
              <w:widowControl w:val="0"/>
              <w:numPr>
                <w:ilvl w:val="0"/>
                <w:numId w:val="36"/>
              </w:numPr>
              <w:overflowPunct w:val="0"/>
              <w:autoSpaceDE w:val="0"/>
              <w:autoSpaceDN w:val="0"/>
              <w:adjustRightInd w:val="0"/>
              <w:spacing w:before="60" w:after="60" w:line="259" w:lineRule="auto"/>
              <w:contextualSpacing/>
              <w:textAlignment w:val="baseline"/>
              <w:rPr>
                <w:rFonts w:cs="Arial"/>
              </w:rPr>
            </w:pPr>
            <w:r w:rsidRPr="00A70AC1">
              <w:rPr>
                <w:rFonts w:cs="Arial"/>
              </w:rPr>
              <w:t xml:space="preserve">The resources you have available to undertake the task; numbers and skills/expertise. </w:t>
            </w:r>
          </w:p>
          <w:p w14:paraId="4E5D89F1" w14:textId="77777777" w:rsidR="0029470C" w:rsidRPr="00A70AC1" w:rsidRDefault="0029470C" w:rsidP="00CD138B">
            <w:pPr>
              <w:widowControl w:val="0"/>
              <w:numPr>
                <w:ilvl w:val="0"/>
                <w:numId w:val="36"/>
              </w:numPr>
              <w:overflowPunct w:val="0"/>
              <w:autoSpaceDE w:val="0"/>
              <w:autoSpaceDN w:val="0"/>
              <w:adjustRightInd w:val="0"/>
              <w:spacing w:before="60" w:after="60" w:line="259" w:lineRule="auto"/>
              <w:contextualSpacing/>
              <w:textAlignment w:val="baseline"/>
              <w:rPr>
                <w:rFonts w:cs="Arial"/>
              </w:rPr>
            </w:pPr>
            <w:r w:rsidRPr="00A70AC1">
              <w:rPr>
                <w:rFonts w:cs="Arial"/>
              </w:rPr>
              <w:t xml:space="preserve">The nature of the engagement you will undertake with the Water Industry, the Authority, the Customer and their stakeholders. </w:t>
            </w:r>
          </w:p>
          <w:p w14:paraId="7581B8B7" w14:textId="77777777" w:rsidR="0029470C" w:rsidRPr="00A70AC1" w:rsidRDefault="0029470C" w:rsidP="00CD138B">
            <w:pPr>
              <w:widowControl w:val="0"/>
              <w:numPr>
                <w:ilvl w:val="0"/>
                <w:numId w:val="36"/>
              </w:numPr>
              <w:overflowPunct w:val="0"/>
              <w:autoSpaceDE w:val="0"/>
              <w:autoSpaceDN w:val="0"/>
              <w:adjustRightInd w:val="0"/>
              <w:spacing w:before="60" w:after="60" w:line="259" w:lineRule="auto"/>
              <w:contextualSpacing/>
              <w:textAlignment w:val="baseline"/>
              <w:rPr>
                <w:rFonts w:cs="Arial"/>
              </w:rPr>
            </w:pPr>
            <w:r w:rsidRPr="00A70AC1">
              <w:rPr>
                <w:rFonts w:cs="Arial"/>
              </w:rPr>
              <w:t>The measures you will adopt to ensure the task is completed within the required timescales.</w:t>
            </w:r>
          </w:p>
          <w:p w14:paraId="0C984057" w14:textId="77777777" w:rsidR="0029470C" w:rsidRPr="00A70AC1" w:rsidRDefault="0029470C" w:rsidP="00CD138B">
            <w:pPr>
              <w:widowControl w:val="0"/>
              <w:numPr>
                <w:ilvl w:val="0"/>
                <w:numId w:val="36"/>
              </w:numPr>
              <w:overflowPunct w:val="0"/>
              <w:autoSpaceDE w:val="0"/>
              <w:autoSpaceDN w:val="0"/>
              <w:adjustRightInd w:val="0"/>
              <w:spacing w:before="60" w:after="60" w:line="259" w:lineRule="auto"/>
              <w:contextualSpacing/>
              <w:textAlignment w:val="baseline"/>
              <w:rPr>
                <w:rFonts w:cs="Arial"/>
              </w:rPr>
            </w:pPr>
            <w:r w:rsidRPr="00A70AC1">
              <w:rPr>
                <w:rFonts w:cs="Arial"/>
              </w:rPr>
              <w:t xml:space="preserve">The DRAFT outline of data, information and access to Authority staff you may require from the Authority in order to facilitate the deliverables. </w:t>
            </w:r>
          </w:p>
          <w:p w14:paraId="47E906D2" w14:textId="77777777" w:rsidR="0029470C" w:rsidRPr="00A70AC1" w:rsidRDefault="0029470C" w:rsidP="00CD138B">
            <w:pPr>
              <w:widowControl w:val="0"/>
              <w:numPr>
                <w:ilvl w:val="0"/>
                <w:numId w:val="36"/>
              </w:numPr>
              <w:overflowPunct w:val="0"/>
              <w:autoSpaceDE w:val="0"/>
              <w:autoSpaceDN w:val="0"/>
              <w:adjustRightInd w:val="0"/>
              <w:spacing w:before="60" w:after="60" w:line="259" w:lineRule="auto"/>
              <w:contextualSpacing/>
              <w:textAlignment w:val="baseline"/>
              <w:rPr>
                <w:rFonts w:cs="Arial"/>
              </w:rPr>
            </w:pPr>
            <w:r w:rsidRPr="00A70AC1">
              <w:rPr>
                <w:rFonts w:cs="Arial"/>
              </w:rPr>
              <w:t>The way in which you will advise, liaise and collaborate with the Authority prior to presenting your recommended solutions.</w:t>
            </w:r>
          </w:p>
          <w:p w14:paraId="51B78F7D"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p>
          <w:p w14:paraId="2DE2D8BD"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Please respond to this question in Microsoft Word and return your response to the Authority saving the response in the following format: Question Number, Tenderer Name, Question, response is not to exceed 1250 words in Arial font size 11.</w:t>
            </w:r>
          </w:p>
          <w:p w14:paraId="0A088927" w14:textId="72A18A6C" w:rsidR="00CB6915" w:rsidRPr="00A70AC1" w:rsidRDefault="00CB6915" w:rsidP="00CD138B">
            <w:pPr>
              <w:widowControl w:val="0"/>
              <w:overflowPunct w:val="0"/>
              <w:autoSpaceDE w:val="0"/>
              <w:autoSpaceDN w:val="0"/>
              <w:adjustRightInd w:val="0"/>
              <w:spacing w:before="60" w:after="60"/>
              <w:textAlignment w:val="baseline"/>
              <w:rPr>
                <w:rFonts w:cs="Arial"/>
              </w:rPr>
            </w:pPr>
          </w:p>
        </w:tc>
      </w:tr>
      <w:tr w:rsidR="0029470C" w:rsidRPr="00A70AC1" w14:paraId="2B9C3B22" w14:textId="77777777" w:rsidTr="00CD138B">
        <w:trPr>
          <w:trHeight w:val="454"/>
          <w:jc w:val="center"/>
        </w:trPr>
        <w:tc>
          <w:tcPr>
            <w:tcW w:w="821" w:type="dxa"/>
            <w:gridSpan w:val="3"/>
            <w:shd w:val="clear" w:color="auto" w:fill="000000" w:themeFill="text1"/>
            <w:vAlign w:val="center"/>
          </w:tcPr>
          <w:p w14:paraId="162BBDD1" w14:textId="77777777" w:rsidR="0029470C" w:rsidRPr="00A70AC1" w:rsidRDefault="0029470C" w:rsidP="00CD138B">
            <w:pPr>
              <w:widowControl w:val="0"/>
              <w:spacing w:before="60" w:after="60"/>
              <w:rPr>
                <w:rFonts w:cs="Arial"/>
                <w:b/>
                <w:color w:val="FFFFFF"/>
              </w:rPr>
            </w:pPr>
            <w:r w:rsidRPr="00A70AC1">
              <w:rPr>
                <w:rFonts w:cs="Arial"/>
                <w:b/>
                <w:color w:val="FFFFFF"/>
              </w:rPr>
              <w:br w:type="page"/>
              <w:t>A8</w:t>
            </w:r>
          </w:p>
        </w:tc>
        <w:tc>
          <w:tcPr>
            <w:tcW w:w="3707" w:type="dxa"/>
            <w:gridSpan w:val="2"/>
            <w:shd w:val="clear" w:color="auto" w:fill="000000" w:themeFill="text1"/>
            <w:vAlign w:val="center"/>
          </w:tcPr>
          <w:p w14:paraId="271DA749" w14:textId="77777777" w:rsidR="0029470C" w:rsidRPr="00A70AC1" w:rsidRDefault="0029470C" w:rsidP="00CD138B">
            <w:pPr>
              <w:widowControl w:val="0"/>
              <w:adjustRightInd w:val="0"/>
              <w:spacing w:before="60" w:after="60"/>
              <w:rPr>
                <w:rFonts w:cs="Arial"/>
                <w:b/>
                <w:color w:val="FFFFFF"/>
              </w:rPr>
            </w:pPr>
            <w:r w:rsidRPr="00A70AC1">
              <w:rPr>
                <w:rFonts w:cs="Arial"/>
                <w:b/>
                <w:color w:val="FFFFFF"/>
              </w:rPr>
              <w:t>Risk Transfer</w:t>
            </w:r>
          </w:p>
        </w:tc>
        <w:tc>
          <w:tcPr>
            <w:tcW w:w="6188" w:type="dxa"/>
            <w:gridSpan w:val="5"/>
            <w:shd w:val="clear" w:color="auto" w:fill="000000" w:themeFill="text1"/>
            <w:vAlign w:val="center"/>
          </w:tcPr>
          <w:p w14:paraId="37A76360"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color w:val="FFFFFF"/>
              </w:rPr>
            </w:pPr>
            <w:r w:rsidRPr="00A70AC1">
              <w:rPr>
                <w:rFonts w:cs="Arial"/>
                <w:b/>
                <w:color w:val="FFFFFF"/>
              </w:rPr>
              <w:t>Weighting 5%</w:t>
            </w:r>
          </w:p>
        </w:tc>
      </w:tr>
      <w:tr w:rsidR="0029470C" w:rsidRPr="00A70AC1" w14:paraId="336B35BC" w14:textId="77777777" w:rsidTr="00CD138B">
        <w:trPr>
          <w:trHeight w:val="454"/>
          <w:jc w:val="center"/>
        </w:trPr>
        <w:tc>
          <w:tcPr>
            <w:tcW w:w="10716" w:type="dxa"/>
            <w:gridSpan w:val="10"/>
            <w:shd w:val="clear" w:color="auto" w:fill="D9D9D9" w:themeFill="background1" w:themeFillShade="D9"/>
            <w:vAlign w:val="center"/>
          </w:tcPr>
          <w:p w14:paraId="2395585A" w14:textId="77777777" w:rsidR="0029470C" w:rsidRPr="00A70AC1" w:rsidRDefault="0029470C" w:rsidP="00CD138B">
            <w:pPr>
              <w:textAlignment w:val="center"/>
              <w:rPr>
                <w:rFonts w:cs="Arial"/>
                <w:bCs/>
              </w:rPr>
            </w:pPr>
            <w:r w:rsidRPr="00A70AC1">
              <w:rPr>
                <w:rFonts w:cs="Arial"/>
                <w:b/>
              </w:rPr>
              <w:t xml:space="preserve">Question: </w:t>
            </w:r>
            <w:r w:rsidRPr="00A70AC1">
              <w:rPr>
                <w:rFonts w:cs="Arial"/>
                <w:bCs/>
              </w:rPr>
              <w:t>As an illustrative example, at present the Authority has transferred all risk associated with Environmental Compliance to the current provider. Provide details, including proposed methodology and a DRAFT plan explaining how you would suggest the risk is managed when current contractual arrangements end.</w:t>
            </w:r>
            <w:r w:rsidRPr="00A70AC1">
              <w:rPr>
                <w:rFonts w:cs="Arial"/>
              </w:rPr>
              <w:t xml:space="preserve"> </w:t>
            </w:r>
          </w:p>
        </w:tc>
      </w:tr>
      <w:tr w:rsidR="0029470C" w:rsidRPr="00A70AC1" w14:paraId="1E3C71A2" w14:textId="77777777" w:rsidTr="00CD138B">
        <w:trPr>
          <w:trHeight w:val="454"/>
          <w:jc w:val="center"/>
        </w:trPr>
        <w:tc>
          <w:tcPr>
            <w:tcW w:w="10716" w:type="dxa"/>
            <w:gridSpan w:val="10"/>
            <w:shd w:val="clear" w:color="auto" w:fill="D9D9D9" w:themeFill="background1" w:themeFillShade="D9"/>
            <w:vAlign w:val="center"/>
          </w:tcPr>
          <w:p w14:paraId="32F93A40" w14:textId="77777777" w:rsidR="0029470C" w:rsidRPr="00A70AC1" w:rsidRDefault="0029470C" w:rsidP="00CD138B">
            <w:pPr>
              <w:widowControl w:val="0"/>
              <w:overflowPunct w:val="0"/>
              <w:autoSpaceDE w:val="0"/>
              <w:autoSpaceDN w:val="0"/>
              <w:adjustRightInd w:val="0"/>
              <w:spacing w:before="60" w:after="60"/>
              <w:jc w:val="center"/>
              <w:textAlignment w:val="baseline"/>
              <w:rPr>
                <w:rFonts w:cs="Arial"/>
                <w:b/>
              </w:rPr>
            </w:pPr>
            <w:r w:rsidRPr="00A70AC1">
              <w:rPr>
                <w:rFonts w:cs="Arial"/>
                <w:b/>
              </w:rPr>
              <w:t>Guidance</w:t>
            </w:r>
          </w:p>
        </w:tc>
      </w:tr>
      <w:tr w:rsidR="0029470C" w:rsidRPr="00A70AC1" w14:paraId="36759080" w14:textId="77777777" w:rsidTr="00CD138B">
        <w:trPr>
          <w:trHeight w:val="454"/>
          <w:jc w:val="center"/>
        </w:trPr>
        <w:tc>
          <w:tcPr>
            <w:tcW w:w="10716" w:type="dxa"/>
            <w:gridSpan w:val="10"/>
          </w:tcPr>
          <w:p w14:paraId="0FE0192A" w14:textId="77777777" w:rsidR="0029470C" w:rsidRPr="00A70AC1" w:rsidRDefault="0029470C" w:rsidP="00CD138B">
            <w:pPr>
              <w:textAlignment w:val="center"/>
              <w:rPr>
                <w:rFonts w:cs="Arial"/>
                <w:bCs/>
              </w:rPr>
            </w:pPr>
            <w:r w:rsidRPr="00A70AC1">
              <w:rPr>
                <w:rFonts w:cs="Arial"/>
                <w:bCs/>
              </w:rPr>
              <w:t>The Authority assumes that the current degree of risk transfer achieved via current contractual arrangements are unlikely to be replicated in future delivery models and would wish to establish a commercially acceptable, VFM solution for future arrangements</w:t>
            </w:r>
            <w:r w:rsidRPr="00A70AC1">
              <w:rPr>
                <w:rStyle w:val="normaltextrun"/>
                <w:rFonts w:cs="Arial"/>
                <w:color w:val="000000"/>
                <w:bdr w:val="none" w:sz="0" w:space="0" w:color="auto" w:frame="1"/>
              </w:rPr>
              <w:t xml:space="preserve"> that treats both the Authority and future suppliers fairly.</w:t>
            </w:r>
          </w:p>
          <w:p w14:paraId="23321469" w14:textId="77777777" w:rsidR="0029470C" w:rsidRPr="00A70AC1" w:rsidRDefault="0029470C" w:rsidP="00CD138B">
            <w:pPr>
              <w:widowControl w:val="0"/>
              <w:overflowPunct w:val="0"/>
              <w:autoSpaceDE w:val="0"/>
              <w:autoSpaceDN w:val="0"/>
              <w:adjustRightInd w:val="0"/>
              <w:spacing w:before="60" w:after="60" w:line="259" w:lineRule="auto"/>
              <w:contextualSpacing/>
              <w:textAlignment w:val="baseline"/>
              <w:rPr>
                <w:rFonts w:cs="Arial"/>
              </w:rPr>
            </w:pPr>
          </w:p>
          <w:p w14:paraId="5345C3CE"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Please respond to this question in Microsoft Word and return your response to the Authority saving the response in the following format: Question Number, Tenderer Name, Question, response is not to exceed 750 words in Arial font size 11.</w:t>
            </w:r>
          </w:p>
        </w:tc>
      </w:tr>
      <w:tr w:rsidR="0029470C" w:rsidRPr="00A70AC1" w14:paraId="302676FF" w14:textId="77777777" w:rsidTr="00CD138B">
        <w:trPr>
          <w:trHeight w:val="454"/>
          <w:jc w:val="center"/>
        </w:trPr>
        <w:tc>
          <w:tcPr>
            <w:tcW w:w="821" w:type="dxa"/>
            <w:gridSpan w:val="3"/>
            <w:shd w:val="clear" w:color="auto" w:fill="000000" w:themeFill="text1"/>
            <w:vAlign w:val="center"/>
          </w:tcPr>
          <w:p w14:paraId="57355019" w14:textId="77777777" w:rsidR="0029470C" w:rsidRPr="00A70AC1" w:rsidRDefault="0029470C" w:rsidP="00CD138B">
            <w:pPr>
              <w:widowControl w:val="0"/>
              <w:spacing w:before="60" w:after="60"/>
              <w:rPr>
                <w:rFonts w:cs="Arial"/>
                <w:b/>
                <w:color w:val="FFFFFF"/>
              </w:rPr>
            </w:pPr>
            <w:r w:rsidRPr="00A70AC1">
              <w:rPr>
                <w:rFonts w:cs="Arial"/>
                <w:b/>
                <w:color w:val="FFFFFF"/>
              </w:rPr>
              <w:br w:type="page"/>
              <w:t>A9</w:t>
            </w:r>
          </w:p>
        </w:tc>
        <w:tc>
          <w:tcPr>
            <w:tcW w:w="3707" w:type="dxa"/>
            <w:gridSpan w:val="2"/>
            <w:shd w:val="clear" w:color="auto" w:fill="000000" w:themeFill="text1"/>
            <w:vAlign w:val="center"/>
          </w:tcPr>
          <w:p w14:paraId="334EA181" w14:textId="77777777" w:rsidR="0029470C" w:rsidRPr="00A70AC1" w:rsidRDefault="0029470C" w:rsidP="00CD138B">
            <w:pPr>
              <w:widowControl w:val="0"/>
              <w:adjustRightInd w:val="0"/>
              <w:spacing w:before="60" w:after="60"/>
              <w:rPr>
                <w:rFonts w:cs="Arial"/>
                <w:b/>
                <w:color w:val="FFFFFF"/>
              </w:rPr>
            </w:pPr>
            <w:r w:rsidRPr="00A70AC1">
              <w:rPr>
                <w:rFonts w:cs="Arial"/>
                <w:b/>
                <w:color w:val="FFFFFF"/>
              </w:rPr>
              <w:t>Sustainability and Social Value</w:t>
            </w:r>
          </w:p>
        </w:tc>
        <w:tc>
          <w:tcPr>
            <w:tcW w:w="6188" w:type="dxa"/>
            <w:gridSpan w:val="5"/>
            <w:shd w:val="clear" w:color="auto" w:fill="000000" w:themeFill="text1"/>
            <w:vAlign w:val="center"/>
          </w:tcPr>
          <w:p w14:paraId="6A96A435"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color w:val="FFFFFF"/>
              </w:rPr>
            </w:pPr>
            <w:r w:rsidRPr="00A70AC1">
              <w:rPr>
                <w:rFonts w:cs="Arial"/>
                <w:b/>
                <w:color w:val="FFFFFF"/>
              </w:rPr>
              <w:t>Weighting 10%</w:t>
            </w:r>
          </w:p>
        </w:tc>
      </w:tr>
      <w:tr w:rsidR="0029470C" w:rsidRPr="00A70AC1" w14:paraId="4CCFE1D7" w14:textId="77777777" w:rsidTr="00CD138B">
        <w:trPr>
          <w:trHeight w:val="454"/>
          <w:jc w:val="center"/>
        </w:trPr>
        <w:tc>
          <w:tcPr>
            <w:tcW w:w="10716" w:type="dxa"/>
            <w:gridSpan w:val="10"/>
            <w:shd w:val="clear" w:color="auto" w:fill="D9D9D9" w:themeFill="background1" w:themeFillShade="D9"/>
            <w:vAlign w:val="center"/>
          </w:tcPr>
          <w:p w14:paraId="4EAFE423" w14:textId="77777777" w:rsidR="0029470C" w:rsidRPr="00A70AC1" w:rsidRDefault="0029470C" w:rsidP="00CD138B">
            <w:pPr>
              <w:textAlignment w:val="center"/>
              <w:rPr>
                <w:rFonts w:cs="Arial"/>
              </w:rPr>
            </w:pPr>
            <w:r w:rsidRPr="00A70AC1">
              <w:rPr>
                <w:rFonts w:cs="Arial"/>
                <w:b/>
              </w:rPr>
              <w:t xml:space="preserve">Question: </w:t>
            </w:r>
            <w:r w:rsidRPr="00A70AC1">
              <w:rPr>
                <w:rFonts w:cs="Arial"/>
                <w:bCs/>
              </w:rPr>
              <w:t>The Authority</w:t>
            </w:r>
            <w:r w:rsidRPr="00A70AC1">
              <w:rPr>
                <w:rFonts w:cs="Arial"/>
              </w:rPr>
              <w:t xml:space="preserve"> perceives there is a significant opportunity that accompanies the replacement of the </w:t>
            </w:r>
            <w:proofErr w:type="spellStart"/>
            <w:r w:rsidRPr="00A70AC1">
              <w:rPr>
                <w:rFonts w:cs="Arial"/>
              </w:rPr>
              <w:t>Aquatrine</w:t>
            </w:r>
            <w:proofErr w:type="spellEnd"/>
            <w:r w:rsidRPr="00A70AC1">
              <w:rPr>
                <w:rFonts w:cs="Arial"/>
              </w:rPr>
              <w:t xml:space="preserve"> contracts to address a wide range of social value, climate change, sustainability and net zero related initiatives. Using the water abstraction licencing policy from the Environmental Agency (EA) as an illustrative example, provide details of an initiative to reduce abstraction across the Authority’s estate.</w:t>
            </w:r>
          </w:p>
        </w:tc>
      </w:tr>
      <w:tr w:rsidR="0029470C" w:rsidRPr="00A70AC1" w14:paraId="5156F800" w14:textId="77777777" w:rsidTr="00CD138B">
        <w:trPr>
          <w:trHeight w:val="454"/>
          <w:jc w:val="center"/>
        </w:trPr>
        <w:tc>
          <w:tcPr>
            <w:tcW w:w="10716" w:type="dxa"/>
            <w:gridSpan w:val="10"/>
            <w:shd w:val="clear" w:color="auto" w:fill="D9D9D9" w:themeFill="background1" w:themeFillShade="D9"/>
            <w:vAlign w:val="center"/>
          </w:tcPr>
          <w:p w14:paraId="5E17C7C0" w14:textId="77777777" w:rsidR="0029470C" w:rsidRPr="00A70AC1" w:rsidRDefault="0029470C" w:rsidP="00CD138B">
            <w:pPr>
              <w:widowControl w:val="0"/>
              <w:overflowPunct w:val="0"/>
              <w:autoSpaceDE w:val="0"/>
              <w:autoSpaceDN w:val="0"/>
              <w:adjustRightInd w:val="0"/>
              <w:spacing w:before="60" w:after="60"/>
              <w:jc w:val="center"/>
              <w:textAlignment w:val="baseline"/>
              <w:rPr>
                <w:rFonts w:cs="Arial"/>
                <w:b/>
              </w:rPr>
            </w:pPr>
            <w:r w:rsidRPr="00A70AC1">
              <w:rPr>
                <w:rFonts w:cs="Arial"/>
                <w:b/>
              </w:rPr>
              <w:t>Guidance</w:t>
            </w:r>
          </w:p>
        </w:tc>
      </w:tr>
      <w:tr w:rsidR="0029470C" w:rsidRPr="00A70AC1" w14:paraId="69832C19" w14:textId="77777777" w:rsidTr="00CD138B">
        <w:trPr>
          <w:trHeight w:val="454"/>
          <w:jc w:val="center"/>
        </w:trPr>
        <w:tc>
          <w:tcPr>
            <w:tcW w:w="10716" w:type="dxa"/>
            <w:gridSpan w:val="10"/>
          </w:tcPr>
          <w:p w14:paraId="1074FD62"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When answering this question, you should note that the Authority currently owns a private water network of which 25% is fed from Authority owned boreholes and 75% from Statutory Undertakers.</w:t>
            </w:r>
          </w:p>
          <w:p w14:paraId="732942DC"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p>
          <w:p w14:paraId="10F6DCD9"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Please respond to this question in Microsoft Word and return your response to the Authority saving the response in the following format: Question Number, Tenderer Name, Question, response is not to exceed 750 words in Arial font size 11.</w:t>
            </w:r>
          </w:p>
        </w:tc>
      </w:tr>
      <w:tr w:rsidR="0029470C" w:rsidRPr="00A70AC1" w14:paraId="589AD406" w14:textId="77777777" w:rsidTr="00CD138B">
        <w:trPr>
          <w:trHeight w:val="454"/>
          <w:jc w:val="center"/>
        </w:trPr>
        <w:tc>
          <w:tcPr>
            <w:tcW w:w="10716" w:type="dxa"/>
            <w:gridSpan w:val="10"/>
            <w:shd w:val="clear" w:color="auto" w:fill="000000" w:themeFill="text1"/>
          </w:tcPr>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151"/>
              <w:gridCol w:w="6719"/>
            </w:tblGrid>
            <w:tr w:rsidR="0029470C" w:rsidRPr="00A70AC1" w14:paraId="52B83A92" w14:textId="77777777" w:rsidTr="00CD138B">
              <w:trPr>
                <w:trHeight w:val="454"/>
                <w:jc w:val="center"/>
              </w:trPr>
              <w:tc>
                <w:tcPr>
                  <w:tcW w:w="567" w:type="dxa"/>
                  <w:shd w:val="clear" w:color="auto" w:fill="000000" w:themeFill="text1"/>
                  <w:vAlign w:val="center"/>
                </w:tcPr>
                <w:p w14:paraId="683FAEEB" w14:textId="77777777" w:rsidR="0029470C" w:rsidRPr="00A70AC1" w:rsidRDefault="0029470C" w:rsidP="00CD138B">
                  <w:pPr>
                    <w:widowControl w:val="0"/>
                    <w:spacing w:before="60" w:after="60"/>
                    <w:rPr>
                      <w:rFonts w:cs="Arial"/>
                      <w:b/>
                      <w:color w:val="FFFFFF"/>
                    </w:rPr>
                  </w:pPr>
                  <w:r w:rsidRPr="00A70AC1">
                    <w:rPr>
                      <w:rFonts w:cs="Arial"/>
                      <w:b/>
                      <w:color w:val="FFFFFF"/>
                    </w:rPr>
                    <w:lastRenderedPageBreak/>
                    <w:br w:type="page"/>
                    <w:t>A10</w:t>
                  </w:r>
                </w:p>
              </w:tc>
              <w:tc>
                <w:tcPr>
                  <w:tcW w:w="3167" w:type="dxa"/>
                  <w:shd w:val="clear" w:color="auto" w:fill="000000" w:themeFill="text1"/>
                  <w:vAlign w:val="center"/>
                </w:tcPr>
                <w:p w14:paraId="6E266687" w14:textId="77777777" w:rsidR="0029470C" w:rsidRPr="00A70AC1" w:rsidRDefault="0029470C" w:rsidP="00CD138B">
                  <w:pPr>
                    <w:widowControl w:val="0"/>
                    <w:adjustRightInd w:val="0"/>
                    <w:spacing w:before="60" w:after="60"/>
                    <w:rPr>
                      <w:rFonts w:cs="Arial"/>
                      <w:b/>
                      <w:color w:val="FFFFFF"/>
                    </w:rPr>
                  </w:pPr>
                  <w:r w:rsidRPr="00A70AC1">
                    <w:rPr>
                      <w:rFonts w:cs="Arial"/>
                      <w:b/>
                      <w:color w:val="FFFFFF"/>
                    </w:rPr>
                    <w:t>Price</w:t>
                  </w:r>
                </w:p>
              </w:tc>
              <w:tc>
                <w:tcPr>
                  <w:tcW w:w="6756" w:type="dxa"/>
                  <w:shd w:val="clear" w:color="auto" w:fill="000000" w:themeFill="text1"/>
                  <w:vAlign w:val="center"/>
                </w:tcPr>
                <w:p w14:paraId="52383E3B" w14:textId="77777777" w:rsidR="0029470C" w:rsidRPr="00A70AC1" w:rsidRDefault="0029470C" w:rsidP="00CD138B">
                  <w:pPr>
                    <w:widowControl w:val="0"/>
                    <w:overflowPunct w:val="0"/>
                    <w:autoSpaceDE w:val="0"/>
                    <w:autoSpaceDN w:val="0"/>
                    <w:adjustRightInd w:val="0"/>
                    <w:spacing w:before="60" w:after="60"/>
                    <w:jc w:val="right"/>
                    <w:textAlignment w:val="baseline"/>
                    <w:rPr>
                      <w:rFonts w:cs="Arial"/>
                      <w:b/>
                      <w:color w:val="FFFFFF"/>
                    </w:rPr>
                  </w:pPr>
                  <w:r w:rsidRPr="00A70AC1">
                    <w:rPr>
                      <w:rFonts w:cs="Arial"/>
                      <w:b/>
                      <w:color w:val="FFFFFF"/>
                    </w:rPr>
                    <w:t>Weighting 40%</w:t>
                  </w:r>
                </w:p>
              </w:tc>
            </w:tr>
          </w:tbl>
          <w:p w14:paraId="00ABC46A" w14:textId="77777777" w:rsidR="0029470C" w:rsidRPr="00A70AC1" w:rsidRDefault="0029470C" w:rsidP="00CD138B">
            <w:pPr>
              <w:widowControl w:val="0"/>
              <w:overflowPunct w:val="0"/>
              <w:autoSpaceDE w:val="0"/>
              <w:autoSpaceDN w:val="0"/>
              <w:adjustRightInd w:val="0"/>
              <w:spacing w:before="60" w:after="60"/>
              <w:textAlignment w:val="baseline"/>
              <w:rPr>
                <w:rFonts w:cs="Arial"/>
                <w:b/>
                <w:bCs/>
              </w:rPr>
            </w:pPr>
          </w:p>
        </w:tc>
      </w:tr>
      <w:tr w:rsidR="0029470C" w:rsidRPr="00A70AC1" w14:paraId="065BA88D" w14:textId="77777777" w:rsidTr="00CD138B">
        <w:trPr>
          <w:trHeight w:val="454"/>
          <w:jc w:val="center"/>
        </w:trPr>
        <w:tc>
          <w:tcPr>
            <w:tcW w:w="10716" w:type="dxa"/>
            <w:gridSpan w:val="10"/>
            <w:shd w:val="clear" w:color="auto" w:fill="D9D9D9" w:themeFill="background1" w:themeFillShade="D9"/>
          </w:tcPr>
          <w:p w14:paraId="46C4C8E4"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bookmarkStart w:id="52" w:name="_Hlk113959670"/>
            <w:r w:rsidRPr="00A70AC1">
              <w:rPr>
                <w:rFonts w:cs="Arial"/>
              </w:rPr>
              <w:t>Question: Please respond to this question by completing Call-off Schedule 5, the pricing schedule and return with your tender to the Authority.</w:t>
            </w:r>
            <w:bookmarkEnd w:id="52"/>
          </w:p>
        </w:tc>
      </w:tr>
      <w:tr w:rsidR="0029470C" w:rsidRPr="00A70AC1" w14:paraId="7BBD9E25" w14:textId="77777777" w:rsidTr="00CD138B">
        <w:trPr>
          <w:trHeight w:val="454"/>
          <w:jc w:val="center"/>
        </w:trPr>
        <w:tc>
          <w:tcPr>
            <w:tcW w:w="10716" w:type="dxa"/>
            <w:gridSpan w:val="10"/>
            <w:shd w:val="clear" w:color="auto" w:fill="D9D9D9" w:themeFill="background1" w:themeFillShade="D9"/>
          </w:tcPr>
          <w:p w14:paraId="055DD4E9" w14:textId="77777777" w:rsidR="0029470C" w:rsidRPr="00A70AC1" w:rsidRDefault="0029470C" w:rsidP="00CD138B">
            <w:pPr>
              <w:widowControl w:val="0"/>
              <w:overflowPunct w:val="0"/>
              <w:autoSpaceDE w:val="0"/>
              <w:autoSpaceDN w:val="0"/>
              <w:adjustRightInd w:val="0"/>
              <w:spacing w:before="60" w:after="60"/>
              <w:jc w:val="center"/>
              <w:textAlignment w:val="baseline"/>
              <w:rPr>
                <w:rFonts w:cs="Arial"/>
                <w:b/>
                <w:bCs/>
              </w:rPr>
            </w:pPr>
            <w:r w:rsidRPr="00A70AC1">
              <w:rPr>
                <w:rFonts w:cs="Arial"/>
                <w:b/>
                <w:bCs/>
              </w:rPr>
              <w:t>Guidance</w:t>
            </w:r>
          </w:p>
        </w:tc>
      </w:tr>
      <w:tr w:rsidR="0029470C" w:rsidRPr="00A70AC1" w14:paraId="3CB9F657" w14:textId="77777777" w:rsidTr="00CD138B">
        <w:trPr>
          <w:trHeight w:val="1433"/>
          <w:jc w:val="center"/>
        </w:trPr>
        <w:tc>
          <w:tcPr>
            <w:tcW w:w="10716" w:type="dxa"/>
            <w:gridSpan w:val="10"/>
          </w:tcPr>
          <w:p w14:paraId="3468F7CA"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bookmarkStart w:id="53" w:name="_Hlk113959690"/>
            <w:r w:rsidRPr="00A70AC1">
              <w:rPr>
                <w:rFonts w:cs="Arial"/>
              </w:rPr>
              <w:t>The Authority requires the Tenderer to provide a total firm price to deliver the requirements detailed in the Statement of Requirement.</w:t>
            </w:r>
          </w:p>
          <w:p w14:paraId="39F6CE16"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r w:rsidRPr="00A70AC1">
              <w:rPr>
                <w:rFonts w:cs="Arial"/>
              </w:rPr>
              <w:t>Prices should be submitted in Pound Sterling inclusive of expenses (including travel) but exclusive of VAT.</w:t>
            </w:r>
            <w:bookmarkEnd w:id="53"/>
          </w:p>
          <w:p w14:paraId="4C4CE354" w14:textId="77777777" w:rsidR="0029470C" w:rsidRPr="00A70AC1" w:rsidRDefault="0029470C" w:rsidP="00CD138B">
            <w:pPr>
              <w:widowControl w:val="0"/>
              <w:overflowPunct w:val="0"/>
              <w:autoSpaceDE w:val="0"/>
              <w:autoSpaceDN w:val="0"/>
              <w:adjustRightInd w:val="0"/>
              <w:spacing w:before="60" w:after="60"/>
              <w:textAlignment w:val="baseline"/>
              <w:rPr>
                <w:rFonts w:cs="Arial"/>
              </w:rPr>
            </w:pPr>
          </w:p>
        </w:tc>
      </w:tr>
      <w:tr w:rsidR="0029470C" w:rsidRPr="00A70AC1" w14:paraId="46A4198A" w14:textId="77777777" w:rsidTr="00CD138B">
        <w:trPr>
          <w:trHeight w:val="1433"/>
          <w:jc w:val="center"/>
        </w:trPr>
        <w:tc>
          <w:tcPr>
            <w:tcW w:w="10716" w:type="dxa"/>
            <w:gridSpan w:val="10"/>
          </w:tcPr>
          <w:p w14:paraId="452C45DE" w14:textId="77777777" w:rsidR="0029470C" w:rsidRPr="00A70AC1" w:rsidRDefault="0029470C" w:rsidP="00CD138B">
            <w:pPr>
              <w:widowControl w:val="0"/>
              <w:spacing w:before="60" w:after="60"/>
              <w:jc w:val="both"/>
              <w:rPr>
                <w:rFonts w:cs="Arial"/>
                <w:szCs w:val="22"/>
              </w:rPr>
            </w:pPr>
          </w:p>
          <w:p w14:paraId="4E811C75" w14:textId="77777777" w:rsidR="0029470C" w:rsidRPr="00A70AC1" w:rsidRDefault="0029470C" w:rsidP="00CD138B">
            <w:pPr>
              <w:widowControl w:val="0"/>
              <w:spacing w:before="60" w:after="60"/>
              <w:jc w:val="both"/>
              <w:rPr>
                <w:rFonts w:cs="Arial"/>
                <w:szCs w:val="22"/>
              </w:rPr>
            </w:pPr>
            <w:r w:rsidRPr="00A70AC1">
              <w:rPr>
                <w:rFonts w:cs="Arial"/>
                <w:szCs w:val="22"/>
              </w:rPr>
              <w:t>The maximum mark available for Price will be 4 (40% of the total possible score). This mark will be awarded to the lowest priced Potential Provider. Remaining Potential Providers will receive a mark out of this maximum mark on a pro rata basis dependent on how far they deviate from the lowest price.</w:t>
            </w:r>
          </w:p>
          <w:p w14:paraId="4A2D80EE" w14:textId="77777777" w:rsidR="0029470C" w:rsidRPr="00A70AC1" w:rsidRDefault="0029470C" w:rsidP="00CD138B">
            <w:pPr>
              <w:widowControl w:val="0"/>
              <w:spacing w:before="60" w:after="60"/>
              <w:jc w:val="both"/>
              <w:rPr>
                <w:rFonts w:cs="Arial"/>
                <w:szCs w:val="22"/>
              </w:rPr>
            </w:pPr>
          </w:p>
          <w:p w14:paraId="4EB80ECA" w14:textId="77777777" w:rsidR="0029470C" w:rsidRPr="00A70AC1" w:rsidRDefault="0029470C" w:rsidP="00CD138B">
            <w:pPr>
              <w:widowControl w:val="0"/>
              <w:spacing w:before="60" w:after="60"/>
              <w:rPr>
                <w:rFonts w:cs="Arial"/>
                <w:szCs w:val="22"/>
              </w:rPr>
            </w:pPr>
            <w:r w:rsidRPr="00A70AC1">
              <w:rPr>
                <w:rFonts w:cs="Arial"/>
                <w:szCs w:val="22"/>
              </w:rPr>
              <w:t>The calculation that will be used to determine marks is as follows:</w:t>
            </w:r>
          </w:p>
          <w:p w14:paraId="061C3D8B" w14:textId="77777777" w:rsidR="0029470C" w:rsidRPr="00A70AC1" w:rsidRDefault="0029470C" w:rsidP="00CD138B">
            <w:pPr>
              <w:widowControl w:val="0"/>
              <w:spacing w:before="60" w:after="60"/>
              <w:rPr>
                <w:rFonts w:cs="Arial"/>
                <w:szCs w:val="22"/>
              </w:rPr>
            </w:pPr>
          </w:p>
          <w:p w14:paraId="0471AF07" w14:textId="77777777" w:rsidR="0029470C" w:rsidRPr="00A70AC1" w:rsidRDefault="0029470C" w:rsidP="00CD138B">
            <w:pPr>
              <w:widowControl w:val="0"/>
              <w:spacing w:before="60" w:after="60"/>
              <w:jc w:val="center"/>
              <w:rPr>
                <w:rFonts w:cs="Arial"/>
                <w:szCs w:val="22"/>
              </w:rPr>
            </w:pPr>
            <w:r w:rsidRPr="00A70AC1">
              <w:rPr>
                <w:rFonts w:cs="Arial"/>
                <w:szCs w:val="22"/>
              </w:rPr>
              <w:t xml:space="preserve">Score = </w:t>
            </w:r>
            <w:r w:rsidRPr="00A70AC1">
              <w:rPr>
                <w:rFonts w:cs="Arial"/>
                <w:szCs w:val="22"/>
                <w:u w:val="single"/>
              </w:rPr>
              <w:t>Lowest Tender Price</w:t>
            </w:r>
            <w:r w:rsidRPr="00A70AC1">
              <w:rPr>
                <w:rFonts w:cs="Arial"/>
                <w:szCs w:val="22"/>
              </w:rPr>
              <w:t>     x   4 (maximum mark available)</w:t>
            </w:r>
          </w:p>
          <w:p w14:paraId="72231330" w14:textId="2F15BD88" w:rsidR="0029470C" w:rsidRPr="00A70AC1" w:rsidRDefault="0029470C" w:rsidP="00CB6915">
            <w:pPr>
              <w:widowControl w:val="0"/>
              <w:spacing w:before="60" w:after="60"/>
              <w:jc w:val="center"/>
              <w:rPr>
                <w:rFonts w:cs="Arial"/>
              </w:rPr>
            </w:pPr>
            <w:r w:rsidRPr="00A70AC1">
              <w:rPr>
                <w:rFonts w:cs="Arial"/>
                <w:szCs w:val="22"/>
              </w:rPr>
              <w:t xml:space="preserve">  Tender Price</w:t>
            </w:r>
            <w:r w:rsidRPr="00A70AC1">
              <w:rPr>
                <w:rFonts w:cs="Arial"/>
                <w:szCs w:val="22"/>
              </w:rPr>
              <w:tab/>
            </w:r>
            <w:r w:rsidRPr="00A70AC1">
              <w:rPr>
                <w:rFonts w:cs="Arial"/>
                <w:szCs w:val="22"/>
              </w:rPr>
              <w:tab/>
            </w:r>
            <w:r w:rsidRPr="00A70AC1">
              <w:rPr>
                <w:rFonts w:cs="Arial"/>
                <w:szCs w:val="22"/>
              </w:rPr>
              <w:tab/>
            </w:r>
            <w:r w:rsidRPr="00A70AC1">
              <w:rPr>
                <w:rFonts w:cs="Arial"/>
                <w:szCs w:val="22"/>
              </w:rPr>
              <w:tab/>
            </w:r>
            <w:r w:rsidRPr="00A70AC1">
              <w:rPr>
                <w:rFonts w:cs="Arial"/>
                <w:szCs w:val="22"/>
              </w:rPr>
              <w:tab/>
            </w:r>
          </w:p>
        </w:tc>
      </w:tr>
    </w:tbl>
    <w:p w14:paraId="06B31DFC" w14:textId="77777777" w:rsidR="0029470C" w:rsidRPr="00A70AC1" w:rsidRDefault="0029470C" w:rsidP="0029470C">
      <w:pPr>
        <w:pStyle w:val="Heading1"/>
        <w:keepNext w:val="0"/>
        <w:widowControl w:val="0"/>
        <w:numPr>
          <w:ilvl w:val="0"/>
          <w:numId w:val="0"/>
        </w:numPr>
        <w:tabs>
          <w:tab w:val="left" w:pos="851"/>
        </w:tabs>
        <w:spacing w:before="120"/>
        <w:ind w:left="720" w:hanging="720"/>
        <w:rPr>
          <w:rFonts w:cs="Arial"/>
          <w:szCs w:val="22"/>
        </w:rPr>
      </w:pPr>
    </w:p>
    <w:p w14:paraId="712AC81E" w14:textId="31C504D2" w:rsidR="0017137C" w:rsidRPr="00A70AC1" w:rsidRDefault="0017137C" w:rsidP="0017137C">
      <w:pPr>
        <w:pStyle w:val="Heading1"/>
        <w:keepNext w:val="0"/>
        <w:widowControl w:val="0"/>
        <w:tabs>
          <w:tab w:val="left" w:pos="851"/>
        </w:tabs>
        <w:spacing w:before="120"/>
        <w:rPr>
          <w:rFonts w:cs="Arial"/>
          <w:szCs w:val="22"/>
        </w:rPr>
      </w:pPr>
      <w:bookmarkStart w:id="54" w:name="_Toc114216480"/>
      <w:r w:rsidRPr="00A70AC1">
        <w:rPr>
          <w:rFonts w:cs="Arial"/>
          <w:szCs w:val="22"/>
        </w:rPr>
        <w:t>Marking Scheme</w:t>
      </w:r>
      <w:bookmarkEnd w:id="54"/>
    </w:p>
    <w:p w14:paraId="09EBBB4C" w14:textId="4D25297E" w:rsidR="002C5DAF" w:rsidRPr="00A70AC1" w:rsidRDefault="00B77FA2" w:rsidP="0017137C">
      <w:pPr>
        <w:pStyle w:val="Heading2"/>
      </w:pPr>
      <w:r w:rsidRPr="00A70AC1">
        <w:t xml:space="preserve">Compliant Tenders shall be awarded a </w:t>
      </w:r>
      <w:r w:rsidRPr="00A70AC1">
        <w:rPr>
          <w:b/>
          <w:bCs/>
        </w:rPr>
        <w:t xml:space="preserve">Total Score </w:t>
      </w:r>
      <w:r w:rsidR="003C60F5" w:rsidRPr="00A70AC1">
        <w:t>with a maximum score of ten (10)</w:t>
      </w:r>
      <w:r w:rsidRPr="00A70AC1">
        <w:t>.</w:t>
      </w:r>
      <w:r w:rsidRPr="00A70AC1">
        <w:rPr>
          <w:b/>
          <w:bCs/>
        </w:rPr>
        <w:t xml:space="preserve"> </w:t>
      </w:r>
    </w:p>
    <w:p w14:paraId="0D8C44BF" w14:textId="286BDDB5" w:rsidR="0017137C" w:rsidRPr="00A70AC1" w:rsidRDefault="00B77FA2" w:rsidP="0017137C">
      <w:pPr>
        <w:pStyle w:val="Heading2"/>
      </w:pPr>
      <w:r w:rsidRPr="00A70AC1">
        <w:t>Th</w:t>
      </w:r>
      <w:r w:rsidR="002C5DAF" w:rsidRPr="00A70AC1">
        <w:t xml:space="preserve">e </w:t>
      </w:r>
      <w:r w:rsidR="002C5DAF" w:rsidRPr="00A70AC1">
        <w:rPr>
          <w:b/>
          <w:bCs/>
        </w:rPr>
        <w:t>Total</w:t>
      </w:r>
      <w:r w:rsidRPr="00A70AC1">
        <w:rPr>
          <w:b/>
          <w:bCs/>
        </w:rPr>
        <w:t xml:space="preserve"> </w:t>
      </w:r>
      <w:r w:rsidR="002C5DAF" w:rsidRPr="00A70AC1">
        <w:rPr>
          <w:b/>
          <w:bCs/>
        </w:rPr>
        <w:t>S</w:t>
      </w:r>
      <w:r w:rsidRPr="00A70AC1">
        <w:rPr>
          <w:b/>
          <w:bCs/>
        </w:rPr>
        <w:t>core</w:t>
      </w:r>
      <w:r w:rsidRPr="00A70AC1">
        <w:t xml:space="preserve"> shall be the sum of the </w:t>
      </w:r>
      <w:r w:rsidRPr="00A70AC1">
        <w:rPr>
          <w:b/>
          <w:bCs/>
        </w:rPr>
        <w:t>Technical Score</w:t>
      </w:r>
      <w:r w:rsidRPr="00A70AC1">
        <w:t xml:space="preserve"> and the </w:t>
      </w:r>
      <w:r w:rsidRPr="00A70AC1">
        <w:rPr>
          <w:b/>
          <w:bCs/>
        </w:rPr>
        <w:t>Pricing Score</w:t>
      </w:r>
      <w:r w:rsidRPr="00A70AC1">
        <w:t>.</w:t>
      </w:r>
    </w:p>
    <w:p w14:paraId="0BE5E787" w14:textId="76E477F3" w:rsidR="006330D8" w:rsidRPr="00A70AC1" w:rsidRDefault="006330D8" w:rsidP="0017137C">
      <w:pPr>
        <w:pStyle w:val="Heading2"/>
      </w:pPr>
      <w:r w:rsidRPr="00A70AC1">
        <w:t xml:space="preserve">The </w:t>
      </w:r>
      <w:r w:rsidRPr="00A70AC1">
        <w:rPr>
          <w:b/>
          <w:bCs/>
        </w:rPr>
        <w:t>Technical Score</w:t>
      </w:r>
      <w:r w:rsidRPr="00A70AC1">
        <w:t>, representing 60% of the available marks, shall have a maximum value of six (6).</w:t>
      </w:r>
    </w:p>
    <w:p w14:paraId="217B20E1" w14:textId="267E4D7C" w:rsidR="006330D8" w:rsidRPr="00A70AC1" w:rsidRDefault="006330D8" w:rsidP="0017137C">
      <w:pPr>
        <w:pStyle w:val="Heading2"/>
      </w:pPr>
      <w:r w:rsidRPr="00A70AC1">
        <w:t xml:space="preserve">The </w:t>
      </w:r>
      <w:r w:rsidRPr="00A70AC1">
        <w:rPr>
          <w:b/>
          <w:bCs/>
        </w:rPr>
        <w:t>Pricing Score</w:t>
      </w:r>
      <w:r w:rsidRPr="00A70AC1">
        <w:t xml:space="preserve">, representing 40% of the available marks, shall have a maximum value of </w:t>
      </w:r>
      <w:r w:rsidR="002C5DAF" w:rsidRPr="00A70AC1">
        <w:t>four (</w:t>
      </w:r>
      <w:r w:rsidRPr="00A70AC1">
        <w:t>4</w:t>
      </w:r>
      <w:r w:rsidR="002C5DAF" w:rsidRPr="00A70AC1">
        <w:t>).</w:t>
      </w:r>
    </w:p>
    <w:p w14:paraId="16A093D0" w14:textId="2EDEA06C" w:rsidR="00E94A42" w:rsidRPr="00A70AC1" w:rsidRDefault="00E94A42" w:rsidP="0017137C">
      <w:pPr>
        <w:pStyle w:val="Heading2"/>
      </w:pPr>
      <w:r w:rsidRPr="00A70AC1">
        <w:t>The Technical Evaluation, comprising assessments of the Potential Provider’s re</w:t>
      </w:r>
      <w:r w:rsidR="00F8338C" w:rsidRPr="00A70AC1">
        <w:t>s</w:t>
      </w:r>
      <w:r w:rsidRPr="00A70AC1">
        <w:t xml:space="preserve">ponses to questions </w:t>
      </w:r>
      <w:r w:rsidR="00166624" w:rsidRPr="00A70AC1">
        <w:t xml:space="preserve">A5 to A9 (inclusive) shall be </w:t>
      </w:r>
      <w:r w:rsidR="00942940" w:rsidRPr="00A70AC1">
        <w:t xml:space="preserve">awarded </w:t>
      </w:r>
      <w:r w:rsidR="00F8338C" w:rsidRPr="00A70AC1">
        <w:t xml:space="preserve">scores in accordance with the </w:t>
      </w:r>
      <w:r w:rsidR="00F563AF" w:rsidRPr="00A70AC1">
        <w:t xml:space="preserve">marking scheme at </w:t>
      </w:r>
      <w:r w:rsidR="00904D41" w:rsidRPr="00A70AC1">
        <w:t>4.</w:t>
      </w:r>
      <w:r w:rsidR="00DF7615" w:rsidRPr="00A70AC1">
        <w:t>8</w:t>
      </w:r>
    </w:p>
    <w:p w14:paraId="3635F8A1" w14:textId="638C156E" w:rsidR="00904D41" w:rsidRPr="00A70AC1" w:rsidRDefault="00904D41" w:rsidP="0017137C">
      <w:pPr>
        <w:pStyle w:val="Heading2"/>
      </w:pPr>
      <w:r w:rsidRPr="00A70AC1">
        <w:t>Scores for individual questions shall be</w:t>
      </w:r>
      <w:r w:rsidR="001318A1" w:rsidRPr="00A70AC1">
        <w:t xml:space="preserve"> calculated by </w:t>
      </w:r>
      <w:r w:rsidR="007E631C" w:rsidRPr="00A70AC1">
        <w:t xml:space="preserve">multiplying the </w:t>
      </w:r>
      <w:r w:rsidR="007E631C" w:rsidRPr="00A70AC1">
        <w:rPr>
          <w:b/>
          <w:bCs/>
        </w:rPr>
        <w:t xml:space="preserve">Points </w:t>
      </w:r>
      <w:r w:rsidR="007E631C" w:rsidRPr="00A70AC1">
        <w:t xml:space="preserve">by the weightings given for each question. For instance: An </w:t>
      </w:r>
      <w:r w:rsidR="008C039E" w:rsidRPr="00A70AC1">
        <w:t>A</w:t>
      </w:r>
      <w:r w:rsidR="007E631C" w:rsidRPr="00A70AC1">
        <w:t xml:space="preserve">cceptable </w:t>
      </w:r>
      <w:r w:rsidR="008C039E" w:rsidRPr="00A70AC1">
        <w:t>R</w:t>
      </w:r>
      <w:r w:rsidR="007E631C" w:rsidRPr="00A70AC1">
        <w:t>esponse</w:t>
      </w:r>
      <w:r w:rsidR="00347C83" w:rsidRPr="00A70AC1">
        <w:t xml:space="preserve"> given to question A5</w:t>
      </w:r>
      <w:r w:rsidR="007E631C" w:rsidRPr="00A70AC1">
        <w:t xml:space="preserve"> </w:t>
      </w:r>
      <w:r w:rsidR="008C039E" w:rsidRPr="00A70AC1">
        <w:t xml:space="preserve">shall receive 7 </w:t>
      </w:r>
      <w:r w:rsidR="0029470C" w:rsidRPr="00A70AC1">
        <w:rPr>
          <w:b/>
          <w:bCs/>
        </w:rPr>
        <w:t>P</w:t>
      </w:r>
      <w:r w:rsidR="008C039E" w:rsidRPr="00A70AC1">
        <w:rPr>
          <w:b/>
          <w:bCs/>
        </w:rPr>
        <w:t>oints</w:t>
      </w:r>
      <w:r w:rsidR="0029470C" w:rsidRPr="00A70AC1">
        <w:t xml:space="preserve"> and therefore a </w:t>
      </w:r>
      <w:r w:rsidR="0029470C" w:rsidRPr="00A70AC1">
        <w:rPr>
          <w:b/>
          <w:bCs/>
        </w:rPr>
        <w:t>Score</w:t>
      </w:r>
      <w:r w:rsidR="0029470C" w:rsidRPr="00A70AC1">
        <w:t xml:space="preserve"> for question A5 of 0.3.</w:t>
      </w:r>
    </w:p>
    <w:p w14:paraId="4B791F9C" w14:textId="59D51556" w:rsidR="00DF7615" w:rsidRPr="00A70AC1" w:rsidRDefault="003C5BAA" w:rsidP="0017137C">
      <w:pPr>
        <w:pStyle w:val="Heading2"/>
      </w:pPr>
      <w:r w:rsidRPr="00A70AC1">
        <w:t>In the event that</w:t>
      </w:r>
      <w:r w:rsidR="005939A7" w:rsidRPr="00A70AC1">
        <w:t xml:space="preserve"> the Potential Provider </w:t>
      </w:r>
      <w:r w:rsidR="001D5416" w:rsidRPr="00A70AC1">
        <w:t xml:space="preserve">is awarded </w:t>
      </w:r>
      <w:r w:rsidR="009467C9" w:rsidRPr="00A70AC1">
        <w:t>zero (</w:t>
      </w:r>
      <w:r w:rsidR="001D5416" w:rsidRPr="00A70AC1">
        <w:t>0</w:t>
      </w:r>
      <w:r w:rsidR="009467C9" w:rsidRPr="00A70AC1">
        <w:t>)</w:t>
      </w:r>
      <w:r w:rsidR="001D5416" w:rsidRPr="00A70AC1">
        <w:t xml:space="preserve"> Points for any given </w:t>
      </w:r>
      <w:r w:rsidR="00D072AF" w:rsidRPr="00A70AC1">
        <w:t>question</w:t>
      </w:r>
      <w:r w:rsidR="005C3FDE">
        <w:t xml:space="preserve">; </w:t>
      </w:r>
      <w:r w:rsidR="00D072AF" w:rsidRPr="00A70AC1">
        <w:t xml:space="preserve">or </w:t>
      </w:r>
      <w:r w:rsidRPr="00A70AC1">
        <w:t>is awarded three (3) Points</w:t>
      </w:r>
      <w:r w:rsidR="00366E93" w:rsidRPr="00A70AC1">
        <w:t xml:space="preserve"> for </w:t>
      </w:r>
      <w:r w:rsidR="009467C9" w:rsidRPr="00A70AC1">
        <w:t>three (3) or more questions</w:t>
      </w:r>
      <w:r w:rsidR="00B77BD4" w:rsidRPr="00A70AC1">
        <w:t xml:space="preserve">, the Potential </w:t>
      </w:r>
      <w:r w:rsidR="00357970" w:rsidRPr="00A70AC1">
        <w:t>Provider shall be disqualified.</w:t>
      </w:r>
    </w:p>
    <w:p w14:paraId="0F1CE614" w14:textId="5369B5E7" w:rsidR="0029470C" w:rsidRPr="00A70AC1" w:rsidRDefault="004C7CF6">
      <w:pPr>
        <w:rPr>
          <w:rFonts w:eastAsia="STZhongsong" w:cs="Arial"/>
          <w:szCs w:val="20"/>
        </w:rPr>
      </w:pPr>
      <w:r w:rsidRPr="00A70AC1">
        <w:rPr>
          <w:rFonts w:cs="Arial"/>
        </w:rPr>
        <w:br w:type="page"/>
      </w:r>
    </w:p>
    <w:p w14:paraId="19742E6B" w14:textId="77777777" w:rsidR="0029470C" w:rsidRPr="00A70AC1" w:rsidRDefault="0029470C" w:rsidP="00720D66">
      <w:pPr>
        <w:pStyle w:val="Heading2"/>
        <w:numPr>
          <w:ilvl w:val="0"/>
          <w:numId w:val="0"/>
        </w:numPr>
        <w:ind w:left="1854" w:hanging="720"/>
        <w:rPr>
          <w:rFonts w:cs="Arial"/>
        </w:rPr>
      </w:pPr>
    </w:p>
    <w:tbl>
      <w:tblPr>
        <w:tblStyle w:val="TableGrid"/>
        <w:tblW w:w="0" w:type="auto"/>
        <w:tblLook w:val="04A0" w:firstRow="1" w:lastRow="0" w:firstColumn="1" w:lastColumn="0" w:noHBand="0" w:noVBand="1"/>
      </w:tblPr>
      <w:tblGrid>
        <w:gridCol w:w="889"/>
        <w:gridCol w:w="1557"/>
        <w:gridCol w:w="6573"/>
      </w:tblGrid>
      <w:tr w:rsidR="008B1DF4" w:rsidRPr="00A70AC1" w14:paraId="177DAD06" w14:textId="77777777" w:rsidTr="00BB76A3">
        <w:tc>
          <w:tcPr>
            <w:tcW w:w="846" w:type="dxa"/>
          </w:tcPr>
          <w:p w14:paraId="3EAC00D9" w14:textId="728DCCDA" w:rsidR="008B1DF4" w:rsidRPr="00A70AC1" w:rsidRDefault="008B1DF4" w:rsidP="00977376">
            <w:pPr>
              <w:rPr>
                <w:rFonts w:cs="Arial"/>
                <w:b/>
                <w:bCs/>
              </w:rPr>
            </w:pPr>
            <w:r w:rsidRPr="00A70AC1">
              <w:rPr>
                <w:rFonts w:cs="Arial"/>
                <w:b/>
                <w:bCs/>
              </w:rPr>
              <w:t>Points</w:t>
            </w:r>
          </w:p>
        </w:tc>
        <w:tc>
          <w:tcPr>
            <w:tcW w:w="1559" w:type="dxa"/>
          </w:tcPr>
          <w:p w14:paraId="67A96783" w14:textId="2E165F86" w:rsidR="008B1DF4" w:rsidRPr="00A70AC1" w:rsidRDefault="00E729D4" w:rsidP="00977376">
            <w:pPr>
              <w:rPr>
                <w:rFonts w:cs="Arial"/>
                <w:b/>
                <w:bCs/>
              </w:rPr>
            </w:pPr>
            <w:r w:rsidRPr="00A70AC1">
              <w:rPr>
                <w:rFonts w:cs="Arial"/>
                <w:b/>
                <w:bCs/>
              </w:rPr>
              <w:t>Grade</w:t>
            </w:r>
          </w:p>
        </w:tc>
        <w:tc>
          <w:tcPr>
            <w:tcW w:w="6614" w:type="dxa"/>
          </w:tcPr>
          <w:p w14:paraId="68F4EEE5" w14:textId="11695FCB" w:rsidR="008B1DF4" w:rsidRPr="00A70AC1" w:rsidRDefault="00E729D4" w:rsidP="00977376">
            <w:pPr>
              <w:rPr>
                <w:rFonts w:cs="Arial"/>
                <w:b/>
                <w:bCs/>
              </w:rPr>
            </w:pPr>
            <w:r w:rsidRPr="00A70AC1">
              <w:rPr>
                <w:rFonts w:cs="Arial"/>
                <w:b/>
                <w:bCs/>
              </w:rPr>
              <w:t>Description</w:t>
            </w:r>
          </w:p>
        </w:tc>
      </w:tr>
      <w:tr w:rsidR="008B1DF4" w:rsidRPr="00A70AC1" w14:paraId="63359944" w14:textId="77777777" w:rsidTr="00BB76A3">
        <w:tc>
          <w:tcPr>
            <w:tcW w:w="846" w:type="dxa"/>
          </w:tcPr>
          <w:p w14:paraId="4B636CE3" w14:textId="7046FAB4" w:rsidR="008B1DF4" w:rsidRPr="00A70AC1" w:rsidRDefault="00977376" w:rsidP="00977376">
            <w:pPr>
              <w:rPr>
                <w:rFonts w:cs="Arial"/>
              </w:rPr>
            </w:pPr>
            <w:r w:rsidRPr="00A70AC1">
              <w:rPr>
                <w:rFonts w:cs="Arial"/>
              </w:rPr>
              <w:t>0</w:t>
            </w:r>
          </w:p>
        </w:tc>
        <w:tc>
          <w:tcPr>
            <w:tcW w:w="1559" w:type="dxa"/>
          </w:tcPr>
          <w:p w14:paraId="405512A9" w14:textId="4BE4560C" w:rsidR="008B1DF4" w:rsidRPr="00A70AC1" w:rsidRDefault="00977376" w:rsidP="00977376">
            <w:pPr>
              <w:rPr>
                <w:rFonts w:cs="Arial"/>
              </w:rPr>
            </w:pPr>
            <w:r w:rsidRPr="00A70AC1">
              <w:rPr>
                <w:rFonts w:cs="Arial"/>
              </w:rPr>
              <w:t>Unsuitable</w:t>
            </w:r>
          </w:p>
        </w:tc>
        <w:tc>
          <w:tcPr>
            <w:tcW w:w="6614" w:type="dxa"/>
          </w:tcPr>
          <w:p w14:paraId="7450CEE3" w14:textId="7FB18A46" w:rsidR="00FE660A" w:rsidRPr="00A70AC1" w:rsidRDefault="00FE660A" w:rsidP="00FE660A">
            <w:pPr>
              <w:rPr>
                <w:rFonts w:eastAsia="Times New Roman" w:cs="Arial"/>
                <w:color w:val="000000"/>
                <w:szCs w:val="22"/>
                <w:lang w:eastAsia="en-GB"/>
              </w:rPr>
            </w:pPr>
            <w:r w:rsidRPr="00A70AC1">
              <w:rPr>
                <w:rFonts w:cs="Arial"/>
                <w:color w:val="000000"/>
                <w:szCs w:val="22"/>
              </w:rPr>
              <w:t>The response provides no confidence that the potential supplier can meet the requirements</w:t>
            </w:r>
            <w:r w:rsidR="00DA3BD8" w:rsidRPr="00A70AC1">
              <w:rPr>
                <w:rFonts w:cs="Arial"/>
                <w:color w:val="000000"/>
                <w:szCs w:val="22"/>
              </w:rPr>
              <w:t>,</w:t>
            </w:r>
            <w:r w:rsidRPr="00A70AC1">
              <w:rPr>
                <w:rFonts w:cs="Arial"/>
                <w:color w:val="000000"/>
                <w:szCs w:val="22"/>
              </w:rPr>
              <w:t xml:space="preserve"> or no response has been provided.  An unacceptable and/or non-compliant response with serious reservations, demonstrating no understanding of the requirement.</w:t>
            </w:r>
          </w:p>
          <w:p w14:paraId="1AB9C134" w14:textId="77777777" w:rsidR="008B1DF4" w:rsidRPr="00A70AC1" w:rsidRDefault="008B1DF4" w:rsidP="00977376">
            <w:pPr>
              <w:rPr>
                <w:rFonts w:cs="Arial"/>
              </w:rPr>
            </w:pPr>
          </w:p>
        </w:tc>
      </w:tr>
      <w:tr w:rsidR="008B1DF4" w:rsidRPr="00A70AC1" w14:paraId="61C36A1C" w14:textId="77777777" w:rsidTr="00BB76A3">
        <w:tc>
          <w:tcPr>
            <w:tcW w:w="846" w:type="dxa"/>
          </w:tcPr>
          <w:p w14:paraId="1A45BA72" w14:textId="11C5F450" w:rsidR="008B1DF4" w:rsidRPr="00A70AC1" w:rsidRDefault="00977376" w:rsidP="00977376">
            <w:pPr>
              <w:rPr>
                <w:rFonts w:cs="Arial"/>
              </w:rPr>
            </w:pPr>
            <w:r w:rsidRPr="00A70AC1">
              <w:rPr>
                <w:rFonts w:cs="Arial"/>
              </w:rPr>
              <w:t>3</w:t>
            </w:r>
          </w:p>
        </w:tc>
        <w:tc>
          <w:tcPr>
            <w:tcW w:w="1559" w:type="dxa"/>
          </w:tcPr>
          <w:p w14:paraId="000E5ABF" w14:textId="03A81D3F" w:rsidR="008B1DF4" w:rsidRPr="00A70AC1" w:rsidRDefault="00977376" w:rsidP="00977376">
            <w:pPr>
              <w:rPr>
                <w:rFonts w:cs="Arial"/>
              </w:rPr>
            </w:pPr>
            <w:r w:rsidRPr="00A70AC1">
              <w:rPr>
                <w:rFonts w:cs="Arial"/>
              </w:rPr>
              <w:t>Some Concerns</w:t>
            </w:r>
          </w:p>
        </w:tc>
        <w:tc>
          <w:tcPr>
            <w:tcW w:w="6614" w:type="dxa"/>
          </w:tcPr>
          <w:p w14:paraId="7CA40F9C" w14:textId="77777777" w:rsidR="00FE660A" w:rsidRPr="00A70AC1" w:rsidRDefault="00FE660A" w:rsidP="00FE660A">
            <w:pPr>
              <w:rPr>
                <w:rFonts w:eastAsia="Times New Roman" w:cs="Arial"/>
                <w:color w:val="000000"/>
                <w:szCs w:val="22"/>
                <w:lang w:eastAsia="en-GB"/>
              </w:rPr>
            </w:pPr>
            <w:r w:rsidRPr="00A70AC1">
              <w:rPr>
                <w:rFonts w:cs="Arial"/>
                <w:color w:val="000000"/>
                <w:szCs w:val="22"/>
              </w:rPr>
              <w:t xml:space="preserve">The response provides a low level of confidence that the potential supplier can meet the requirements, which poses risk that the proposal will not meet the deliverables required.  The Potential Provider provides a response that matches the requirements but remains basic and could have been expanded upon. The Supplier has demonstrated </w:t>
            </w:r>
            <w:r w:rsidRPr="00A70AC1">
              <w:rPr>
                <w:rFonts w:cs="Arial"/>
                <w:b/>
                <w:bCs/>
                <w:color w:val="000000"/>
                <w:szCs w:val="22"/>
              </w:rPr>
              <w:t xml:space="preserve">insufficient </w:t>
            </w:r>
            <w:r w:rsidRPr="00A70AC1">
              <w:rPr>
                <w:rFonts w:cs="Arial"/>
                <w:color w:val="000000"/>
                <w:szCs w:val="22"/>
              </w:rPr>
              <w:t>knowledge and insight into the water industry and the response gives little confidence in successful delivery.</w:t>
            </w:r>
          </w:p>
          <w:p w14:paraId="41BBEEC2" w14:textId="77777777" w:rsidR="008B1DF4" w:rsidRPr="00A70AC1" w:rsidRDefault="008B1DF4" w:rsidP="00977376">
            <w:pPr>
              <w:rPr>
                <w:rFonts w:cs="Arial"/>
              </w:rPr>
            </w:pPr>
          </w:p>
        </w:tc>
      </w:tr>
      <w:tr w:rsidR="008B1DF4" w:rsidRPr="00A70AC1" w14:paraId="219EAD1C" w14:textId="77777777" w:rsidTr="00BB76A3">
        <w:tc>
          <w:tcPr>
            <w:tcW w:w="846" w:type="dxa"/>
          </w:tcPr>
          <w:p w14:paraId="20CA8F49" w14:textId="6376B168" w:rsidR="008B1DF4" w:rsidRPr="00A70AC1" w:rsidRDefault="00977376" w:rsidP="00977376">
            <w:pPr>
              <w:rPr>
                <w:rFonts w:cs="Arial"/>
              </w:rPr>
            </w:pPr>
            <w:r w:rsidRPr="00A70AC1">
              <w:rPr>
                <w:rFonts w:cs="Arial"/>
              </w:rPr>
              <w:t>7</w:t>
            </w:r>
          </w:p>
        </w:tc>
        <w:tc>
          <w:tcPr>
            <w:tcW w:w="1559" w:type="dxa"/>
          </w:tcPr>
          <w:p w14:paraId="15E7B891" w14:textId="3C7C3687" w:rsidR="008B1DF4" w:rsidRPr="00A70AC1" w:rsidRDefault="00977376" w:rsidP="00977376">
            <w:pPr>
              <w:rPr>
                <w:rFonts w:cs="Arial"/>
              </w:rPr>
            </w:pPr>
            <w:r w:rsidRPr="00A70AC1">
              <w:rPr>
                <w:rFonts w:cs="Arial"/>
              </w:rPr>
              <w:t>Acceptable</w:t>
            </w:r>
          </w:p>
        </w:tc>
        <w:tc>
          <w:tcPr>
            <w:tcW w:w="6614" w:type="dxa"/>
          </w:tcPr>
          <w:p w14:paraId="14610248" w14:textId="1E8855E7" w:rsidR="00FE660A" w:rsidRPr="00A70AC1" w:rsidRDefault="00FE660A" w:rsidP="00FE660A">
            <w:pPr>
              <w:rPr>
                <w:rFonts w:eastAsia="Times New Roman" w:cs="Arial"/>
                <w:color w:val="000000"/>
                <w:szCs w:val="22"/>
                <w:lang w:eastAsia="en-GB"/>
              </w:rPr>
            </w:pPr>
            <w:r w:rsidRPr="00A70AC1">
              <w:rPr>
                <w:rFonts w:cs="Arial"/>
                <w:color w:val="000000"/>
                <w:szCs w:val="22"/>
              </w:rPr>
              <w:t xml:space="preserve">The response provides an acceptable level of confidence that the potential supplier can meet the requirements. The potential supplier has demonstrated </w:t>
            </w:r>
            <w:r w:rsidRPr="00A70AC1">
              <w:rPr>
                <w:rFonts w:cs="Arial"/>
                <w:b/>
                <w:bCs/>
                <w:color w:val="000000"/>
                <w:szCs w:val="22"/>
              </w:rPr>
              <w:t>sufficient</w:t>
            </w:r>
            <w:r w:rsidRPr="00A70AC1">
              <w:rPr>
                <w:rFonts w:cs="Arial"/>
                <w:color w:val="000000"/>
                <w:szCs w:val="22"/>
              </w:rPr>
              <w:t xml:space="preserve"> knowledge and insight i</w:t>
            </w:r>
            <w:r w:rsidR="00DA3BD8" w:rsidRPr="00A70AC1">
              <w:rPr>
                <w:rFonts w:cs="Arial"/>
                <w:color w:val="000000"/>
                <w:szCs w:val="22"/>
              </w:rPr>
              <w:t>n</w:t>
            </w:r>
            <w:r w:rsidRPr="00A70AC1">
              <w:rPr>
                <w:rFonts w:cs="Arial"/>
                <w:color w:val="000000"/>
                <w:szCs w:val="22"/>
              </w:rPr>
              <w:t>to the water industry and that they can apply this knowledge to the requirements. The response is reasonably comprehensive but contains some ambiguity. The response is not sufficiently detailed to minimise risk to delivery.</w:t>
            </w:r>
          </w:p>
          <w:p w14:paraId="75A04C5E" w14:textId="77777777" w:rsidR="008B1DF4" w:rsidRPr="00A70AC1" w:rsidRDefault="008B1DF4" w:rsidP="00977376">
            <w:pPr>
              <w:rPr>
                <w:rFonts w:cs="Arial"/>
              </w:rPr>
            </w:pPr>
          </w:p>
        </w:tc>
      </w:tr>
      <w:tr w:rsidR="008B1DF4" w:rsidRPr="00A70AC1" w14:paraId="08378C8D" w14:textId="77777777" w:rsidTr="00BB76A3">
        <w:tc>
          <w:tcPr>
            <w:tcW w:w="846" w:type="dxa"/>
          </w:tcPr>
          <w:p w14:paraId="5F63C17E" w14:textId="5B9D8D9E" w:rsidR="008B1DF4" w:rsidRPr="00A70AC1" w:rsidRDefault="00977376" w:rsidP="00977376">
            <w:pPr>
              <w:rPr>
                <w:rFonts w:cs="Arial"/>
              </w:rPr>
            </w:pPr>
            <w:r w:rsidRPr="00A70AC1">
              <w:rPr>
                <w:rFonts w:cs="Arial"/>
              </w:rPr>
              <w:t>10</w:t>
            </w:r>
          </w:p>
        </w:tc>
        <w:tc>
          <w:tcPr>
            <w:tcW w:w="1559" w:type="dxa"/>
          </w:tcPr>
          <w:p w14:paraId="1102F311" w14:textId="517C1970" w:rsidR="008B1DF4" w:rsidRPr="00A70AC1" w:rsidRDefault="00977376" w:rsidP="00977376">
            <w:pPr>
              <w:rPr>
                <w:rFonts w:cs="Arial"/>
              </w:rPr>
            </w:pPr>
            <w:r w:rsidRPr="00A70AC1">
              <w:rPr>
                <w:rFonts w:cs="Arial"/>
              </w:rPr>
              <w:t>Good</w:t>
            </w:r>
          </w:p>
        </w:tc>
        <w:tc>
          <w:tcPr>
            <w:tcW w:w="6614" w:type="dxa"/>
          </w:tcPr>
          <w:p w14:paraId="3E4DF9C7" w14:textId="6EE9A469" w:rsidR="00BB76A3" w:rsidRPr="00A70AC1" w:rsidRDefault="00BB76A3" w:rsidP="00BB76A3">
            <w:pPr>
              <w:rPr>
                <w:rFonts w:eastAsia="Times New Roman" w:cs="Arial"/>
                <w:color w:val="000000"/>
                <w:szCs w:val="22"/>
                <w:lang w:eastAsia="en-GB"/>
              </w:rPr>
            </w:pPr>
            <w:r w:rsidRPr="00A70AC1">
              <w:rPr>
                <w:rFonts w:cs="Arial"/>
                <w:color w:val="000000"/>
                <w:szCs w:val="22"/>
              </w:rPr>
              <w:t>The response provides a very high level of confidence that the potential supplier can meet the requirements with detail provided minimising risks to delivery.</w:t>
            </w:r>
            <w:r w:rsidRPr="00A70AC1">
              <w:rPr>
                <w:rFonts w:cs="Arial"/>
                <w:color w:val="000000"/>
                <w:szCs w:val="22"/>
              </w:rPr>
              <w:br/>
              <w:t xml:space="preserve">The potential supplier has demonstrated </w:t>
            </w:r>
            <w:r w:rsidRPr="00A70AC1">
              <w:rPr>
                <w:rFonts w:cs="Arial"/>
                <w:b/>
                <w:bCs/>
                <w:color w:val="000000"/>
                <w:szCs w:val="22"/>
              </w:rPr>
              <w:t>substantial</w:t>
            </w:r>
            <w:r w:rsidRPr="00A70AC1">
              <w:rPr>
                <w:rFonts w:cs="Arial"/>
                <w:color w:val="000000"/>
                <w:szCs w:val="22"/>
              </w:rPr>
              <w:t xml:space="preserve"> knowledge and insight into the water industry. The response is very comprehensive and unambiguous, demonstrating a thorough understanding of the requirements and provides details of how the requirement will be met. To gain this marking the response demonstrated significant added value to the Authority. </w:t>
            </w:r>
          </w:p>
          <w:p w14:paraId="3933830E" w14:textId="77777777" w:rsidR="008B1DF4" w:rsidRPr="00A70AC1" w:rsidRDefault="008B1DF4" w:rsidP="00977376">
            <w:pPr>
              <w:rPr>
                <w:rFonts w:cs="Arial"/>
              </w:rPr>
            </w:pPr>
          </w:p>
        </w:tc>
      </w:tr>
    </w:tbl>
    <w:p w14:paraId="63D75DFD" w14:textId="77777777" w:rsidR="009863EF" w:rsidRPr="00A70AC1" w:rsidRDefault="009863EF" w:rsidP="00D77BE7">
      <w:pPr>
        <w:pStyle w:val="paragraph"/>
        <w:spacing w:before="0" w:beforeAutospacing="0" w:after="0" w:afterAutospacing="0"/>
        <w:textAlignment w:val="baseline"/>
        <w:rPr>
          <w:rFonts w:cs="Arial"/>
          <w:szCs w:val="22"/>
        </w:rPr>
      </w:pPr>
    </w:p>
    <w:sectPr w:rsidR="009863EF" w:rsidRPr="00A70AC1" w:rsidSect="009E22EF">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D4DD" w14:textId="77777777" w:rsidR="001A561E" w:rsidRDefault="001A561E">
      <w:pPr>
        <w:spacing w:line="20" w:lineRule="exact"/>
      </w:pPr>
    </w:p>
  </w:endnote>
  <w:endnote w:type="continuationSeparator" w:id="0">
    <w:p w14:paraId="183BF76A" w14:textId="77777777" w:rsidR="001A561E" w:rsidRDefault="001A561E">
      <w:pPr>
        <w:spacing w:line="20" w:lineRule="exact"/>
      </w:pPr>
      <w:r>
        <w:t xml:space="preserve"> </w:t>
      </w:r>
    </w:p>
  </w:endnote>
  <w:endnote w:type="continuationNotice" w:id="1">
    <w:p w14:paraId="4764EDC1" w14:textId="77777777" w:rsidR="001A561E" w:rsidRDefault="001A561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B1E4" w14:textId="77777777" w:rsidR="00F405FE" w:rsidRDefault="00F405FE" w:rsidP="006A3734">
    <w:pPr>
      <w:pStyle w:val="Footer"/>
      <w:pBdr>
        <w:top w:val="single" w:sz="6" w:space="1" w:color="auto"/>
      </w:pBdr>
      <w:tabs>
        <w:tab w:val="clear" w:pos="4153"/>
        <w:tab w:val="clear" w:pos="8306"/>
      </w:tabs>
      <w:ind w:right="-43"/>
    </w:pPr>
  </w:p>
  <w:p w14:paraId="34A134BF" w14:textId="77777777" w:rsidR="00F405FE" w:rsidRPr="006A3734" w:rsidRDefault="00F405FE" w:rsidP="00074357">
    <w:pPr>
      <w:pStyle w:val="Footer"/>
      <w:tabs>
        <w:tab w:val="clear" w:pos="8306"/>
      </w:tabs>
      <w:ind w:right="-43"/>
      <w:jc w:val="center"/>
      <w:rPr>
        <w:sz w:val="18"/>
        <w:szCs w:val="18"/>
      </w:rPr>
    </w:pPr>
    <w:r w:rsidRPr="006A3734">
      <w:rPr>
        <w:rFonts w:cs="Arial"/>
        <w:sz w:val="18"/>
        <w:szCs w:val="18"/>
      </w:rPr>
      <w:t xml:space="preserve">Page </w:t>
    </w:r>
    <w:r w:rsidR="00E448ED" w:rsidRPr="006A3734">
      <w:rPr>
        <w:rFonts w:cs="Arial"/>
        <w:sz w:val="18"/>
        <w:szCs w:val="18"/>
      </w:rPr>
      <w:fldChar w:fldCharType="begin"/>
    </w:r>
    <w:r w:rsidRPr="006A3734">
      <w:rPr>
        <w:rFonts w:cs="Arial"/>
        <w:sz w:val="18"/>
        <w:szCs w:val="18"/>
      </w:rPr>
      <w:instrText xml:space="preserve"> PAGE </w:instrText>
    </w:r>
    <w:r w:rsidR="00E448ED" w:rsidRPr="006A3734">
      <w:rPr>
        <w:rFonts w:cs="Arial"/>
        <w:sz w:val="18"/>
        <w:szCs w:val="18"/>
      </w:rPr>
      <w:fldChar w:fldCharType="separate"/>
    </w:r>
    <w:r w:rsidR="00847117">
      <w:rPr>
        <w:rFonts w:cs="Arial"/>
        <w:noProof/>
        <w:sz w:val="18"/>
        <w:szCs w:val="18"/>
      </w:rPr>
      <w:t>1</w:t>
    </w:r>
    <w:r w:rsidR="00E448ED" w:rsidRPr="006A3734">
      <w:rPr>
        <w:rFonts w:cs="Arial"/>
        <w:sz w:val="18"/>
        <w:szCs w:val="18"/>
      </w:rPr>
      <w:fldChar w:fldCharType="end"/>
    </w:r>
    <w:r w:rsidRPr="006A3734">
      <w:rPr>
        <w:rFonts w:cs="Arial"/>
        <w:sz w:val="18"/>
        <w:szCs w:val="18"/>
      </w:rPr>
      <w:t xml:space="preserve"> of </w:t>
    </w:r>
    <w:r w:rsidR="00E448ED" w:rsidRPr="006A3734">
      <w:rPr>
        <w:rFonts w:cs="Arial"/>
        <w:sz w:val="18"/>
        <w:szCs w:val="18"/>
      </w:rPr>
      <w:fldChar w:fldCharType="begin"/>
    </w:r>
    <w:r w:rsidRPr="006A3734">
      <w:rPr>
        <w:rFonts w:cs="Arial"/>
        <w:sz w:val="18"/>
        <w:szCs w:val="18"/>
      </w:rPr>
      <w:instrText xml:space="preserve"> NUMPAGES </w:instrText>
    </w:r>
    <w:r w:rsidR="00E448ED" w:rsidRPr="006A3734">
      <w:rPr>
        <w:rFonts w:cs="Arial"/>
        <w:sz w:val="18"/>
        <w:szCs w:val="18"/>
      </w:rPr>
      <w:fldChar w:fldCharType="separate"/>
    </w:r>
    <w:r w:rsidR="00847117">
      <w:rPr>
        <w:rFonts w:cs="Arial"/>
        <w:noProof/>
        <w:sz w:val="18"/>
        <w:szCs w:val="18"/>
      </w:rPr>
      <w:t>13</w:t>
    </w:r>
    <w:r w:rsidR="00E448ED"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1FAB" w14:textId="77777777" w:rsidR="001A561E" w:rsidRDefault="001A561E">
      <w:r>
        <w:separator/>
      </w:r>
    </w:p>
  </w:footnote>
  <w:footnote w:type="continuationSeparator" w:id="0">
    <w:p w14:paraId="034C18FD" w14:textId="77777777" w:rsidR="001A561E" w:rsidRDefault="001A561E">
      <w:r>
        <w:continuationSeparator/>
      </w:r>
    </w:p>
  </w:footnote>
  <w:footnote w:type="continuationNotice" w:id="1">
    <w:p w14:paraId="2ED00B49" w14:textId="77777777" w:rsidR="001A561E" w:rsidRDefault="001A561E"/>
  </w:footnote>
  <w:footnote w:id="2">
    <w:p w14:paraId="2F9A96BB" w14:textId="77777777" w:rsidR="00D77BE7" w:rsidRDefault="00D77BE7" w:rsidP="00D77BE7">
      <w:pPr>
        <w:pStyle w:val="FootnoteText"/>
      </w:pPr>
      <w:r>
        <w:rPr>
          <w:rStyle w:val="FootnoteReference"/>
        </w:rPr>
        <w:footnoteRef/>
      </w:r>
      <w:r>
        <w:t xml:space="preserve"> </w:t>
      </w:r>
      <w:r w:rsidRPr="0038507F">
        <w:rPr>
          <w:rFonts w:cs="Arial"/>
          <w:szCs w:val="16"/>
        </w:rPr>
        <w:t xml:space="preserve">The 5 KURS cover the key services, </w:t>
      </w:r>
      <w:r>
        <w:rPr>
          <w:rFonts w:cs="Arial"/>
          <w:szCs w:val="16"/>
        </w:rPr>
        <w:t>however,</w:t>
      </w:r>
      <w:r w:rsidRPr="0038507F">
        <w:rPr>
          <w:rFonts w:cs="Arial"/>
          <w:szCs w:val="16"/>
        </w:rPr>
        <w:t xml:space="preserve"> there are </w:t>
      </w:r>
      <w:r>
        <w:rPr>
          <w:rFonts w:cs="Arial"/>
          <w:szCs w:val="16"/>
        </w:rPr>
        <w:t>many</w:t>
      </w:r>
      <w:r w:rsidRPr="0038507F">
        <w:rPr>
          <w:rFonts w:cs="Arial"/>
          <w:szCs w:val="16"/>
        </w:rPr>
        <w:t xml:space="preserve"> more services involved </w:t>
      </w:r>
      <w:r>
        <w:rPr>
          <w:rFonts w:cs="Arial"/>
          <w:szCs w:val="16"/>
        </w:rPr>
        <w:t>requiring</w:t>
      </w:r>
      <w:r w:rsidRPr="0038507F">
        <w:rPr>
          <w:rFonts w:cs="Arial"/>
          <w:szCs w:val="16"/>
        </w:rPr>
        <w:t xml:space="preserve"> review and underst</w:t>
      </w:r>
      <w:r>
        <w:rPr>
          <w:rFonts w:cs="Arial"/>
          <w:szCs w:val="16"/>
        </w:rPr>
        <w:t>anding,</w:t>
      </w:r>
      <w:r w:rsidRPr="0038507F">
        <w:rPr>
          <w:rFonts w:cs="Arial"/>
          <w:szCs w:val="16"/>
        </w:rPr>
        <w:t xml:space="preserve"> and the options may</w:t>
      </w:r>
      <w:r>
        <w:rPr>
          <w:rFonts w:cs="Arial"/>
          <w:szCs w:val="16"/>
        </w:rPr>
        <w:t xml:space="preserve"> </w:t>
      </w:r>
      <w:r w:rsidRPr="0038507F">
        <w:rPr>
          <w:rFonts w:cs="Arial"/>
          <w:szCs w:val="16"/>
        </w:rPr>
        <w:t>be different for each one</w:t>
      </w:r>
      <w:r>
        <w:rPr>
          <w:rFonts w:cs="Arial"/>
          <w:szCs w:val="16"/>
        </w:rPr>
        <w:t>.</w:t>
      </w:r>
      <w:r w:rsidRPr="0038507F">
        <w:rPr>
          <w:rFonts w:cs="Arial"/>
          <w:szCs w:val="16"/>
        </w:rPr>
        <w:t xml:space="preserve"> </w:t>
      </w:r>
      <w:r>
        <w:rPr>
          <w:rFonts w:cs="Arial"/>
          <w:szCs w:val="16"/>
        </w:rPr>
        <w:t>F</w:t>
      </w:r>
      <w:r w:rsidRPr="0038507F">
        <w:rPr>
          <w:rFonts w:cs="Arial"/>
          <w:szCs w:val="16"/>
        </w:rPr>
        <w:t xml:space="preserve">or example, </w:t>
      </w:r>
      <w:r w:rsidRPr="0038507F">
        <w:rPr>
          <w:rFonts w:eastAsia="Times New Roman" w:cs="Arial"/>
          <w:szCs w:val="16"/>
        </w:rPr>
        <w:t xml:space="preserve">O&amp;M &amp; lifecycle of assets; Water Quality Testing; Payment of Water Bills from </w:t>
      </w:r>
      <w:r w:rsidRPr="00A9170F">
        <w:rPr>
          <w:rFonts w:eastAsia="Times New Roman" w:cs="Arial"/>
          <w:szCs w:val="16"/>
        </w:rPr>
        <w:t>S</w:t>
      </w:r>
      <w:r>
        <w:rPr>
          <w:rFonts w:eastAsia="Times New Roman" w:cs="Arial"/>
          <w:szCs w:val="16"/>
        </w:rPr>
        <w:t>tatutory Undertakers</w:t>
      </w:r>
      <w:r w:rsidRPr="0038507F">
        <w:rPr>
          <w:rFonts w:eastAsia="Times New Roman" w:cs="Arial"/>
          <w:szCs w:val="16"/>
        </w:rPr>
        <w:t xml:space="preserve"> for sites outside of </w:t>
      </w:r>
      <w:proofErr w:type="spellStart"/>
      <w:r w:rsidRPr="0038507F">
        <w:rPr>
          <w:rFonts w:eastAsia="Times New Roman" w:cs="Arial"/>
          <w:szCs w:val="16"/>
        </w:rPr>
        <w:t>Aquatrine</w:t>
      </w:r>
      <w:proofErr w:type="spellEnd"/>
      <w:r w:rsidRPr="0038507F">
        <w:rPr>
          <w:rFonts w:eastAsia="Times New Roman" w:cs="Arial"/>
          <w:szCs w:val="16"/>
        </w:rPr>
        <w:t xml:space="preserve"> (this is currently done in-house so there is a ‘make or buy’ issue); Charging of 3</w:t>
      </w:r>
      <w:r w:rsidRPr="0038507F">
        <w:rPr>
          <w:rFonts w:eastAsia="Times New Roman" w:cs="Arial"/>
          <w:szCs w:val="16"/>
          <w:vertAlign w:val="superscript"/>
        </w:rPr>
        <w:t>rd</w:t>
      </w:r>
      <w:r w:rsidRPr="0038507F">
        <w:rPr>
          <w:rFonts w:eastAsia="Times New Roman" w:cs="Arial"/>
          <w:szCs w:val="16"/>
        </w:rPr>
        <w:t xml:space="preserve"> Party customers and maximising returns (circa 5000+ 3rd party customers on the MOD networks)</w:t>
      </w:r>
      <w:r>
        <w:rPr>
          <w:rFonts w:eastAsia="Times New Roman" w:cs="Arial"/>
          <w:szCs w:val="16"/>
        </w:rPr>
        <w:t>.</w:t>
      </w:r>
    </w:p>
  </w:footnote>
  <w:footnote w:id="3">
    <w:p w14:paraId="589546C5" w14:textId="77777777" w:rsidR="00D77BE7" w:rsidRDefault="00D77BE7" w:rsidP="00D77BE7">
      <w:pPr>
        <w:pStyle w:val="FootnoteText"/>
      </w:pPr>
      <w:r>
        <w:rPr>
          <w:rStyle w:val="FootnoteReference"/>
        </w:rPr>
        <w:footnoteRef/>
      </w:r>
      <w:r>
        <w:t xml:space="preserve"> </w:t>
      </w:r>
      <w:r w:rsidRPr="000F5C7B">
        <w:rPr>
          <w:rFonts w:eastAsia="Arial" w:cs="Arial"/>
          <w:szCs w:val="16"/>
        </w:rPr>
        <w:t>HM Treasury, Budget 2018, HC 1629, October 2018, para 1.51, p.29.</w:t>
      </w:r>
    </w:p>
  </w:footnote>
  <w:footnote w:id="4">
    <w:p w14:paraId="71C8CE4D" w14:textId="77777777" w:rsidR="00D77BE7" w:rsidRPr="00007A81" w:rsidRDefault="00D77BE7" w:rsidP="00D77BE7">
      <w:pPr>
        <w:pStyle w:val="FootnoteText"/>
        <w:rPr>
          <w:rFonts w:cs="Arial"/>
          <w:szCs w:val="16"/>
        </w:rPr>
      </w:pPr>
      <w:r w:rsidRPr="00007A81">
        <w:rPr>
          <w:rStyle w:val="FootnoteReference"/>
          <w:rFonts w:cs="Arial"/>
          <w:szCs w:val="16"/>
        </w:rPr>
        <w:footnoteRef/>
      </w:r>
      <w:r w:rsidRPr="00007A81">
        <w:rPr>
          <w:rFonts w:cs="Arial"/>
          <w:szCs w:val="16"/>
        </w:rPr>
        <w:t xml:space="preserve"> </w:t>
      </w:r>
      <w:r w:rsidRPr="00007A81">
        <w:rPr>
          <w:rStyle w:val="eop"/>
          <w:rFonts w:cs="Arial"/>
          <w:szCs w:val="16"/>
        </w:rPr>
        <w:t xml:space="preserve">To achieve this deliverable the successful bidder will have access, as a minimum, to DIO senior leadership, MOD’s Financial </w:t>
      </w:r>
      <w:proofErr w:type="gramStart"/>
      <w:r w:rsidRPr="00007A81">
        <w:rPr>
          <w:rStyle w:val="eop"/>
          <w:rFonts w:cs="Arial"/>
          <w:szCs w:val="16"/>
        </w:rPr>
        <w:t>Military  Capability</w:t>
      </w:r>
      <w:proofErr w:type="gramEnd"/>
      <w:r w:rsidRPr="00007A81">
        <w:rPr>
          <w:rStyle w:val="eop"/>
          <w:rFonts w:cs="Arial"/>
          <w:szCs w:val="16"/>
        </w:rPr>
        <w:t xml:space="preserve"> (Infrastructure) organisation, the Heads of Infrastructure for all MOD end users (MOD’s Top-Level Budgets (TLBs)), the DIO’s Regional Delivery (RD) Organisation, </w:t>
      </w:r>
      <w:proofErr w:type="spellStart"/>
      <w:r w:rsidRPr="00007A81">
        <w:rPr>
          <w:rStyle w:val="eop"/>
          <w:rFonts w:cs="Arial"/>
          <w:szCs w:val="16"/>
        </w:rPr>
        <w:t>Aquatrine</w:t>
      </w:r>
      <w:proofErr w:type="spellEnd"/>
      <w:r w:rsidRPr="00007A81">
        <w:rPr>
          <w:rStyle w:val="eop"/>
          <w:rFonts w:cs="Arial"/>
          <w:szCs w:val="16"/>
        </w:rPr>
        <w:t xml:space="preserve"> Service Providers, </w:t>
      </w:r>
      <w:proofErr w:type="spellStart"/>
      <w:r w:rsidRPr="00007A81">
        <w:rPr>
          <w:rStyle w:val="eop"/>
          <w:rFonts w:cs="Arial"/>
          <w:szCs w:val="16"/>
        </w:rPr>
        <w:t>Aquatrine</w:t>
      </w:r>
      <w:proofErr w:type="spellEnd"/>
      <w:r w:rsidRPr="00007A81">
        <w:rPr>
          <w:rStyle w:val="eop"/>
          <w:rFonts w:cs="Arial"/>
          <w:szCs w:val="16"/>
        </w:rPr>
        <w:t xml:space="preserve"> performance and asset data. Suppliers may also wish to conduct market testing across the wider water industry to assess market appetite.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228A" w14:textId="77777777" w:rsidR="00F405FE" w:rsidRDefault="00F405F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8933" w14:textId="77777777" w:rsidR="00F405FE" w:rsidRPr="00074357" w:rsidRDefault="00F405FE"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4157" w14:textId="77777777" w:rsidR="00F405FE" w:rsidRDefault="00F4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881176"/>
    <w:multiLevelType w:val="hybridMultilevel"/>
    <w:tmpl w:val="1ADA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21929"/>
    <w:multiLevelType w:val="hybridMultilevel"/>
    <w:tmpl w:val="BB04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50D2E"/>
    <w:multiLevelType w:val="hybridMultilevel"/>
    <w:tmpl w:val="8D02ED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99C4E41"/>
    <w:multiLevelType w:val="hybridMultilevel"/>
    <w:tmpl w:val="8F72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44F7C"/>
    <w:multiLevelType w:val="hybridMultilevel"/>
    <w:tmpl w:val="649C4EDE"/>
    <w:lvl w:ilvl="0" w:tplc="4612781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C76A4C"/>
    <w:multiLevelType w:val="hybridMultilevel"/>
    <w:tmpl w:val="88163AE2"/>
    <w:lvl w:ilvl="0" w:tplc="97CCDC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B13601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854"/>
        </w:tabs>
        <w:ind w:left="1854"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32" w15:restartNumberingAfterBreak="0">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DF348A2"/>
    <w:multiLevelType w:val="hybridMultilevel"/>
    <w:tmpl w:val="75F49E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F987B95"/>
    <w:multiLevelType w:val="multilevel"/>
    <w:tmpl w:val="530AF60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lowerRoman"/>
      <w:lvlText w:val="%5."/>
      <w:lvlJc w:val="right"/>
      <w:pPr>
        <w:tabs>
          <w:tab w:val="num" w:pos="3960"/>
        </w:tabs>
        <w:ind w:left="3960" w:hanging="360"/>
      </w:pPr>
      <w:rPr>
        <w:rFonts w:hint="default"/>
      </w:rPr>
    </w:lvl>
    <w:lvl w:ilvl="5">
      <w:start w:val="1"/>
      <w:numFmt w:val="lowerRoman"/>
      <w:lvlText w:val="%6."/>
      <w:lvlJc w:val="right"/>
      <w:pPr>
        <w:tabs>
          <w:tab w:val="num" w:pos="4680"/>
        </w:tabs>
        <w:ind w:left="4680" w:hanging="360"/>
      </w:pPr>
      <w:rPr>
        <w:rFonts w:hint="default"/>
      </w:rPr>
    </w:lvl>
    <w:lvl w:ilvl="6">
      <w:start w:val="1"/>
      <w:numFmt w:val="lowerRoman"/>
      <w:lvlText w:val="%7."/>
      <w:lvlJc w:val="right"/>
      <w:pPr>
        <w:tabs>
          <w:tab w:val="num" w:pos="5400"/>
        </w:tabs>
        <w:ind w:left="5400" w:hanging="360"/>
      </w:pPr>
      <w:rPr>
        <w:rFonts w:hint="default"/>
      </w:rPr>
    </w:lvl>
    <w:lvl w:ilvl="7">
      <w:start w:val="1"/>
      <w:numFmt w:val="lowerRoman"/>
      <w:lvlText w:val="%8."/>
      <w:lvlJc w:val="right"/>
      <w:pPr>
        <w:tabs>
          <w:tab w:val="num" w:pos="6120"/>
        </w:tabs>
        <w:ind w:left="6120" w:hanging="360"/>
      </w:pPr>
      <w:rPr>
        <w:rFonts w:hint="default"/>
      </w:rPr>
    </w:lvl>
    <w:lvl w:ilvl="8">
      <w:start w:val="1"/>
      <w:numFmt w:val="lowerRoman"/>
      <w:lvlText w:val="%9."/>
      <w:lvlJc w:val="right"/>
      <w:pPr>
        <w:tabs>
          <w:tab w:val="num" w:pos="6840"/>
        </w:tabs>
        <w:ind w:left="6840" w:hanging="360"/>
      </w:pPr>
      <w:rPr>
        <w:rFonts w:hint="default"/>
      </w:rPr>
    </w:lvl>
  </w:abstractNum>
  <w:abstractNum w:abstractNumId="35" w15:restartNumberingAfterBreak="0">
    <w:nsid w:val="71651090"/>
    <w:multiLevelType w:val="hybridMultilevel"/>
    <w:tmpl w:val="1004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4345A4"/>
    <w:multiLevelType w:val="hybridMultilevel"/>
    <w:tmpl w:val="D5B6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94E5D"/>
    <w:multiLevelType w:val="hybridMultilevel"/>
    <w:tmpl w:val="3304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51DE1"/>
    <w:multiLevelType w:val="hybridMultilevel"/>
    <w:tmpl w:val="12EA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7"/>
  </w:num>
  <w:num w:numId="3">
    <w:abstractNumId w:val="16"/>
  </w:num>
  <w:num w:numId="4">
    <w:abstractNumId w:val="17"/>
  </w:num>
  <w:num w:numId="5">
    <w:abstractNumId w:val="5"/>
  </w:num>
  <w:num w:numId="6">
    <w:abstractNumId w:val="24"/>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9"/>
  </w:num>
  <w:num w:numId="15">
    <w:abstractNumId w:val="9"/>
  </w:num>
  <w:num w:numId="16">
    <w:abstractNumId w:val="30"/>
  </w:num>
  <w:num w:numId="17">
    <w:abstractNumId w:val="8"/>
  </w:num>
  <w:num w:numId="18">
    <w:abstractNumId w:val="21"/>
  </w:num>
  <w:num w:numId="19">
    <w:abstractNumId w:val="18"/>
  </w:num>
  <w:num w:numId="20">
    <w:abstractNumId w:val="28"/>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0"/>
  </w:num>
  <w:num w:numId="28">
    <w:abstractNumId w:val="12"/>
  </w:num>
  <w:num w:numId="29">
    <w:abstractNumId w:val="35"/>
  </w:num>
  <w:num w:numId="30">
    <w:abstractNumId w:val="11"/>
  </w:num>
  <w:num w:numId="31">
    <w:abstractNumId w:val="36"/>
  </w:num>
  <w:num w:numId="32">
    <w:abstractNumId w:val="33"/>
  </w:num>
  <w:num w:numId="33">
    <w:abstractNumId w:val="27"/>
  </w:num>
  <w:num w:numId="34">
    <w:abstractNumId w:val="13"/>
  </w:num>
  <w:num w:numId="35">
    <w:abstractNumId w:val="27"/>
  </w:num>
  <w:num w:numId="36">
    <w:abstractNumId w:val="23"/>
  </w:num>
  <w:num w:numId="37">
    <w:abstractNumId w:val="38"/>
  </w:num>
  <w:num w:numId="38">
    <w:abstractNumId w:val="37"/>
  </w:num>
  <w:num w:numId="39">
    <w:abstractNumId w:val="34"/>
  </w:num>
  <w:num w:numId="4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4DDC"/>
    <w:rsid w:val="0000639C"/>
    <w:rsid w:val="000067FA"/>
    <w:rsid w:val="00007985"/>
    <w:rsid w:val="00007A30"/>
    <w:rsid w:val="000109B9"/>
    <w:rsid w:val="00010B20"/>
    <w:rsid w:val="000110CC"/>
    <w:rsid w:val="00011988"/>
    <w:rsid w:val="0001222B"/>
    <w:rsid w:val="0001230E"/>
    <w:rsid w:val="00012407"/>
    <w:rsid w:val="000127AA"/>
    <w:rsid w:val="00012987"/>
    <w:rsid w:val="0001386E"/>
    <w:rsid w:val="0001408F"/>
    <w:rsid w:val="00014A44"/>
    <w:rsid w:val="00020611"/>
    <w:rsid w:val="0002117B"/>
    <w:rsid w:val="000213ED"/>
    <w:rsid w:val="00022304"/>
    <w:rsid w:val="0002409B"/>
    <w:rsid w:val="00024B2F"/>
    <w:rsid w:val="00026CBD"/>
    <w:rsid w:val="00026E28"/>
    <w:rsid w:val="000276B6"/>
    <w:rsid w:val="00027C05"/>
    <w:rsid w:val="000318CA"/>
    <w:rsid w:val="0003289F"/>
    <w:rsid w:val="000328D2"/>
    <w:rsid w:val="00035A45"/>
    <w:rsid w:val="00037CB6"/>
    <w:rsid w:val="00040A60"/>
    <w:rsid w:val="00044554"/>
    <w:rsid w:val="000459DD"/>
    <w:rsid w:val="00052A65"/>
    <w:rsid w:val="0005414E"/>
    <w:rsid w:val="00056F7F"/>
    <w:rsid w:val="00056FE5"/>
    <w:rsid w:val="00060D0E"/>
    <w:rsid w:val="00062FF9"/>
    <w:rsid w:val="00066D70"/>
    <w:rsid w:val="000715C8"/>
    <w:rsid w:val="0007280F"/>
    <w:rsid w:val="00072938"/>
    <w:rsid w:val="0007382D"/>
    <w:rsid w:val="00074357"/>
    <w:rsid w:val="00074D97"/>
    <w:rsid w:val="000763EA"/>
    <w:rsid w:val="00076448"/>
    <w:rsid w:val="000812AE"/>
    <w:rsid w:val="0008330B"/>
    <w:rsid w:val="00084250"/>
    <w:rsid w:val="00087F84"/>
    <w:rsid w:val="000900CC"/>
    <w:rsid w:val="00090D6B"/>
    <w:rsid w:val="00090F92"/>
    <w:rsid w:val="000910A7"/>
    <w:rsid w:val="00092145"/>
    <w:rsid w:val="00092C56"/>
    <w:rsid w:val="00094E2D"/>
    <w:rsid w:val="00096F76"/>
    <w:rsid w:val="000A0999"/>
    <w:rsid w:val="000A0C5F"/>
    <w:rsid w:val="000A0D22"/>
    <w:rsid w:val="000A5810"/>
    <w:rsid w:val="000A5D86"/>
    <w:rsid w:val="000A5E95"/>
    <w:rsid w:val="000A72F8"/>
    <w:rsid w:val="000B1C66"/>
    <w:rsid w:val="000B21A8"/>
    <w:rsid w:val="000B254C"/>
    <w:rsid w:val="000B29B2"/>
    <w:rsid w:val="000B3946"/>
    <w:rsid w:val="000B42DA"/>
    <w:rsid w:val="000B5C9F"/>
    <w:rsid w:val="000C2484"/>
    <w:rsid w:val="000C2E05"/>
    <w:rsid w:val="000C68BF"/>
    <w:rsid w:val="000C6D97"/>
    <w:rsid w:val="000C7C2B"/>
    <w:rsid w:val="000C7D60"/>
    <w:rsid w:val="000D3881"/>
    <w:rsid w:val="000E4281"/>
    <w:rsid w:val="000E4C53"/>
    <w:rsid w:val="000E57A0"/>
    <w:rsid w:val="000E5930"/>
    <w:rsid w:val="000E73AF"/>
    <w:rsid w:val="000E7BF9"/>
    <w:rsid w:val="000F232D"/>
    <w:rsid w:val="000F3348"/>
    <w:rsid w:val="000F3500"/>
    <w:rsid w:val="000F3E1D"/>
    <w:rsid w:val="00100246"/>
    <w:rsid w:val="00100B77"/>
    <w:rsid w:val="00101079"/>
    <w:rsid w:val="0010318E"/>
    <w:rsid w:val="00103276"/>
    <w:rsid w:val="0010453E"/>
    <w:rsid w:val="0010577C"/>
    <w:rsid w:val="00105FBC"/>
    <w:rsid w:val="00107B98"/>
    <w:rsid w:val="00107F2A"/>
    <w:rsid w:val="0011080D"/>
    <w:rsid w:val="00110C7E"/>
    <w:rsid w:val="00110F67"/>
    <w:rsid w:val="00113459"/>
    <w:rsid w:val="00115027"/>
    <w:rsid w:val="0011622E"/>
    <w:rsid w:val="001173D2"/>
    <w:rsid w:val="00120702"/>
    <w:rsid w:val="00121282"/>
    <w:rsid w:val="001223EC"/>
    <w:rsid w:val="00123FAD"/>
    <w:rsid w:val="001245F5"/>
    <w:rsid w:val="00124FD4"/>
    <w:rsid w:val="001256D9"/>
    <w:rsid w:val="0012683D"/>
    <w:rsid w:val="001318A1"/>
    <w:rsid w:val="00131AF8"/>
    <w:rsid w:val="001321F1"/>
    <w:rsid w:val="00133ADF"/>
    <w:rsid w:val="001345B2"/>
    <w:rsid w:val="00134C60"/>
    <w:rsid w:val="00135690"/>
    <w:rsid w:val="001368D7"/>
    <w:rsid w:val="00136BB5"/>
    <w:rsid w:val="00136BDD"/>
    <w:rsid w:val="00136D23"/>
    <w:rsid w:val="0013718C"/>
    <w:rsid w:val="00144867"/>
    <w:rsid w:val="00144F3B"/>
    <w:rsid w:val="00145725"/>
    <w:rsid w:val="00151381"/>
    <w:rsid w:val="00156231"/>
    <w:rsid w:val="0015696A"/>
    <w:rsid w:val="00156E2F"/>
    <w:rsid w:val="00157D99"/>
    <w:rsid w:val="001602E0"/>
    <w:rsid w:val="00160DEB"/>
    <w:rsid w:val="00161C17"/>
    <w:rsid w:val="0016322B"/>
    <w:rsid w:val="0016383C"/>
    <w:rsid w:val="00164D45"/>
    <w:rsid w:val="00166299"/>
    <w:rsid w:val="00166624"/>
    <w:rsid w:val="00166BB9"/>
    <w:rsid w:val="00167339"/>
    <w:rsid w:val="00167897"/>
    <w:rsid w:val="00171366"/>
    <w:rsid w:val="0017137C"/>
    <w:rsid w:val="0017225B"/>
    <w:rsid w:val="00173352"/>
    <w:rsid w:val="0017368C"/>
    <w:rsid w:val="0017627F"/>
    <w:rsid w:val="00176DF8"/>
    <w:rsid w:val="00181D58"/>
    <w:rsid w:val="001822F5"/>
    <w:rsid w:val="00183EB0"/>
    <w:rsid w:val="00184673"/>
    <w:rsid w:val="001863E6"/>
    <w:rsid w:val="001864EA"/>
    <w:rsid w:val="001868C0"/>
    <w:rsid w:val="0018756A"/>
    <w:rsid w:val="00194955"/>
    <w:rsid w:val="00195F22"/>
    <w:rsid w:val="001962E6"/>
    <w:rsid w:val="001A1780"/>
    <w:rsid w:val="001A18DF"/>
    <w:rsid w:val="001A258B"/>
    <w:rsid w:val="001A3024"/>
    <w:rsid w:val="001A3C4D"/>
    <w:rsid w:val="001A561E"/>
    <w:rsid w:val="001A67E7"/>
    <w:rsid w:val="001A7AB1"/>
    <w:rsid w:val="001B1E20"/>
    <w:rsid w:val="001B2EA8"/>
    <w:rsid w:val="001B3C1C"/>
    <w:rsid w:val="001B485F"/>
    <w:rsid w:val="001B4B79"/>
    <w:rsid w:val="001B52D8"/>
    <w:rsid w:val="001B6BBA"/>
    <w:rsid w:val="001C0799"/>
    <w:rsid w:val="001C210F"/>
    <w:rsid w:val="001C2A76"/>
    <w:rsid w:val="001C4CDC"/>
    <w:rsid w:val="001C5050"/>
    <w:rsid w:val="001C609B"/>
    <w:rsid w:val="001C63F8"/>
    <w:rsid w:val="001D0473"/>
    <w:rsid w:val="001D1ADF"/>
    <w:rsid w:val="001D3018"/>
    <w:rsid w:val="001D33F7"/>
    <w:rsid w:val="001D3C18"/>
    <w:rsid w:val="001D5416"/>
    <w:rsid w:val="001D54F2"/>
    <w:rsid w:val="001D5C65"/>
    <w:rsid w:val="001D600F"/>
    <w:rsid w:val="001D6212"/>
    <w:rsid w:val="001D798D"/>
    <w:rsid w:val="001D7E33"/>
    <w:rsid w:val="001E378F"/>
    <w:rsid w:val="001E3BC9"/>
    <w:rsid w:val="001E49D6"/>
    <w:rsid w:val="001E53CC"/>
    <w:rsid w:val="001E6C46"/>
    <w:rsid w:val="001F0B69"/>
    <w:rsid w:val="001F13E1"/>
    <w:rsid w:val="001F24D2"/>
    <w:rsid w:val="001F2926"/>
    <w:rsid w:val="001F2F1C"/>
    <w:rsid w:val="001F300D"/>
    <w:rsid w:val="001F3B05"/>
    <w:rsid w:val="001F4B65"/>
    <w:rsid w:val="002014DC"/>
    <w:rsid w:val="00202978"/>
    <w:rsid w:val="00202DAB"/>
    <w:rsid w:val="00204498"/>
    <w:rsid w:val="00205CD6"/>
    <w:rsid w:val="00206015"/>
    <w:rsid w:val="002136EC"/>
    <w:rsid w:val="00215015"/>
    <w:rsid w:val="002176A9"/>
    <w:rsid w:val="00217776"/>
    <w:rsid w:val="0022047E"/>
    <w:rsid w:val="00220F8C"/>
    <w:rsid w:val="00221152"/>
    <w:rsid w:val="002222F1"/>
    <w:rsid w:val="002229A8"/>
    <w:rsid w:val="002235BF"/>
    <w:rsid w:val="00223811"/>
    <w:rsid w:val="0022513D"/>
    <w:rsid w:val="00225865"/>
    <w:rsid w:val="0022592F"/>
    <w:rsid w:val="002262A5"/>
    <w:rsid w:val="002268D4"/>
    <w:rsid w:val="0022721A"/>
    <w:rsid w:val="002273E2"/>
    <w:rsid w:val="00234955"/>
    <w:rsid w:val="00235D88"/>
    <w:rsid w:val="002376ED"/>
    <w:rsid w:val="00241853"/>
    <w:rsid w:val="00243547"/>
    <w:rsid w:val="00245B30"/>
    <w:rsid w:val="002460E9"/>
    <w:rsid w:val="00246795"/>
    <w:rsid w:val="00250446"/>
    <w:rsid w:val="00257039"/>
    <w:rsid w:val="00257F38"/>
    <w:rsid w:val="002600C6"/>
    <w:rsid w:val="002608F4"/>
    <w:rsid w:val="0026119D"/>
    <w:rsid w:val="00261D93"/>
    <w:rsid w:val="00262BE6"/>
    <w:rsid w:val="002630FA"/>
    <w:rsid w:val="002634FE"/>
    <w:rsid w:val="00267433"/>
    <w:rsid w:val="0027062E"/>
    <w:rsid w:val="00274416"/>
    <w:rsid w:val="00277524"/>
    <w:rsid w:val="00280B5B"/>
    <w:rsid w:val="00283BE6"/>
    <w:rsid w:val="002848C1"/>
    <w:rsid w:val="0028697F"/>
    <w:rsid w:val="00286F62"/>
    <w:rsid w:val="002876FE"/>
    <w:rsid w:val="002905A0"/>
    <w:rsid w:val="00292A53"/>
    <w:rsid w:val="0029470C"/>
    <w:rsid w:val="002954F9"/>
    <w:rsid w:val="00297D77"/>
    <w:rsid w:val="002A08BF"/>
    <w:rsid w:val="002A2198"/>
    <w:rsid w:val="002A331C"/>
    <w:rsid w:val="002A5258"/>
    <w:rsid w:val="002A7D10"/>
    <w:rsid w:val="002A7DA6"/>
    <w:rsid w:val="002B0D7D"/>
    <w:rsid w:val="002B108B"/>
    <w:rsid w:val="002B1E1B"/>
    <w:rsid w:val="002B43BE"/>
    <w:rsid w:val="002B55ED"/>
    <w:rsid w:val="002B5AEB"/>
    <w:rsid w:val="002B5C29"/>
    <w:rsid w:val="002B6278"/>
    <w:rsid w:val="002B744B"/>
    <w:rsid w:val="002C1AF6"/>
    <w:rsid w:val="002C1DE8"/>
    <w:rsid w:val="002C2D54"/>
    <w:rsid w:val="002C3316"/>
    <w:rsid w:val="002C4729"/>
    <w:rsid w:val="002C538F"/>
    <w:rsid w:val="002C5DAF"/>
    <w:rsid w:val="002C671C"/>
    <w:rsid w:val="002D1E6C"/>
    <w:rsid w:val="002D2841"/>
    <w:rsid w:val="002D3A27"/>
    <w:rsid w:val="002D6ECE"/>
    <w:rsid w:val="002E05A6"/>
    <w:rsid w:val="002E12EA"/>
    <w:rsid w:val="002E5436"/>
    <w:rsid w:val="002E7996"/>
    <w:rsid w:val="002E7D36"/>
    <w:rsid w:val="002F13FD"/>
    <w:rsid w:val="002F1508"/>
    <w:rsid w:val="002F1F7F"/>
    <w:rsid w:val="002F42F4"/>
    <w:rsid w:val="0030038A"/>
    <w:rsid w:val="0030185A"/>
    <w:rsid w:val="0030285B"/>
    <w:rsid w:val="00312F3E"/>
    <w:rsid w:val="00314E8A"/>
    <w:rsid w:val="003207CC"/>
    <w:rsid w:val="00323541"/>
    <w:rsid w:val="00323EAA"/>
    <w:rsid w:val="00330C5C"/>
    <w:rsid w:val="003316AA"/>
    <w:rsid w:val="003341DC"/>
    <w:rsid w:val="00335214"/>
    <w:rsid w:val="00336059"/>
    <w:rsid w:val="0034369B"/>
    <w:rsid w:val="00344DD1"/>
    <w:rsid w:val="00346A23"/>
    <w:rsid w:val="00347685"/>
    <w:rsid w:val="00347C83"/>
    <w:rsid w:val="00347DB3"/>
    <w:rsid w:val="003502AB"/>
    <w:rsid w:val="00353191"/>
    <w:rsid w:val="00353E68"/>
    <w:rsid w:val="003550DB"/>
    <w:rsid w:val="00357970"/>
    <w:rsid w:val="00357E6F"/>
    <w:rsid w:val="00361ED6"/>
    <w:rsid w:val="003627B1"/>
    <w:rsid w:val="003631FE"/>
    <w:rsid w:val="00363CF4"/>
    <w:rsid w:val="00363D74"/>
    <w:rsid w:val="0036574F"/>
    <w:rsid w:val="003660F6"/>
    <w:rsid w:val="00366E93"/>
    <w:rsid w:val="00366F85"/>
    <w:rsid w:val="00370934"/>
    <w:rsid w:val="0037256D"/>
    <w:rsid w:val="003729F0"/>
    <w:rsid w:val="00373767"/>
    <w:rsid w:val="0037526E"/>
    <w:rsid w:val="00376922"/>
    <w:rsid w:val="00376ACE"/>
    <w:rsid w:val="00376FF7"/>
    <w:rsid w:val="003774FB"/>
    <w:rsid w:val="0038201E"/>
    <w:rsid w:val="0038347E"/>
    <w:rsid w:val="00386338"/>
    <w:rsid w:val="00386706"/>
    <w:rsid w:val="003874EB"/>
    <w:rsid w:val="00390123"/>
    <w:rsid w:val="003908EB"/>
    <w:rsid w:val="00390AED"/>
    <w:rsid w:val="00390BC3"/>
    <w:rsid w:val="0039193D"/>
    <w:rsid w:val="00396136"/>
    <w:rsid w:val="00396B62"/>
    <w:rsid w:val="003A0CDA"/>
    <w:rsid w:val="003A199A"/>
    <w:rsid w:val="003A2C48"/>
    <w:rsid w:val="003A2FF8"/>
    <w:rsid w:val="003A335F"/>
    <w:rsid w:val="003A4DD7"/>
    <w:rsid w:val="003B0599"/>
    <w:rsid w:val="003B4727"/>
    <w:rsid w:val="003B4B25"/>
    <w:rsid w:val="003B74BC"/>
    <w:rsid w:val="003C1CB5"/>
    <w:rsid w:val="003C4135"/>
    <w:rsid w:val="003C54C9"/>
    <w:rsid w:val="003C5BAA"/>
    <w:rsid w:val="003C60F5"/>
    <w:rsid w:val="003C6646"/>
    <w:rsid w:val="003C7636"/>
    <w:rsid w:val="003D0486"/>
    <w:rsid w:val="003D0A36"/>
    <w:rsid w:val="003D1E1C"/>
    <w:rsid w:val="003D2039"/>
    <w:rsid w:val="003D274F"/>
    <w:rsid w:val="003D2902"/>
    <w:rsid w:val="003D339F"/>
    <w:rsid w:val="003D4366"/>
    <w:rsid w:val="003D4F07"/>
    <w:rsid w:val="003D5109"/>
    <w:rsid w:val="003D66F3"/>
    <w:rsid w:val="003D6D0B"/>
    <w:rsid w:val="003E19FF"/>
    <w:rsid w:val="003E5204"/>
    <w:rsid w:val="003E7509"/>
    <w:rsid w:val="003F06FF"/>
    <w:rsid w:val="003F1295"/>
    <w:rsid w:val="003F1A91"/>
    <w:rsid w:val="003F1C5D"/>
    <w:rsid w:val="003F5CD8"/>
    <w:rsid w:val="004027A0"/>
    <w:rsid w:val="00402F0D"/>
    <w:rsid w:val="00404F9C"/>
    <w:rsid w:val="0040508D"/>
    <w:rsid w:val="0040535D"/>
    <w:rsid w:val="004126C0"/>
    <w:rsid w:val="004128DA"/>
    <w:rsid w:val="00413A43"/>
    <w:rsid w:val="00413AFB"/>
    <w:rsid w:val="004147A7"/>
    <w:rsid w:val="00415016"/>
    <w:rsid w:val="00416045"/>
    <w:rsid w:val="00416FF9"/>
    <w:rsid w:val="00422823"/>
    <w:rsid w:val="0042602C"/>
    <w:rsid w:val="00426162"/>
    <w:rsid w:val="00426AB4"/>
    <w:rsid w:val="00427A64"/>
    <w:rsid w:val="00430054"/>
    <w:rsid w:val="0043067F"/>
    <w:rsid w:val="0043082D"/>
    <w:rsid w:val="004324B4"/>
    <w:rsid w:val="0043749D"/>
    <w:rsid w:val="004406EB"/>
    <w:rsid w:val="004418FE"/>
    <w:rsid w:val="00442EDE"/>
    <w:rsid w:val="00447F11"/>
    <w:rsid w:val="00451A39"/>
    <w:rsid w:val="0045279B"/>
    <w:rsid w:val="00453EE6"/>
    <w:rsid w:val="00456D72"/>
    <w:rsid w:val="00461688"/>
    <w:rsid w:val="004654E4"/>
    <w:rsid w:val="00470A2A"/>
    <w:rsid w:val="00475EAB"/>
    <w:rsid w:val="00476F39"/>
    <w:rsid w:val="004771C4"/>
    <w:rsid w:val="00480506"/>
    <w:rsid w:val="004805C0"/>
    <w:rsid w:val="00480729"/>
    <w:rsid w:val="00480E50"/>
    <w:rsid w:val="00481728"/>
    <w:rsid w:val="0048778C"/>
    <w:rsid w:val="00487A71"/>
    <w:rsid w:val="00487A78"/>
    <w:rsid w:val="004900A1"/>
    <w:rsid w:val="004909B0"/>
    <w:rsid w:val="0049625F"/>
    <w:rsid w:val="004969DB"/>
    <w:rsid w:val="004A1E56"/>
    <w:rsid w:val="004A225E"/>
    <w:rsid w:val="004A2D0B"/>
    <w:rsid w:val="004A2E7B"/>
    <w:rsid w:val="004A31F0"/>
    <w:rsid w:val="004A31F5"/>
    <w:rsid w:val="004A4371"/>
    <w:rsid w:val="004B4E34"/>
    <w:rsid w:val="004B6951"/>
    <w:rsid w:val="004C0636"/>
    <w:rsid w:val="004C1460"/>
    <w:rsid w:val="004C50CD"/>
    <w:rsid w:val="004C5C6B"/>
    <w:rsid w:val="004C6D87"/>
    <w:rsid w:val="004C7CF6"/>
    <w:rsid w:val="004D0392"/>
    <w:rsid w:val="004D0A59"/>
    <w:rsid w:val="004D1EED"/>
    <w:rsid w:val="004D267E"/>
    <w:rsid w:val="004D2D01"/>
    <w:rsid w:val="004D34B9"/>
    <w:rsid w:val="004D4D43"/>
    <w:rsid w:val="004D5500"/>
    <w:rsid w:val="004D657C"/>
    <w:rsid w:val="004E1F9F"/>
    <w:rsid w:val="004E35E3"/>
    <w:rsid w:val="004E445C"/>
    <w:rsid w:val="004E573B"/>
    <w:rsid w:val="004E7AA2"/>
    <w:rsid w:val="004F1475"/>
    <w:rsid w:val="004F1A99"/>
    <w:rsid w:val="004F2229"/>
    <w:rsid w:val="004F2D68"/>
    <w:rsid w:val="004F3019"/>
    <w:rsid w:val="004F3FCB"/>
    <w:rsid w:val="004F4E7F"/>
    <w:rsid w:val="004F6B43"/>
    <w:rsid w:val="004F6EE0"/>
    <w:rsid w:val="0050062B"/>
    <w:rsid w:val="005009A0"/>
    <w:rsid w:val="00500DF6"/>
    <w:rsid w:val="00502279"/>
    <w:rsid w:val="00502DB6"/>
    <w:rsid w:val="0050537E"/>
    <w:rsid w:val="00505473"/>
    <w:rsid w:val="00507DAF"/>
    <w:rsid w:val="00510C90"/>
    <w:rsid w:val="0051252E"/>
    <w:rsid w:val="005147FE"/>
    <w:rsid w:val="00515D51"/>
    <w:rsid w:val="00517904"/>
    <w:rsid w:val="00520457"/>
    <w:rsid w:val="005227CD"/>
    <w:rsid w:val="00522AAC"/>
    <w:rsid w:val="00523B9C"/>
    <w:rsid w:val="00527040"/>
    <w:rsid w:val="00527446"/>
    <w:rsid w:val="005302FA"/>
    <w:rsid w:val="0053220D"/>
    <w:rsid w:val="00533F76"/>
    <w:rsid w:val="0053480E"/>
    <w:rsid w:val="005364E3"/>
    <w:rsid w:val="00536A61"/>
    <w:rsid w:val="005379A8"/>
    <w:rsid w:val="005423BD"/>
    <w:rsid w:val="00542952"/>
    <w:rsid w:val="00543EAA"/>
    <w:rsid w:val="005513FA"/>
    <w:rsid w:val="005533C9"/>
    <w:rsid w:val="00553AE6"/>
    <w:rsid w:val="00554A41"/>
    <w:rsid w:val="00555680"/>
    <w:rsid w:val="00555946"/>
    <w:rsid w:val="005601DC"/>
    <w:rsid w:val="00560F1B"/>
    <w:rsid w:val="005617FC"/>
    <w:rsid w:val="00561BB6"/>
    <w:rsid w:val="00564CCA"/>
    <w:rsid w:val="00566048"/>
    <w:rsid w:val="00570036"/>
    <w:rsid w:val="005732D5"/>
    <w:rsid w:val="00573358"/>
    <w:rsid w:val="005750D7"/>
    <w:rsid w:val="005750F5"/>
    <w:rsid w:val="005759DD"/>
    <w:rsid w:val="00576C34"/>
    <w:rsid w:val="00581CBA"/>
    <w:rsid w:val="005821EF"/>
    <w:rsid w:val="0058297A"/>
    <w:rsid w:val="005831FE"/>
    <w:rsid w:val="0058409F"/>
    <w:rsid w:val="00584701"/>
    <w:rsid w:val="0058517C"/>
    <w:rsid w:val="0058634D"/>
    <w:rsid w:val="00586CC2"/>
    <w:rsid w:val="005924FF"/>
    <w:rsid w:val="005939A7"/>
    <w:rsid w:val="00593CFF"/>
    <w:rsid w:val="00594104"/>
    <w:rsid w:val="00594E09"/>
    <w:rsid w:val="00595199"/>
    <w:rsid w:val="00597B02"/>
    <w:rsid w:val="005A3F66"/>
    <w:rsid w:val="005B10D0"/>
    <w:rsid w:val="005B1F6F"/>
    <w:rsid w:val="005B28B1"/>
    <w:rsid w:val="005B2BA5"/>
    <w:rsid w:val="005B3C3B"/>
    <w:rsid w:val="005B466A"/>
    <w:rsid w:val="005B494E"/>
    <w:rsid w:val="005B5FB3"/>
    <w:rsid w:val="005C09A8"/>
    <w:rsid w:val="005C2951"/>
    <w:rsid w:val="005C3B95"/>
    <w:rsid w:val="005C3FDE"/>
    <w:rsid w:val="005C6291"/>
    <w:rsid w:val="005C6503"/>
    <w:rsid w:val="005D0378"/>
    <w:rsid w:val="005D2362"/>
    <w:rsid w:val="005D6EDF"/>
    <w:rsid w:val="005E2029"/>
    <w:rsid w:val="005E29A1"/>
    <w:rsid w:val="005E4205"/>
    <w:rsid w:val="005E4793"/>
    <w:rsid w:val="005E4F6C"/>
    <w:rsid w:val="005E5490"/>
    <w:rsid w:val="005E5DD9"/>
    <w:rsid w:val="005E77ED"/>
    <w:rsid w:val="005E7C19"/>
    <w:rsid w:val="005F11AF"/>
    <w:rsid w:val="005F2A14"/>
    <w:rsid w:val="005F2F66"/>
    <w:rsid w:val="005F33DE"/>
    <w:rsid w:val="005F3E1B"/>
    <w:rsid w:val="005F6E6D"/>
    <w:rsid w:val="005F79C0"/>
    <w:rsid w:val="005F7FFB"/>
    <w:rsid w:val="00600D97"/>
    <w:rsid w:val="00600EA9"/>
    <w:rsid w:val="00604404"/>
    <w:rsid w:val="00605194"/>
    <w:rsid w:val="006054F0"/>
    <w:rsid w:val="006072D7"/>
    <w:rsid w:val="0061104D"/>
    <w:rsid w:val="00612178"/>
    <w:rsid w:val="00613C61"/>
    <w:rsid w:val="0061403B"/>
    <w:rsid w:val="006220AF"/>
    <w:rsid w:val="00622D9E"/>
    <w:rsid w:val="00627B4B"/>
    <w:rsid w:val="0063134B"/>
    <w:rsid w:val="006320FD"/>
    <w:rsid w:val="0063269D"/>
    <w:rsid w:val="00632838"/>
    <w:rsid w:val="006330D8"/>
    <w:rsid w:val="00635E9B"/>
    <w:rsid w:val="006373DB"/>
    <w:rsid w:val="006412AF"/>
    <w:rsid w:val="00641ACD"/>
    <w:rsid w:val="0064354C"/>
    <w:rsid w:val="006455A0"/>
    <w:rsid w:val="0064629E"/>
    <w:rsid w:val="00646B4C"/>
    <w:rsid w:val="00650B3E"/>
    <w:rsid w:val="006517A6"/>
    <w:rsid w:val="00653D40"/>
    <w:rsid w:val="00653DD3"/>
    <w:rsid w:val="00654173"/>
    <w:rsid w:val="00657DE2"/>
    <w:rsid w:val="00660013"/>
    <w:rsid w:val="006600A8"/>
    <w:rsid w:val="00660E0B"/>
    <w:rsid w:val="00662261"/>
    <w:rsid w:val="006641E1"/>
    <w:rsid w:val="006645BF"/>
    <w:rsid w:val="00665B3C"/>
    <w:rsid w:val="006660AC"/>
    <w:rsid w:val="00670CA7"/>
    <w:rsid w:val="0067136F"/>
    <w:rsid w:val="00671C2E"/>
    <w:rsid w:val="00674B62"/>
    <w:rsid w:val="006754B9"/>
    <w:rsid w:val="00676233"/>
    <w:rsid w:val="006772C0"/>
    <w:rsid w:val="00680C72"/>
    <w:rsid w:val="00682677"/>
    <w:rsid w:val="00683380"/>
    <w:rsid w:val="006849F7"/>
    <w:rsid w:val="00684CF6"/>
    <w:rsid w:val="0068585D"/>
    <w:rsid w:val="00685AF3"/>
    <w:rsid w:val="0068678A"/>
    <w:rsid w:val="00686ACE"/>
    <w:rsid w:val="00687826"/>
    <w:rsid w:val="0069053C"/>
    <w:rsid w:val="006921C8"/>
    <w:rsid w:val="0069239F"/>
    <w:rsid w:val="00693308"/>
    <w:rsid w:val="0069564F"/>
    <w:rsid w:val="00695B3A"/>
    <w:rsid w:val="006A1633"/>
    <w:rsid w:val="006A2A0F"/>
    <w:rsid w:val="006A3734"/>
    <w:rsid w:val="006A385C"/>
    <w:rsid w:val="006A45FC"/>
    <w:rsid w:val="006B1F15"/>
    <w:rsid w:val="006B32CD"/>
    <w:rsid w:val="006B3676"/>
    <w:rsid w:val="006B4A4B"/>
    <w:rsid w:val="006B4F77"/>
    <w:rsid w:val="006B6B0F"/>
    <w:rsid w:val="006C0828"/>
    <w:rsid w:val="006C2069"/>
    <w:rsid w:val="006C25AD"/>
    <w:rsid w:val="006C3FE6"/>
    <w:rsid w:val="006C466F"/>
    <w:rsid w:val="006C7377"/>
    <w:rsid w:val="006D0B91"/>
    <w:rsid w:val="006D2324"/>
    <w:rsid w:val="006D2E69"/>
    <w:rsid w:val="006D3910"/>
    <w:rsid w:val="006D50D6"/>
    <w:rsid w:val="006D54D2"/>
    <w:rsid w:val="006D6196"/>
    <w:rsid w:val="006D64A7"/>
    <w:rsid w:val="006D7362"/>
    <w:rsid w:val="006E28A2"/>
    <w:rsid w:val="006E5B51"/>
    <w:rsid w:val="006E5FFB"/>
    <w:rsid w:val="006F098A"/>
    <w:rsid w:val="006F0C06"/>
    <w:rsid w:val="006F490F"/>
    <w:rsid w:val="006F5B99"/>
    <w:rsid w:val="006F6878"/>
    <w:rsid w:val="006F6F85"/>
    <w:rsid w:val="006F7674"/>
    <w:rsid w:val="007003CC"/>
    <w:rsid w:val="0070085C"/>
    <w:rsid w:val="00702C1F"/>
    <w:rsid w:val="007045D8"/>
    <w:rsid w:val="00704A4D"/>
    <w:rsid w:val="00705F59"/>
    <w:rsid w:val="00706FCC"/>
    <w:rsid w:val="00707598"/>
    <w:rsid w:val="00707D8A"/>
    <w:rsid w:val="007110A9"/>
    <w:rsid w:val="007145F1"/>
    <w:rsid w:val="00715385"/>
    <w:rsid w:val="00716E2B"/>
    <w:rsid w:val="0072081F"/>
    <w:rsid w:val="00720D66"/>
    <w:rsid w:val="00724885"/>
    <w:rsid w:val="007300FC"/>
    <w:rsid w:val="00732654"/>
    <w:rsid w:val="00733046"/>
    <w:rsid w:val="00733ACF"/>
    <w:rsid w:val="0073470A"/>
    <w:rsid w:val="00735032"/>
    <w:rsid w:val="0073540C"/>
    <w:rsid w:val="00735D7F"/>
    <w:rsid w:val="00740B2E"/>
    <w:rsid w:val="0074336E"/>
    <w:rsid w:val="007435B9"/>
    <w:rsid w:val="0074525A"/>
    <w:rsid w:val="0075008F"/>
    <w:rsid w:val="0075444C"/>
    <w:rsid w:val="00755A73"/>
    <w:rsid w:val="00756064"/>
    <w:rsid w:val="00760E17"/>
    <w:rsid w:val="0076417D"/>
    <w:rsid w:val="00765195"/>
    <w:rsid w:val="00767758"/>
    <w:rsid w:val="00770747"/>
    <w:rsid w:val="0077082E"/>
    <w:rsid w:val="00770BA2"/>
    <w:rsid w:val="0077138F"/>
    <w:rsid w:val="00772062"/>
    <w:rsid w:val="007723BF"/>
    <w:rsid w:val="007734F9"/>
    <w:rsid w:val="007742BD"/>
    <w:rsid w:val="0078132F"/>
    <w:rsid w:val="00781B53"/>
    <w:rsid w:val="00781F72"/>
    <w:rsid w:val="007838E0"/>
    <w:rsid w:val="007838F0"/>
    <w:rsid w:val="00784548"/>
    <w:rsid w:val="00791568"/>
    <w:rsid w:val="007927AE"/>
    <w:rsid w:val="00792A76"/>
    <w:rsid w:val="00792F41"/>
    <w:rsid w:val="00793CFE"/>
    <w:rsid w:val="007957E7"/>
    <w:rsid w:val="007A1EDB"/>
    <w:rsid w:val="007A20A8"/>
    <w:rsid w:val="007A4212"/>
    <w:rsid w:val="007A5D2A"/>
    <w:rsid w:val="007A6229"/>
    <w:rsid w:val="007A790D"/>
    <w:rsid w:val="007B22E8"/>
    <w:rsid w:val="007B3FCD"/>
    <w:rsid w:val="007B5019"/>
    <w:rsid w:val="007B52CD"/>
    <w:rsid w:val="007B7B17"/>
    <w:rsid w:val="007C0F25"/>
    <w:rsid w:val="007C33F9"/>
    <w:rsid w:val="007C389F"/>
    <w:rsid w:val="007C40D2"/>
    <w:rsid w:val="007C5893"/>
    <w:rsid w:val="007C5961"/>
    <w:rsid w:val="007C79FC"/>
    <w:rsid w:val="007D04CE"/>
    <w:rsid w:val="007D1C75"/>
    <w:rsid w:val="007D1F33"/>
    <w:rsid w:val="007D2B47"/>
    <w:rsid w:val="007D4173"/>
    <w:rsid w:val="007D5356"/>
    <w:rsid w:val="007D5C41"/>
    <w:rsid w:val="007D7A8A"/>
    <w:rsid w:val="007D7EEC"/>
    <w:rsid w:val="007E2733"/>
    <w:rsid w:val="007E3BEA"/>
    <w:rsid w:val="007E44F7"/>
    <w:rsid w:val="007E4D19"/>
    <w:rsid w:val="007E581E"/>
    <w:rsid w:val="007E5ED3"/>
    <w:rsid w:val="007E631C"/>
    <w:rsid w:val="007E69D2"/>
    <w:rsid w:val="007F029A"/>
    <w:rsid w:val="007F060F"/>
    <w:rsid w:val="007F062B"/>
    <w:rsid w:val="007F521C"/>
    <w:rsid w:val="007F645D"/>
    <w:rsid w:val="007F78F3"/>
    <w:rsid w:val="00800097"/>
    <w:rsid w:val="0080204D"/>
    <w:rsid w:val="00802735"/>
    <w:rsid w:val="00804229"/>
    <w:rsid w:val="008042A5"/>
    <w:rsid w:val="0080626B"/>
    <w:rsid w:val="00806CB2"/>
    <w:rsid w:val="008073BC"/>
    <w:rsid w:val="00810C5D"/>
    <w:rsid w:val="00811C30"/>
    <w:rsid w:val="008133E0"/>
    <w:rsid w:val="0081457C"/>
    <w:rsid w:val="0082049B"/>
    <w:rsid w:val="00821734"/>
    <w:rsid w:val="00822196"/>
    <w:rsid w:val="008227FE"/>
    <w:rsid w:val="0082305E"/>
    <w:rsid w:val="00825DD7"/>
    <w:rsid w:val="0082694D"/>
    <w:rsid w:val="0082702F"/>
    <w:rsid w:val="00827E40"/>
    <w:rsid w:val="00827E8F"/>
    <w:rsid w:val="00830EA9"/>
    <w:rsid w:val="0083218D"/>
    <w:rsid w:val="00835003"/>
    <w:rsid w:val="0083566B"/>
    <w:rsid w:val="008367F3"/>
    <w:rsid w:val="00836828"/>
    <w:rsid w:val="0084143C"/>
    <w:rsid w:val="00841F2D"/>
    <w:rsid w:val="00842735"/>
    <w:rsid w:val="00842CAF"/>
    <w:rsid w:val="00843256"/>
    <w:rsid w:val="008433A5"/>
    <w:rsid w:val="008438B8"/>
    <w:rsid w:val="00843CA8"/>
    <w:rsid w:val="00843FCC"/>
    <w:rsid w:val="00845DE9"/>
    <w:rsid w:val="00846256"/>
    <w:rsid w:val="008465F9"/>
    <w:rsid w:val="00847117"/>
    <w:rsid w:val="00847FDC"/>
    <w:rsid w:val="008519A1"/>
    <w:rsid w:val="0085331D"/>
    <w:rsid w:val="00854513"/>
    <w:rsid w:val="008556F2"/>
    <w:rsid w:val="00856F0F"/>
    <w:rsid w:val="008605D0"/>
    <w:rsid w:val="00861D08"/>
    <w:rsid w:val="00862C72"/>
    <w:rsid w:val="00862E1D"/>
    <w:rsid w:val="008633FF"/>
    <w:rsid w:val="00867F30"/>
    <w:rsid w:val="00873E83"/>
    <w:rsid w:val="00877AA1"/>
    <w:rsid w:val="00877C1C"/>
    <w:rsid w:val="0088161D"/>
    <w:rsid w:val="00882465"/>
    <w:rsid w:val="00887F2F"/>
    <w:rsid w:val="008901F7"/>
    <w:rsid w:val="00890886"/>
    <w:rsid w:val="008916A4"/>
    <w:rsid w:val="00892F63"/>
    <w:rsid w:val="008A17B5"/>
    <w:rsid w:val="008A20B1"/>
    <w:rsid w:val="008A3F1A"/>
    <w:rsid w:val="008A3FCF"/>
    <w:rsid w:val="008A41ED"/>
    <w:rsid w:val="008A5EAC"/>
    <w:rsid w:val="008A74AE"/>
    <w:rsid w:val="008A7C5C"/>
    <w:rsid w:val="008B1DF4"/>
    <w:rsid w:val="008B2760"/>
    <w:rsid w:val="008B3DC8"/>
    <w:rsid w:val="008B4EC5"/>
    <w:rsid w:val="008B5210"/>
    <w:rsid w:val="008B7859"/>
    <w:rsid w:val="008C039E"/>
    <w:rsid w:val="008C05F1"/>
    <w:rsid w:val="008C218B"/>
    <w:rsid w:val="008C59EE"/>
    <w:rsid w:val="008C6917"/>
    <w:rsid w:val="008C6DD8"/>
    <w:rsid w:val="008C764B"/>
    <w:rsid w:val="008D01FD"/>
    <w:rsid w:val="008D0C37"/>
    <w:rsid w:val="008D17C0"/>
    <w:rsid w:val="008D1AFC"/>
    <w:rsid w:val="008D1F53"/>
    <w:rsid w:val="008D28A6"/>
    <w:rsid w:val="008D66D4"/>
    <w:rsid w:val="008D7794"/>
    <w:rsid w:val="008E00C2"/>
    <w:rsid w:val="008E0B8A"/>
    <w:rsid w:val="008E3774"/>
    <w:rsid w:val="008E4F52"/>
    <w:rsid w:val="008E6D8C"/>
    <w:rsid w:val="008E7D6B"/>
    <w:rsid w:val="008F025C"/>
    <w:rsid w:val="008F0B3A"/>
    <w:rsid w:val="008F0B5B"/>
    <w:rsid w:val="008F0F5B"/>
    <w:rsid w:val="008F48B8"/>
    <w:rsid w:val="008F5EDB"/>
    <w:rsid w:val="008F7429"/>
    <w:rsid w:val="008F7730"/>
    <w:rsid w:val="00900BFA"/>
    <w:rsid w:val="00900E71"/>
    <w:rsid w:val="009021F5"/>
    <w:rsid w:val="0090447A"/>
    <w:rsid w:val="00904D41"/>
    <w:rsid w:val="00905BFB"/>
    <w:rsid w:val="009064EA"/>
    <w:rsid w:val="009066E0"/>
    <w:rsid w:val="009076AA"/>
    <w:rsid w:val="00910C56"/>
    <w:rsid w:val="00911C93"/>
    <w:rsid w:val="00912B1E"/>
    <w:rsid w:val="0091531E"/>
    <w:rsid w:val="00915583"/>
    <w:rsid w:val="00917241"/>
    <w:rsid w:val="009176C3"/>
    <w:rsid w:val="009222A3"/>
    <w:rsid w:val="009232CA"/>
    <w:rsid w:val="00923A8C"/>
    <w:rsid w:val="00923ACC"/>
    <w:rsid w:val="00924F06"/>
    <w:rsid w:val="00926AFD"/>
    <w:rsid w:val="00931F12"/>
    <w:rsid w:val="00932346"/>
    <w:rsid w:val="00932D6C"/>
    <w:rsid w:val="00934359"/>
    <w:rsid w:val="00942940"/>
    <w:rsid w:val="0094313A"/>
    <w:rsid w:val="009448C5"/>
    <w:rsid w:val="0094512F"/>
    <w:rsid w:val="009467C9"/>
    <w:rsid w:val="00946FB9"/>
    <w:rsid w:val="00950118"/>
    <w:rsid w:val="00951437"/>
    <w:rsid w:val="00951F13"/>
    <w:rsid w:val="00951FEC"/>
    <w:rsid w:val="0095447F"/>
    <w:rsid w:val="009572E2"/>
    <w:rsid w:val="00957DC8"/>
    <w:rsid w:val="00960FC3"/>
    <w:rsid w:val="00964906"/>
    <w:rsid w:val="00965F55"/>
    <w:rsid w:val="009702C6"/>
    <w:rsid w:val="00970943"/>
    <w:rsid w:val="00970C86"/>
    <w:rsid w:val="00971A11"/>
    <w:rsid w:val="009738CD"/>
    <w:rsid w:val="00973F5F"/>
    <w:rsid w:val="0097525F"/>
    <w:rsid w:val="009766A7"/>
    <w:rsid w:val="0097705B"/>
    <w:rsid w:val="00977376"/>
    <w:rsid w:val="0098237E"/>
    <w:rsid w:val="00982E6C"/>
    <w:rsid w:val="00983AEF"/>
    <w:rsid w:val="00984502"/>
    <w:rsid w:val="00985750"/>
    <w:rsid w:val="009863EF"/>
    <w:rsid w:val="00986DDB"/>
    <w:rsid w:val="00993750"/>
    <w:rsid w:val="00995864"/>
    <w:rsid w:val="00996944"/>
    <w:rsid w:val="009970D1"/>
    <w:rsid w:val="00997A9A"/>
    <w:rsid w:val="009A041A"/>
    <w:rsid w:val="009A0DA6"/>
    <w:rsid w:val="009A28B5"/>
    <w:rsid w:val="009A2A8B"/>
    <w:rsid w:val="009A37CD"/>
    <w:rsid w:val="009A535E"/>
    <w:rsid w:val="009B0A14"/>
    <w:rsid w:val="009B0E63"/>
    <w:rsid w:val="009B2353"/>
    <w:rsid w:val="009B27BD"/>
    <w:rsid w:val="009B3199"/>
    <w:rsid w:val="009B475E"/>
    <w:rsid w:val="009C2B62"/>
    <w:rsid w:val="009C3578"/>
    <w:rsid w:val="009C3DAF"/>
    <w:rsid w:val="009C45FC"/>
    <w:rsid w:val="009C51BB"/>
    <w:rsid w:val="009C5B63"/>
    <w:rsid w:val="009D08E6"/>
    <w:rsid w:val="009D12CD"/>
    <w:rsid w:val="009D59B8"/>
    <w:rsid w:val="009D7801"/>
    <w:rsid w:val="009E01BA"/>
    <w:rsid w:val="009E2289"/>
    <w:rsid w:val="009E22EF"/>
    <w:rsid w:val="009E38B3"/>
    <w:rsid w:val="009E447F"/>
    <w:rsid w:val="009E46E8"/>
    <w:rsid w:val="009E4826"/>
    <w:rsid w:val="009E7CA6"/>
    <w:rsid w:val="009F0DAB"/>
    <w:rsid w:val="009F1E64"/>
    <w:rsid w:val="00A0186F"/>
    <w:rsid w:val="00A021F3"/>
    <w:rsid w:val="00A032EE"/>
    <w:rsid w:val="00A04242"/>
    <w:rsid w:val="00A055F2"/>
    <w:rsid w:val="00A05F78"/>
    <w:rsid w:val="00A06EEA"/>
    <w:rsid w:val="00A07797"/>
    <w:rsid w:val="00A07BA2"/>
    <w:rsid w:val="00A110A9"/>
    <w:rsid w:val="00A11943"/>
    <w:rsid w:val="00A126CF"/>
    <w:rsid w:val="00A13177"/>
    <w:rsid w:val="00A150ED"/>
    <w:rsid w:val="00A163C2"/>
    <w:rsid w:val="00A203DA"/>
    <w:rsid w:val="00A26DB5"/>
    <w:rsid w:val="00A279CA"/>
    <w:rsid w:val="00A3180D"/>
    <w:rsid w:val="00A33F0B"/>
    <w:rsid w:val="00A35CA9"/>
    <w:rsid w:val="00A3630D"/>
    <w:rsid w:val="00A363DA"/>
    <w:rsid w:val="00A37384"/>
    <w:rsid w:val="00A377D4"/>
    <w:rsid w:val="00A4055F"/>
    <w:rsid w:val="00A425FC"/>
    <w:rsid w:val="00A44A28"/>
    <w:rsid w:val="00A46AE8"/>
    <w:rsid w:val="00A520BB"/>
    <w:rsid w:val="00A53C90"/>
    <w:rsid w:val="00A544DF"/>
    <w:rsid w:val="00A54C8F"/>
    <w:rsid w:val="00A5594A"/>
    <w:rsid w:val="00A57890"/>
    <w:rsid w:val="00A61283"/>
    <w:rsid w:val="00A63F3F"/>
    <w:rsid w:val="00A646DE"/>
    <w:rsid w:val="00A658A4"/>
    <w:rsid w:val="00A6607B"/>
    <w:rsid w:val="00A70AC1"/>
    <w:rsid w:val="00A721DE"/>
    <w:rsid w:val="00A722D2"/>
    <w:rsid w:val="00A72352"/>
    <w:rsid w:val="00A73E58"/>
    <w:rsid w:val="00A74E7A"/>
    <w:rsid w:val="00A75BFE"/>
    <w:rsid w:val="00A81243"/>
    <w:rsid w:val="00A828AA"/>
    <w:rsid w:val="00A83013"/>
    <w:rsid w:val="00A83953"/>
    <w:rsid w:val="00A84380"/>
    <w:rsid w:val="00A845EC"/>
    <w:rsid w:val="00A852B4"/>
    <w:rsid w:val="00A90772"/>
    <w:rsid w:val="00A949A8"/>
    <w:rsid w:val="00A959B8"/>
    <w:rsid w:val="00A9628B"/>
    <w:rsid w:val="00A96390"/>
    <w:rsid w:val="00A9654F"/>
    <w:rsid w:val="00AA0D82"/>
    <w:rsid w:val="00AA196D"/>
    <w:rsid w:val="00AA220C"/>
    <w:rsid w:val="00AA31FA"/>
    <w:rsid w:val="00AA341B"/>
    <w:rsid w:val="00AA4993"/>
    <w:rsid w:val="00AA4F8E"/>
    <w:rsid w:val="00AA7115"/>
    <w:rsid w:val="00AB0220"/>
    <w:rsid w:val="00AB1D5F"/>
    <w:rsid w:val="00AB262A"/>
    <w:rsid w:val="00AB4B48"/>
    <w:rsid w:val="00AB4FFF"/>
    <w:rsid w:val="00AB55DE"/>
    <w:rsid w:val="00AB656C"/>
    <w:rsid w:val="00AB66B3"/>
    <w:rsid w:val="00AB6CFB"/>
    <w:rsid w:val="00AB70EE"/>
    <w:rsid w:val="00AC0899"/>
    <w:rsid w:val="00AC1E21"/>
    <w:rsid w:val="00AC28DE"/>
    <w:rsid w:val="00AC4A36"/>
    <w:rsid w:val="00AC65AC"/>
    <w:rsid w:val="00AC6A1B"/>
    <w:rsid w:val="00AC6CBD"/>
    <w:rsid w:val="00AC70C9"/>
    <w:rsid w:val="00AD047E"/>
    <w:rsid w:val="00AD0984"/>
    <w:rsid w:val="00AD41C0"/>
    <w:rsid w:val="00AD5F2B"/>
    <w:rsid w:val="00AD6C7F"/>
    <w:rsid w:val="00AE0361"/>
    <w:rsid w:val="00AE0DFE"/>
    <w:rsid w:val="00AE169A"/>
    <w:rsid w:val="00AE1C64"/>
    <w:rsid w:val="00AE2742"/>
    <w:rsid w:val="00AE2B3D"/>
    <w:rsid w:val="00AE36E5"/>
    <w:rsid w:val="00AF1672"/>
    <w:rsid w:val="00AF21E6"/>
    <w:rsid w:val="00AF2CEF"/>
    <w:rsid w:val="00AF4699"/>
    <w:rsid w:val="00AF5288"/>
    <w:rsid w:val="00AF5D31"/>
    <w:rsid w:val="00AF7B04"/>
    <w:rsid w:val="00B008C0"/>
    <w:rsid w:val="00B0302C"/>
    <w:rsid w:val="00B07165"/>
    <w:rsid w:val="00B1155E"/>
    <w:rsid w:val="00B1289A"/>
    <w:rsid w:val="00B12987"/>
    <w:rsid w:val="00B12D8E"/>
    <w:rsid w:val="00B13340"/>
    <w:rsid w:val="00B171D0"/>
    <w:rsid w:val="00B22835"/>
    <w:rsid w:val="00B238B0"/>
    <w:rsid w:val="00B240CE"/>
    <w:rsid w:val="00B316A1"/>
    <w:rsid w:val="00B345AB"/>
    <w:rsid w:val="00B349C9"/>
    <w:rsid w:val="00B366A1"/>
    <w:rsid w:val="00B37052"/>
    <w:rsid w:val="00B420E0"/>
    <w:rsid w:val="00B423E5"/>
    <w:rsid w:val="00B42707"/>
    <w:rsid w:val="00B432A0"/>
    <w:rsid w:val="00B45225"/>
    <w:rsid w:val="00B46D5E"/>
    <w:rsid w:val="00B4720A"/>
    <w:rsid w:val="00B507CC"/>
    <w:rsid w:val="00B50FC5"/>
    <w:rsid w:val="00B54AD6"/>
    <w:rsid w:val="00B55F78"/>
    <w:rsid w:val="00B561E8"/>
    <w:rsid w:val="00B57549"/>
    <w:rsid w:val="00B60463"/>
    <w:rsid w:val="00B64C19"/>
    <w:rsid w:val="00B67970"/>
    <w:rsid w:val="00B70F86"/>
    <w:rsid w:val="00B720D3"/>
    <w:rsid w:val="00B72164"/>
    <w:rsid w:val="00B7286F"/>
    <w:rsid w:val="00B73734"/>
    <w:rsid w:val="00B7431E"/>
    <w:rsid w:val="00B74E47"/>
    <w:rsid w:val="00B751D7"/>
    <w:rsid w:val="00B768E2"/>
    <w:rsid w:val="00B769AD"/>
    <w:rsid w:val="00B775CB"/>
    <w:rsid w:val="00B77BD4"/>
    <w:rsid w:val="00B77FA2"/>
    <w:rsid w:val="00B81D11"/>
    <w:rsid w:val="00B82F46"/>
    <w:rsid w:val="00B9252C"/>
    <w:rsid w:val="00B92A35"/>
    <w:rsid w:val="00B9498B"/>
    <w:rsid w:val="00B951B1"/>
    <w:rsid w:val="00B979BD"/>
    <w:rsid w:val="00B97A23"/>
    <w:rsid w:val="00BA4A84"/>
    <w:rsid w:val="00BA53B5"/>
    <w:rsid w:val="00BA68DB"/>
    <w:rsid w:val="00BB0A71"/>
    <w:rsid w:val="00BB1DDC"/>
    <w:rsid w:val="00BB241C"/>
    <w:rsid w:val="00BB27CE"/>
    <w:rsid w:val="00BB5A97"/>
    <w:rsid w:val="00BB5C1E"/>
    <w:rsid w:val="00BB6DF6"/>
    <w:rsid w:val="00BB76A3"/>
    <w:rsid w:val="00BB7AA8"/>
    <w:rsid w:val="00BC0359"/>
    <w:rsid w:val="00BC1EBF"/>
    <w:rsid w:val="00BC2E68"/>
    <w:rsid w:val="00BC44B6"/>
    <w:rsid w:val="00BC79C0"/>
    <w:rsid w:val="00BD1A08"/>
    <w:rsid w:val="00BD1D37"/>
    <w:rsid w:val="00BD2427"/>
    <w:rsid w:val="00BD2E18"/>
    <w:rsid w:val="00BD42DB"/>
    <w:rsid w:val="00BD571D"/>
    <w:rsid w:val="00BD6245"/>
    <w:rsid w:val="00BD697F"/>
    <w:rsid w:val="00BE1049"/>
    <w:rsid w:val="00BE17A9"/>
    <w:rsid w:val="00BE1B40"/>
    <w:rsid w:val="00BE36D2"/>
    <w:rsid w:val="00BF19C4"/>
    <w:rsid w:val="00BF3BAD"/>
    <w:rsid w:val="00BF3CBD"/>
    <w:rsid w:val="00BF423A"/>
    <w:rsid w:val="00BF5AF1"/>
    <w:rsid w:val="00BF612A"/>
    <w:rsid w:val="00C01984"/>
    <w:rsid w:val="00C02A15"/>
    <w:rsid w:val="00C02C4F"/>
    <w:rsid w:val="00C0327F"/>
    <w:rsid w:val="00C06EDA"/>
    <w:rsid w:val="00C075DD"/>
    <w:rsid w:val="00C15F11"/>
    <w:rsid w:val="00C1747F"/>
    <w:rsid w:val="00C17F10"/>
    <w:rsid w:val="00C20A5B"/>
    <w:rsid w:val="00C22B7B"/>
    <w:rsid w:val="00C23D66"/>
    <w:rsid w:val="00C25BEE"/>
    <w:rsid w:val="00C26F1C"/>
    <w:rsid w:val="00C2710F"/>
    <w:rsid w:val="00C31931"/>
    <w:rsid w:val="00C3280C"/>
    <w:rsid w:val="00C34F70"/>
    <w:rsid w:val="00C35E26"/>
    <w:rsid w:val="00C36A1B"/>
    <w:rsid w:val="00C36C28"/>
    <w:rsid w:val="00C3701E"/>
    <w:rsid w:val="00C4024C"/>
    <w:rsid w:val="00C44DC2"/>
    <w:rsid w:val="00C46E8F"/>
    <w:rsid w:val="00C47EE7"/>
    <w:rsid w:val="00C5443A"/>
    <w:rsid w:val="00C55020"/>
    <w:rsid w:val="00C603E6"/>
    <w:rsid w:val="00C613B7"/>
    <w:rsid w:val="00C61512"/>
    <w:rsid w:val="00C61819"/>
    <w:rsid w:val="00C61ED0"/>
    <w:rsid w:val="00C644A6"/>
    <w:rsid w:val="00C64CE8"/>
    <w:rsid w:val="00C65562"/>
    <w:rsid w:val="00C67094"/>
    <w:rsid w:val="00C67D1A"/>
    <w:rsid w:val="00C704B7"/>
    <w:rsid w:val="00C71D94"/>
    <w:rsid w:val="00C73155"/>
    <w:rsid w:val="00C7447E"/>
    <w:rsid w:val="00C76852"/>
    <w:rsid w:val="00C76ED0"/>
    <w:rsid w:val="00C7767B"/>
    <w:rsid w:val="00C77D9C"/>
    <w:rsid w:val="00C81EC7"/>
    <w:rsid w:val="00C847AF"/>
    <w:rsid w:val="00C858D0"/>
    <w:rsid w:val="00C8704C"/>
    <w:rsid w:val="00C8752E"/>
    <w:rsid w:val="00C901B4"/>
    <w:rsid w:val="00C944BE"/>
    <w:rsid w:val="00C959C7"/>
    <w:rsid w:val="00CA0A81"/>
    <w:rsid w:val="00CA2595"/>
    <w:rsid w:val="00CA3052"/>
    <w:rsid w:val="00CA3130"/>
    <w:rsid w:val="00CA4833"/>
    <w:rsid w:val="00CA69F1"/>
    <w:rsid w:val="00CA7764"/>
    <w:rsid w:val="00CB0192"/>
    <w:rsid w:val="00CB14F9"/>
    <w:rsid w:val="00CB1680"/>
    <w:rsid w:val="00CB23D7"/>
    <w:rsid w:val="00CB3318"/>
    <w:rsid w:val="00CB4736"/>
    <w:rsid w:val="00CB6915"/>
    <w:rsid w:val="00CC0B69"/>
    <w:rsid w:val="00CC2078"/>
    <w:rsid w:val="00CC2901"/>
    <w:rsid w:val="00CC5CB2"/>
    <w:rsid w:val="00CD10B1"/>
    <w:rsid w:val="00CD138B"/>
    <w:rsid w:val="00CD3EE5"/>
    <w:rsid w:val="00CD4D5D"/>
    <w:rsid w:val="00CD7168"/>
    <w:rsid w:val="00CE2942"/>
    <w:rsid w:val="00CE43E0"/>
    <w:rsid w:val="00CE7758"/>
    <w:rsid w:val="00CF09E4"/>
    <w:rsid w:val="00CF0F7A"/>
    <w:rsid w:val="00CF199D"/>
    <w:rsid w:val="00CF20FB"/>
    <w:rsid w:val="00CF7B6A"/>
    <w:rsid w:val="00CF7DAB"/>
    <w:rsid w:val="00CF7DAD"/>
    <w:rsid w:val="00D01126"/>
    <w:rsid w:val="00D0162B"/>
    <w:rsid w:val="00D0241E"/>
    <w:rsid w:val="00D02587"/>
    <w:rsid w:val="00D03382"/>
    <w:rsid w:val="00D038AC"/>
    <w:rsid w:val="00D056A2"/>
    <w:rsid w:val="00D072AF"/>
    <w:rsid w:val="00D10439"/>
    <w:rsid w:val="00D10BD3"/>
    <w:rsid w:val="00D12A9F"/>
    <w:rsid w:val="00D178E0"/>
    <w:rsid w:val="00D21E06"/>
    <w:rsid w:val="00D23214"/>
    <w:rsid w:val="00D32B32"/>
    <w:rsid w:val="00D336B8"/>
    <w:rsid w:val="00D34DFE"/>
    <w:rsid w:val="00D353B7"/>
    <w:rsid w:val="00D42043"/>
    <w:rsid w:val="00D42969"/>
    <w:rsid w:val="00D42A06"/>
    <w:rsid w:val="00D4356E"/>
    <w:rsid w:val="00D440C9"/>
    <w:rsid w:val="00D44A45"/>
    <w:rsid w:val="00D473EC"/>
    <w:rsid w:val="00D47512"/>
    <w:rsid w:val="00D47B67"/>
    <w:rsid w:val="00D5114F"/>
    <w:rsid w:val="00D51391"/>
    <w:rsid w:val="00D51974"/>
    <w:rsid w:val="00D53F84"/>
    <w:rsid w:val="00D564A6"/>
    <w:rsid w:val="00D56F8F"/>
    <w:rsid w:val="00D60092"/>
    <w:rsid w:val="00D62E47"/>
    <w:rsid w:val="00D65F55"/>
    <w:rsid w:val="00D70A58"/>
    <w:rsid w:val="00D70F13"/>
    <w:rsid w:val="00D7211C"/>
    <w:rsid w:val="00D73FBD"/>
    <w:rsid w:val="00D74C36"/>
    <w:rsid w:val="00D74C4C"/>
    <w:rsid w:val="00D75A05"/>
    <w:rsid w:val="00D77BE7"/>
    <w:rsid w:val="00D8017D"/>
    <w:rsid w:val="00D80252"/>
    <w:rsid w:val="00D813D0"/>
    <w:rsid w:val="00D8191A"/>
    <w:rsid w:val="00D8251C"/>
    <w:rsid w:val="00D82A24"/>
    <w:rsid w:val="00D82DB4"/>
    <w:rsid w:val="00D83B95"/>
    <w:rsid w:val="00D846CA"/>
    <w:rsid w:val="00D84A3C"/>
    <w:rsid w:val="00D87254"/>
    <w:rsid w:val="00D92179"/>
    <w:rsid w:val="00D93F12"/>
    <w:rsid w:val="00D94567"/>
    <w:rsid w:val="00D96104"/>
    <w:rsid w:val="00D9647E"/>
    <w:rsid w:val="00D973CB"/>
    <w:rsid w:val="00DA0E8B"/>
    <w:rsid w:val="00DA3BD8"/>
    <w:rsid w:val="00DA4FDB"/>
    <w:rsid w:val="00DA5C32"/>
    <w:rsid w:val="00DA6D7B"/>
    <w:rsid w:val="00DA770E"/>
    <w:rsid w:val="00DB096A"/>
    <w:rsid w:val="00DB0CEC"/>
    <w:rsid w:val="00DB3C6E"/>
    <w:rsid w:val="00DB3D51"/>
    <w:rsid w:val="00DB4281"/>
    <w:rsid w:val="00DB4974"/>
    <w:rsid w:val="00DB4AB7"/>
    <w:rsid w:val="00DB6706"/>
    <w:rsid w:val="00DB7133"/>
    <w:rsid w:val="00DC0208"/>
    <w:rsid w:val="00DC1AC7"/>
    <w:rsid w:val="00DC465C"/>
    <w:rsid w:val="00DC6E1E"/>
    <w:rsid w:val="00DD0776"/>
    <w:rsid w:val="00DD4374"/>
    <w:rsid w:val="00DD6502"/>
    <w:rsid w:val="00DD6E07"/>
    <w:rsid w:val="00DD714C"/>
    <w:rsid w:val="00DE0CDD"/>
    <w:rsid w:val="00DE1254"/>
    <w:rsid w:val="00DE1B9B"/>
    <w:rsid w:val="00DE1E96"/>
    <w:rsid w:val="00DE231B"/>
    <w:rsid w:val="00DE29D7"/>
    <w:rsid w:val="00DE3681"/>
    <w:rsid w:val="00DE6244"/>
    <w:rsid w:val="00DF6664"/>
    <w:rsid w:val="00DF7615"/>
    <w:rsid w:val="00E00BEB"/>
    <w:rsid w:val="00E024D2"/>
    <w:rsid w:val="00E030C9"/>
    <w:rsid w:val="00E05439"/>
    <w:rsid w:val="00E05531"/>
    <w:rsid w:val="00E05F1D"/>
    <w:rsid w:val="00E10534"/>
    <w:rsid w:val="00E10E53"/>
    <w:rsid w:val="00E1162D"/>
    <w:rsid w:val="00E12E54"/>
    <w:rsid w:val="00E13CFC"/>
    <w:rsid w:val="00E14310"/>
    <w:rsid w:val="00E17A1F"/>
    <w:rsid w:val="00E20D35"/>
    <w:rsid w:val="00E20FCD"/>
    <w:rsid w:val="00E22084"/>
    <w:rsid w:val="00E22767"/>
    <w:rsid w:val="00E25C2D"/>
    <w:rsid w:val="00E2791D"/>
    <w:rsid w:val="00E305C1"/>
    <w:rsid w:val="00E33788"/>
    <w:rsid w:val="00E33AC7"/>
    <w:rsid w:val="00E33BE9"/>
    <w:rsid w:val="00E3410E"/>
    <w:rsid w:val="00E3420B"/>
    <w:rsid w:val="00E34437"/>
    <w:rsid w:val="00E4150F"/>
    <w:rsid w:val="00E41D60"/>
    <w:rsid w:val="00E420B0"/>
    <w:rsid w:val="00E448ED"/>
    <w:rsid w:val="00E450B0"/>
    <w:rsid w:val="00E45A23"/>
    <w:rsid w:val="00E50B0C"/>
    <w:rsid w:val="00E53E5F"/>
    <w:rsid w:val="00E5747E"/>
    <w:rsid w:val="00E57A45"/>
    <w:rsid w:val="00E612E3"/>
    <w:rsid w:val="00E613F6"/>
    <w:rsid w:val="00E620E0"/>
    <w:rsid w:val="00E63261"/>
    <w:rsid w:val="00E63383"/>
    <w:rsid w:val="00E63E21"/>
    <w:rsid w:val="00E65B12"/>
    <w:rsid w:val="00E7010B"/>
    <w:rsid w:val="00E7063E"/>
    <w:rsid w:val="00E70BA3"/>
    <w:rsid w:val="00E7139A"/>
    <w:rsid w:val="00E7148B"/>
    <w:rsid w:val="00E729D4"/>
    <w:rsid w:val="00E73CB8"/>
    <w:rsid w:val="00E7468B"/>
    <w:rsid w:val="00E83567"/>
    <w:rsid w:val="00E839C0"/>
    <w:rsid w:val="00E84FBC"/>
    <w:rsid w:val="00E8578F"/>
    <w:rsid w:val="00E86F90"/>
    <w:rsid w:val="00E876BF"/>
    <w:rsid w:val="00E90397"/>
    <w:rsid w:val="00E905EF"/>
    <w:rsid w:val="00E90BDB"/>
    <w:rsid w:val="00E913B0"/>
    <w:rsid w:val="00E9160D"/>
    <w:rsid w:val="00E92407"/>
    <w:rsid w:val="00E927E9"/>
    <w:rsid w:val="00E94A42"/>
    <w:rsid w:val="00E96B4D"/>
    <w:rsid w:val="00EA1DC5"/>
    <w:rsid w:val="00EA3CBF"/>
    <w:rsid w:val="00EA4EF9"/>
    <w:rsid w:val="00EA67AE"/>
    <w:rsid w:val="00EA6A93"/>
    <w:rsid w:val="00EB1275"/>
    <w:rsid w:val="00EB512C"/>
    <w:rsid w:val="00EB6DB1"/>
    <w:rsid w:val="00EC1B98"/>
    <w:rsid w:val="00EC212C"/>
    <w:rsid w:val="00EC3A14"/>
    <w:rsid w:val="00EC5BB5"/>
    <w:rsid w:val="00ED08E0"/>
    <w:rsid w:val="00ED0E52"/>
    <w:rsid w:val="00ED105F"/>
    <w:rsid w:val="00ED17E3"/>
    <w:rsid w:val="00ED208B"/>
    <w:rsid w:val="00ED3242"/>
    <w:rsid w:val="00ED3ECF"/>
    <w:rsid w:val="00ED6D4F"/>
    <w:rsid w:val="00EE2602"/>
    <w:rsid w:val="00EE3490"/>
    <w:rsid w:val="00EE3CAE"/>
    <w:rsid w:val="00EE4848"/>
    <w:rsid w:val="00EE5134"/>
    <w:rsid w:val="00EE6DC8"/>
    <w:rsid w:val="00EE79A1"/>
    <w:rsid w:val="00EF0368"/>
    <w:rsid w:val="00EF14C7"/>
    <w:rsid w:val="00EF5B11"/>
    <w:rsid w:val="00EF5D33"/>
    <w:rsid w:val="00EF70CD"/>
    <w:rsid w:val="00F000D3"/>
    <w:rsid w:val="00F015C6"/>
    <w:rsid w:val="00F04525"/>
    <w:rsid w:val="00F072DE"/>
    <w:rsid w:val="00F07323"/>
    <w:rsid w:val="00F079F1"/>
    <w:rsid w:val="00F10E1E"/>
    <w:rsid w:val="00F1110B"/>
    <w:rsid w:val="00F118A5"/>
    <w:rsid w:val="00F14317"/>
    <w:rsid w:val="00F15160"/>
    <w:rsid w:val="00F16205"/>
    <w:rsid w:val="00F1633B"/>
    <w:rsid w:val="00F172D8"/>
    <w:rsid w:val="00F17D6E"/>
    <w:rsid w:val="00F2043B"/>
    <w:rsid w:val="00F26236"/>
    <w:rsid w:val="00F26367"/>
    <w:rsid w:val="00F267CA"/>
    <w:rsid w:val="00F2778E"/>
    <w:rsid w:val="00F30696"/>
    <w:rsid w:val="00F34D03"/>
    <w:rsid w:val="00F3576A"/>
    <w:rsid w:val="00F35B2B"/>
    <w:rsid w:val="00F37B26"/>
    <w:rsid w:val="00F405FE"/>
    <w:rsid w:val="00F40B47"/>
    <w:rsid w:val="00F40F2C"/>
    <w:rsid w:val="00F425E1"/>
    <w:rsid w:val="00F439AD"/>
    <w:rsid w:val="00F43ABC"/>
    <w:rsid w:val="00F45DC7"/>
    <w:rsid w:val="00F4664B"/>
    <w:rsid w:val="00F468FE"/>
    <w:rsid w:val="00F476A1"/>
    <w:rsid w:val="00F51F4B"/>
    <w:rsid w:val="00F533A3"/>
    <w:rsid w:val="00F548BC"/>
    <w:rsid w:val="00F556A5"/>
    <w:rsid w:val="00F563AF"/>
    <w:rsid w:val="00F6463B"/>
    <w:rsid w:val="00F718BA"/>
    <w:rsid w:val="00F722CD"/>
    <w:rsid w:val="00F7526B"/>
    <w:rsid w:val="00F76B84"/>
    <w:rsid w:val="00F779C0"/>
    <w:rsid w:val="00F80355"/>
    <w:rsid w:val="00F82C05"/>
    <w:rsid w:val="00F8338C"/>
    <w:rsid w:val="00F8366A"/>
    <w:rsid w:val="00F8387B"/>
    <w:rsid w:val="00F87597"/>
    <w:rsid w:val="00F9090C"/>
    <w:rsid w:val="00F944C2"/>
    <w:rsid w:val="00F950A3"/>
    <w:rsid w:val="00FA0C0A"/>
    <w:rsid w:val="00FA11A4"/>
    <w:rsid w:val="00FA27DB"/>
    <w:rsid w:val="00FA3929"/>
    <w:rsid w:val="00FA42B4"/>
    <w:rsid w:val="00FA52F7"/>
    <w:rsid w:val="00FA54B5"/>
    <w:rsid w:val="00FA5C55"/>
    <w:rsid w:val="00FA79DC"/>
    <w:rsid w:val="00FB1A3D"/>
    <w:rsid w:val="00FB2431"/>
    <w:rsid w:val="00FB654B"/>
    <w:rsid w:val="00FB76C9"/>
    <w:rsid w:val="00FB7C5D"/>
    <w:rsid w:val="00FB7F1C"/>
    <w:rsid w:val="00FC0100"/>
    <w:rsid w:val="00FC0D7C"/>
    <w:rsid w:val="00FC38BB"/>
    <w:rsid w:val="00FC6D23"/>
    <w:rsid w:val="00FC7183"/>
    <w:rsid w:val="00FC7CF2"/>
    <w:rsid w:val="00FD0FBD"/>
    <w:rsid w:val="00FD330F"/>
    <w:rsid w:val="00FD4289"/>
    <w:rsid w:val="00FD6F08"/>
    <w:rsid w:val="00FE008E"/>
    <w:rsid w:val="00FE038C"/>
    <w:rsid w:val="00FE0D7E"/>
    <w:rsid w:val="00FE2F86"/>
    <w:rsid w:val="00FE2F95"/>
    <w:rsid w:val="00FE660A"/>
    <w:rsid w:val="00FE6D90"/>
    <w:rsid w:val="00FE7D76"/>
    <w:rsid w:val="00FF19D2"/>
    <w:rsid w:val="00FF2DE5"/>
    <w:rsid w:val="00FF3A36"/>
    <w:rsid w:val="00FF433A"/>
    <w:rsid w:val="00FF4651"/>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C3652"/>
  <w15:docId w15:val="{06B8DFCC-58AD-497C-B5AB-FBD3AF4A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character" w:customStyle="1" w:styleId="normaltextrun">
    <w:name w:val="normaltextrun"/>
    <w:basedOn w:val="DefaultParagraphFont"/>
    <w:rsid w:val="00084250"/>
  </w:style>
  <w:style w:type="character" w:customStyle="1" w:styleId="eop">
    <w:name w:val="eop"/>
    <w:basedOn w:val="DefaultParagraphFont"/>
    <w:rsid w:val="00084250"/>
  </w:style>
  <w:style w:type="character" w:styleId="UnresolvedMention">
    <w:name w:val="Unresolved Mention"/>
    <w:basedOn w:val="DefaultParagraphFont"/>
    <w:uiPriority w:val="99"/>
    <w:semiHidden/>
    <w:unhideWhenUsed/>
    <w:rsid w:val="00D56F8F"/>
    <w:rPr>
      <w:color w:val="605E5C"/>
      <w:shd w:val="clear" w:color="auto" w:fill="E1DFDD"/>
    </w:rPr>
  </w:style>
  <w:style w:type="paragraph" w:customStyle="1" w:styleId="paragraph">
    <w:name w:val="paragraph"/>
    <w:basedOn w:val="Normal"/>
    <w:rsid w:val="00DE1E96"/>
    <w:pPr>
      <w:spacing w:before="100" w:beforeAutospacing="1" w:after="100" w:afterAutospacing="1"/>
    </w:pPr>
    <w:rPr>
      <w:rFonts w:ascii="Times New Roman" w:eastAsia="Times New Roman" w:hAnsi="Times New Roman"/>
      <w:sz w:val="24"/>
      <w:lang w:eastAsia="en-GB"/>
    </w:rPr>
  </w:style>
  <w:style w:type="character" w:customStyle="1" w:styleId="superscript">
    <w:name w:val="superscript"/>
    <w:basedOn w:val="DefaultParagraphFont"/>
    <w:rsid w:val="00D7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6479">
      <w:bodyDiv w:val="1"/>
      <w:marLeft w:val="0"/>
      <w:marRight w:val="0"/>
      <w:marTop w:val="0"/>
      <w:marBottom w:val="0"/>
      <w:divBdr>
        <w:top w:val="none" w:sz="0" w:space="0" w:color="auto"/>
        <w:left w:val="none" w:sz="0" w:space="0" w:color="auto"/>
        <w:bottom w:val="none" w:sz="0" w:space="0" w:color="auto"/>
        <w:right w:val="none" w:sz="0" w:space="0" w:color="auto"/>
      </w:divBdr>
    </w:div>
    <w:div w:id="197668789">
      <w:bodyDiv w:val="1"/>
      <w:marLeft w:val="0"/>
      <w:marRight w:val="0"/>
      <w:marTop w:val="0"/>
      <w:marBottom w:val="0"/>
      <w:divBdr>
        <w:top w:val="none" w:sz="0" w:space="0" w:color="auto"/>
        <w:left w:val="none" w:sz="0" w:space="0" w:color="auto"/>
        <w:bottom w:val="none" w:sz="0" w:space="0" w:color="auto"/>
        <w:right w:val="none" w:sz="0" w:space="0" w:color="auto"/>
      </w:divBdr>
    </w:div>
    <w:div w:id="479224872">
      <w:bodyDiv w:val="1"/>
      <w:marLeft w:val="0"/>
      <w:marRight w:val="0"/>
      <w:marTop w:val="0"/>
      <w:marBottom w:val="0"/>
      <w:divBdr>
        <w:top w:val="none" w:sz="0" w:space="0" w:color="auto"/>
        <w:left w:val="none" w:sz="0" w:space="0" w:color="auto"/>
        <w:bottom w:val="none" w:sz="0" w:space="0" w:color="auto"/>
        <w:right w:val="none" w:sz="0" w:space="0" w:color="auto"/>
      </w:divBdr>
    </w:div>
    <w:div w:id="549461027">
      <w:bodyDiv w:val="1"/>
      <w:marLeft w:val="0"/>
      <w:marRight w:val="0"/>
      <w:marTop w:val="0"/>
      <w:marBottom w:val="0"/>
      <w:divBdr>
        <w:top w:val="none" w:sz="0" w:space="0" w:color="auto"/>
        <w:left w:val="none" w:sz="0" w:space="0" w:color="auto"/>
        <w:bottom w:val="none" w:sz="0" w:space="0" w:color="auto"/>
        <w:right w:val="none" w:sz="0" w:space="0" w:color="auto"/>
      </w:divBdr>
    </w:div>
    <w:div w:id="824735445">
      <w:bodyDiv w:val="1"/>
      <w:marLeft w:val="0"/>
      <w:marRight w:val="0"/>
      <w:marTop w:val="0"/>
      <w:marBottom w:val="0"/>
      <w:divBdr>
        <w:top w:val="none" w:sz="0" w:space="0" w:color="auto"/>
        <w:left w:val="none" w:sz="0" w:space="0" w:color="auto"/>
        <w:bottom w:val="none" w:sz="0" w:space="0" w:color="auto"/>
        <w:right w:val="none" w:sz="0" w:space="0" w:color="auto"/>
      </w:divBdr>
    </w:div>
    <w:div w:id="1113786602">
      <w:bodyDiv w:val="1"/>
      <w:marLeft w:val="0"/>
      <w:marRight w:val="0"/>
      <w:marTop w:val="0"/>
      <w:marBottom w:val="0"/>
      <w:divBdr>
        <w:top w:val="none" w:sz="0" w:space="0" w:color="auto"/>
        <w:left w:val="none" w:sz="0" w:space="0" w:color="auto"/>
        <w:bottom w:val="none" w:sz="0" w:space="0" w:color="auto"/>
        <w:right w:val="none" w:sz="0" w:space="0" w:color="auto"/>
      </w:divBdr>
    </w:div>
    <w:div w:id="1421293808">
      <w:bodyDiv w:val="1"/>
      <w:marLeft w:val="0"/>
      <w:marRight w:val="0"/>
      <w:marTop w:val="0"/>
      <w:marBottom w:val="0"/>
      <w:divBdr>
        <w:top w:val="none" w:sz="0" w:space="0" w:color="auto"/>
        <w:left w:val="none" w:sz="0" w:space="0" w:color="auto"/>
        <w:bottom w:val="none" w:sz="0" w:space="0" w:color="auto"/>
        <w:right w:val="none" w:sz="0" w:space="0" w:color="auto"/>
      </w:divBdr>
    </w:div>
    <w:div w:id="195409592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s.office.com/Pages/ResponsePage.aspx?id=7WB3vlNZS0iuldChbfoJ5Tv4OR9pb0BHial1Ag-WKXVUOFk3Sk9SS0JDQ0FRWjhYNDhTVldHUDJaNy4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C7B3B4372B543A2F4C208CBC30D3F" ma:contentTypeVersion="10" ma:contentTypeDescription="Create a new document." ma:contentTypeScope="" ma:versionID="d41caa435bb6873fd669206ea6306780">
  <xsd:schema xmlns:xsd="http://www.w3.org/2001/XMLSchema" xmlns:xs="http://www.w3.org/2001/XMLSchema" xmlns:p="http://schemas.microsoft.com/office/2006/metadata/properties" xmlns:ns2="1508a484-0c16-48a7-85ce-4d6dcdf9f42b" xmlns:ns3="453103af-c072-43c3-a07b-ec7387396a7c" targetNamespace="http://schemas.microsoft.com/office/2006/metadata/properties" ma:root="true" ma:fieldsID="7407e3715cd2bf67426170ab4bd4eb2e" ns2:_="" ns3:_="">
    <xsd:import namespace="1508a484-0c16-48a7-85ce-4d6dcdf9f42b"/>
    <xsd:import namespace="453103af-c072-43c3-a07b-ec7387396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a484-0c16-48a7-85ce-4d6dcdf9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103af-c072-43c3-a07b-ec7387396a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8B595-FA76-40A9-B80F-A73AB277D1BF}">
  <ds:schemaRefs>
    <ds:schemaRef ds:uri="http://schemas.microsoft.com/sharepoint/v3/contenttype/forms"/>
  </ds:schemaRefs>
</ds:datastoreItem>
</file>

<file path=customXml/itemProps2.xml><?xml version="1.0" encoding="utf-8"?>
<ds:datastoreItem xmlns:ds="http://schemas.openxmlformats.org/officeDocument/2006/customXml" ds:itemID="{3C805EF4-2C72-4FE3-8B8F-6C3CAFE9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a484-0c16-48a7-85ce-4d6dcdf9f42b"/>
    <ds:schemaRef ds:uri="453103af-c072-43c3-a07b-ec7387396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54633-1851-42E5-8BC4-6B3EA0C20979}">
  <ds:schemaRefs>
    <ds:schemaRef ds:uri="http://schemas.openxmlformats.org/officeDocument/2006/bibliography"/>
  </ds:schemaRefs>
</ds:datastoreItem>
</file>

<file path=customXml/itemProps4.xml><?xml version="1.0" encoding="utf-8"?>
<ds:datastoreItem xmlns:ds="http://schemas.openxmlformats.org/officeDocument/2006/customXml" ds:itemID="{297A284F-DCAC-4E38-BECA-E10E74541482}">
  <ds:schemaRefs>
    <ds:schemaRef ds:uri="http://purl.org/dc/elements/1.1/"/>
    <ds:schemaRef ds:uri="http://schemas.microsoft.com/office/2006/metadata/properties"/>
    <ds:schemaRef ds:uri="http://schemas.microsoft.com/office/2006/documentManagement/types"/>
    <ds:schemaRef ds:uri="453103af-c072-43c3-a07b-ec7387396a7c"/>
    <ds:schemaRef ds:uri="1508a484-0c16-48a7-85ce-4d6dcdf9f42b"/>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standard-agreement-hs</Template>
  <TotalTime>83</TotalTime>
  <Pages>22</Pages>
  <Words>6077</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41201</CharactersWithSpaces>
  <SharedDoc>false</SharedDoc>
  <HLinks>
    <vt:vector size="150" baseType="variant">
      <vt:variant>
        <vt:i4>1703984</vt:i4>
      </vt:variant>
      <vt:variant>
        <vt:i4>140</vt:i4>
      </vt:variant>
      <vt:variant>
        <vt:i4>0</vt:i4>
      </vt:variant>
      <vt:variant>
        <vt:i4>5</vt:i4>
      </vt:variant>
      <vt:variant>
        <vt:lpwstr/>
      </vt:variant>
      <vt:variant>
        <vt:lpwstr>_Toc114216480</vt:lpwstr>
      </vt:variant>
      <vt:variant>
        <vt:i4>1376304</vt:i4>
      </vt:variant>
      <vt:variant>
        <vt:i4>134</vt:i4>
      </vt:variant>
      <vt:variant>
        <vt:i4>0</vt:i4>
      </vt:variant>
      <vt:variant>
        <vt:i4>5</vt:i4>
      </vt:variant>
      <vt:variant>
        <vt:lpwstr/>
      </vt:variant>
      <vt:variant>
        <vt:lpwstr>_Toc114216479</vt:lpwstr>
      </vt:variant>
      <vt:variant>
        <vt:i4>1376304</vt:i4>
      </vt:variant>
      <vt:variant>
        <vt:i4>128</vt:i4>
      </vt:variant>
      <vt:variant>
        <vt:i4>0</vt:i4>
      </vt:variant>
      <vt:variant>
        <vt:i4>5</vt:i4>
      </vt:variant>
      <vt:variant>
        <vt:lpwstr/>
      </vt:variant>
      <vt:variant>
        <vt:lpwstr>_Toc114216478</vt:lpwstr>
      </vt:variant>
      <vt:variant>
        <vt:i4>1376304</vt:i4>
      </vt:variant>
      <vt:variant>
        <vt:i4>122</vt:i4>
      </vt:variant>
      <vt:variant>
        <vt:i4>0</vt:i4>
      </vt:variant>
      <vt:variant>
        <vt:i4>5</vt:i4>
      </vt:variant>
      <vt:variant>
        <vt:lpwstr/>
      </vt:variant>
      <vt:variant>
        <vt:lpwstr>_Toc114216477</vt:lpwstr>
      </vt:variant>
      <vt:variant>
        <vt:i4>1376304</vt:i4>
      </vt:variant>
      <vt:variant>
        <vt:i4>116</vt:i4>
      </vt:variant>
      <vt:variant>
        <vt:i4>0</vt:i4>
      </vt:variant>
      <vt:variant>
        <vt:i4>5</vt:i4>
      </vt:variant>
      <vt:variant>
        <vt:lpwstr/>
      </vt:variant>
      <vt:variant>
        <vt:lpwstr>_Toc114216476</vt:lpwstr>
      </vt:variant>
      <vt:variant>
        <vt:i4>1376304</vt:i4>
      </vt:variant>
      <vt:variant>
        <vt:i4>110</vt:i4>
      </vt:variant>
      <vt:variant>
        <vt:i4>0</vt:i4>
      </vt:variant>
      <vt:variant>
        <vt:i4>5</vt:i4>
      </vt:variant>
      <vt:variant>
        <vt:lpwstr/>
      </vt:variant>
      <vt:variant>
        <vt:lpwstr>_Toc114216475</vt:lpwstr>
      </vt:variant>
      <vt:variant>
        <vt:i4>1376304</vt:i4>
      </vt:variant>
      <vt:variant>
        <vt:i4>104</vt:i4>
      </vt:variant>
      <vt:variant>
        <vt:i4>0</vt:i4>
      </vt:variant>
      <vt:variant>
        <vt:i4>5</vt:i4>
      </vt:variant>
      <vt:variant>
        <vt:lpwstr/>
      </vt:variant>
      <vt:variant>
        <vt:lpwstr>_Toc114216474</vt:lpwstr>
      </vt:variant>
      <vt:variant>
        <vt:i4>1376304</vt:i4>
      </vt:variant>
      <vt:variant>
        <vt:i4>98</vt:i4>
      </vt:variant>
      <vt:variant>
        <vt:i4>0</vt:i4>
      </vt:variant>
      <vt:variant>
        <vt:i4>5</vt:i4>
      </vt:variant>
      <vt:variant>
        <vt:lpwstr/>
      </vt:variant>
      <vt:variant>
        <vt:lpwstr>_Toc114216473</vt:lpwstr>
      </vt:variant>
      <vt:variant>
        <vt:i4>1376304</vt:i4>
      </vt:variant>
      <vt:variant>
        <vt:i4>92</vt:i4>
      </vt:variant>
      <vt:variant>
        <vt:i4>0</vt:i4>
      </vt:variant>
      <vt:variant>
        <vt:i4>5</vt:i4>
      </vt:variant>
      <vt:variant>
        <vt:lpwstr/>
      </vt:variant>
      <vt:variant>
        <vt:lpwstr>_Toc114216472</vt:lpwstr>
      </vt:variant>
      <vt:variant>
        <vt:i4>1376304</vt:i4>
      </vt:variant>
      <vt:variant>
        <vt:i4>86</vt:i4>
      </vt:variant>
      <vt:variant>
        <vt:i4>0</vt:i4>
      </vt:variant>
      <vt:variant>
        <vt:i4>5</vt:i4>
      </vt:variant>
      <vt:variant>
        <vt:lpwstr/>
      </vt:variant>
      <vt:variant>
        <vt:lpwstr>_Toc114216471</vt:lpwstr>
      </vt:variant>
      <vt:variant>
        <vt:i4>1376304</vt:i4>
      </vt:variant>
      <vt:variant>
        <vt:i4>80</vt:i4>
      </vt:variant>
      <vt:variant>
        <vt:i4>0</vt:i4>
      </vt:variant>
      <vt:variant>
        <vt:i4>5</vt:i4>
      </vt:variant>
      <vt:variant>
        <vt:lpwstr/>
      </vt:variant>
      <vt:variant>
        <vt:lpwstr>_Toc114216470</vt:lpwstr>
      </vt:variant>
      <vt:variant>
        <vt:i4>1310768</vt:i4>
      </vt:variant>
      <vt:variant>
        <vt:i4>74</vt:i4>
      </vt:variant>
      <vt:variant>
        <vt:i4>0</vt:i4>
      </vt:variant>
      <vt:variant>
        <vt:i4>5</vt:i4>
      </vt:variant>
      <vt:variant>
        <vt:lpwstr/>
      </vt:variant>
      <vt:variant>
        <vt:lpwstr>_Toc114216469</vt:lpwstr>
      </vt:variant>
      <vt:variant>
        <vt:i4>1310768</vt:i4>
      </vt:variant>
      <vt:variant>
        <vt:i4>68</vt:i4>
      </vt:variant>
      <vt:variant>
        <vt:i4>0</vt:i4>
      </vt:variant>
      <vt:variant>
        <vt:i4>5</vt:i4>
      </vt:variant>
      <vt:variant>
        <vt:lpwstr/>
      </vt:variant>
      <vt:variant>
        <vt:lpwstr>_Toc114216468</vt:lpwstr>
      </vt:variant>
      <vt:variant>
        <vt:i4>1310768</vt:i4>
      </vt:variant>
      <vt:variant>
        <vt:i4>62</vt:i4>
      </vt:variant>
      <vt:variant>
        <vt:i4>0</vt:i4>
      </vt:variant>
      <vt:variant>
        <vt:i4>5</vt:i4>
      </vt:variant>
      <vt:variant>
        <vt:lpwstr/>
      </vt:variant>
      <vt:variant>
        <vt:lpwstr>_Toc114216467</vt:lpwstr>
      </vt:variant>
      <vt:variant>
        <vt:i4>1310768</vt:i4>
      </vt:variant>
      <vt:variant>
        <vt:i4>56</vt:i4>
      </vt:variant>
      <vt:variant>
        <vt:i4>0</vt:i4>
      </vt:variant>
      <vt:variant>
        <vt:i4>5</vt:i4>
      </vt:variant>
      <vt:variant>
        <vt:lpwstr/>
      </vt:variant>
      <vt:variant>
        <vt:lpwstr>_Toc114216466</vt:lpwstr>
      </vt:variant>
      <vt:variant>
        <vt:i4>1310768</vt:i4>
      </vt:variant>
      <vt:variant>
        <vt:i4>50</vt:i4>
      </vt:variant>
      <vt:variant>
        <vt:i4>0</vt:i4>
      </vt:variant>
      <vt:variant>
        <vt:i4>5</vt:i4>
      </vt:variant>
      <vt:variant>
        <vt:lpwstr/>
      </vt:variant>
      <vt:variant>
        <vt:lpwstr>_Toc114216465</vt:lpwstr>
      </vt:variant>
      <vt:variant>
        <vt:i4>1310768</vt:i4>
      </vt:variant>
      <vt:variant>
        <vt:i4>44</vt:i4>
      </vt:variant>
      <vt:variant>
        <vt:i4>0</vt:i4>
      </vt:variant>
      <vt:variant>
        <vt:i4>5</vt:i4>
      </vt:variant>
      <vt:variant>
        <vt:lpwstr/>
      </vt:variant>
      <vt:variant>
        <vt:lpwstr>_Toc114216464</vt:lpwstr>
      </vt:variant>
      <vt:variant>
        <vt:i4>1310768</vt:i4>
      </vt:variant>
      <vt:variant>
        <vt:i4>38</vt:i4>
      </vt:variant>
      <vt:variant>
        <vt:i4>0</vt:i4>
      </vt:variant>
      <vt:variant>
        <vt:i4>5</vt:i4>
      </vt:variant>
      <vt:variant>
        <vt:lpwstr/>
      </vt:variant>
      <vt:variant>
        <vt:lpwstr>_Toc114216463</vt:lpwstr>
      </vt:variant>
      <vt:variant>
        <vt:i4>1310768</vt:i4>
      </vt:variant>
      <vt:variant>
        <vt:i4>32</vt:i4>
      </vt:variant>
      <vt:variant>
        <vt:i4>0</vt:i4>
      </vt:variant>
      <vt:variant>
        <vt:i4>5</vt:i4>
      </vt:variant>
      <vt:variant>
        <vt:lpwstr/>
      </vt:variant>
      <vt:variant>
        <vt:lpwstr>_Toc114216462</vt:lpwstr>
      </vt:variant>
      <vt:variant>
        <vt:i4>1310768</vt:i4>
      </vt:variant>
      <vt:variant>
        <vt:i4>26</vt:i4>
      </vt:variant>
      <vt:variant>
        <vt:i4>0</vt:i4>
      </vt:variant>
      <vt:variant>
        <vt:i4>5</vt:i4>
      </vt:variant>
      <vt:variant>
        <vt:lpwstr/>
      </vt:variant>
      <vt:variant>
        <vt:lpwstr>_Toc114216461</vt:lpwstr>
      </vt:variant>
      <vt:variant>
        <vt:i4>1310768</vt:i4>
      </vt:variant>
      <vt:variant>
        <vt:i4>20</vt:i4>
      </vt:variant>
      <vt:variant>
        <vt:i4>0</vt:i4>
      </vt:variant>
      <vt:variant>
        <vt:i4>5</vt:i4>
      </vt:variant>
      <vt:variant>
        <vt:lpwstr/>
      </vt:variant>
      <vt:variant>
        <vt:lpwstr>_Toc114216460</vt:lpwstr>
      </vt:variant>
      <vt:variant>
        <vt:i4>1507376</vt:i4>
      </vt:variant>
      <vt:variant>
        <vt:i4>14</vt:i4>
      </vt:variant>
      <vt:variant>
        <vt:i4>0</vt:i4>
      </vt:variant>
      <vt:variant>
        <vt:i4>5</vt:i4>
      </vt:variant>
      <vt:variant>
        <vt:lpwstr/>
      </vt:variant>
      <vt:variant>
        <vt:lpwstr>_Toc114216459</vt:lpwstr>
      </vt:variant>
      <vt:variant>
        <vt:i4>1507376</vt:i4>
      </vt:variant>
      <vt:variant>
        <vt:i4>8</vt:i4>
      </vt:variant>
      <vt:variant>
        <vt:i4>0</vt:i4>
      </vt:variant>
      <vt:variant>
        <vt:i4>5</vt:i4>
      </vt:variant>
      <vt:variant>
        <vt:lpwstr/>
      </vt:variant>
      <vt:variant>
        <vt:lpwstr>_Toc114216458</vt:lpwstr>
      </vt:variant>
      <vt:variant>
        <vt:i4>1507376</vt:i4>
      </vt:variant>
      <vt:variant>
        <vt:i4>2</vt:i4>
      </vt:variant>
      <vt:variant>
        <vt:i4>0</vt:i4>
      </vt:variant>
      <vt:variant>
        <vt:i4>5</vt:i4>
      </vt:variant>
      <vt:variant>
        <vt:lpwstr/>
      </vt:variant>
      <vt:variant>
        <vt:lpwstr>_Toc114216457</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 Braidwood</dc:creator>
  <cp:keywords/>
  <dc:description/>
  <cp:lastModifiedBy>Abbotts, Matthew Mr (DIO Comrcl-SFM FP 09)</cp:lastModifiedBy>
  <cp:revision>19</cp:revision>
  <cp:lastPrinted>2022-08-23T01:36:00Z</cp:lastPrinted>
  <dcterms:created xsi:type="dcterms:W3CDTF">2022-09-22T21:40:00Z</dcterms:created>
  <dcterms:modified xsi:type="dcterms:W3CDTF">2022-09-23T08:15:00Z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MSIP_Label_d8a60473-494b-4586-a1bb-b0e663054676_Enabled">
    <vt:lpwstr>true</vt:lpwstr>
  </property>
  <property fmtid="{D5CDD505-2E9C-101B-9397-08002B2CF9AE}" pid="13" name="MSIP_Label_d8a60473-494b-4586-a1bb-b0e663054676_SetDate">
    <vt:lpwstr>2022-08-22T09:37:06Z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b753310b-7bc7-432f-affb-5a9dc7f6fdb8</vt:lpwstr>
  </property>
  <property fmtid="{D5CDD505-2E9C-101B-9397-08002B2CF9AE}" pid="18" name="MSIP_Label_d8a60473-494b-4586-a1bb-b0e663054676_ContentBits">
    <vt:lpwstr>0</vt:lpwstr>
  </property>
  <property fmtid="{D5CDD505-2E9C-101B-9397-08002B2CF9AE}" pid="19" name="ContentTypeId">
    <vt:lpwstr>0x010100037C7B3B4372B543A2F4C208CBC30D3F</vt:lpwstr>
  </property>
</Properties>
</file>