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332999" w:rsidP="007C2BE5">
      <w:pPr>
        <w:rPr>
          <w:rFonts w:cs="Arial"/>
          <w:b/>
          <w:color w:val="000000"/>
        </w:rPr>
      </w:pPr>
      <w:bookmarkStart w:id="0" w:name="_Hlk29986403"/>
      <w:r>
        <w:rPr>
          <w:rFonts w:cs="Arial"/>
          <w:b/>
          <w:color w:val="000000"/>
        </w:rPr>
        <w:t>PRE-QUALIFICATION QUESTIONNAIRE (PQQ)</w:t>
      </w:r>
    </w:p>
    <w:p w:rsidR="00003FA8" w:rsidRDefault="00003FA8" w:rsidP="007C2BE5">
      <w:pPr>
        <w:rPr>
          <w:rFonts w:cs="Arial"/>
          <w:b/>
          <w:color w:val="000000"/>
        </w:rPr>
      </w:pPr>
    </w:p>
    <w:bookmarkEnd w:id="0"/>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 xml:space="preserve">Once you have fully completed </w:t>
      </w:r>
      <w:r w:rsidR="000C2898">
        <w:rPr>
          <w:rFonts w:cs="Arial"/>
          <w:color w:val="000000"/>
          <w:lang w:eastAsia="en-GB"/>
        </w:rPr>
        <w:t>the PQQ</w:t>
      </w:r>
      <w:r w:rsidRPr="00003FA8">
        <w:rPr>
          <w:rFonts w:cs="Arial"/>
          <w:color w:val="000000"/>
          <w:lang w:eastAsia="en-GB"/>
        </w:rPr>
        <w:t>,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sidR="001E7310">
        <w:rPr>
          <w:rFonts w:cs="Arial"/>
          <w:bCs/>
          <w:color w:val="000000"/>
          <w:lang w:eastAsia="en-GB"/>
        </w:rPr>
        <w:t>PQQ</w:t>
      </w:r>
      <w:r>
        <w:rPr>
          <w:rFonts w:cs="Arial"/>
          <w:bCs/>
          <w:color w:val="000000"/>
          <w:lang w:eastAsia="en-GB"/>
        </w:rPr>
        <w:t xml:space="preserve"> </w:t>
      </w:r>
      <w:r w:rsidRPr="00003FA8">
        <w:rPr>
          <w:rFonts w:cs="Arial"/>
          <w:bCs/>
          <w:color w:val="000000"/>
          <w:lang w:eastAsia="en-GB"/>
        </w:rPr>
        <w:t>Response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003FA8"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000C2898" w:rsidRPr="00E8375E">
          <w:rPr>
            <w:rStyle w:val="Hyperlink"/>
          </w:rPr>
          <w:t>tom.smith@gleeds.co.uk</w:t>
        </w:r>
      </w:hyperlink>
      <w:r w:rsidR="000C2898">
        <w:t>, and dean.hodges@gleeds.co.uk</w:t>
      </w:r>
    </w:p>
    <w:p w:rsidR="00003FA8" w:rsidRPr="00003FA8" w:rsidRDefault="00003FA8" w:rsidP="00003FA8">
      <w:pPr>
        <w:ind w:left="720"/>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lang w:eastAsia="en-GB"/>
        </w:rPr>
        <w:t xml:space="preserve">be </w:t>
      </w:r>
      <w:proofErr w:type="gramStart"/>
      <w:r w:rsidRPr="00BE77F2">
        <w:rPr>
          <w:rFonts w:cs="Arial"/>
          <w:color w:val="000000"/>
          <w:lang w:eastAsia="en-GB"/>
        </w:rPr>
        <w:t xml:space="preserve">titled </w:t>
      </w:r>
      <w:r w:rsidR="00B92BCA" w:rsidRPr="00BE77F2">
        <w:rPr>
          <w:rFonts w:cs="Arial"/>
          <w:color w:val="000000"/>
          <w:lang w:eastAsia="en-GB"/>
        </w:rPr>
        <w:t xml:space="preserve"> </w:t>
      </w:r>
      <w:r w:rsidR="00722B13" w:rsidRPr="00BE77F2">
        <w:rPr>
          <w:rFonts w:cs="Arial"/>
          <w:color w:val="000000"/>
          <w:lang w:eastAsia="en-GB"/>
        </w:rPr>
        <w:t>“</w:t>
      </w:r>
      <w:proofErr w:type="gramEnd"/>
      <w:r w:rsidR="007A3703" w:rsidRPr="00BE77F2">
        <w:rPr>
          <w:rFonts w:cs="Arial"/>
          <w:color w:val="000000"/>
          <w:lang w:eastAsia="en-GB"/>
        </w:rPr>
        <w:t xml:space="preserve">6 </w:t>
      </w:r>
      <w:r w:rsidR="00722B13" w:rsidRPr="00BE77F2">
        <w:rPr>
          <w:rFonts w:cs="Arial"/>
          <w:color w:val="000000"/>
          <w:lang w:eastAsia="en-GB"/>
        </w:rPr>
        <w:t xml:space="preserve">New Dwellings at </w:t>
      </w:r>
      <w:r w:rsidR="007A3703" w:rsidRPr="00BE77F2">
        <w:rPr>
          <w:rFonts w:cs="Arial"/>
          <w:color w:val="000000"/>
          <w:lang w:eastAsia="en-GB"/>
        </w:rPr>
        <w:t>Albert Street</w:t>
      </w:r>
      <w:r w:rsidR="00722B13" w:rsidRPr="00BE77F2">
        <w:rPr>
          <w:rFonts w:cs="Arial"/>
          <w:color w:val="000000"/>
          <w:lang w:eastAsia="en-GB"/>
        </w:rPr>
        <w:t>, Kettering”</w:t>
      </w:r>
      <w:r w:rsidR="0042599B" w:rsidRPr="00BE77F2">
        <w:rPr>
          <w:rFonts w:cs="Arial"/>
          <w:color w:val="000000"/>
          <w:lang w:eastAsia="en-GB"/>
        </w:rPr>
        <w:t xml:space="preserve"> </w:t>
      </w:r>
    </w:p>
    <w:p w:rsidR="00003FA8" w:rsidRPr="00BF3CF7" w:rsidRDefault="00003FA8" w:rsidP="00003FA8">
      <w:pPr>
        <w:jc w:val="both"/>
        <w:outlineLvl w:val="0"/>
        <w:rPr>
          <w:rFonts w:cs="Arial"/>
          <w:color w:val="000000"/>
          <w:lang w:eastAsia="en-GB"/>
        </w:rPr>
      </w:pPr>
    </w:p>
    <w:p w:rsidR="00003FA8" w:rsidRPr="00BE77F2" w:rsidRDefault="00003FA8" w:rsidP="00003FA8">
      <w:pPr>
        <w:numPr>
          <w:ilvl w:val="0"/>
          <w:numId w:val="31"/>
        </w:numPr>
        <w:jc w:val="both"/>
        <w:outlineLvl w:val="0"/>
        <w:rPr>
          <w:rFonts w:cs="Arial"/>
          <w:color w:val="000000"/>
          <w:lang w:eastAsia="en-GB"/>
        </w:rPr>
      </w:pPr>
      <w:r w:rsidRPr="00BE77F2">
        <w:rPr>
          <w:rFonts w:cs="Arial"/>
          <w:color w:val="000000"/>
          <w:u w:val="single"/>
          <w:lang w:eastAsia="en-GB"/>
        </w:rPr>
        <w:t xml:space="preserve">ensure that the </w:t>
      </w:r>
      <w:r w:rsidR="00722B13" w:rsidRPr="00BE77F2">
        <w:rPr>
          <w:rFonts w:cs="Arial"/>
          <w:color w:val="000000"/>
          <w:u w:val="single"/>
          <w:lang w:eastAsia="en-GB"/>
        </w:rPr>
        <w:t xml:space="preserve">PQQ </w:t>
      </w:r>
      <w:r w:rsidRPr="00BE77F2">
        <w:rPr>
          <w:rFonts w:cs="Arial"/>
          <w:color w:val="000000"/>
          <w:u w:val="single"/>
          <w:lang w:eastAsia="en-GB"/>
        </w:rPr>
        <w:t>Response is r</w:t>
      </w:r>
      <w:r w:rsidRPr="00BE77F2">
        <w:rPr>
          <w:rFonts w:cs="Arial"/>
          <w:u w:val="single"/>
          <w:lang w:eastAsia="en-GB"/>
        </w:rPr>
        <w:t xml:space="preserve">eceived by </w:t>
      </w:r>
      <w:r w:rsidR="00722B13" w:rsidRPr="00BE77F2">
        <w:rPr>
          <w:rFonts w:cs="Arial"/>
          <w:u w:val="single"/>
          <w:lang w:eastAsia="en-GB"/>
        </w:rPr>
        <w:t>Gleeds Cost Management Ltd</w:t>
      </w:r>
      <w:r w:rsidRPr="00BE77F2">
        <w:rPr>
          <w:rFonts w:cs="Arial"/>
          <w:u w:val="single"/>
          <w:lang w:eastAsia="en-GB"/>
        </w:rPr>
        <w:t xml:space="preserve"> no later than 12 noon </w:t>
      </w:r>
      <w:proofErr w:type="gramStart"/>
      <w:r w:rsidRPr="00BE77F2">
        <w:rPr>
          <w:rFonts w:cs="Arial"/>
          <w:u w:val="single"/>
          <w:lang w:eastAsia="en-GB"/>
        </w:rPr>
        <w:t xml:space="preserve">on </w:t>
      </w:r>
      <w:r w:rsidR="00BF3CF7" w:rsidRPr="00BF3CF7">
        <w:t xml:space="preserve"> </w:t>
      </w:r>
      <w:r w:rsidR="00BF3CF7" w:rsidRPr="00BF3CF7">
        <w:rPr>
          <w:rFonts w:cs="Arial"/>
          <w:u w:val="single"/>
          <w:lang w:eastAsia="en-GB"/>
        </w:rPr>
        <w:t>14</w:t>
      </w:r>
      <w:proofErr w:type="gramEnd"/>
      <w:r w:rsidR="00BF3CF7" w:rsidRPr="00BF3CF7">
        <w:rPr>
          <w:rFonts w:cs="Arial"/>
          <w:u w:val="single"/>
          <w:lang w:eastAsia="en-GB"/>
        </w:rPr>
        <w:t>th April 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Failure to observe this will mean the disqualification</w:t>
      </w:r>
      <w:r w:rsidR="00FE7C27">
        <w:rPr>
          <w:rFonts w:cs="Arial"/>
          <w:color w:val="000000"/>
          <w:lang w:eastAsia="en-GB"/>
        </w:rPr>
        <w:t xml:space="preserve"> </w:t>
      </w:r>
      <w:r w:rsidR="00722B13">
        <w:rPr>
          <w:rFonts w:cs="Arial"/>
          <w:color w:val="000000"/>
          <w:lang w:eastAsia="en-GB"/>
        </w:rPr>
        <w:t>from this stage of the tender process</w:t>
      </w:r>
      <w:r w:rsidRPr="00003FA8">
        <w:rPr>
          <w:rFonts w:cs="Arial"/>
          <w:color w:val="000000"/>
          <w:lang w:eastAsia="en-GB"/>
        </w:rPr>
        <w:t>.</w:t>
      </w:r>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proofErr w:type="spellStart"/>
      <w:r w:rsidR="006450C9" w:rsidRPr="00003FA8">
        <w:rPr>
          <w:rFonts w:eastAsia="Arial" w:cs="Arial"/>
        </w:rPr>
        <w:t>KBC</w:t>
      </w:r>
      <w:proofErr w:type="spellEnd"/>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w:t>
      </w:r>
      <w:proofErr w:type="spellStart"/>
      <w:r w:rsidRPr="00003FA8">
        <w:rPr>
          <w:rFonts w:ascii="Arial" w:eastAsia="Arial" w:hAnsi="Arial" w:cs="Arial"/>
          <w:sz w:val="20"/>
          <w:szCs w:val="20"/>
        </w:rPr>
        <w:t>VCSE</w:t>
      </w:r>
      <w:proofErr w:type="spellEnd"/>
      <w:r w:rsidRPr="00003FA8">
        <w:rPr>
          <w:rFonts w:ascii="Arial" w:eastAsia="Arial" w:hAnsi="Arial" w:cs="Arial"/>
          <w:sz w:val="20"/>
          <w:szCs w:val="20"/>
        </w:rPr>
        <w:t>);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proofErr w:type="spellStart"/>
      <w:r w:rsidR="006450C9" w:rsidRPr="00003FA8">
        <w:rPr>
          <w:rFonts w:eastAsiaTheme="minorHAnsi" w:cs="Arial"/>
        </w:rPr>
        <w:t>KBC</w:t>
      </w:r>
      <w:r w:rsidR="00F208E9" w:rsidRPr="00003FA8">
        <w:rPr>
          <w:rFonts w:eastAsiaTheme="minorHAnsi" w:cs="Arial"/>
        </w:rPr>
        <w:t>’s</w:t>
      </w:r>
      <w:proofErr w:type="spellEnd"/>
      <w:r w:rsidR="00F208E9" w:rsidRPr="00003FA8">
        <w:rPr>
          <w:rFonts w:eastAsiaTheme="minorHAnsi" w:cs="Arial"/>
        </w:rPr>
        <w:t xml:space="preserve">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Default="00EF731E" w:rsidP="00E3465C">
      <w:pPr>
        <w:ind w:left="426"/>
        <w:contextualSpacing/>
        <w:jc w:val="both"/>
        <w:rPr>
          <w:rFonts w:eastAsiaTheme="minorHAnsi" w:cs="Arial"/>
        </w:rPr>
      </w:pPr>
      <w:hyperlink r:id="rId9" w:history="1"/>
      <w:hyperlink r:id="rId10" w:history="1">
        <w:r w:rsidR="00B92BCA" w:rsidRPr="00E8375E">
          <w:rPr>
            <w:rStyle w:val="Hyperlink"/>
            <w:rFonts w:eastAsiaTheme="minorHAnsi" w:cs="Arial"/>
          </w:rPr>
          <w:t>tom.smith@gleeds.co.uk</w:t>
        </w:r>
      </w:hyperlink>
    </w:p>
    <w:p w:rsidR="00B92BCA" w:rsidRDefault="00EF731E" w:rsidP="00E3465C">
      <w:pPr>
        <w:ind w:left="426"/>
        <w:contextualSpacing/>
        <w:jc w:val="both"/>
        <w:rPr>
          <w:rFonts w:eastAsiaTheme="minorHAnsi" w:cs="Arial"/>
        </w:rPr>
      </w:pPr>
      <w:hyperlink r:id="rId11" w:history="1">
        <w:r w:rsidR="00B92BCA" w:rsidRPr="00E8375E">
          <w:rPr>
            <w:rStyle w:val="Hyperlink"/>
            <w:rFonts w:eastAsiaTheme="minorHAnsi" w:cs="Arial"/>
          </w:rPr>
          <w:t>dean.hodges@gleeds.co.uk</w:t>
        </w:r>
      </w:hyperlink>
    </w:p>
    <w:p w:rsidR="00B92BCA" w:rsidRPr="00003FA8" w:rsidRDefault="00B92BCA"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proofErr w:type="spellStart"/>
      <w:r w:rsidR="006450C9" w:rsidRPr="00003FA8">
        <w:rPr>
          <w:rFonts w:eastAsiaTheme="minorHAnsi" w:cs="Arial"/>
        </w:rPr>
        <w:t>KBC</w:t>
      </w:r>
      <w:proofErr w:type="spellEnd"/>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you will be excluded from</w:t>
      </w:r>
      <w:r w:rsidR="00B92BCA">
        <w:rPr>
          <w:rFonts w:eastAsiaTheme="minorHAnsi" w:cs="Arial"/>
        </w:rPr>
        <w:t xml:space="preserve"> this stage of</w:t>
      </w:r>
      <w:r w:rsidRPr="00003FA8">
        <w:rPr>
          <w:rFonts w:eastAsiaTheme="minorHAnsi" w:cs="Arial"/>
        </w:rPr>
        <w:t xml:space="preserve"> the tender</w:t>
      </w:r>
      <w:r w:rsidR="00B92BCA">
        <w:rPr>
          <w:rFonts w:eastAsiaTheme="minorHAnsi" w:cs="Arial"/>
        </w:rPr>
        <w:t xml:space="preserve"> process</w:t>
      </w:r>
      <w:r w:rsidRPr="00003FA8">
        <w:rPr>
          <w:rFonts w:eastAsiaTheme="minorHAnsi" w:cs="Arial"/>
        </w:rPr>
        <w:t xml:space="preserve">.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proofErr w:type="spellStart"/>
      <w:r w:rsidR="006450C9" w:rsidRPr="00003FA8">
        <w:rPr>
          <w:rFonts w:eastAsia="Arial" w:cs="Arial"/>
        </w:rPr>
        <w:t>KBC</w:t>
      </w:r>
      <w:proofErr w:type="spellEnd"/>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proofErr w:type="spellStart"/>
      <w:r w:rsidR="006450C9" w:rsidRPr="00003FA8">
        <w:rPr>
          <w:rFonts w:eastAsia="Arial" w:cs="Arial"/>
        </w:rPr>
        <w:t>KBC</w:t>
      </w:r>
      <w:proofErr w:type="spellEnd"/>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proofErr w:type="spellStart"/>
      <w:r w:rsidR="00C54F5E" w:rsidRPr="00003FA8">
        <w:rPr>
          <w:rFonts w:eastAsia="Arial" w:cs="Arial"/>
        </w:rPr>
        <w:t>KBC’s</w:t>
      </w:r>
      <w:proofErr w:type="spellEnd"/>
      <w:r w:rsidR="00C54F5E" w:rsidRPr="00003FA8">
        <w:rPr>
          <w:rFonts w:eastAsia="Arial" w:cs="Arial"/>
        </w:rPr>
        <w:t xml:space="preserve">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recognises that arrangements in relation to sub-contracting may be subject to future </w:t>
      </w:r>
      <w:proofErr w:type="gramStart"/>
      <w:r w:rsidR="00F208E9" w:rsidRPr="00003FA8">
        <w:rPr>
          <w:rFonts w:eastAsia="Arial" w:cs="Arial"/>
        </w:rPr>
        <w:t>change, and</w:t>
      </w:r>
      <w:proofErr w:type="gramEnd"/>
      <w:r w:rsidR="00F208E9" w:rsidRPr="00003FA8">
        <w:rPr>
          <w:rFonts w:eastAsia="Arial" w:cs="Arial"/>
        </w:rPr>
        <w:t xml:space="preserve"> may not be finalised until a later date.  However, Suppliers should be aware that where information provided to </w:t>
      </w:r>
      <w:proofErr w:type="spellStart"/>
      <w:r w:rsidR="006450C9" w:rsidRPr="00003FA8">
        <w:rPr>
          <w:rFonts w:eastAsia="Arial" w:cs="Arial"/>
        </w:rPr>
        <w:t>KBC</w:t>
      </w:r>
      <w:proofErr w:type="spellEnd"/>
      <w:r w:rsidR="00F208E9" w:rsidRPr="00003FA8">
        <w:rPr>
          <w:rFonts w:eastAsia="Arial" w:cs="Arial"/>
        </w:rPr>
        <w:t xml:space="preserve"> indicates that sub-contractors are to play a significant role in delivering key </w:t>
      </w:r>
      <w:proofErr w:type="spellStart"/>
      <w:r w:rsidR="007529F2" w:rsidRPr="00003FA8">
        <w:rPr>
          <w:rFonts w:eastAsia="Arial" w:cs="Arial"/>
        </w:rPr>
        <w:t>KBC</w:t>
      </w:r>
      <w:proofErr w:type="spellEnd"/>
      <w:r w:rsidR="007529F2" w:rsidRPr="00003FA8">
        <w:rPr>
          <w:rFonts w:eastAsia="Arial" w:cs="Arial"/>
        </w:rPr>
        <w:t xml:space="preserve">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proofErr w:type="spellStart"/>
      <w:r w:rsidR="006450C9" w:rsidRPr="00003FA8">
        <w:rPr>
          <w:rFonts w:eastAsia="Arial" w:cs="Arial"/>
        </w:rPr>
        <w:t>KBC</w:t>
      </w:r>
      <w:proofErr w:type="spellEnd"/>
      <w:r w:rsidR="00F208E9" w:rsidRPr="00003FA8">
        <w:rPr>
          <w:rFonts w:eastAsia="Arial" w:cs="Arial"/>
        </w:rPr>
        <w:t xml:space="preserve"> immediately of any change in the proposed sub-contractor arrangements. </w:t>
      </w:r>
      <w:proofErr w:type="spellStart"/>
      <w:r w:rsidR="006450C9" w:rsidRPr="00003FA8">
        <w:rPr>
          <w:rFonts w:eastAsia="Arial" w:cs="Arial"/>
        </w:rPr>
        <w:t>KBC</w:t>
      </w:r>
      <w:proofErr w:type="spellEnd"/>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proofErr w:type="spellStart"/>
      <w:r w:rsidR="006450C9" w:rsidRPr="00003FA8">
        <w:rPr>
          <w:rFonts w:eastAsia="Arial" w:cs="Arial"/>
        </w:rPr>
        <w:t>KBC</w:t>
      </w:r>
      <w:proofErr w:type="spellEnd"/>
      <w:r w:rsidR="00F208E9" w:rsidRPr="00003FA8">
        <w:rPr>
          <w:rFonts w:eastAsia="Arial" w:cs="Arial"/>
        </w:rPr>
        <w:t xml:space="preserve"> may require the consortium to assume a specific legal form if awarded the contract, to the extent that a specific legal form is deemed by </w:t>
      </w:r>
      <w:proofErr w:type="spellStart"/>
      <w:r w:rsidR="006450C9" w:rsidRPr="00003FA8">
        <w:rPr>
          <w:rFonts w:eastAsia="Arial" w:cs="Arial"/>
        </w:rPr>
        <w:t>KBC</w:t>
      </w:r>
      <w:proofErr w:type="spellEnd"/>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proofErr w:type="spellStart"/>
      <w:r w:rsidR="006450C9" w:rsidRPr="00003FA8">
        <w:rPr>
          <w:rFonts w:eastAsia="Arial" w:cs="Arial"/>
        </w:rPr>
        <w:t>KBC</w:t>
      </w:r>
      <w:proofErr w:type="spellEnd"/>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Where you are proposing to create a separate legal entity, such as a Special Purpose Vehicle (</w:t>
      </w:r>
      <w:proofErr w:type="spellStart"/>
      <w:r w:rsidR="00F208E9" w:rsidRPr="00003FA8">
        <w:rPr>
          <w:rFonts w:eastAsia="Arial" w:cs="Arial"/>
        </w:rPr>
        <w:t>SPV</w:t>
      </w:r>
      <w:proofErr w:type="spellEnd"/>
      <w:r w:rsidR="00F208E9" w:rsidRPr="00003FA8">
        <w:rPr>
          <w:rFonts w:eastAsia="Arial" w:cs="Arial"/>
        </w:rPr>
        <w:t xml:space="preserve">),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proofErr w:type="spellStart"/>
      <w:r w:rsidR="006450C9" w:rsidRPr="00003FA8">
        <w:rPr>
          <w:rFonts w:eastAsia="Arial" w:cs="Arial"/>
        </w:rPr>
        <w:t>KBC</w:t>
      </w:r>
      <w:proofErr w:type="spellEnd"/>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proofErr w:type="spellStart"/>
      <w:r w:rsidR="006450C9" w:rsidRPr="00003FA8">
        <w:rPr>
          <w:rFonts w:eastAsia="Arial" w:cs="Arial"/>
        </w:rPr>
        <w:t>KBC</w:t>
      </w:r>
      <w:proofErr w:type="spellEnd"/>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reserves the right to contact the named customer contact in section 5 regarding the contracts included in section 5. The named customer contact does not owe </w:t>
      </w:r>
      <w:proofErr w:type="spellStart"/>
      <w:r w:rsidR="006450C9" w:rsidRPr="00003FA8">
        <w:rPr>
          <w:rFonts w:eastAsia="Arial" w:cs="Arial"/>
        </w:rPr>
        <w:t>KBC</w:t>
      </w:r>
      <w:proofErr w:type="spellEnd"/>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proofErr w:type="spellStart"/>
      <w:r w:rsidR="006450C9" w:rsidRPr="00003FA8">
        <w:rPr>
          <w:rFonts w:eastAsia="Arial" w:cs="Arial"/>
        </w:rPr>
        <w:t>KBC</w:t>
      </w:r>
      <w:proofErr w:type="spellEnd"/>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1" w:name="h.gjdgxs"/>
      <w:bookmarkEnd w:id="1"/>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w:t>
            </w:r>
            <w:proofErr w:type="spellStart"/>
            <w:r w:rsidRPr="00003FA8">
              <w:rPr>
                <w:rFonts w:ascii="Arial" w:eastAsia="Arial" w:hAnsi="Arial" w:cs="Arial"/>
                <w:sz w:val="16"/>
                <w:szCs w:val="16"/>
              </w:rPr>
              <w:t>VCSE</w:t>
            </w:r>
            <w:proofErr w:type="spellEnd"/>
            <w:r w:rsidRPr="00003FA8">
              <w:rPr>
                <w:rFonts w:ascii="Arial" w:eastAsia="Arial" w:hAnsi="Arial" w:cs="Arial"/>
                <w:sz w:val="16"/>
                <w:szCs w:val="16"/>
              </w:rPr>
              <w:t>)</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lastRenderedPageBreak/>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003FA8">
        <w:rPr>
          <w:rFonts w:eastAsia="Arial" w:cs="Arial"/>
        </w:rPr>
        <w:t>position</w:t>
      </w:r>
      <w:proofErr w:type="gramEnd"/>
      <w:r w:rsidRPr="00003FA8">
        <w:rPr>
          <w:rFonts w:eastAsia="Arial" w:cs="Arial"/>
        </w:rPr>
        <w:t xml:space="preserve"> please provide details using a separate Appendix. You may contact </w:t>
      </w:r>
      <w:proofErr w:type="spellStart"/>
      <w:r w:rsidR="006450C9" w:rsidRPr="00003FA8">
        <w:rPr>
          <w:rFonts w:eastAsia="Arial" w:cs="Arial"/>
        </w:rPr>
        <w:t>KBC</w:t>
      </w:r>
      <w:proofErr w:type="spellEnd"/>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9758E" w:rsidRPr="00B9758E" w:rsidRDefault="00B9758E"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9758E" w:rsidRPr="00B9758E" w:rsidRDefault="00B9758E" w:rsidP="00272276">
            <w:pPr>
              <w:jc w:val="center"/>
              <w:rPr>
                <w:rFonts w:cs="Arial"/>
                <w:sz w:val="16"/>
                <w:szCs w:val="16"/>
              </w:rPr>
            </w:pPr>
          </w:p>
        </w:tc>
      </w:tr>
      <w:tr w:rsidR="006B5D2D"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003FA8" w:rsidRDefault="006B5D2D"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B9758E" w:rsidRDefault="006B5D2D"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B5D2D" w:rsidRPr="00B9758E" w:rsidRDefault="006B5D2D"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B9758E" w:rsidRDefault="00272276" w:rsidP="00272276">
            <w:pPr>
              <w:jc w:val="center"/>
              <w:rPr>
                <w:rFonts w:cs="Arial"/>
                <w:sz w:val="16"/>
                <w:szCs w:val="16"/>
              </w:rP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ind w:left="360"/>
              <w:jc w:val="both"/>
              <w:rPr>
                <w:rFonts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lastRenderedPageBreak/>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6B5D2D">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rPr>
                <w:rFonts w:cs="Arial"/>
                <w:sz w:val="16"/>
                <w:szCs w:val="16"/>
              </w:rPr>
            </w:pPr>
          </w:p>
          <w:p w:rsidR="00272276" w:rsidRPr="00003FA8" w:rsidRDefault="00272276" w:rsidP="00272276">
            <w:pPr>
              <w:rPr>
                <w:rFonts w:eastAsia="Arial" w:cs="Arial"/>
                <w:b/>
                <w:sz w:val="16"/>
                <w:szCs w:val="16"/>
                <w:u w:val="single"/>
              </w:rPr>
            </w:pPr>
            <w:r w:rsidRPr="00003FA8">
              <w:rPr>
                <w:rFonts w:eastAsia="Arial" w:cs="Arial"/>
                <w:b/>
                <w:sz w:val="16"/>
                <w:szCs w:val="16"/>
                <w:u w:val="single"/>
              </w:rPr>
              <w:t>Non-payment of taxes</w:t>
            </w:r>
          </w:p>
          <w:p w:rsidR="00272276" w:rsidRPr="00003FA8" w:rsidRDefault="00272276" w:rsidP="00272276">
            <w:pPr>
              <w:rPr>
                <w:rFonts w:cs="Arial"/>
                <w:sz w:val="16"/>
                <w:szCs w:val="16"/>
              </w:rPr>
            </w:pPr>
          </w:p>
          <w:p w:rsidR="00272276" w:rsidRPr="00003FA8" w:rsidRDefault="00272276" w:rsidP="00272276">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272276" w:rsidRPr="00003FA8" w:rsidRDefault="00272276" w:rsidP="00272276">
            <w:pPr>
              <w:ind w:left="360"/>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ind w:left="360"/>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r w:rsidR="00272276" w:rsidRPr="00003FA8"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003FA8" w:rsidRDefault="00272276" w:rsidP="00272276">
            <w:pPr>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72276" w:rsidRPr="00803FB2" w:rsidRDefault="00272276" w:rsidP="00272276">
            <w:pPr>
              <w:jc w:val="cente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2" w:name="h.30j0zll"/>
      <w:bookmarkEnd w:id="2"/>
    </w:p>
    <w:p w:rsidR="00F208E9" w:rsidRPr="00003FA8" w:rsidRDefault="006450C9" w:rsidP="007C2BE5">
      <w:pPr>
        <w:jc w:val="both"/>
        <w:rPr>
          <w:rFonts w:cs="Arial"/>
        </w:rPr>
      </w:pPr>
      <w:proofErr w:type="spellStart"/>
      <w:r w:rsidRPr="00003FA8">
        <w:rPr>
          <w:rFonts w:eastAsia="Arial" w:cs="Arial"/>
        </w:rPr>
        <w:t>KBC</w:t>
      </w:r>
      <w:proofErr w:type="spellEnd"/>
      <w:r w:rsidR="00F208E9" w:rsidRPr="00003FA8">
        <w:rPr>
          <w:rFonts w:eastAsia="Arial" w:cs="Arial"/>
        </w:rPr>
        <w:t xml:space="preserve"> may exclude any Supplier who answers ‘Yes’ in any of the following situations set out in paragraphs (a) to (</w:t>
      </w:r>
      <w:proofErr w:type="spellStart"/>
      <w:r w:rsidR="00F208E9" w:rsidRPr="00003FA8">
        <w:rPr>
          <w:rFonts w:eastAsia="Arial" w:cs="Arial"/>
        </w:rPr>
        <w:t>i</w:t>
      </w:r>
      <w:proofErr w:type="spellEnd"/>
      <w:r w:rsidR="00F208E9" w:rsidRPr="00003FA8">
        <w:rPr>
          <w:rFonts w:eastAsia="Arial" w:cs="Arial"/>
        </w:rPr>
        <w:t xml:space="preserve">);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3" w:name="h.1fob9te"/>
            <w:bookmarkEnd w:id="3"/>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 xml:space="preserve">your organisation is guilty of grave professional </w:t>
            </w:r>
            <w:proofErr w:type="gramStart"/>
            <w:r w:rsidRPr="00003FA8">
              <w:rPr>
                <w:rFonts w:eastAsia="Arial" w:cs="Arial"/>
                <w:sz w:val="16"/>
                <w:szCs w:val="16"/>
              </w:rPr>
              <w:t>misconduct,  which</w:t>
            </w:r>
            <w:proofErr w:type="gramEnd"/>
            <w:r w:rsidRPr="00003FA8">
              <w:rPr>
                <w:rFonts w:eastAsia="Arial" w:cs="Arial"/>
                <w:sz w:val="16"/>
                <w:szCs w:val="16"/>
              </w:rPr>
              <w:t xml:space="preserve">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 xml:space="preserve">your organisation has shown significant or persistent deficiencies in the performance of a substantive requirement under a prior public contract, a prior contract with a contracting </w:t>
            </w:r>
            <w:r w:rsidRPr="00003FA8">
              <w:rPr>
                <w:rFonts w:eastAsia="Arial" w:cs="Arial"/>
                <w:sz w:val="16"/>
                <w:szCs w:val="16"/>
              </w:rPr>
              <w:lastRenderedPageBreak/>
              <w:t>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proofErr w:type="spellStart"/>
      <w:r w:rsidR="006450C9" w:rsidRPr="00003FA8">
        <w:rPr>
          <w:rFonts w:eastAsia="Arial" w:cs="Arial"/>
        </w:rPr>
        <w:t>KBC</w:t>
      </w:r>
      <w:proofErr w:type="spellEnd"/>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bookmarkStart w:id="4" w:name="_GoBack"/>
      <w:bookmarkEnd w:id="4"/>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proofErr w:type="spellStart"/>
      <w:r w:rsidR="006450C9" w:rsidRPr="00003FA8">
        <w:rPr>
          <w:rFonts w:eastAsia="Arial" w:cs="Arial"/>
        </w:rPr>
        <w:t>KBC</w:t>
      </w:r>
      <w:proofErr w:type="spellEnd"/>
      <w:r w:rsidRPr="00003FA8">
        <w:rPr>
          <w:rFonts w:eastAsia="Arial" w:cs="Arial"/>
        </w:rPr>
        <w:t xml:space="preserve">, detailing the conflict in a separate Appendix. Provided that it has been carried out in a transparent manner, routine pre-market engagement carried out by </w:t>
      </w:r>
      <w:proofErr w:type="spellStart"/>
      <w:r w:rsidR="006450C9" w:rsidRPr="00003FA8">
        <w:rPr>
          <w:rFonts w:eastAsia="Arial" w:cs="Arial"/>
        </w:rPr>
        <w:t>KBC</w:t>
      </w:r>
      <w:proofErr w:type="spellEnd"/>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proofErr w:type="spellStart"/>
      <w:r w:rsidR="006450C9" w:rsidRPr="00003FA8">
        <w:rPr>
          <w:rFonts w:eastAsia="Arial" w:cs="Arial"/>
        </w:rPr>
        <w:t>KBC</w:t>
      </w:r>
      <w:proofErr w:type="spellEnd"/>
      <w:r w:rsidRPr="00003FA8">
        <w:rPr>
          <w:rFonts w:eastAsia="Arial" w:cs="Arial"/>
        </w:rPr>
        <w:t xml:space="preserve"> may assess the past performance of a Supplier (through a Certificate of Performance provided by a Customer or other means of evidence). </w:t>
      </w:r>
      <w:proofErr w:type="spellStart"/>
      <w:r w:rsidR="006450C9" w:rsidRPr="00003FA8">
        <w:rPr>
          <w:rFonts w:eastAsia="Arial" w:cs="Arial"/>
        </w:rPr>
        <w:t>KBC</w:t>
      </w:r>
      <w:proofErr w:type="spellEnd"/>
      <w:r w:rsidRPr="00003FA8">
        <w:rPr>
          <w:rFonts w:eastAsia="Arial" w:cs="Arial"/>
        </w:rPr>
        <w:t xml:space="preserve"> may </w:t>
      </w:r>
      <w:proofErr w:type="gramStart"/>
      <w:r w:rsidRPr="00003FA8">
        <w:rPr>
          <w:rFonts w:eastAsia="Arial" w:cs="Arial"/>
        </w:rPr>
        <w:t>take into account</w:t>
      </w:r>
      <w:proofErr w:type="gramEnd"/>
      <w:r w:rsidRPr="00003FA8">
        <w:rPr>
          <w:rFonts w:eastAsia="Arial" w:cs="Arial"/>
        </w:rPr>
        <w:t xml:space="preserve">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proofErr w:type="spellStart"/>
      <w:r w:rsidR="006450C9" w:rsidRPr="00003FA8">
        <w:rPr>
          <w:rFonts w:eastAsia="Arial" w:cs="Arial"/>
        </w:rPr>
        <w:t>KBC</w:t>
      </w:r>
      <w:proofErr w:type="spellEnd"/>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proofErr w:type="spellStart"/>
      <w:r w:rsidR="006450C9" w:rsidRPr="00003FA8">
        <w:rPr>
          <w:rFonts w:eastAsia="Arial" w:cs="Arial"/>
        </w:rPr>
        <w:t>KBC</w:t>
      </w:r>
      <w:proofErr w:type="spellEnd"/>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5" w:name="h.3znysh7"/>
      <w:bookmarkEnd w:id="5"/>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sequently and effectively “</w:t>
      </w:r>
      <w:proofErr w:type="spellStart"/>
      <w:r w:rsidR="00C54F5E" w:rsidRPr="00003FA8">
        <w:rPr>
          <w:rFonts w:eastAsia="Arial" w:cs="Arial"/>
        </w:rPr>
        <w:t xml:space="preserve">self </w:t>
      </w:r>
      <w:r w:rsidRPr="00003FA8">
        <w:rPr>
          <w:rFonts w:eastAsia="Arial" w:cs="Arial"/>
        </w:rPr>
        <w:t>cleans</w:t>
      </w:r>
      <w:proofErr w:type="spellEnd"/>
      <w:r w:rsidRPr="00003FA8">
        <w:rPr>
          <w:rFonts w:eastAsia="Arial" w:cs="Arial"/>
        </w:rPr>
        <w:t xml:space="preserve">” the situation referred to in that question. The Supplier has to demonstrate it has taken such remedial action, to the satisfaction of </w:t>
      </w:r>
      <w:proofErr w:type="spellStart"/>
      <w:r w:rsidR="006450C9" w:rsidRPr="00003FA8">
        <w:rPr>
          <w:rFonts w:eastAsia="Arial" w:cs="Arial"/>
        </w:rPr>
        <w:t>KBC</w:t>
      </w:r>
      <w:proofErr w:type="spellEnd"/>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proofErr w:type="spellStart"/>
      <w:r w:rsidR="006450C9" w:rsidRPr="00003FA8">
        <w:rPr>
          <w:rFonts w:eastAsia="Arial" w:cs="Arial"/>
        </w:rPr>
        <w:t>KBC</w:t>
      </w:r>
      <w:proofErr w:type="spellEnd"/>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6" w:name="h.2et92p0"/>
      <w:bookmarkEnd w:id="6"/>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7" w:name="h.tyjcwt"/>
      <w:bookmarkEnd w:id="7"/>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8" w:name="h.3dy6vkm"/>
      <w:bookmarkEnd w:id="8"/>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9" w:name="h.1t3h5sf"/>
      <w:bookmarkEnd w:id="9"/>
      <w:r w:rsidRPr="00003FA8">
        <w:rPr>
          <w:rFonts w:eastAsia="Arial" w:cs="Arial"/>
        </w:rPr>
        <w:lastRenderedPageBreak/>
        <w:t xml:space="preserve">The measures taken by the Supplier shall be evaluated </w:t>
      </w:r>
      <w:proofErr w:type="gramStart"/>
      <w:r w:rsidRPr="00003FA8">
        <w:rPr>
          <w:rFonts w:eastAsia="Arial" w:cs="Arial"/>
        </w:rPr>
        <w:t>taking into account</w:t>
      </w:r>
      <w:proofErr w:type="gramEnd"/>
      <w:r w:rsidRPr="00003FA8">
        <w:rPr>
          <w:rFonts w:eastAsia="Arial" w:cs="Arial"/>
        </w:rPr>
        <w:t xml:space="preserve"> the gravity and particular circumstances of the criminal offence or misconduct. Where the measures are considered by </w:t>
      </w:r>
      <w:proofErr w:type="spellStart"/>
      <w:r w:rsidR="006450C9" w:rsidRPr="00003FA8">
        <w:rPr>
          <w:rFonts w:eastAsia="Arial" w:cs="Arial"/>
        </w:rPr>
        <w:t>KBC</w:t>
      </w:r>
      <w:proofErr w:type="spellEnd"/>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c )</w:t>
            </w:r>
            <w:proofErr w:type="gramEnd"/>
            <w:r w:rsidRPr="00003FA8">
              <w:rPr>
                <w:rFonts w:eastAsia="Arial" w:cs="Arial"/>
                <w:color w:val="000000"/>
                <w:sz w:val="16"/>
                <w:szCs w:val="16"/>
                <w:lang w:eastAsia="en-GB"/>
              </w:rPr>
              <w:t xml:space="preserve">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e )</w:t>
            </w:r>
            <w:proofErr w:type="gramEnd"/>
            <w:r w:rsidRPr="00003FA8">
              <w:rPr>
                <w:rFonts w:eastAsia="Arial" w:cs="Arial"/>
                <w:color w:val="000000"/>
                <w:sz w:val="16"/>
                <w:szCs w:val="16"/>
                <w:lang w:eastAsia="en-GB"/>
              </w:rPr>
              <w:t xml:space="preserve">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proofErr w:type="spellStart"/>
            <w:r w:rsidR="006450C9" w:rsidRPr="00003FA8">
              <w:rPr>
                <w:rFonts w:eastAsia="Arial" w:cs="Arial"/>
                <w:color w:val="000000"/>
                <w:sz w:val="16"/>
                <w:szCs w:val="16"/>
                <w:lang w:eastAsia="en-GB"/>
              </w:rPr>
              <w:t>KBC</w:t>
            </w:r>
            <w:proofErr w:type="spellEnd"/>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BE77F2" w:rsidRDefault="00120203" w:rsidP="00BE68C5">
            <w:pPr>
              <w:suppressAutoHyphens/>
              <w:autoSpaceDN w:val="0"/>
              <w:jc w:val="both"/>
              <w:textAlignment w:val="baseline"/>
              <w:rPr>
                <w:rFonts w:eastAsia="Calibri" w:cs="Arial"/>
                <w:b/>
                <w:bCs/>
                <w:color w:val="000000"/>
                <w:sz w:val="16"/>
                <w:szCs w:val="16"/>
                <w:lang w:eastAsia="en-GB"/>
              </w:rPr>
            </w:pPr>
            <w:r w:rsidRPr="00BE77F2">
              <w:rPr>
                <w:rFonts w:eastAsia="Arial" w:cs="Arial"/>
                <w:b/>
                <w:bCs/>
                <w:color w:val="FF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w:t>
            </w:r>
            <w:proofErr w:type="spellStart"/>
            <w:r w:rsidRPr="00003FA8">
              <w:rPr>
                <w:rFonts w:eastAsia="Arial" w:cs="Arial"/>
                <w:color w:val="000000"/>
                <w:sz w:val="16"/>
                <w:szCs w:val="16"/>
                <w:lang w:eastAsia="en-GB"/>
              </w:rPr>
              <w:t>e.g</w:t>
            </w:r>
            <w:proofErr w:type="spellEnd"/>
            <w:r w:rsidRPr="00003FA8">
              <w:rPr>
                <w:rFonts w:eastAsia="Arial" w:cs="Arial"/>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BE77F2" w:rsidRDefault="00120203" w:rsidP="00BE77F2">
      <w:pPr>
        <w:keepNext/>
        <w:suppressAutoHyphens/>
        <w:autoSpaceDN w:val="0"/>
        <w:textAlignment w:val="baseline"/>
        <w:outlineLvl w:val="1"/>
        <w:rPr>
          <w:rFonts w:eastAsia="Arial" w:cs="Arial"/>
          <w:b/>
          <w:color w:val="000000"/>
          <w:shd w:val="clear" w:color="auto" w:fill="DBE5F1"/>
          <w:lang w:eastAsia="en-GB"/>
        </w:rPr>
      </w:pPr>
      <w:r w:rsidRPr="00BE77F2">
        <w:rPr>
          <w:rFonts w:eastAsia="Arial" w:cs="Arial"/>
          <w:b/>
          <w:color w:val="000000"/>
          <w:shd w:val="clear" w:color="auto" w:fill="DBE5F1"/>
          <w:lang w:eastAsia="en-GB"/>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proofErr w:type="spellStart"/>
            <w:r w:rsidR="006450C9" w:rsidRPr="00003FA8">
              <w:rPr>
                <w:rFonts w:cs="Arial"/>
              </w:rPr>
              <w:t>KBC</w:t>
            </w:r>
            <w:r w:rsidRPr="00003FA8">
              <w:rPr>
                <w:rFonts w:cs="Arial"/>
              </w:rPr>
              <w:t>’s</w:t>
            </w:r>
            <w:proofErr w:type="spellEnd"/>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proofErr w:type="spellStart"/>
            <w:r w:rsidR="006450C9" w:rsidRPr="00003FA8">
              <w:rPr>
                <w:rFonts w:cs="Arial"/>
              </w:rPr>
              <w:t>KBC</w:t>
            </w:r>
            <w:proofErr w:type="spellEnd"/>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w:t>
            </w:r>
            <w:r w:rsidRPr="00003FA8">
              <w:rPr>
                <w:rFonts w:cs="Arial"/>
              </w:rPr>
              <w:lastRenderedPageBreak/>
              <w:t xml:space="preserve">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 written Health and Safety at Work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What supervision and monitoring arrangements that you have in place to ensure all parties working on the site are working in accordance with the risk controls that have been specified.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Confirm the arrangements you have for ensuring competency of your subcontractors and their arrangements for health and safety throughout the duration of this contract. Please provide at least two examples.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 xml:space="preserve">Outline the arrangements you will adopt to ensure that all your employees, sub-contractors and other visitors to site, (such as </w:t>
                  </w:r>
                  <w:proofErr w:type="spellStart"/>
                  <w:r w:rsidRPr="001260CC">
                    <w:rPr>
                      <w:rFonts w:eastAsia="Calibri" w:cs="Arial"/>
                      <w:color w:val="000000"/>
                      <w:sz w:val="16"/>
                      <w:szCs w:val="16"/>
                      <w:lang w:eastAsia="en-GB"/>
                    </w:rPr>
                    <w:t>KBC</w:t>
                  </w:r>
                  <w:proofErr w:type="spellEnd"/>
                  <w:r w:rsidRPr="001260CC">
                    <w:rPr>
                      <w:rFonts w:eastAsia="Calibri" w:cs="Arial"/>
                      <w:color w:val="000000"/>
                      <w:sz w:val="16"/>
                      <w:szCs w:val="16"/>
                      <w:lang w:eastAsia="en-GB"/>
                    </w:rPr>
                    <w:t xml:space="preserve"> representatives) receive relevant hazard and risk control information prior to accessing the site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 xml:space="preserve">How will you ensure the safety of pedestrians, road users and other members of the public who may be affected by construction activities at this location.  Include arrangements for planning of deliveries, collection of waste materials and liaison with local residents, within your answer.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Provide an indicative phasing plan detailing significant operations and site operations and takes into consideration the impact on local residents, throughout the construction phase.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9.</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company have an environmental management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10.</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What are the main business activities of your organisation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 many staff does your organisation have (direct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any recognised quality management certifications, for example ISO9001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12a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not, does your company have a quality management system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Have you had any Contracts terminated within the last three years for poor performance, or any contracts where damages have been claimed by the contracting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13a.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Have you carried out a risk assessment to consider whether your organisation is at risk of bribery?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14a.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have a bribery prevention policy/procedure in line with the Bribery Act 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4E7F3B"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Please confirm that your company and subcontractors adhere to the Immigration, Asylum and</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Nationality Act 2006 (amendment 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make checks to verify all workers are entitled to work in the UK?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17a.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1260CC">
                    <w:rPr>
                      <w:rFonts w:eastAsia="Calibri" w:cs="Arial"/>
                      <w:color w:val="000000"/>
                      <w:sz w:val="16"/>
                      <w:szCs w:val="16"/>
                      <w:lang w:eastAsia="en-GB"/>
                    </w:rPr>
                    <w:t>18.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C8249A"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Do you have a criminal record checking procedure in place for </w:t>
                  </w:r>
                  <w:proofErr w:type="gramStart"/>
                  <w:r w:rsidRPr="00C8249A">
                    <w:rPr>
                      <w:rFonts w:eastAsia="Calibri" w:cs="Arial"/>
                      <w:color w:val="000000"/>
                      <w:sz w:val="16"/>
                      <w:szCs w:val="16"/>
                      <w:lang w:eastAsia="en-GB"/>
                    </w:rPr>
                    <w:t>your</w:t>
                  </w:r>
                  <w:proofErr w:type="gramEnd"/>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employees and </w:t>
                  </w:r>
                  <w:proofErr w:type="spellStart"/>
                  <w:r w:rsidRPr="00C8249A">
                    <w:rPr>
                      <w:rFonts w:eastAsia="Calibri" w:cs="Arial"/>
                      <w:color w:val="000000"/>
                      <w:sz w:val="16"/>
                      <w:szCs w:val="16"/>
                      <w:lang w:eastAsia="en-GB"/>
                    </w:rPr>
                    <w:t>sub contractors</w:t>
                  </w:r>
                  <w:proofErr w:type="spellEnd"/>
                  <w:r w:rsidRPr="00C8249A">
                    <w:rPr>
                      <w:rFonts w:eastAsia="Calibri" w:cs="Arial"/>
                      <w:color w:val="000000"/>
                      <w:sz w:val="16"/>
                      <w:szCs w:val="16"/>
                      <w:lang w:eastAsia="en-G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p>
                <w:p w:rsidR="001260CC" w:rsidRPr="00003FA8" w:rsidRDefault="001260CC" w:rsidP="001260CC">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w:eastAsia="MS UI Gothic" w:hAnsi="Cambria" w:cs="Cambria"/>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r w:rsidR="001260CC"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0CC" w:rsidRPr="00003FA8" w:rsidRDefault="001260CC" w:rsidP="004E7F3B">
                  <w:pPr>
                    <w:keepNext/>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proofErr w:type="gramStart"/>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w:t>
                  </w:r>
                  <w:proofErr w:type="gramEnd"/>
                  <w:r w:rsidRPr="00003FA8">
                    <w:rPr>
                      <w:rFonts w:eastAsia="Arial" w:cs="Arial"/>
                      <w:color w:val="000000"/>
                      <w:sz w:val="16"/>
                      <w:szCs w:val="16"/>
                      <w:lang w:eastAsia="en-GB"/>
                    </w:rPr>
                    <w:t xml:space="preserve">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proofErr w:type="spellStart"/>
                  <w:r w:rsidR="006450C9" w:rsidRPr="00003FA8">
                    <w:rPr>
                      <w:rFonts w:eastAsia="Arial" w:cs="Arial"/>
                      <w:color w:val="000000"/>
                      <w:sz w:val="16"/>
                      <w:szCs w:val="16"/>
                      <w:lang w:eastAsia="en-GB"/>
                    </w:rPr>
                    <w:t>KBC</w:t>
                  </w:r>
                  <w:r w:rsidRPr="00003FA8">
                    <w:rPr>
                      <w:rFonts w:eastAsia="Arial" w:cs="Arial"/>
                      <w:color w:val="000000"/>
                      <w:sz w:val="16"/>
                      <w:szCs w:val="16"/>
                      <w:lang w:eastAsia="en-GB"/>
                    </w:rPr>
                    <w:t>’s</w:t>
                  </w:r>
                  <w:proofErr w:type="spellEnd"/>
                  <w:r w:rsidRPr="00003FA8">
                    <w:rPr>
                      <w:rFonts w:eastAsia="Arial" w:cs="Arial"/>
                      <w:color w:val="000000"/>
                      <w:sz w:val="16"/>
                      <w:szCs w:val="16"/>
                      <w:lang w:eastAsia="en-GB"/>
                    </w:rPr>
                    <w:t xml:space="preserve">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proofErr w:type="spellStart"/>
                  <w:r w:rsidRPr="00003FA8">
                    <w:rPr>
                      <w:rFonts w:eastAsia="Arial" w:cs="Arial"/>
                      <w:color w:val="000000"/>
                      <w:sz w:val="16"/>
                      <w:szCs w:val="16"/>
                      <w:lang w:eastAsia="en-GB"/>
                    </w:rPr>
                    <w:t>KBC</w:t>
                  </w:r>
                  <w:proofErr w:type="spellEnd"/>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proofErr w:type="spellStart"/>
                  <w:r w:rsidRPr="00003FA8">
                    <w:rPr>
                      <w:rFonts w:eastAsia="Arial" w:cs="Arial"/>
                      <w:color w:val="000000"/>
                      <w:sz w:val="16"/>
                      <w:szCs w:val="16"/>
                      <w:lang w:eastAsia="en-GB"/>
                    </w:rPr>
                    <w:t>KBC</w:t>
                  </w:r>
                  <w:r w:rsidR="00543975" w:rsidRPr="00003FA8">
                    <w:rPr>
                      <w:rFonts w:eastAsia="Arial" w:cs="Arial"/>
                      <w:color w:val="000000"/>
                      <w:sz w:val="16"/>
                      <w:szCs w:val="16"/>
                      <w:lang w:eastAsia="en-GB"/>
                    </w:rPr>
                    <w:t>’s</w:t>
                  </w:r>
                  <w:proofErr w:type="spellEnd"/>
                  <w:r w:rsidR="00543975" w:rsidRPr="00003FA8">
                    <w:rPr>
                      <w:rFonts w:eastAsia="Arial" w:cs="Arial"/>
                      <w:color w:val="000000"/>
                      <w:sz w:val="16"/>
                      <w:szCs w:val="16"/>
                      <w:lang w:eastAsia="en-GB"/>
                    </w:rPr>
                    <w:t xml:space="preserve">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proofErr w:type="spellStart"/>
            <w:r w:rsidR="006450C9" w:rsidRPr="00003FA8">
              <w:rPr>
                <w:rFonts w:eastAsia="Arial" w:cs="Arial"/>
                <w:color w:val="000000"/>
                <w:lang w:eastAsia="en-GB"/>
              </w:rPr>
              <w:t>KBC</w:t>
            </w:r>
            <w:proofErr w:type="spellEnd"/>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proofErr w:type="spellStart"/>
            <w:r w:rsidR="006450C9" w:rsidRPr="00003FA8">
              <w:rPr>
                <w:rFonts w:eastAsia="Arial" w:cs="Arial"/>
                <w:color w:val="000000"/>
                <w:lang w:eastAsia="en-GB"/>
              </w:rPr>
              <w:t>KBC</w:t>
            </w:r>
            <w:r w:rsidRPr="00003FA8">
              <w:rPr>
                <w:rFonts w:eastAsia="Arial" w:cs="Arial"/>
                <w:color w:val="000000"/>
                <w:lang w:eastAsia="en-GB"/>
              </w:rPr>
              <w:t>’s</w:t>
            </w:r>
            <w:proofErr w:type="spellEnd"/>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 xml:space="preserve">If applicable </w:t>
            </w:r>
            <w:proofErr w:type="gramStart"/>
            <w:r w:rsidRPr="00003FA8">
              <w:rPr>
                <w:rFonts w:cs="Arial"/>
                <w:szCs w:val="24"/>
              </w:rPr>
              <w:t>a  statement</w:t>
            </w:r>
            <w:proofErr w:type="gramEnd"/>
            <w:r w:rsidRPr="00003FA8">
              <w:rPr>
                <w:rFonts w:cs="Arial"/>
                <w:szCs w:val="24"/>
              </w:rPr>
              <w:t xml:space="preserve">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w:t>
            </w:r>
            <w:proofErr w:type="spellStart"/>
            <w:r w:rsidRPr="00003FA8">
              <w:rPr>
                <w:rFonts w:cs="Arial"/>
                <w:b/>
              </w:rPr>
              <w:t>yyyy</w:t>
            </w:r>
            <w:proofErr w:type="spellEnd"/>
            <w:r w:rsidRPr="00003FA8">
              <w:rPr>
                <w:rFonts w:cs="Arial"/>
                <w:b/>
              </w:rPr>
              <w:t>)</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 xml:space="preserve">In no more than 500 words, please provide a brief description of </w:t>
            </w:r>
            <w:proofErr w:type="gramStart"/>
            <w:r w:rsidRPr="00003FA8">
              <w:rPr>
                <w:rFonts w:cs="Arial"/>
                <w:szCs w:val="24"/>
              </w:rPr>
              <w:t>the each</w:t>
            </w:r>
            <w:proofErr w:type="gramEnd"/>
            <w:r w:rsidRPr="00003FA8">
              <w:rPr>
                <w:rFonts w:cs="Arial"/>
                <w:szCs w:val="24"/>
              </w:rPr>
              <w:t xml:space="preserve">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sectPr w:rsidR="00543975" w:rsidRPr="00003FA8" w:rsidSect="0033299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1E" w:rsidRDefault="00EF731E" w:rsidP="00F208E9">
      <w:r>
        <w:separator/>
      </w:r>
    </w:p>
  </w:endnote>
  <w:endnote w:type="continuationSeparator" w:id="0">
    <w:p w:rsidR="00EF731E" w:rsidRDefault="00EF731E"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1E" w:rsidRDefault="00EF731E" w:rsidP="00F208E9">
      <w:r>
        <w:separator/>
      </w:r>
    </w:p>
  </w:footnote>
  <w:footnote w:type="continuationSeparator" w:id="0">
    <w:p w:rsidR="00EF731E" w:rsidRDefault="00EF731E" w:rsidP="00F208E9">
      <w:r>
        <w:continuationSeparator/>
      </w:r>
    </w:p>
  </w:footnote>
  <w:footnote w:id="1">
    <w:p w:rsidR="006B5D2D" w:rsidRPr="0003290E" w:rsidRDefault="006B5D2D" w:rsidP="00665B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0"/>
  </w:num>
  <w:num w:numId="4">
    <w:abstractNumId w:val="17"/>
  </w:num>
  <w:num w:numId="5">
    <w:abstractNumId w:val="22"/>
  </w:num>
  <w:num w:numId="6">
    <w:abstractNumId w:val="10"/>
  </w:num>
  <w:num w:numId="7">
    <w:abstractNumId w:val="24"/>
  </w:num>
  <w:num w:numId="8">
    <w:abstractNumId w:val="9"/>
  </w:num>
  <w:num w:numId="9">
    <w:abstractNumId w:val="31"/>
  </w:num>
  <w:num w:numId="10">
    <w:abstractNumId w:val="19"/>
  </w:num>
  <w:num w:numId="11">
    <w:abstractNumId w:val="20"/>
  </w:num>
  <w:num w:numId="12">
    <w:abstractNumId w:val="3"/>
  </w:num>
  <w:num w:numId="13">
    <w:abstractNumId w:val="25"/>
  </w:num>
  <w:num w:numId="14">
    <w:abstractNumId w:val="5"/>
  </w:num>
  <w:num w:numId="15">
    <w:abstractNumId w:val="28"/>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7"/>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2"/>
    <w:rsid w:val="00003FA8"/>
    <w:rsid w:val="00005737"/>
    <w:rsid w:val="00025C81"/>
    <w:rsid w:val="0002681B"/>
    <w:rsid w:val="0003290E"/>
    <w:rsid w:val="0003740C"/>
    <w:rsid w:val="00043A47"/>
    <w:rsid w:val="00044AC3"/>
    <w:rsid w:val="0004651E"/>
    <w:rsid w:val="00051B7C"/>
    <w:rsid w:val="00057157"/>
    <w:rsid w:val="00064563"/>
    <w:rsid w:val="000771EE"/>
    <w:rsid w:val="00087F42"/>
    <w:rsid w:val="00091D0A"/>
    <w:rsid w:val="000A30AF"/>
    <w:rsid w:val="000A4FE8"/>
    <w:rsid w:val="000A73C4"/>
    <w:rsid w:val="000B3899"/>
    <w:rsid w:val="000C2898"/>
    <w:rsid w:val="000C59D2"/>
    <w:rsid w:val="000C786B"/>
    <w:rsid w:val="000D695F"/>
    <w:rsid w:val="000E0E92"/>
    <w:rsid w:val="000F4CC1"/>
    <w:rsid w:val="0010047E"/>
    <w:rsid w:val="00117B88"/>
    <w:rsid w:val="00117B9D"/>
    <w:rsid w:val="00120203"/>
    <w:rsid w:val="00121177"/>
    <w:rsid w:val="001260CC"/>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1E7310"/>
    <w:rsid w:val="00200C9B"/>
    <w:rsid w:val="00203370"/>
    <w:rsid w:val="00207F21"/>
    <w:rsid w:val="00215BF8"/>
    <w:rsid w:val="00237D00"/>
    <w:rsid w:val="00240E5F"/>
    <w:rsid w:val="00244CDB"/>
    <w:rsid w:val="00247A0F"/>
    <w:rsid w:val="00251D66"/>
    <w:rsid w:val="0025459B"/>
    <w:rsid w:val="00255B38"/>
    <w:rsid w:val="0026120D"/>
    <w:rsid w:val="00272276"/>
    <w:rsid w:val="0027755E"/>
    <w:rsid w:val="00277EC1"/>
    <w:rsid w:val="0028134B"/>
    <w:rsid w:val="00287F9E"/>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32999"/>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2599B"/>
    <w:rsid w:val="004348FF"/>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1AAB"/>
    <w:rsid w:val="004C4E0E"/>
    <w:rsid w:val="004C5D1C"/>
    <w:rsid w:val="004C72E5"/>
    <w:rsid w:val="004D76D2"/>
    <w:rsid w:val="004D7D73"/>
    <w:rsid w:val="004E1A38"/>
    <w:rsid w:val="004E7F3B"/>
    <w:rsid w:val="004F2999"/>
    <w:rsid w:val="00507382"/>
    <w:rsid w:val="00520805"/>
    <w:rsid w:val="00525206"/>
    <w:rsid w:val="0052689C"/>
    <w:rsid w:val="00543975"/>
    <w:rsid w:val="005571E8"/>
    <w:rsid w:val="00562794"/>
    <w:rsid w:val="005740D5"/>
    <w:rsid w:val="005756B5"/>
    <w:rsid w:val="00577CE8"/>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36E5B"/>
    <w:rsid w:val="00640A4D"/>
    <w:rsid w:val="00641048"/>
    <w:rsid w:val="006450C9"/>
    <w:rsid w:val="00650190"/>
    <w:rsid w:val="0065278A"/>
    <w:rsid w:val="006652DC"/>
    <w:rsid w:val="00665BD2"/>
    <w:rsid w:val="00681159"/>
    <w:rsid w:val="006877AC"/>
    <w:rsid w:val="00694CF9"/>
    <w:rsid w:val="006A167B"/>
    <w:rsid w:val="006B0D10"/>
    <w:rsid w:val="006B2EC9"/>
    <w:rsid w:val="006B4F08"/>
    <w:rsid w:val="006B53EA"/>
    <w:rsid w:val="006B5D2D"/>
    <w:rsid w:val="006E19A3"/>
    <w:rsid w:val="006E1E85"/>
    <w:rsid w:val="006F515B"/>
    <w:rsid w:val="006F7410"/>
    <w:rsid w:val="00700D69"/>
    <w:rsid w:val="00710E72"/>
    <w:rsid w:val="00722B13"/>
    <w:rsid w:val="00726BD8"/>
    <w:rsid w:val="0074158E"/>
    <w:rsid w:val="00743FC3"/>
    <w:rsid w:val="00750234"/>
    <w:rsid w:val="00750A5C"/>
    <w:rsid w:val="007519DB"/>
    <w:rsid w:val="007529F2"/>
    <w:rsid w:val="007532E2"/>
    <w:rsid w:val="0077113C"/>
    <w:rsid w:val="00771B58"/>
    <w:rsid w:val="00774C4B"/>
    <w:rsid w:val="007834D9"/>
    <w:rsid w:val="007A3703"/>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63A3C"/>
    <w:rsid w:val="00965D10"/>
    <w:rsid w:val="00977248"/>
    <w:rsid w:val="009B63D3"/>
    <w:rsid w:val="009C7391"/>
    <w:rsid w:val="009C75FC"/>
    <w:rsid w:val="009D4496"/>
    <w:rsid w:val="009D4574"/>
    <w:rsid w:val="009F7616"/>
    <w:rsid w:val="009F7C75"/>
    <w:rsid w:val="00A0410B"/>
    <w:rsid w:val="00A10425"/>
    <w:rsid w:val="00A1597C"/>
    <w:rsid w:val="00A168B4"/>
    <w:rsid w:val="00A16CCF"/>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6B97"/>
    <w:rsid w:val="00B4729C"/>
    <w:rsid w:val="00B47ADB"/>
    <w:rsid w:val="00B57B47"/>
    <w:rsid w:val="00B709DC"/>
    <w:rsid w:val="00B84A3E"/>
    <w:rsid w:val="00B92BCA"/>
    <w:rsid w:val="00B9758E"/>
    <w:rsid w:val="00BA2B24"/>
    <w:rsid w:val="00BC3AC9"/>
    <w:rsid w:val="00BD14F8"/>
    <w:rsid w:val="00BD1A49"/>
    <w:rsid w:val="00BE1F76"/>
    <w:rsid w:val="00BE202A"/>
    <w:rsid w:val="00BE68C5"/>
    <w:rsid w:val="00BE749C"/>
    <w:rsid w:val="00BE774B"/>
    <w:rsid w:val="00BE77F2"/>
    <w:rsid w:val="00BF0B98"/>
    <w:rsid w:val="00BF1626"/>
    <w:rsid w:val="00BF3687"/>
    <w:rsid w:val="00BF37AA"/>
    <w:rsid w:val="00BF3CF7"/>
    <w:rsid w:val="00BF57CE"/>
    <w:rsid w:val="00C00F9E"/>
    <w:rsid w:val="00C076FE"/>
    <w:rsid w:val="00C35519"/>
    <w:rsid w:val="00C37C6B"/>
    <w:rsid w:val="00C4087A"/>
    <w:rsid w:val="00C438F1"/>
    <w:rsid w:val="00C52227"/>
    <w:rsid w:val="00C54F5E"/>
    <w:rsid w:val="00C565B1"/>
    <w:rsid w:val="00C6098C"/>
    <w:rsid w:val="00C66386"/>
    <w:rsid w:val="00C80150"/>
    <w:rsid w:val="00C8249A"/>
    <w:rsid w:val="00C82F32"/>
    <w:rsid w:val="00C8506D"/>
    <w:rsid w:val="00C861A1"/>
    <w:rsid w:val="00C87307"/>
    <w:rsid w:val="00C92FF1"/>
    <w:rsid w:val="00C97C90"/>
    <w:rsid w:val="00CA59D8"/>
    <w:rsid w:val="00CB20FC"/>
    <w:rsid w:val="00CC3C0D"/>
    <w:rsid w:val="00CC5016"/>
    <w:rsid w:val="00CE7F66"/>
    <w:rsid w:val="00D04E91"/>
    <w:rsid w:val="00D20B48"/>
    <w:rsid w:val="00D40E76"/>
    <w:rsid w:val="00D4175B"/>
    <w:rsid w:val="00D42A7A"/>
    <w:rsid w:val="00D464E1"/>
    <w:rsid w:val="00D912CE"/>
    <w:rsid w:val="00D917FC"/>
    <w:rsid w:val="00DA25AA"/>
    <w:rsid w:val="00DA497D"/>
    <w:rsid w:val="00DB3658"/>
    <w:rsid w:val="00DB6A11"/>
    <w:rsid w:val="00DC3DC6"/>
    <w:rsid w:val="00DC56E4"/>
    <w:rsid w:val="00DC677E"/>
    <w:rsid w:val="00DC754F"/>
    <w:rsid w:val="00DD7198"/>
    <w:rsid w:val="00DD72E3"/>
    <w:rsid w:val="00DD7323"/>
    <w:rsid w:val="00DD7FF9"/>
    <w:rsid w:val="00DF5C72"/>
    <w:rsid w:val="00E02DFE"/>
    <w:rsid w:val="00E02E2B"/>
    <w:rsid w:val="00E14FF7"/>
    <w:rsid w:val="00E16688"/>
    <w:rsid w:val="00E26C0A"/>
    <w:rsid w:val="00E32BD9"/>
    <w:rsid w:val="00E3465C"/>
    <w:rsid w:val="00E369B7"/>
    <w:rsid w:val="00E57671"/>
    <w:rsid w:val="00E816EB"/>
    <w:rsid w:val="00E913C5"/>
    <w:rsid w:val="00EA4B85"/>
    <w:rsid w:val="00EE7AA1"/>
    <w:rsid w:val="00EF731E"/>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E7C27"/>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mith@glee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dges@gleeds.co.uk" TargetMode="External"/><Relationship Id="rId5" Type="http://schemas.openxmlformats.org/officeDocument/2006/relationships/webSettings" Target="webSettings.xml"/><Relationship Id="rId10" Type="http://schemas.openxmlformats.org/officeDocument/2006/relationships/hyperlink" Target="mailto:tom.smith@gleeds.co.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2E92-33D6-4560-99A8-A7BA6CBE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4688</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Dean Hodges</cp:lastModifiedBy>
  <cp:revision>2</cp:revision>
  <cp:lastPrinted>2016-02-12T14:15:00Z</cp:lastPrinted>
  <dcterms:created xsi:type="dcterms:W3CDTF">2020-03-25T09:28:00Z</dcterms:created>
  <dcterms:modified xsi:type="dcterms:W3CDTF">2020-03-25T09:28:00Z</dcterms:modified>
</cp:coreProperties>
</file>