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39E" w:rsidRDefault="00C9039E" w:rsidP="00C9039E">
      <w:pPr>
        <w:pStyle w:val="FCGBBodyText"/>
        <w:spacing w:line="240" w:lineRule="auto"/>
        <w:jc w:val="center"/>
        <w:rPr>
          <w:color w:val="365F91"/>
          <w:sz w:val="48"/>
          <w:szCs w:val="48"/>
        </w:rPr>
      </w:pPr>
      <w:r w:rsidRPr="00573C08">
        <w:rPr>
          <w:color w:val="004E2E"/>
          <w:sz w:val="48"/>
          <w:szCs w:val="48"/>
        </w:rPr>
        <w:t>Invitation to Tender for</w:t>
      </w:r>
      <w:r w:rsidRPr="00E70652">
        <w:rPr>
          <w:color w:val="004E2E"/>
          <w:sz w:val="48"/>
          <w:szCs w:val="48"/>
        </w:rPr>
        <w:t xml:space="preserve"> ‘</w:t>
      </w:r>
      <w:r>
        <w:rPr>
          <w:color w:val="004E2E"/>
          <w:sz w:val="48"/>
          <w:szCs w:val="48"/>
        </w:rPr>
        <w:t xml:space="preserve">Bury Land </w:t>
      </w:r>
      <w:r w:rsidRPr="00E70652">
        <w:rPr>
          <w:color w:val="004E2E"/>
          <w:sz w:val="48"/>
          <w:szCs w:val="48"/>
        </w:rPr>
        <w:t>Soil Suitability</w:t>
      </w:r>
      <w:r>
        <w:rPr>
          <w:color w:val="004E2E"/>
          <w:sz w:val="48"/>
          <w:szCs w:val="48"/>
        </w:rPr>
        <w:t xml:space="preserve"> Assessment</w:t>
      </w:r>
      <w:r w:rsidRPr="00E70652">
        <w:rPr>
          <w:color w:val="004E2E"/>
          <w:sz w:val="48"/>
          <w:szCs w:val="48"/>
        </w:rPr>
        <w:t>’</w:t>
      </w:r>
    </w:p>
    <w:p w:rsidR="000215D1" w:rsidRPr="00573C08" w:rsidRDefault="000215D1" w:rsidP="00573C08">
      <w:pPr>
        <w:pStyle w:val="FCGBBodyText"/>
        <w:spacing w:line="240" w:lineRule="auto"/>
        <w:rPr>
          <w:sz w:val="48"/>
          <w:szCs w:val="48"/>
        </w:rPr>
      </w:pPr>
    </w:p>
    <w:p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860F5E" w:rsidRPr="00860F5E">
        <w:rPr>
          <w:color w:val="004E2E"/>
          <w:sz w:val="36"/>
          <w:szCs w:val="36"/>
        </w:rPr>
        <w:t>19/FM/DEL19</w:t>
      </w:r>
    </w:p>
    <w:p w:rsidR="000215D1" w:rsidRP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E70652" w:rsidRPr="006C3400" w:rsidRDefault="00323316" w:rsidP="00323316">
      <w:r w:rsidRPr="006C3400">
        <w:t>We will be awarding a contract for</w:t>
      </w:r>
      <w:r w:rsidR="00E07471">
        <w:t xml:space="preserve"> all of the following</w:t>
      </w:r>
      <w:r w:rsidR="00E70652" w:rsidRPr="006C3400">
        <w:t>:</w:t>
      </w:r>
    </w:p>
    <w:p w:rsidR="00154351" w:rsidRDefault="00E07471" w:rsidP="009426BE">
      <w:pPr>
        <w:spacing w:before="120" w:line="240" w:lineRule="atLeast"/>
        <w:ind w:firstLine="426"/>
        <w:jc w:val="both"/>
        <w:rPr>
          <w:color w:val="FF0000"/>
        </w:rPr>
      </w:pPr>
      <w:r w:rsidRPr="009426BE">
        <w:rPr>
          <w:b/>
          <w:szCs w:val="20"/>
        </w:rPr>
        <w:t>Stage 1</w:t>
      </w:r>
      <w:r w:rsidR="00154351">
        <w:rPr>
          <w:color w:val="FF0000"/>
        </w:rPr>
        <w:t xml:space="preserve"> </w:t>
      </w:r>
    </w:p>
    <w:p w:rsidR="00154351" w:rsidRDefault="00154351" w:rsidP="009426BE">
      <w:pPr>
        <w:spacing w:before="120" w:line="240" w:lineRule="atLeast"/>
        <w:ind w:firstLine="426"/>
        <w:jc w:val="both"/>
      </w:pPr>
      <w:r w:rsidRPr="009426BE">
        <w:t>-</w:t>
      </w:r>
      <w:r>
        <w:rPr>
          <w:color w:val="FF0000"/>
        </w:rPr>
        <w:t xml:space="preserve"> </w:t>
      </w:r>
      <w:r w:rsidR="00E70652" w:rsidRPr="009426BE">
        <w:t xml:space="preserve">Phase 1 </w:t>
      </w:r>
      <w:r w:rsidR="00E70652" w:rsidRPr="006C3400">
        <w:t xml:space="preserve">Contamination Risk Assessment report, to include a review of related </w:t>
      </w:r>
      <w:r w:rsidR="002C2A27">
        <w:t xml:space="preserve">historical </w:t>
      </w:r>
      <w:r w:rsidR="00E70652" w:rsidRPr="006C3400">
        <w:t>reports</w:t>
      </w:r>
    </w:p>
    <w:p w:rsidR="00E70652" w:rsidRPr="00154351" w:rsidRDefault="00154351" w:rsidP="009426BE">
      <w:pPr>
        <w:spacing w:before="120" w:line="240" w:lineRule="atLeast"/>
        <w:ind w:firstLine="426"/>
        <w:jc w:val="both"/>
        <w:rPr>
          <w:szCs w:val="20"/>
        </w:rPr>
      </w:pPr>
      <w:r>
        <w:t xml:space="preserve">- </w:t>
      </w:r>
      <w:r w:rsidR="00E07471">
        <w:t xml:space="preserve">a </w:t>
      </w:r>
      <w:r w:rsidR="00052841">
        <w:t>d</w:t>
      </w:r>
      <w:r w:rsidR="00E07471">
        <w:t xml:space="preserve">esk based geotechnical </w:t>
      </w:r>
      <w:r w:rsidR="00052841">
        <w:t>study</w:t>
      </w:r>
      <w:r w:rsidR="00E07471">
        <w:t xml:space="preserve"> to look at risk of slope stability issues and a methodology for ground investigations to support this</w:t>
      </w:r>
      <w:r>
        <w:t>,</w:t>
      </w:r>
      <w:r w:rsidR="00E07471">
        <w:t xml:space="preserve"> should they be required,</w:t>
      </w:r>
    </w:p>
    <w:p w:rsidR="00E07471" w:rsidRPr="009426BE" w:rsidRDefault="00E07471" w:rsidP="009426BE">
      <w:pPr>
        <w:spacing w:before="120" w:line="240" w:lineRule="atLeast"/>
        <w:ind w:left="360"/>
        <w:jc w:val="both"/>
        <w:rPr>
          <w:b/>
          <w:szCs w:val="20"/>
        </w:rPr>
      </w:pPr>
      <w:r w:rsidRPr="009426BE">
        <w:rPr>
          <w:b/>
          <w:szCs w:val="20"/>
        </w:rPr>
        <w:t>Stage 2</w:t>
      </w:r>
    </w:p>
    <w:p w:rsidR="00E70652" w:rsidRPr="006C3400" w:rsidRDefault="00E70652" w:rsidP="00655972">
      <w:pPr>
        <w:numPr>
          <w:ilvl w:val="0"/>
          <w:numId w:val="11"/>
        </w:numPr>
        <w:spacing w:before="120" w:line="240" w:lineRule="atLeast"/>
        <w:jc w:val="both"/>
        <w:rPr>
          <w:szCs w:val="20"/>
        </w:rPr>
      </w:pPr>
      <w:r w:rsidRPr="006C3400">
        <w:t>Phase 2 Soil-resource Suitability for the Establishment of Community (publicly accessible) Woodland Report</w:t>
      </w:r>
    </w:p>
    <w:p w:rsidR="00661BD3" w:rsidRPr="006C3400" w:rsidRDefault="00661BD3" w:rsidP="00323316"/>
    <w:p w:rsidR="00323316" w:rsidRPr="006C3400" w:rsidRDefault="00323316" w:rsidP="00323316">
      <w:r w:rsidRPr="006C3400">
        <w:t xml:space="preserve">Our intention is to award this contract for a period of </w:t>
      </w:r>
      <w:r w:rsidR="00860F5E">
        <w:t>12</w:t>
      </w:r>
      <w:r w:rsidR="00E70652" w:rsidRPr="006C3400">
        <w:t xml:space="preserve"> months</w:t>
      </w:r>
      <w:r w:rsidRPr="006C3400">
        <w:t xml:space="preserve">. </w:t>
      </w:r>
    </w:p>
    <w:p w:rsidR="00323316" w:rsidRPr="006C3400" w:rsidRDefault="00323316" w:rsidP="00323316">
      <w:r w:rsidRPr="006C3400">
        <w:t xml:space="preserve">There will be an option to extend the contract by up to </w:t>
      </w:r>
      <w:r w:rsidR="007C66DE">
        <w:t>1</w:t>
      </w:r>
      <w:r w:rsidR="00FF7F1C">
        <w:t>0</w:t>
      </w:r>
      <w:r w:rsidR="007C66DE">
        <w:t>% in total value</w:t>
      </w:r>
      <w:r w:rsidRPr="006C3400">
        <w:t xml:space="preserve">. </w:t>
      </w:r>
    </w:p>
    <w:p w:rsidR="00E70652" w:rsidRPr="006C3400" w:rsidRDefault="00E70652" w:rsidP="00323316"/>
    <w:p w:rsidR="00661BD3" w:rsidRDefault="00323316" w:rsidP="00323316">
      <w:r w:rsidRPr="006C3400">
        <w:t xml:space="preserve">Break points are available within the contract at </w:t>
      </w:r>
      <w:r w:rsidR="00E70652" w:rsidRPr="006C3400">
        <w:t xml:space="preserve">the end of the </w:t>
      </w:r>
      <w:r w:rsidR="00154351">
        <w:t>S</w:t>
      </w:r>
      <w:r w:rsidR="00E07471">
        <w:t>tage 1</w:t>
      </w:r>
      <w:r w:rsidR="00E07471" w:rsidRPr="006C3400">
        <w:t xml:space="preserve"> </w:t>
      </w:r>
      <w:r w:rsidR="00E70652" w:rsidRPr="006C3400">
        <w:t>works</w:t>
      </w:r>
      <w:r w:rsidRPr="006C3400">
        <w:t xml:space="preserve">, at which time we will decide on whether the </w:t>
      </w:r>
      <w:r w:rsidR="00E70652" w:rsidRPr="006C3400">
        <w:t>contract</w:t>
      </w:r>
      <w:r w:rsidR="00661BD3" w:rsidRPr="006C3400">
        <w:t xml:space="preserve"> will continue</w:t>
      </w:r>
      <w:r w:rsidR="00860F5E">
        <w:t xml:space="preserve"> </w:t>
      </w:r>
      <w:r w:rsidR="00154351">
        <w:t>on to</w:t>
      </w:r>
      <w:r w:rsidR="00860F5E">
        <w:t xml:space="preserve"> the delivery of </w:t>
      </w:r>
      <w:r w:rsidR="00154351">
        <w:t>S</w:t>
      </w:r>
      <w:r w:rsidR="00E07471">
        <w:t xml:space="preserve">tage </w:t>
      </w:r>
      <w:r w:rsidR="00860F5E">
        <w:t>2</w:t>
      </w:r>
      <w:r w:rsidR="00661BD3" w:rsidRPr="006C3400">
        <w:t>.</w:t>
      </w:r>
      <w:r w:rsidR="00661BD3" w:rsidRPr="006B3F8C">
        <w:t xml:space="preserve">  </w:t>
      </w:r>
    </w:p>
    <w:p w:rsidR="00E70652" w:rsidRPr="006B3F8C" w:rsidRDefault="00E70652" w:rsidP="00323316"/>
    <w:p w:rsidR="00E70652" w:rsidRDefault="00323316" w:rsidP="00323316">
      <w:r w:rsidRPr="006B3F8C">
        <w:lastRenderedPageBreak/>
        <w:t xml:space="preserve">The decision on </w:t>
      </w:r>
      <w:r w:rsidR="00661BD3" w:rsidRPr="006B3F8C">
        <w:t>whether to use the break points/</w:t>
      </w:r>
      <w:r w:rsidRPr="006B3F8C">
        <w:t>extension option</w:t>
      </w:r>
      <w:r w:rsidR="00661BD3" w:rsidRPr="006B3F8C">
        <w:t>(</w:t>
      </w:r>
      <w:r w:rsidRPr="006B3F8C">
        <w:t>s</w:t>
      </w:r>
      <w:r w:rsidR="00661BD3" w:rsidRPr="006B3F8C">
        <w:t>)</w:t>
      </w:r>
      <w:r w:rsidRPr="006B3F8C">
        <w:t xml:space="preserve"> available will be at our discretion and we will base it on the following factors:</w:t>
      </w:r>
      <w:r w:rsidR="00661BD3" w:rsidRPr="006B3F8C">
        <w:t xml:space="preserve"> </w:t>
      </w:r>
    </w:p>
    <w:p w:rsidR="00E70652" w:rsidRDefault="00E70652" w:rsidP="00323316"/>
    <w:p w:rsidR="00323316" w:rsidRPr="006C3400" w:rsidRDefault="00E70652" w:rsidP="00655972">
      <w:pPr>
        <w:pStyle w:val="ListParagraph"/>
        <w:numPr>
          <w:ilvl w:val="0"/>
          <w:numId w:val="12"/>
        </w:numPr>
      </w:pPr>
      <w:r w:rsidRPr="006C3400">
        <w:t>Items identified during the Phase 1 which would mean that we no longer want to consider a particular area</w:t>
      </w:r>
      <w:r w:rsidR="00323316" w:rsidRPr="006C3400">
        <w:t>.</w:t>
      </w:r>
    </w:p>
    <w:p w:rsidR="006C57A8" w:rsidRDefault="006C57A8" w:rsidP="00655972">
      <w:pPr>
        <w:pStyle w:val="ListParagraph"/>
        <w:numPr>
          <w:ilvl w:val="0"/>
          <w:numId w:val="12"/>
        </w:numPr>
      </w:pPr>
      <w:r>
        <w:rPr>
          <w:lang w:val="en-US"/>
        </w:rPr>
        <w:t>Availability, weather</w:t>
      </w:r>
      <w:r w:rsidR="002C2A27">
        <w:rPr>
          <w:lang w:val="en-US"/>
        </w:rPr>
        <w:t xml:space="preserve">, </w:t>
      </w:r>
      <w:r>
        <w:rPr>
          <w:lang w:val="en-US"/>
        </w:rPr>
        <w:t>access</w:t>
      </w:r>
      <w:r w:rsidR="002C2A27">
        <w:rPr>
          <w:lang w:val="en-US"/>
        </w:rPr>
        <w:t>, or other extenuating circumstances.</w:t>
      </w:r>
    </w:p>
    <w:p w:rsidR="00661BD3" w:rsidRDefault="00661BD3" w:rsidP="00323316"/>
    <w:p w:rsidR="00154351" w:rsidRDefault="00154351" w:rsidP="00323316"/>
    <w:p w:rsidR="00323316" w:rsidRDefault="00323316" w:rsidP="00323316">
      <w:r w:rsidRPr="006C3400">
        <w:t>The total value of this contract over the entire period, including any extension options</w:t>
      </w:r>
      <w:r w:rsidR="00661BD3" w:rsidRPr="006C3400">
        <w:t xml:space="preserve"> (if detailed above)</w:t>
      </w:r>
      <w:r w:rsidRPr="006C3400">
        <w:t xml:space="preserve">, will be in the region of </w:t>
      </w:r>
      <w:r w:rsidR="00C74189">
        <w:rPr>
          <w:b/>
        </w:rPr>
        <w:t>£95</w:t>
      </w:r>
      <w:r w:rsidR="00154351" w:rsidRPr="009426BE">
        <w:rPr>
          <w:b/>
        </w:rPr>
        <w:t>,000</w:t>
      </w:r>
      <w:r w:rsidRPr="006C3400">
        <w:t>.</w:t>
      </w:r>
    </w:p>
    <w:p w:rsidR="009A41EF" w:rsidRDefault="009A41EF" w:rsidP="00323316"/>
    <w:p w:rsidR="00323316" w:rsidRPr="006C3400" w:rsidRDefault="00323316" w:rsidP="00323316">
      <w:pPr>
        <w:rPr>
          <w:u w:val="single"/>
        </w:rPr>
      </w:pPr>
      <w:r w:rsidRPr="006C3400">
        <w:rPr>
          <w:u w:val="single"/>
        </w:rPr>
        <w:t>Background Information</w:t>
      </w:r>
    </w:p>
    <w:p w:rsidR="004D4632" w:rsidRDefault="004D4632" w:rsidP="004D4632">
      <w:r w:rsidRPr="00636784">
        <w:t xml:space="preserve">Forestry Commission England (FCE) is </w:t>
      </w:r>
      <w:r>
        <w:t xml:space="preserve">currently working with Bury Council </w:t>
      </w:r>
      <w:r w:rsidR="006C3400">
        <w:t>to consider FCE</w:t>
      </w:r>
      <w:r w:rsidRPr="00636784">
        <w:t xml:space="preserve"> taking on the management of </w:t>
      </w:r>
      <w:r w:rsidR="006C3400">
        <w:t>more</w:t>
      </w:r>
      <w:r w:rsidRPr="00636784">
        <w:t xml:space="preserve"> sites </w:t>
      </w:r>
      <w:r>
        <w:t xml:space="preserve">in Bury.  </w:t>
      </w:r>
      <w:r w:rsidRPr="00636784">
        <w:t xml:space="preserve">The </w:t>
      </w:r>
      <w:r w:rsidR="006C3400">
        <w:t>s</w:t>
      </w:r>
      <w:r w:rsidRPr="00636784">
        <w:t xml:space="preserve">ites are currently owned and managed by the Local Authority. Each has a mixed-use history and has undergone some restoration, typically involving receipt of inert waste materials under license. They are now open access green spaces. </w:t>
      </w:r>
      <w:r>
        <w:t>FCE</w:t>
      </w:r>
      <w:r w:rsidRPr="00636784">
        <w:t xml:space="preserve"> is currently undertaking Due Diligence. FCE require to know the suitability of the sites for the long-term management as community woodland, as an extension</w:t>
      </w:r>
      <w:r>
        <w:t xml:space="preserve"> to the local Forest District. </w:t>
      </w:r>
    </w:p>
    <w:p w:rsidR="004D4632" w:rsidRDefault="004D4632" w:rsidP="004D4632"/>
    <w:p w:rsidR="004D4632" w:rsidRDefault="004D4632" w:rsidP="004D4632">
      <w:r w:rsidRPr="00636784">
        <w:t>FCE wishes to make an informed decision regarding the risks and suitability of the sites as public open space and freely accessible community woodland.  Such an assessment must include consideration of risks to human receptors (including but not restricted to site visitors), environmental receptors, and vegetation establishment.</w:t>
      </w:r>
      <w:r w:rsidR="007C66DE">
        <w:t xml:space="preserve">  </w:t>
      </w:r>
      <w:r w:rsidR="00D96837" w:rsidRPr="00D96837">
        <w:t>A list of information already gained from the council is provided in Appendix 3</w:t>
      </w:r>
      <w:r w:rsidR="00154351">
        <w:t>;</w:t>
      </w:r>
      <w:r w:rsidR="00D96837" w:rsidRPr="00D96837">
        <w:t xml:space="preserve"> this information will be provided to the winning contractor.</w:t>
      </w:r>
    </w:p>
    <w:p w:rsidR="000F6193" w:rsidRDefault="000F6193" w:rsidP="004D4632"/>
    <w:p w:rsidR="00636784" w:rsidRPr="006C3400" w:rsidRDefault="00636784" w:rsidP="00636784">
      <w:pPr>
        <w:rPr>
          <w:u w:val="single"/>
        </w:rPr>
      </w:pPr>
      <w:r w:rsidRPr="006C3400">
        <w:rPr>
          <w:u w:val="single"/>
        </w:rPr>
        <w:t>Geographical Area</w:t>
      </w:r>
    </w:p>
    <w:p w:rsidR="00EA5005" w:rsidRDefault="00636784" w:rsidP="00636784">
      <w:r w:rsidRPr="00636784">
        <w:t xml:space="preserve">The </w:t>
      </w:r>
      <w:r w:rsidR="006C3400">
        <w:t xml:space="preserve">sites </w:t>
      </w:r>
      <w:r w:rsidRPr="00636784">
        <w:t>being considered are within t</w:t>
      </w:r>
      <w:r w:rsidR="006C3400">
        <w:t>he Irwell Valley and are shown o</w:t>
      </w:r>
      <w:r w:rsidRPr="00636784">
        <w:t>n Map 1</w:t>
      </w:r>
      <w:r w:rsidR="006C3400">
        <w:t>, which also shows the existing FCE managed land in the area</w:t>
      </w:r>
      <w:r w:rsidRPr="00636784">
        <w:t>.</w:t>
      </w:r>
      <w:r>
        <w:t xml:space="preserve"> All the sites are within the ownership of Bury Council. Due to the geographical scale of the sites thes</w:t>
      </w:r>
      <w:r w:rsidR="004D4632">
        <w:t>e have been broken into 4 areas</w:t>
      </w:r>
      <w:r w:rsidR="00EA5005">
        <w:t>:</w:t>
      </w:r>
    </w:p>
    <w:p w:rsidR="00EA5005" w:rsidRPr="004D4632" w:rsidRDefault="00EA5005" w:rsidP="00EA5005">
      <w:pPr>
        <w:numPr>
          <w:ilvl w:val="0"/>
          <w:numId w:val="13"/>
        </w:numPr>
        <w:spacing w:before="120" w:line="240" w:lineRule="atLeast"/>
        <w:jc w:val="both"/>
        <w:rPr>
          <w:lang w:val="en-US"/>
        </w:rPr>
      </w:pPr>
      <w:r w:rsidRPr="004D4632">
        <w:rPr>
          <w:lang w:val="en-US"/>
        </w:rPr>
        <w:t>Philips Park</w:t>
      </w:r>
      <w:r>
        <w:rPr>
          <w:lang w:val="en-US"/>
        </w:rPr>
        <w:tab/>
      </w:r>
      <w:r>
        <w:rPr>
          <w:lang w:val="en-US"/>
        </w:rPr>
        <w:tab/>
      </w:r>
    </w:p>
    <w:p w:rsidR="00EA5005" w:rsidRPr="004D4632" w:rsidRDefault="00EA5005" w:rsidP="00EA5005">
      <w:pPr>
        <w:numPr>
          <w:ilvl w:val="0"/>
          <w:numId w:val="13"/>
        </w:numPr>
        <w:spacing w:before="120" w:line="240" w:lineRule="atLeast"/>
        <w:jc w:val="both"/>
        <w:rPr>
          <w:lang w:val="en-US"/>
        </w:rPr>
      </w:pPr>
      <w:r w:rsidRPr="004D4632">
        <w:rPr>
          <w:lang w:val="en-US"/>
        </w:rPr>
        <w:t>Outwood</w:t>
      </w:r>
      <w:r>
        <w:rPr>
          <w:lang w:val="en-US"/>
        </w:rPr>
        <w:tab/>
      </w:r>
      <w:r>
        <w:rPr>
          <w:lang w:val="en-US"/>
        </w:rPr>
        <w:tab/>
      </w:r>
      <w:r>
        <w:rPr>
          <w:lang w:val="en-US"/>
        </w:rPr>
        <w:tab/>
      </w:r>
    </w:p>
    <w:p w:rsidR="00EA5005" w:rsidRPr="004D4632" w:rsidRDefault="00EA5005" w:rsidP="00EA5005">
      <w:pPr>
        <w:numPr>
          <w:ilvl w:val="0"/>
          <w:numId w:val="13"/>
        </w:numPr>
        <w:spacing w:before="120" w:line="240" w:lineRule="atLeast"/>
        <w:jc w:val="both"/>
        <w:rPr>
          <w:lang w:val="en-US"/>
        </w:rPr>
      </w:pPr>
      <w:r w:rsidRPr="004D4632">
        <w:rPr>
          <w:lang w:val="en-US"/>
        </w:rPr>
        <w:t>Outwood Trail</w:t>
      </w:r>
      <w:r>
        <w:rPr>
          <w:lang w:val="en-US"/>
        </w:rPr>
        <w:tab/>
      </w:r>
      <w:r>
        <w:rPr>
          <w:lang w:val="en-US"/>
        </w:rPr>
        <w:tab/>
      </w:r>
    </w:p>
    <w:p w:rsidR="00EA5005" w:rsidRPr="004D4632" w:rsidRDefault="00EA5005" w:rsidP="00EA5005">
      <w:pPr>
        <w:numPr>
          <w:ilvl w:val="0"/>
          <w:numId w:val="13"/>
        </w:numPr>
        <w:spacing w:before="120" w:line="240" w:lineRule="atLeast"/>
        <w:jc w:val="both"/>
        <w:rPr>
          <w:lang w:val="en-US"/>
        </w:rPr>
      </w:pPr>
      <w:r w:rsidRPr="004D4632">
        <w:rPr>
          <w:lang w:val="en-US"/>
        </w:rPr>
        <w:t>Prestwich Clough</w:t>
      </w:r>
      <w:r>
        <w:rPr>
          <w:lang w:val="en-US"/>
        </w:rPr>
        <w:tab/>
      </w:r>
    </w:p>
    <w:p w:rsidR="00636784" w:rsidRDefault="00636784" w:rsidP="00636784"/>
    <w:p w:rsidR="00636784" w:rsidRDefault="00636784" w:rsidP="00636784"/>
    <w:p w:rsidR="00636784" w:rsidRPr="00661C19" w:rsidRDefault="00636784" w:rsidP="00655972">
      <w:pPr>
        <w:numPr>
          <w:ilvl w:val="0"/>
          <w:numId w:val="15"/>
        </w:numPr>
        <w:spacing w:before="120" w:line="240" w:lineRule="atLeast"/>
        <w:jc w:val="both"/>
        <w:rPr>
          <w:lang w:val="en-US"/>
        </w:rPr>
      </w:pPr>
      <w:r w:rsidRPr="00661C19">
        <w:rPr>
          <w:lang w:val="en-US"/>
        </w:rPr>
        <w:t xml:space="preserve">Philips Park is an area of parkland in Prestwich, Bury of approximately 58.5 ha.  The site is dissected by the M60 motorway. </w:t>
      </w:r>
      <w:r w:rsidR="006C3400" w:rsidRPr="00661C19">
        <w:rPr>
          <w:lang w:val="en-US"/>
        </w:rPr>
        <w:t>It includes several parcels of grazing land and anecdotal evidence suggest fill from the motorway may be on this site.</w:t>
      </w:r>
    </w:p>
    <w:p w:rsidR="00636784" w:rsidRPr="00661C19" w:rsidRDefault="00636784" w:rsidP="00655972">
      <w:pPr>
        <w:numPr>
          <w:ilvl w:val="0"/>
          <w:numId w:val="15"/>
        </w:numPr>
        <w:spacing w:before="120" w:line="240" w:lineRule="atLeast"/>
        <w:jc w:val="both"/>
        <w:rPr>
          <w:lang w:val="en-US"/>
        </w:rPr>
      </w:pPr>
      <w:r w:rsidRPr="00661C19">
        <w:rPr>
          <w:lang w:val="en-US"/>
        </w:rPr>
        <w:lastRenderedPageBreak/>
        <w:t>Outwood is located in the Radcliffe, Bury. The site area is approxi</w:t>
      </w:r>
      <w:r w:rsidR="006C3400" w:rsidRPr="00661C19">
        <w:rPr>
          <w:lang w:val="en-US"/>
        </w:rPr>
        <w:t xml:space="preserve">mately 53.1 ha. Previous land use on this site </w:t>
      </w:r>
      <w:r w:rsidR="00661C19" w:rsidRPr="00661C19">
        <w:rPr>
          <w:lang w:val="en-US"/>
        </w:rPr>
        <w:t xml:space="preserve">includes; colliery, sewage work and landfill land. It appears some of the land has </w:t>
      </w:r>
      <w:r w:rsidRPr="00661C19">
        <w:rPr>
          <w:lang w:val="en-US"/>
        </w:rPr>
        <w:t>received secondary in-fill of, purportedly, inert waste.</w:t>
      </w:r>
    </w:p>
    <w:p w:rsidR="00636784" w:rsidRPr="00661C19" w:rsidRDefault="00636784" w:rsidP="00655972">
      <w:pPr>
        <w:numPr>
          <w:ilvl w:val="0"/>
          <w:numId w:val="15"/>
        </w:numPr>
        <w:spacing w:before="120" w:line="240" w:lineRule="atLeast"/>
        <w:jc w:val="both"/>
        <w:rPr>
          <w:lang w:val="en-US"/>
        </w:rPr>
      </w:pPr>
      <w:r w:rsidRPr="00661C19">
        <w:rPr>
          <w:lang w:val="en-US"/>
        </w:rPr>
        <w:t>Outwood Trail is located immediately to the south of Outwood</w:t>
      </w:r>
      <w:r w:rsidR="00661C19" w:rsidRPr="00661C19">
        <w:rPr>
          <w:lang w:val="en-US"/>
        </w:rPr>
        <w:t xml:space="preserve"> and is a linear route equating to 11ha. It runs along a disused railway to existing FCE land south of the M60. I</w:t>
      </w:r>
      <w:r w:rsidRPr="00661C19">
        <w:rPr>
          <w:lang w:val="en-US"/>
        </w:rPr>
        <w:t xml:space="preserve">t is </w:t>
      </w:r>
      <w:r w:rsidR="00661C19" w:rsidRPr="00661C19">
        <w:rPr>
          <w:lang w:val="en-US"/>
        </w:rPr>
        <w:t xml:space="preserve">now </w:t>
      </w:r>
      <w:r w:rsidRPr="00661C19">
        <w:rPr>
          <w:lang w:val="en-US"/>
        </w:rPr>
        <w:t>a</w:t>
      </w:r>
      <w:r w:rsidR="00661C19" w:rsidRPr="00661C19">
        <w:rPr>
          <w:lang w:val="en-US"/>
        </w:rPr>
        <w:t xml:space="preserve"> Sustrans route</w:t>
      </w:r>
      <w:r w:rsidRPr="00661C19">
        <w:rPr>
          <w:lang w:val="en-US"/>
        </w:rPr>
        <w:t xml:space="preserve"> cycling and walking trail.</w:t>
      </w:r>
    </w:p>
    <w:p w:rsidR="00636784" w:rsidRPr="004C6782" w:rsidRDefault="00636784" w:rsidP="00655972">
      <w:pPr>
        <w:numPr>
          <w:ilvl w:val="0"/>
          <w:numId w:val="15"/>
        </w:numPr>
        <w:spacing w:before="120" w:line="240" w:lineRule="atLeast"/>
        <w:jc w:val="both"/>
        <w:rPr>
          <w:lang w:val="en-US"/>
        </w:rPr>
      </w:pPr>
      <w:r w:rsidRPr="004C6782">
        <w:rPr>
          <w:lang w:val="en-US"/>
        </w:rPr>
        <w:t xml:space="preserve">Prestwich Clough, is located in Prestwich, ca. 1 km south of Jct 17 M60.  It borders </w:t>
      </w:r>
      <w:r w:rsidR="00661C19" w:rsidRPr="004C6782">
        <w:rPr>
          <w:lang w:val="en-US"/>
        </w:rPr>
        <w:t>existing FCE managed land</w:t>
      </w:r>
      <w:r w:rsidRPr="004C6782">
        <w:rPr>
          <w:lang w:val="en-US"/>
        </w:rPr>
        <w:t>. The Prestwich Clough site area is approximately 19.7 ha.  It is at least in part overlain by formal landfill</w:t>
      </w:r>
      <w:r w:rsidR="004C6782" w:rsidRPr="004C6782">
        <w:rPr>
          <w:lang w:val="en-US"/>
        </w:rPr>
        <w:t xml:space="preserve"> and old reservoirs</w:t>
      </w:r>
      <w:r w:rsidRPr="004C6782">
        <w:rPr>
          <w:lang w:val="en-US"/>
        </w:rPr>
        <w:t>.</w:t>
      </w:r>
    </w:p>
    <w:p w:rsidR="00636784" w:rsidRDefault="00636784" w:rsidP="00636784">
      <w:pPr>
        <w:ind w:left="720"/>
        <w:jc w:val="both"/>
        <w:rPr>
          <w:highlight w:val="yellow"/>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1276"/>
        <w:gridCol w:w="1935"/>
      </w:tblGrid>
      <w:tr w:rsidR="00636784" w:rsidRPr="005A7A57" w:rsidTr="004C6782">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36784" w:rsidRPr="005A7A57" w:rsidRDefault="00636784" w:rsidP="00636784">
            <w:pPr>
              <w:rPr>
                <w:b/>
              </w:rPr>
            </w:pPr>
            <w:r w:rsidRPr="005A7A57">
              <w:rPr>
                <w:b/>
              </w:rPr>
              <w:t>Site</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36784" w:rsidRPr="005A7A57" w:rsidRDefault="00636784" w:rsidP="00636784">
            <w:pPr>
              <w:rPr>
                <w:b/>
              </w:rPr>
            </w:pPr>
            <w:r w:rsidRPr="005A7A57">
              <w:rPr>
                <w:b/>
              </w:rPr>
              <w:t>x</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36784" w:rsidRPr="005A7A57" w:rsidRDefault="002C2A27" w:rsidP="00636784">
            <w:pPr>
              <w:rPr>
                <w:b/>
              </w:rPr>
            </w:pPr>
            <w:r w:rsidRPr="005A7A57">
              <w:rPr>
                <w:b/>
              </w:rPr>
              <w:t>Y</w:t>
            </w:r>
          </w:p>
        </w:tc>
        <w:tc>
          <w:tcPr>
            <w:tcW w:w="1935" w:type="dxa"/>
            <w:tcBorders>
              <w:top w:val="single" w:sz="4" w:space="0" w:color="auto"/>
              <w:left w:val="single" w:sz="4" w:space="0" w:color="auto"/>
              <w:bottom w:val="single" w:sz="4" w:space="0" w:color="auto"/>
              <w:right w:val="single" w:sz="4" w:space="0" w:color="auto"/>
            </w:tcBorders>
            <w:shd w:val="clear" w:color="auto" w:fill="auto"/>
            <w:hideMark/>
          </w:tcPr>
          <w:p w:rsidR="00636784" w:rsidRPr="005A7A57" w:rsidRDefault="00636784" w:rsidP="00636784">
            <w:pPr>
              <w:rPr>
                <w:b/>
              </w:rPr>
            </w:pPr>
            <w:r>
              <w:rPr>
                <w:b/>
              </w:rPr>
              <w:t xml:space="preserve">Approximate </w:t>
            </w:r>
            <w:r w:rsidRPr="005A7A57">
              <w:rPr>
                <w:b/>
              </w:rPr>
              <w:t>Grid Ref</w:t>
            </w:r>
          </w:p>
        </w:tc>
      </w:tr>
      <w:tr w:rsidR="00636784" w:rsidRPr="005A7A57" w:rsidTr="004C6782">
        <w:tc>
          <w:tcPr>
            <w:tcW w:w="2268" w:type="dxa"/>
            <w:tcBorders>
              <w:top w:val="single" w:sz="4" w:space="0" w:color="auto"/>
              <w:left w:val="single" w:sz="4" w:space="0" w:color="auto"/>
              <w:bottom w:val="single" w:sz="4" w:space="0" w:color="auto"/>
              <w:right w:val="single" w:sz="4" w:space="0" w:color="auto"/>
            </w:tcBorders>
            <w:shd w:val="clear" w:color="auto" w:fill="auto"/>
          </w:tcPr>
          <w:p w:rsidR="00636784" w:rsidRPr="005A7A57" w:rsidRDefault="00C9039E" w:rsidP="00636784">
            <w:r>
              <w:t>Philip</w:t>
            </w:r>
            <w:r w:rsidR="00636784">
              <w:t>s Park</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784" w:rsidRPr="005A7A57" w:rsidRDefault="00636784" w:rsidP="00636784">
            <w:r>
              <w:t>379890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36784" w:rsidRPr="005A7A57" w:rsidRDefault="00636784" w:rsidP="00636784">
            <w:r>
              <w:t>404103</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636784" w:rsidRPr="005A7A57" w:rsidRDefault="00636784" w:rsidP="00636784">
            <w:r>
              <w:t>SD7989004103</w:t>
            </w:r>
          </w:p>
        </w:tc>
      </w:tr>
      <w:tr w:rsidR="00636784" w:rsidRPr="005A7A57" w:rsidTr="004C6782">
        <w:tc>
          <w:tcPr>
            <w:tcW w:w="2268" w:type="dxa"/>
            <w:tcBorders>
              <w:top w:val="single" w:sz="4" w:space="0" w:color="auto"/>
              <w:left w:val="single" w:sz="4" w:space="0" w:color="auto"/>
              <w:bottom w:val="single" w:sz="4" w:space="0" w:color="auto"/>
              <w:right w:val="single" w:sz="4" w:space="0" w:color="auto"/>
            </w:tcBorders>
            <w:shd w:val="clear" w:color="auto" w:fill="auto"/>
          </w:tcPr>
          <w:p w:rsidR="00636784" w:rsidRPr="005A7A57" w:rsidRDefault="00636784" w:rsidP="00636784">
            <w:r>
              <w:t>Outwood</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784" w:rsidRPr="005A7A57" w:rsidRDefault="00636784" w:rsidP="00636784">
            <w:r>
              <w:t>377716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36784" w:rsidRPr="005A7A57" w:rsidRDefault="00636784" w:rsidP="00636784">
            <w:r>
              <w:t>406515</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636784" w:rsidRPr="005A7A57" w:rsidRDefault="00636784" w:rsidP="00636784">
            <w:r>
              <w:t>SD7771606515</w:t>
            </w:r>
          </w:p>
        </w:tc>
      </w:tr>
      <w:tr w:rsidR="00636784" w:rsidRPr="005A7A57" w:rsidTr="004C6782">
        <w:tc>
          <w:tcPr>
            <w:tcW w:w="2268" w:type="dxa"/>
            <w:tcBorders>
              <w:top w:val="single" w:sz="4" w:space="0" w:color="auto"/>
              <w:left w:val="single" w:sz="4" w:space="0" w:color="auto"/>
              <w:bottom w:val="single" w:sz="4" w:space="0" w:color="auto"/>
              <w:right w:val="single" w:sz="4" w:space="0" w:color="auto"/>
            </w:tcBorders>
            <w:shd w:val="clear" w:color="auto" w:fill="auto"/>
          </w:tcPr>
          <w:p w:rsidR="00636784" w:rsidRPr="005A7A57" w:rsidRDefault="00636784" w:rsidP="00636784">
            <w:r>
              <w:t>Outwood Trail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36784" w:rsidRPr="005A7A57" w:rsidRDefault="00636784" w:rsidP="00636784">
            <w:r>
              <w:t>378025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36784" w:rsidRPr="005A7A57" w:rsidRDefault="00636784" w:rsidP="00636784">
            <w:r>
              <w:t>404470</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636784" w:rsidRPr="005A7A57" w:rsidRDefault="00636784" w:rsidP="00636784">
            <w:r>
              <w:t>SD7802504470</w:t>
            </w:r>
          </w:p>
        </w:tc>
      </w:tr>
      <w:tr w:rsidR="00636784" w:rsidRPr="005A7A57" w:rsidTr="004C6782">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36784" w:rsidRPr="005A7A57" w:rsidRDefault="00636784" w:rsidP="00636784">
            <w:r>
              <w:t>Prestwich Clough</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36784" w:rsidRPr="005A7A57" w:rsidRDefault="00636784" w:rsidP="00636784">
            <w:r>
              <w:t>380582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36784" w:rsidRPr="005A7A57" w:rsidRDefault="00636784" w:rsidP="00636784">
            <w:r>
              <w:t>403476</w:t>
            </w:r>
          </w:p>
        </w:tc>
        <w:tc>
          <w:tcPr>
            <w:tcW w:w="1935" w:type="dxa"/>
            <w:tcBorders>
              <w:top w:val="single" w:sz="4" w:space="0" w:color="auto"/>
              <w:left w:val="single" w:sz="4" w:space="0" w:color="auto"/>
              <w:bottom w:val="single" w:sz="4" w:space="0" w:color="auto"/>
              <w:right w:val="single" w:sz="4" w:space="0" w:color="auto"/>
            </w:tcBorders>
            <w:shd w:val="clear" w:color="auto" w:fill="auto"/>
            <w:hideMark/>
          </w:tcPr>
          <w:p w:rsidR="00636784" w:rsidRPr="005A7A57" w:rsidRDefault="00636784" w:rsidP="00636784">
            <w:r>
              <w:t>SD8058203476</w:t>
            </w:r>
          </w:p>
        </w:tc>
      </w:tr>
    </w:tbl>
    <w:p w:rsidR="00636784" w:rsidRPr="00636784" w:rsidRDefault="00636784" w:rsidP="00636784"/>
    <w:p w:rsidR="00636784" w:rsidRDefault="00636784" w:rsidP="00636784">
      <w:pPr>
        <w:jc w:val="both"/>
        <w:rPr>
          <w:lang w:val="en-US"/>
        </w:rPr>
      </w:pPr>
      <w:r w:rsidRPr="001B5334">
        <w:rPr>
          <w:lang w:val="en-US"/>
        </w:rPr>
        <w:t xml:space="preserve">The location of the site and the site boundaries are </w:t>
      </w:r>
      <w:r w:rsidR="004C6782">
        <w:rPr>
          <w:lang w:val="en-US"/>
        </w:rPr>
        <w:t>shown in overview on Map 1 and detail on Map 2 a, b, c and d</w:t>
      </w:r>
      <w:r>
        <w:rPr>
          <w:lang w:val="en-US"/>
        </w:rPr>
        <w:t>.</w:t>
      </w:r>
    </w:p>
    <w:p w:rsidR="00636784" w:rsidRDefault="00636784" w:rsidP="00636784">
      <w:pPr>
        <w:jc w:val="both"/>
        <w:rPr>
          <w:lang w:val="en-US"/>
        </w:rPr>
      </w:pPr>
    </w:p>
    <w:p w:rsidR="00636784" w:rsidRDefault="00636784" w:rsidP="00636784">
      <w:pPr>
        <w:jc w:val="both"/>
        <w:rPr>
          <w:lang w:val="en-US"/>
        </w:rPr>
      </w:pPr>
      <w:r>
        <w:rPr>
          <w:lang w:val="en-US"/>
        </w:rPr>
        <w:t>All the sites are currently used by the public for recreation this should be considered in the approach to site work.</w:t>
      </w:r>
      <w:r w:rsidR="00A672DB">
        <w:rPr>
          <w:lang w:val="en-US"/>
        </w:rPr>
        <w:t xml:space="preserve"> Also consideration should be given to access of equipment, </w:t>
      </w:r>
      <w:r w:rsidR="000F6193">
        <w:rPr>
          <w:lang w:val="en-US"/>
        </w:rPr>
        <w:t xml:space="preserve">for example </w:t>
      </w:r>
      <w:r w:rsidR="00A672DB">
        <w:rPr>
          <w:lang w:val="en-US"/>
        </w:rPr>
        <w:t>access to Philips Park is over a 1</w:t>
      </w:r>
      <w:r w:rsidR="00154351">
        <w:rPr>
          <w:lang w:val="en-US"/>
        </w:rPr>
        <w:t>-</w:t>
      </w:r>
      <w:r w:rsidR="00A672DB">
        <w:rPr>
          <w:lang w:val="en-US"/>
        </w:rPr>
        <w:t>lane bridge</w:t>
      </w:r>
      <w:r w:rsidR="00154351">
        <w:rPr>
          <w:lang w:val="en-US"/>
        </w:rPr>
        <w:t>,</w:t>
      </w:r>
      <w:r w:rsidR="00A672DB">
        <w:rPr>
          <w:lang w:val="en-US"/>
        </w:rPr>
        <w:t xml:space="preserve"> with a 32</w:t>
      </w:r>
      <w:r w:rsidR="00A672DB" w:rsidRPr="00D96837">
        <w:t xml:space="preserve"> tonne</w:t>
      </w:r>
      <w:r w:rsidR="00A672DB">
        <w:rPr>
          <w:lang w:val="en-US"/>
        </w:rPr>
        <w:t xml:space="preserve"> weight limit.</w:t>
      </w:r>
    </w:p>
    <w:p w:rsidR="00655972" w:rsidRDefault="00655972" w:rsidP="00636784">
      <w:pPr>
        <w:jc w:val="both"/>
        <w:rPr>
          <w:lang w:val="en-US"/>
        </w:rPr>
      </w:pPr>
    </w:p>
    <w:p w:rsidR="00655972" w:rsidRDefault="00655972" w:rsidP="00655972">
      <w:pPr>
        <w:rPr>
          <w:u w:val="single"/>
        </w:rPr>
      </w:pPr>
      <w:r>
        <w:rPr>
          <w:u w:val="single"/>
        </w:rPr>
        <w:t>Health and Safety</w:t>
      </w:r>
    </w:p>
    <w:p w:rsidR="00655972" w:rsidRDefault="00655972" w:rsidP="00655972">
      <w:pPr>
        <w:rPr>
          <w:u w:val="single"/>
        </w:rPr>
      </w:pPr>
    </w:p>
    <w:p w:rsidR="00227D03" w:rsidRDefault="00227D03" w:rsidP="00655972">
      <w:r>
        <w:t xml:space="preserve">The contractor will be required to undertake the principal contractor </w:t>
      </w:r>
      <w:r w:rsidR="00755523">
        <w:t xml:space="preserve">and principal designer </w:t>
      </w:r>
      <w:r>
        <w:t>duties under the CDM 2015 regulations.</w:t>
      </w:r>
    </w:p>
    <w:p w:rsidR="00227D03" w:rsidRDefault="00227D03" w:rsidP="00655972"/>
    <w:p w:rsidR="00655972" w:rsidRDefault="00C9039E" w:rsidP="00655972">
      <w:r>
        <w:t>Initial i</w:t>
      </w:r>
      <w:r w:rsidR="00227D03">
        <w:t>nformation regarding constraints available to date is included within Appendix 1.</w:t>
      </w:r>
      <w:r w:rsidR="00655972">
        <w:t xml:space="preserve">  </w:t>
      </w:r>
    </w:p>
    <w:p w:rsidR="00655972" w:rsidRDefault="00655972" w:rsidP="00655972"/>
    <w:p w:rsidR="00655972" w:rsidRPr="00655972" w:rsidRDefault="00655972" w:rsidP="00655972">
      <w:r>
        <w:t>Specific method statements and risk assessments must be provided in advance of any works on site taking place and particular consideration must be given to breaking ground.</w:t>
      </w:r>
    </w:p>
    <w:p w:rsidR="00636784" w:rsidRPr="00636784" w:rsidRDefault="00636784" w:rsidP="00323316">
      <w:pPr>
        <w:rPr>
          <w:color w:val="C00000"/>
          <w:u w:val="single"/>
        </w:rPr>
      </w:pPr>
    </w:p>
    <w:p w:rsidR="00323316" w:rsidRPr="004D4632" w:rsidRDefault="00323316" w:rsidP="00323316">
      <w:pPr>
        <w:rPr>
          <w:u w:val="single"/>
        </w:rPr>
      </w:pPr>
      <w:r w:rsidRPr="004D4632">
        <w:rPr>
          <w:u w:val="single"/>
        </w:rPr>
        <w:t>Specification</w:t>
      </w:r>
    </w:p>
    <w:p w:rsidR="001F3821" w:rsidRDefault="001F3821" w:rsidP="00636784">
      <w:r>
        <w:t>There are 3 components to be delivered over 2 stages for each site:</w:t>
      </w:r>
    </w:p>
    <w:p w:rsidR="001F3821" w:rsidRPr="009426BE" w:rsidRDefault="001F3821" w:rsidP="009426BE">
      <w:pPr>
        <w:rPr>
          <w:b/>
        </w:rPr>
      </w:pPr>
      <w:r w:rsidRPr="009426BE">
        <w:rPr>
          <w:b/>
        </w:rPr>
        <w:t>Stage 1</w:t>
      </w:r>
    </w:p>
    <w:p w:rsidR="00636784" w:rsidRDefault="00636784" w:rsidP="00655972">
      <w:pPr>
        <w:pStyle w:val="ListParagraph"/>
        <w:numPr>
          <w:ilvl w:val="0"/>
          <w:numId w:val="11"/>
        </w:numPr>
      </w:pPr>
      <w:r w:rsidRPr="00636784">
        <w:t xml:space="preserve">Phase 1 Contamination Risk Assessment with recommendation for the soil survey and indicative cost of soil survey </w:t>
      </w:r>
    </w:p>
    <w:p w:rsidR="001F3821" w:rsidRDefault="001F3821" w:rsidP="001F3821">
      <w:pPr>
        <w:pStyle w:val="ListParagraph"/>
        <w:numPr>
          <w:ilvl w:val="0"/>
          <w:numId w:val="11"/>
        </w:numPr>
      </w:pPr>
      <w:r>
        <w:lastRenderedPageBreak/>
        <w:t xml:space="preserve">a desk based geotechnical </w:t>
      </w:r>
      <w:r w:rsidR="00052841">
        <w:t xml:space="preserve">study </w:t>
      </w:r>
      <w:r>
        <w:t>to looks at risk of slope stability issues and a methodology for ground investigations to support this should they be required</w:t>
      </w:r>
    </w:p>
    <w:p w:rsidR="0023439A" w:rsidRDefault="0023439A" w:rsidP="009426BE">
      <w:pPr>
        <w:pStyle w:val="ListParagraph"/>
      </w:pPr>
    </w:p>
    <w:p w:rsidR="001F3821" w:rsidRPr="009426BE" w:rsidRDefault="001F3821" w:rsidP="009426BE">
      <w:pPr>
        <w:ind w:left="360"/>
        <w:rPr>
          <w:b/>
        </w:rPr>
      </w:pPr>
      <w:r w:rsidRPr="009426BE">
        <w:rPr>
          <w:b/>
        </w:rPr>
        <w:t>Stage 2</w:t>
      </w:r>
    </w:p>
    <w:p w:rsidR="00636784" w:rsidRDefault="00636784" w:rsidP="00655972">
      <w:pPr>
        <w:pStyle w:val="ListParagraph"/>
        <w:numPr>
          <w:ilvl w:val="0"/>
          <w:numId w:val="11"/>
        </w:numPr>
      </w:pPr>
      <w:r w:rsidRPr="00636784">
        <w:t>Phase 2 Soil-Resource Suitability</w:t>
      </w:r>
    </w:p>
    <w:p w:rsidR="00636784" w:rsidRPr="00636784" w:rsidRDefault="00636784" w:rsidP="004D4632">
      <w:pPr>
        <w:pStyle w:val="ListParagraph"/>
      </w:pPr>
    </w:p>
    <w:p w:rsidR="00636784" w:rsidRPr="00636784" w:rsidRDefault="00636784" w:rsidP="00636784">
      <w:r w:rsidRPr="00636784">
        <w:t xml:space="preserve">The Client reserves the right to terminate the contract upon completion of </w:t>
      </w:r>
      <w:r w:rsidR="001F3821">
        <w:t>Stage 1</w:t>
      </w:r>
      <w:r w:rsidRPr="00636784">
        <w:t xml:space="preserve">. The Consultant must not progress with </w:t>
      </w:r>
      <w:r w:rsidR="001F3821">
        <w:t>Stage</w:t>
      </w:r>
      <w:r w:rsidR="001F3821" w:rsidRPr="00636784">
        <w:t xml:space="preserve"> </w:t>
      </w:r>
      <w:r w:rsidRPr="00636784">
        <w:t>2 without written authorisation. Any costs incurred without the Client’s consent will not be accepted for payment. The Client reserves the right to extend the contract to cover further investigation requirements identified during the Phase 2, within standard procurement rules.</w:t>
      </w:r>
    </w:p>
    <w:p w:rsidR="00636784" w:rsidRPr="00636784" w:rsidRDefault="00636784" w:rsidP="00636784"/>
    <w:p w:rsidR="00636784" w:rsidRPr="009426BE" w:rsidRDefault="004D4632" w:rsidP="00636784">
      <w:pPr>
        <w:rPr>
          <w:i/>
          <w:u w:val="single"/>
        </w:rPr>
      </w:pPr>
      <w:r w:rsidRPr="009426BE">
        <w:rPr>
          <w:i/>
          <w:u w:val="single"/>
        </w:rPr>
        <w:t>Objectives of the investigation</w:t>
      </w:r>
      <w:r w:rsidR="00EA5005" w:rsidRPr="009426BE">
        <w:rPr>
          <w:i/>
          <w:u w:val="single"/>
        </w:rPr>
        <w:t>:</w:t>
      </w:r>
    </w:p>
    <w:p w:rsidR="00EA5005" w:rsidRPr="004D4632" w:rsidRDefault="00EA5005" w:rsidP="00636784">
      <w:pPr>
        <w:rPr>
          <w:i/>
        </w:rPr>
      </w:pPr>
    </w:p>
    <w:p w:rsidR="00636784" w:rsidRDefault="00636784" w:rsidP="00655972">
      <w:pPr>
        <w:pStyle w:val="ListParagraph"/>
        <w:numPr>
          <w:ilvl w:val="0"/>
          <w:numId w:val="11"/>
        </w:numPr>
      </w:pPr>
      <w:r w:rsidRPr="00636784">
        <w:t>Conduct a Phase 1 contaminated land site investigation to report on site suitability for community woodland establishment. Assessment of suitability should include, but by no means be limited to: constraints, matters of concern, matters requiring further investigation, site strengths. The Phase 1 must include review and due consideration of all material supplied by The Client</w:t>
      </w:r>
      <w:r w:rsidR="007C66DE">
        <w:t>, this information will be shared with the winning contractor,</w:t>
      </w:r>
      <w:r w:rsidRPr="00636784">
        <w:t xml:space="preserve"> and MUST include a substantiated recommendation on how to implement the Phase 2 Soil survey, including numbers of sample points and trial pits, whilst also complying with the minimum requirements of the Brief. </w:t>
      </w:r>
    </w:p>
    <w:p w:rsidR="00EA5005" w:rsidRDefault="00EA5005" w:rsidP="009426BE">
      <w:pPr>
        <w:pStyle w:val="ListParagraph"/>
      </w:pPr>
    </w:p>
    <w:p w:rsidR="004256F1" w:rsidRDefault="004256F1" w:rsidP="00655972">
      <w:pPr>
        <w:pStyle w:val="ListParagraph"/>
        <w:numPr>
          <w:ilvl w:val="0"/>
          <w:numId w:val="11"/>
        </w:numPr>
      </w:pPr>
      <w:r>
        <w:t xml:space="preserve">Conduct a desk based geotechnical </w:t>
      </w:r>
      <w:r w:rsidR="00052841">
        <w:t xml:space="preserve">study </w:t>
      </w:r>
      <w:r>
        <w:t xml:space="preserve">looking at the issue of slope stability across the sites.  This </w:t>
      </w:r>
      <w:r w:rsidRPr="00636784">
        <w:t>must include review and due consideration of all material supplied by The Client</w:t>
      </w:r>
      <w:r>
        <w:t xml:space="preserve">, this information will be shared with the winning contractor.  Additional information should also be obtained </w:t>
      </w:r>
      <w:r w:rsidR="00052841">
        <w:t>to support this study, including information from publically available data bases, for</w:t>
      </w:r>
      <w:r w:rsidR="0023439A">
        <w:t xml:space="preserve"> </w:t>
      </w:r>
      <w:r>
        <w:t xml:space="preserve">example BGS data.  </w:t>
      </w:r>
      <w:r w:rsidR="00052841">
        <w:t xml:space="preserve">A site walk around may also be useful for this study. The output for this should be a technical note which </w:t>
      </w:r>
      <w:r w:rsidR="003E4D98">
        <w:t xml:space="preserve">should </w:t>
      </w:r>
      <w:r w:rsidR="00052841">
        <w:t>include</w:t>
      </w:r>
      <w:r w:rsidR="003E4D98">
        <w:t xml:space="preserve"> a </w:t>
      </w:r>
      <w:r w:rsidR="00C74189">
        <w:t xml:space="preserve">plan </w:t>
      </w:r>
      <w:r>
        <w:t>highlight</w:t>
      </w:r>
      <w:r w:rsidR="003E4D98">
        <w:t>ing</w:t>
      </w:r>
      <w:r>
        <w:t xml:space="preserve"> key areas of risk regarding slope stability</w:t>
      </w:r>
      <w:r w:rsidR="003E4D98">
        <w:t xml:space="preserve">.  The </w:t>
      </w:r>
      <w:r w:rsidR="00052841">
        <w:t>note</w:t>
      </w:r>
      <w:r w:rsidR="003E4D98">
        <w:t xml:space="preserve"> should also include a proposed method for Geotechnical invest</w:t>
      </w:r>
      <w:r w:rsidR="00C74189">
        <w:t>igation to further investigate</w:t>
      </w:r>
      <w:r w:rsidR="003E4D98">
        <w:t xml:space="preserve"> this risk should it be required for liability purposes.  </w:t>
      </w:r>
      <w:r w:rsidR="008201E9">
        <w:t xml:space="preserve">As part of this budget costs for the further investigation should be provided. </w:t>
      </w:r>
      <w:r w:rsidR="003E4D98">
        <w:t>Note – the undertaking of ground investigation relating to the slope stability directly in not part of this scope of works.</w:t>
      </w:r>
    </w:p>
    <w:p w:rsidR="00EA5005" w:rsidRDefault="00EA5005" w:rsidP="009426BE">
      <w:pPr>
        <w:pStyle w:val="ListParagraph"/>
      </w:pPr>
    </w:p>
    <w:p w:rsidR="00636784" w:rsidRPr="00636784" w:rsidRDefault="00636784" w:rsidP="00655972">
      <w:pPr>
        <w:pStyle w:val="ListParagraph"/>
        <w:numPr>
          <w:ilvl w:val="0"/>
          <w:numId w:val="11"/>
        </w:numPr>
      </w:pPr>
      <w:r w:rsidRPr="00636784">
        <w:t xml:space="preserve">Report on the suitability of the soil and soil-forming materials resource for the establishment of community woodland, based upon: the Phase 1 report, a site walkover, intrusive soil investigations, and soil compaction testing.  Analyses must consider, but by no means be limited to, human and environmental health risk, as well as its suitability as a planting medium for vegetation typical of community woodland (including grasses, wildflowers, shrubs, trees). </w:t>
      </w:r>
    </w:p>
    <w:p w:rsidR="00636784" w:rsidRPr="00636784" w:rsidRDefault="00636784" w:rsidP="00636784"/>
    <w:p w:rsidR="00636784" w:rsidRPr="00636784" w:rsidRDefault="00636784" w:rsidP="00636784">
      <w:r w:rsidRPr="00636784">
        <w:t>Broadly, information regarding the following is required</w:t>
      </w:r>
      <w:r w:rsidR="008201E9">
        <w:t xml:space="preserve"> for the Phase 1 and Phase 2 elements</w:t>
      </w:r>
      <w:r w:rsidRPr="00636784">
        <w:t>:</w:t>
      </w:r>
    </w:p>
    <w:p w:rsidR="00636784" w:rsidRPr="00636784" w:rsidRDefault="00636784" w:rsidP="00655972">
      <w:pPr>
        <w:pStyle w:val="ListParagraph"/>
        <w:numPr>
          <w:ilvl w:val="0"/>
          <w:numId w:val="14"/>
        </w:numPr>
      </w:pPr>
      <w:r w:rsidRPr="00636784">
        <w:t xml:space="preserve">Depth: the depth of soil cover of the site is to be assessed to a maximum depth of </w:t>
      </w:r>
      <w:r w:rsidR="00434C82">
        <w:t>2.5</w:t>
      </w:r>
      <w:r w:rsidRPr="00636784">
        <w:t xml:space="preserve"> m. (The working definition of soil herein includes topsoil, subsoil and soil-forming materials). In some cases this will be historic in-fill; hence the soil surveying methodology must be determined by the Phase 1 and agreed with the Client.</w:t>
      </w:r>
    </w:p>
    <w:p w:rsidR="00636784" w:rsidRPr="00636784" w:rsidRDefault="00636784" w:rsidP="00655972">
      <w:pPr>
        <w:pStyle w:val="ListParagraph"/>
        <w:numPr>
          <w:ilvl w:val="0"/>
          <w:numId w:val="14"/>
        </w:numPr>
      </w:pPr>
      <w:r w:rsidRPr="00636784">
        <w:t>Soil physical characteristics: the suitability of the soil to support tree growth is to be ascertained through characterisation of soil texture and stoniness, bulk density, areas and/or layers of compaction.</w:t>
      </w:r>
    </w:p>
    <w:p w:rsidR="00636784" w:rsidRDefault="00636784" w:rsidP="00655972">
      <w:pPr>
        <w:pStyle w:val="ListParagraph"/>
        <w:numPr>
          <w:ilvl w:val="0"/>
          <w:numId w:val="14"/>
        </w:numPr>
      </w:pPr>
      <w:r w:rsidRPr="00636784">
        <w:t xml:space="preserve">Soil chemical characteristics: the suitability of the soil to support tree growth, amenity grassland and wildflowers is also to be ascertained chemically (the minimum list of </w:t>
      </w:r>
      <w:r w:rsidR="00A27C85" w:rsidRPr="00636784">
        <w:t>determinants</w:t>
      </w:r>
      <w:r w:rsidRPr="00636784">
        <w:t xml:space="preserve"> to be considered is presented below). Soil contamination must be assessed, for example with regard to potentially toxic elements and organic contaminants. Analyses must consider human and environmental health risk, as well as its suitability as a planting medium for vegetation typical of community woodland.  All Assessment Criteria (source and/or calculation) must be presented in reports to the Client and their appropriate selection justified.  </w:t>
      </w:r>
    </w:p>
    <w:p w:rsidR="004D4632" w:rsidRPr="00636784" w:rsidRDefault="004D4632" w:rsidP="004D4632">
      <w:pPr>
        <w:pStyle w:val="ListParagraph"/>
      </w:pPr>
    </w:p>
    <w:p w:rsidR="00636784" w:rsidRDefault="00636784" w:rsidP="00636784">
      <w:r w:rsidRPr="00636784">
        <w:t>A full specification of the visual, physical and chemical characteristics to be considered is detailed below in the Sampling Strategy, below.</w:t>
      </w:r>
    </w:p>
    <w:p w:rsidR="004D4632" w:rsidRPr="00636784" w:rsidRDefault="004D4632" w:rsidP="00636784"/>
    <w:p w:rsidR="00636784" w:rsidRPr="00636784" w:rsidRDefault="00636784" w:rsidP="00636784">
      <w:r w:rsidRPr="00636784">
        <w:t xml:space="preserve">Based upon the site inspection and the results from the visual, physical and chemical soil studies, a substantiated recommendation to proceed with establishment/management of community woodland, for remedial works and/or for further investigations is sought. FC Information Note 91 entitled: Greenspace Establishment on Brownfield Land: the Site Selection and Investigation Process should be consulted. It is </w:t>
      </w:r>
      <w:r w:rsidR="00A55A2E">
        <w:t xml:space="preserve">available free of charge </w:t>
      </w:r>
      <w:r w:rsidRPr="00636784">
        <w:t xml:space="preserve">from </w:t>
      </w:r>
      <w:hyperlink r:id="rId10" w:history="1">
        <w:r w:rsidR="004D4632" w:rsidRPr="00462BBC">
          <w:rPr>
            <w:rStyle w:val="Hyperlink"/>
          </w:rPr>
          <w:t>http://www.forestry.gov.uk/fr/INFD-5WPKNB</w:t>
        </w:r>
      </w:hyperlink>
      <w:r w:rsidRPr="00636784">
        <w:t>.</w:t>
      </w:r>
    </w:p>
    <w:p w:rsidR="00636784" w:rsidRPr="00636784" w:rsidRDefault="00636784" w:rsidP="00636784"/>
    <w:p w:rsidR="00636784" w:rsidRPr="004D4632" w:rsidRDefault="00636784" w:rsidP="00636784">
      <w:pPr>
        <w:rPr>
          <w:i/>
        </w:rPr>
      </w:pPr>
      <w:r w:rsidRPr="004D4632">
        <w:rPr>
          <w:i/>
        </w:rPr>
        <w:t>Sampling Strategy</w:t>
      </w:r>
    </w:p>
    <w:p w:rsidR="00636784" w:rsidRDefault="00636784" w:rsidP="00636784">
      <w:r w:rsidRPr="00636784">
        <w:t xml:space="preserve">Investigations are to be conducted to a minimum 3 sampling points per hectare and include trial pits targeted at discrete areas and areas of potential concern. Hence the sampling strategy must be informed by the Phase 1. Location of sampling points should follow a herringbone sampling grid pattern as far as reasonably practical. [Guidance on the herringbone sampling grid can be found in BPG Note 1: Soil sampling derelict, underused and neglected land prior to greenspace establishment, freely downloadable from </w:t>
      </w:r>
      <w:r w:rsidR="00A55A2E" w:rsidRPr="00C74189">
        <w:rPr>
          <w:rStyle w:val="Hyperlink"/>
        </w:rPr>
        <w:t>https://www.forestresearch.gov.uk/tools-and-resources/urban-regeneration-and-greenspace-partnership/urban-regeneration-and-greenspace-partnership-resources/best-practice-guidance/</w:t>
      </w:r>
      <w:r w:rsidRPr="00C74189">
        <w:rPr>
          <w:rStyle w:val="Hyperlink"/>
        </w:rPr>
        <w:t>.</w:t>
      </w:r>
    </w:p>
    <w:p w:rsidR="00D318DA" w:rsidRDefault="00D318DA" w:rsidP="00636784"/>
    <w:p w:rsidR="00D318DA" w:rsidRPr="00636784" w:rsidRDefault="00D318DA" w:rsidP="00636784">
      <w:r>
        <w:lastRenderedPageBreak/>
        <w:t>Soil sampling locations must be agreed with FCE prior to progre</w:t>
      </w:r>
      <w:r w:rsidR="000F6193">
        <w:t>ssing to Phase 2 and should take account of existing infrastructure</w:t>
      </w:r>
      <w:r w:rsidR="00655972">
        <w:t xml:space="preserve"> and constraints on site including environmental constraints</w:t>
      </w:r>
      <w:r w:rsidR="000F6193">
        <w:t>.</w:t>
      </w:r>
      <w:r w:rsidR="00755523">
        <w:t xml:space="preserve">  As part of this process Bury Council as land owner will also be consulted</w:t>
      </w:r>
      <w:r w:rsidR="00C9039E">
        <w:t>, 2 drafts of locations should be allowed for.</w:t>
      </w:r>
    </w:p>
    <w:p w:rsidR="00636784" w:rsidRPr="00636784" w:rsidRDefault="00636784" w:rsidP="00636784">
      <w:r w:rsidRPr="00636784">
        <w:t xml:space="preserve"> </w:t>
      </w:r>
    </w:p>
    <w:p w:rsidR="00636784" w:rsidRPr="00636784" w:rsidRDefault="00636784" w:rsidP="00636784">
      <w:r w:rsidRPr="00636784">
        <w:t xml:space="preserve">In trial pits, all of the visual, physical and chemical parameters should be tested. </w:t>
      </w:r>
    </w:p>
    <w:p w:rsidR="00A672DB" w:rsidRDefault="00636784" w:rsidP="00636784">
      <w:r w:rsidRPr="00636784">
        <w:t xml:space="preserve">At spade/soil-auger points only visual and physical assessments are required. </w:t>
      </w:r>
    </w:p>
    <w:p w:rsidR="00655972" w:rsidRDefault="00655972" w:rsidP="00636784"/>
    <w:p w:rsidR="00A672DB" w:rsidRDefault="00A672DB" w:rsidP="00636784">
      <w:r>
        <w:t>All sampling points must be appropriately reinstated</w:t>
      </w:r>
      <w:r w:rsidR="00227D03">
        <w:t xml:space="preserve"> including compaction</w:t>
      </w:r>
      <w:r>
        <w:t>.</w:t>
      </w:r>
    </w:p>
    <w:p w:rsidR="00A62E18" w:rsidRDefault="00A62E18" w:rsidP="00636784"/>
    <w:p w:rsidR="00A62E18" w:rsidRPr="00636784" w:rsidRDefault="00A62E18" w:rsidP="00636784">
      <w:r w:rsidRPr="00A672DB">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Pr="00C74189">
          <w:rPr>
            <w:rStyle w:val="Hyperlink"/>
          </w:rPr>
          <w:t>www.forestry.gov.uk/england-keepitclean</w:t>
        </w:r>
      </w:hyperlink>
      <w:r w:rsidRPr="00A672DB">
        <w:t>.</w:t>
      </w:r>
    </w:p>
    <w:p w:rsidR="00636784" w:rsidRPr="00636784" w:rsidRDefault="00636784" w:rsidP="00636784"/>
    <w:p w:rsidR="00636784" w:rsidRPr="004D4632" w:rsidRDefault="00636784" w:rsidP="00636784">
      <w:pPr>
        <w:rPr>
          <w:i/>
        </w:rPr>
      </w:pPr>
      <w:r w:rsidRPr="004D4632">
        <w:rPr>
          <w:i/>
        </w:rPr>
        <w:t>Soil Quality</w:t>
      </w:r>
    </w:p>
    <w:p w:rsidR="00636784" w:rsidRPr="00636784" w:rsidRDefault="00636784" w:rsidP="00636784">
      <w:r w:rsidRPr="00636784">
        <w:t>The soil investigation should consider, as a minimum:</w:t>
      </w:r>
    </w:p>
    <w:p w:rsidR="00636784" w:rsidRPr="00636784" w:rsidRDefault="00636784" w:rsidP="00655972">
      <w:pPr>
        <w:pStyle w:val="ListParagraph"/>
        <w:numPr>
          <w:ilvl w:val="0"/>
          <w:numId w:val="11"/>
        </w:numPr>
      </w:pPr>
      <w:r w:rsidRPr="00636784">
        <w:t>to visually detail all layers present:</w:t>
      </w:r>
    </w:p>
    <w:p w:rsidR="00636784" w:rsidRPr="00636784" w:rsidRDefault="00636784" w:rsidP="00655972">
      <w:pPr>
        <w:pStyle w:val="ListParagraph"/>
        <w:numPr>
          <w:ilvl w:val="1"/>
          <w:numId w:val="12"/>
        </w:numPr>
      </w:pPr>
      <w:r w:rsidRPr="00636784">
        <w:t>Colour</w:t>
      </w:r>
    </w:p>
    <w:p w:rsidR="00636784" w:rsidRPr="00636784" w:rsidRDefault="00636784" w:rsidP="00655972">
      <w:pPr>
        <w:pStyle w:val="ListParagraph"/>
        <w:numPr>
          <w:ilvl w:val="1"/>
          <w:numId w:val="12"/>
        </w:numPr>
      </w:pPr>
      <w:r w:rsidRPr="00636784">
        <w:t>Structure</w:t>
      </w:r>
    </w:p>
    <w:p w:rsidR="00636784" w:rsidRPr="00636784" w:rsidRDefault="00636784" w:rsidP="00655972">
      <w:pPr>
        <w:pStyle w:val="ListParagraph"/>
        <w:numPr>
          <w:ilvl w:val="1"/>
          <w:numId w:val="12"/>
        </w:numPr>
      </w:pPr>
      <w:r w:rsidRPr="00636784">
        <w:t>Consistence</w:t>
      </w:r>
    </w:p>
    <w:p w:rsidR="00636784" w:rsidRPr="00636784" w:rsidRDefault="00636784" w:rsidP="00655972">
      <w:pPr>
        <w:pStyle w:val="ListParagraph"/>
        <w:numPr>
          <w:ilvl w:val="0"/>
          <w:numId w:val="11"/>
        </w:numPr>
      </w:pPr>
      <w:r w:rsidRPr="00636784">
        <w:t>to characterise the physical nature of each layer, specifically:</w:t>
      </w:r>
    </w:p>
    <w:p w:rsidR="00636784" w:rsidRPr="00636784" w:rsidRDefault="00636784" w:rsidP="00655972">
      <w:pPr>
        <w:pStyle w:val="ListParagraph"/>
        <w:numPr>
          <w:ilvl w:val="1"/>
          <w:numId w:val="12"/>
        </w:numPr>
      </w:pPr>
      <w:r w:rsidRPr="00636784">
        <w:t>Moisture</w:t>
      </w:r>
    </w:p>
    <w:p w:rsidR="00636784" w:rsidRPr="00636784" w:rsidRDefault="00636784" w:rsidP="00655972">
      <w:pPr>
        <w:pStyle w:val="ListParagraph"/>
        <w:numPr>
          <w:ilvl w:val="1"/>
          <w:numId w:val="12"/>
        </w:numPr>
      </w:pPr>
      <w:r w:rsidRPr="00636784">
        <w:t>Soil texture (confirmed by Particle size distribution analysis in trial pit locations)</w:t>
      </w:r>
    </w:p>
    <w:p w:rsidR="00636784" w:rsidRPr="00636784" w:rsidRDefault="00636784" w:rsidP="00655972">
      <w:pPr>
        <w:pStyle w:val="ListParagraph"/>
        <w:numPr>
          <w:ilvl w:val="1"/>
          <w:numId w:val="12"/>
        </w:numPr>
      </w:pPr>
      <w:r w:rsidRPr="00636784">
        <w:t>Stoniness (% by weight greater than 6mm and 2</w:t>
      </w:r>
      <w:r w:rsidR="00A55A2E">
        <w:t xml:space="preserve"> </w:t>
      </w:r>
      <w:r w:rsidRPr="00636784">
        <w:t>mm in diameter)</w:t>
      </w:r>
    </w:p>
    <w:p w:rsidR="00636784" w:rsidRPr="00636784" w:rsidRDefault="00636784" w:rsidP="00655972">
      <w:pPr>
        <w:pStyle w:val="ListParagraph"/>
        <w:numPr>
          <w:ilvl w:val="1"/>
          <w:numId w:val="12"/>
        </w:numPr>
      </w:pPr>
      <w:r w:rsidRPr="00636784">
        <w:t>Compaction/penetration resistance or bulk density (3 replicate bulk density tins per horizon or by the replacement method, whichever is appropriate for the soil conditions). Final</w:t>
      </w:r>
      <w:r w:rsidR="00C74189">
        <w:t xml:space="preserve"> results must be presented as</w:t>
      </w:r>
      <w:r w:rsidRPr="00636784">
        <w:t xml:space="preserve"> g cm</w:t>
      </w:r>
      <w:r w:rsidRPr="00C74189">
        <w:rPr>
          <w:vertAlign w:val="superscript"/>
        </w:rPr>
        <w:t>-3</w:t>
      </w:r>
      <w:r w:rsidRPr="00636784">
        <w:t>.</w:t>
      </w:r>
    </w:p>
    <w:p w:rsidR="00636784" w:rsidRPr="00636784" w:rsidRDefault="00636784" w:rsidP="00655972">
      <w:pPr>
        <w:pStyle w:val="ListParagraph"/>
        <w:numPr>
          <w:ilvl w:val="0"/>
          <w:numId w:val="11"/>
        </w:numPr>
      </w:pPr>
      <w:r w:rsidRPr="00636784">
        <w:t xml:space="preserve">to characterise the chemical nature of each ‘soil’ layer (for each layer a single representative composite sample is sufficient, even where only one layer is identified across the </w:t>
      </w:r>
      <w:r w:rsidR="00434C82">
        <w:t>2.5</w:t>
      </w:r>
      <w:r w:rsidRPr="00636784">
        <w:t xml:space="preserve"> m), specifically:</w:t>
      </w:r>
    </w:p>
    <w:p w:rsidR="00636784" w:rsidRPr="00636784" w:rsidRDefault="00636784" w:rsidP="00655972">
      <w:pPr>
        <w:pStyle w:val="ListParagraph"/>
        <w:numPr>
          <w:ilvl w:val="1"/>
          <w:numId w:val="12"/>
        </w:numPr>
      </w:pPr>
      <w:r w:rsidRPr="00636784">
        <w:t>pH</w:t>
      </w:r>
    </w:p>
    <w:p w:rsidR="00636784" w:rsidRPr="00636784" w:rsidRDefault="00636784" w:rsidP="00655972">
      <w:pPr>
        <w:pStyle w:val="ListParagraph"/>
        <w:numPr>
          <w:ilvl w:val="1"/>
          <w:numId w:val="12"/>
        </w:numPr>
      </w:pPr>
      <w:r w:rsidRPr="00636784">
        <w:t>EC (if the EC is high, further tests should be conducted to identify potential salinity or sodicity)</w:t>
      </w:r>
    </w:p>
    <w:p w:rsidR="00636784" w:rsidRPr="00636784" w:rsidRDefault="00636784" w:rsidP="00655972">
      <w:pPr>
        <w:pStyle w:val="ListParagraph"/>
        <w:numPr>
          <w:ilvl w:val="1"/>
          <w:numId w:val="12"/>
        </w:numPr>
      </w:pPr>
      <w:r w:rsidRPr="00636784">
        <w:t>Acid neutralising value (as % CaCO</w:t>
      </w:r>
      <w:r w:rsidRPr="00C74189">
        <w:rPr>
          <w:vertAlign w:val="subscript"/>
        </w:rPr>
        <w:t>3</w:t>
      </w:r>
      <w:r w:rsidRPr="00636784">
        <w:t>)</w:t>
      </w:r>
    </w:p>
    <w:p w:rsidR="00636784" w:rsidRPr="00636784" w:rsidRDefault="00636784" w:rsidP="00655972">
      <w:pPr>
        <w:pStyle w:val="ListParagraph"/>
        <w:numPr>
          <w:ilvl w:val="1"/>
          <w:numId w:val="12"/>
        </w:numPr>
      </w:pPr>
      <w:r w:rsidRPr="00636784">
        <w:t>Nutrient content (N and Ca, and ADAS-method analyses for P, K, Mg)</w:t>
      </w:r>
    </w:p>
    <w:p w:rsidR="00636784" w:rsidRPr="00636784" w:rsidRDefault="00636784" w:rsidP="00655972">
      <w:pPr>
        <w:pStyle w:val="ListParagraph"/>
        <w:numPr>
          <w:ilvl w:val="1"/>
          <w:numId w:val="12"/>
        </w:numPr>
      </w:pPr>
      <w:r w:rsidRPr="00636784">
        <w:t>Organic matter (LOI) and total organic carbon (TOC) contents</w:t>
      </w:r>
    </w:p>
    <w:p w:rsidR="00636784" w:rsidRPr="00636784" w:rsidRDefault="00636784" w:rsidP="00655972">
      <w:pPr>
        <w:pStyle w:val="ListParagraph"/>
        <w:numPr>
          <w:ilvl w:val="1"/>
          <w:numId w:val="12"/>
        </w:numPr>
      </w:pPr>
      <w:r w:rsidRPr="00636784">
        <w:t>Water soluble</w:t>
      </w:r>
      <w:r w:rsidR="00C74189">
        <w:t xml:space="preserve"> B</w:t>
      </w:r>
      <w:r w:rsidRPr="00636784">
        <w:t xml:space="preserve"> </w:t>
      </w:r>
      <w:r w:rsidR="00C74189">
        <w:t>(</w:t>
      </w:r>
      <w:r w:rsidRPr="00636784">
        <w:t>boron</w:t>
      </w:r>
      <w:r w:rsidR="00C74189">
        <w:t>)</w:t>
      </w:r>
    </w:p>
    <w:p w:rsidR="00636784" w:rsidRPr="00636784" w:rsidRDefault="00636784" w:rsidP="00655972">
      <w:pPr>
        <w:pStyle w:val="ListParagraph"/>
        <w:numPr>
          <w:ilvl w:val="1"/>
          <w:numId w:val="12"/>
        </w:numPr>
      </w:pPr>
      <w:r w:rsidRPr="00636784">
        <w:t>Total-S (and soluble sulphate, elemental sulphur, acid volatile sulphide)</w:t>
      </w:r>
    </w:p>
    <w:p w:rsidR="00636784" w:rsidRPr="00636784" w:rsidRDefault="00636784" w:rsidP="00655972">
      <w:pPr>
        <w:pStyle w:val="ListParagraph"/>
        <w:numPr>
          <w:ilvl w:val="1"/>
          <w:numId w:val="12"/>
        </w:numPr>
      </w:pPr>
      <w:r w:rsidRPr="00636784">
        <w:lastRenderedPageBreak/>
        <w:t>Iron pyrite content (if the soil is clay to clay loam in texture then a minimum of 6 representative samples are to be analysed for pyrite content using BS method 1016 (1996)).</w:t>
      </w:r>
    </w:p>
    <w:p w:rsidR="00636784" w:rsidRPr="00636784" w:rsidRDefault="00636784" w:rsidP="00655972">
      <w:pPr>
        <w:pStyle w:val="ListParagraph"/>
        <w:numPr>
          <w:ilvl w:val="1"/>
          <w:numId w:val="12"/>
        </w:numPr>
      </w:pPr>
      <w:r w:rsidRPr="00636784">
        <w:t>Concentration of potentially toxic elements (to include as a minimum: Cu, Zn, Cd, Pb, Ni, As, Hg, Cr, B, Se)</w:t>
      </w:r>
    </w:p>
    <w:p w:rsidR="00636784" w:rsidRPr="00636784" w:rsidRDefault="00636784" w:rsidP="00655972">
      <w:pPr>
        <w:pStyle w:val="ListParagraph"/>
        <w:numPr>
          <w:ilvl w:val="1"/>
          <w:numId w:val="12"/>
        </w:numPr>
      </w:pPr>
      <w:r w:rsidRPr="00636784">
        <w:t xml:space="preserve">Concentration organic contaminants including as a minimum: </w:t>
      </w:r>
    </w:p>
    <w:p w:rsidR="00636784" w:rsidRPr="00636784" w:rsidRDefault="00636784" w:rsidP="00655972">
      <w:pPr>
        <w:pStyle w:val="ListParagraph"/>
        <w:numPr>
          <w:ilvl w:val="2"/>
          <w:numId w:val="12"/>
        </w:numPr>
      </w:pPr>
      <w:r w:rsidRPr="00636784">
        <w:t>total (mono) phenols</w:t>
      </w:r>
    </w:p>
    <w:p w:rsidR="00636784" w:rsidRPr="00636784" w:rsidRDefault="00636784" w:rsidP="00655972">
      <w:pPr>
        <w:pStyle w:val="ListParagraph"/>
        <w:numPr>
          <w:ilvl w:val="2"/>
          <w:numId w:val="12"/>
        </w:numPr>
      </w:pPr>
      <w:r w:rsidRPr="00636784">
        <w:t>speciated PAHs (US EPA16 suite)</w:t>
      </w:r>
    </w:p>
    <w:p w:rsidR="00636784" w:rsidRPr="00636784" w:rsidRDefault="00636784" w:rsidP="00655972">
      <w:pPr>
        <w:pStyle w:val="ListParagraph"/>
        <w:numPr>
          <w:ilvl w:val="2"/>
          <w:numId w:val="12"/>
        </w:numPr>
      </w:pPr>
      <w:r w:rsidRPr="00636784">
        <w:t>aromatic and aliphatic TPH (C</w:t>
      </w:r>
      <w:r w:rsidRPr="00C74189">
        <w:rPr>
          <w:vertAlign w:val="subscript"/>
        </w:rPr>
        <w:t>5</w:t>
      </w:r>
      <w:r w:rsidRPr="00636784">
        <w:t>-C</w:t>
      </w:r>
      <w:r w:rsidRPr="00C74189">
        <w:rPr>
          <w:vertAlign w:val="subscript"/>
        </w:rPr>
        <w:t>35</w:t>
      </w:r>
      <w:r w:rsidRPr="00636784">
        <w:t xml:space="preserve"> banding)</w:t>
      </w:r>
    </w:p>
    <w:p w:rsidR="00636784" w:rsidRPr="00636784" w:rsidRDefault="00636784" w:rsidP="00655972">
      <w:pPr>
        <w:pStyle w:val="ListParagraph"/>
        <w:numPr>
          <w:ilvl w:val="2"/>
          <w:numId w:val="12"/>
        </w:numPr>
      </w:pPr>
      <w:r w:rsidRPr="00636784">
        <w:t>benzene, toluene, ethylbenzene, xylene (BTEX)</w:t>
      </w:r>
    </w:p>
    <w:p w:rsidR="00636784" w:rsidRPr="00636784" w:rsidRDefault="00636784" w:rsidP="00655972">
      <w:pPr>
        <w:pStyle w:val="ListParagraph"/>
        <w:numPr>
          <w:ilvl w:val="2"/>
          <w:numId w:val="12"/>
        </w:numPr>
      </w:pPr>
      <w:r w:rsidRPr="00636784">
        <w:t>total cyanide</w:t>
      </w:r>
    </w:p>
    <w:p w:rsidR="00636784" w:rsidRPr="00636784" w:rsidRDefault="00636784" w:rsidP="00655972">
      <w:pPr>
        <w:pStyle w:val="ListParagraph"/>
        <w:numPr>
          <w:ilvl w:val="1"/>
          <w:numId w:val="12"/>
        </w:numPr>
      </w:pPr>
      <w:r w:rsidRPr="00636784">
        <w:t>Asbestos screen</w:t>
      </w:r>
    </w:p>
    <w:p w:rsidR="00636784" w:rsidRPr="00636784" w:rsidRDefault="00636784" w:rsidP="00636784"/>
    <w:p w:rsidR="00636784" w:rsidRPr="00636784" w:rsidRDefault="00636784" w:rsidP="00636784">
      <w:r w:rsidRPr="00636784">
        <w:t>All soil analysis should take place in a UKAS Accredited laboratory.</w:t>
      </w:r>
    </w:p>
    <w:p w:rsidR="00636784" w:rsidRPr="00636784" w:rsidRDefault="00636784" w:rsidP="00636784">
      <w:r w:rsidRPr="00636784">
        <w:t>The soil sampling work should be carried out by an appropriately qualified technical person whose qualifications and expertise should be demonstrated within the report.</w:t>
      </w:r>
    </w:p>
    <w:p w:rsidR="00636784" w:rsidRDefault="00636784" w:rsidP="00323316">
      <w:pPr>
        <w:rPr>
          <w:color w:val="C00000"/>
          <w:u w:val="single"/>
        </w:rPr>
      </w:pPr>
    </w:p>
    <w:p w:rsidR="004D4632" w:rsidRDefault="004D4632" w:rsidP="00323316">
      <w:pPr>
        <w:rPr>
          <w:color w:val="C00000"/>
          <w:u w:val="single"/>
        </w:rPr>
      </w:pPr>
    </w:p>
    <w:p w:rsidR="004D4632" w:rsidRPr="004D4632" w:rsidRDefault="004D4632" w:rsidP="004D4632">
      <w:pPr>
        <w:rPr>
          <w:u w:val="single"/>
        </w:rPr>
      </w:pPr>
      <w:r w:rsidRPr="004D4632">
        <w:rPr>
          <w:u w:val="single"/>
        </w:rPr>
        <w:t>Programme / timescales</w:t>
      </w:r>
    </w:p>
    <w:p w:rsidR="004D4632" w:rsidRDefault="004D4632" w:rsidP="004D4632">
      <w:pPr>
        <w:pStyle w:val="Heading3"/>
        <w:numPr>
          <w:ilvl w:val="0"/>
          <w:numId w:val="0"/>
        </w:numPr>
        <w:spacing w:before="0" w:after="0"/>
        <w:jc w:val="both"/>
        <w:rPr>
          <w:color w:val="auto"/>
          <w:sz w:val="22"/>
          <w:szCs w:val="24"/>
          <w:lang w:val="en-US"/>
        </w:rPr>
      </w:pPr>
      <w:r>
        <w:rPr>
          <w:color w:val="auto"/>
          <w:sz w:val="22"/>
          <w:szCs w:val="24"/>
          <w:lang w:val="en-US"/>
        </w:rPr>
        <w:t>The Client would like a</w:t>
      </w:r>
      <w:r w:rsidRPr="00AE0606">
        <w:rPr>
          <w:color w:val="auto"/>
          <w:sz w:val="22"/>
          <w:szCs w:val="24"/>
          <w:lang w:val="en-US"/>
        </w:rPr>
        <w:t xml:space="preserve">ll work completed </w:t>
      </w:r>
      <w:r w:rsidR="00AD6667">
        <w:rPr>
          <w:color w:val="auto"/>
          <w:sz w:val="22"/>
          <w:szCs w:val="24"/>
          <w:lang w:val="en-US"/>
        </w:rPr>
        <w:t xml:space="preserve">by </w:t>
      </w:r>
      <w:r w:rsidR="00C74189">
        <w:rPr>
          <w:b/>
          <w:color w:val="auto"/>
          <w:sz w:val="22"/>
          <w:szCs w:val="24"/>
          <w:lang w:val="en-US"/>
        </w:rPr>
        <w:t>21</w:t>
      </w:r>
      <w:r w:rsidR="00C74189" w:rsidRPr="00C74189">
        <w:rPr>
          <w:b/>
          <w:color w:val="auto"/>
          <w:sz w:val="22"/>
          <w:szCs w:val="24"/>
          <w:vertAlign w:val="superscript"/>
          <w:lang w:val="en-US"/>
        </w:rPr>
        <w:t>st</w:t>
      </w:r>
      <w:r w:rsidR="00C74189">
        <w:rPr>
          <w:b/>
          <w:color w:val="auto"/>
          <w:sz w:val="22"/>
          <w:szCs w:val="24"/>
          <w:lang w:val="en-US"/>
        </w:rPr>
        <w:t xml:space="preserve"> </w:t>
      </w:r>
      <w:r w:rsidR="0023439A">
        <w:rPr>
          <w:b/>
          <w:color w:val="auto"/>
          <w:sz w:val="22"/>
          <w:szCs w:val="24"/>
          <w:lang w:val="en-US"/>
        </w:rPr>
        <w:t>June</w:t>
      </w:r>
      <w:r w:rsidRPr="009426BE">
        <w:rPr>
          <w:b/>
          <w:color w:val="auto"/>
          <w:sz w:val="22"/>
          <w:szCs w:val="24"/>
          <w:lang w:val="en-US"/>
        </w:rPr>
        <w:t xml:space="preserve"> 2019</w:t>
      </w:r>
      <w:r>
        <w:rPr>
          <w:color w:val="auto"/>
          <w:sz w:val="22"/>
          <w:szCs w:val="24"/>
          <w:lang w:val="en-US"/>
        </w:rPr>
        <w:t xml:space="preserve">, whilst ensuring sufficient time for Client review of reports produced and Consultant response to Client comments. Preference will be given to Consultants who are able to accommodate this timeframe. An indicative </w:t>
      </w:r>
      <w:r w:rsidRPr="00AE0606">
        <w:rPr>
          <w:color w:val="auto"/>
          <w:sz w:val="22"/>
          <w:szCs w:val="24"/>
          <w:lang w:val="en-US"/>
        </w:rPr>
        <w:t xml:space="preserve">timetable is </w:t>
      </w:r>
      <w:r>
        <w:rPr>
          <w:color w:val="auto"/>
          <w:sz w:val="22"/>
          <w:szCs w:val="24"/>
          <w:lang w:val="en-US"/>
        </w:rPr>
        <w:t xml:space="preserve">proposed </w:t>
      </w:r>
      <w:r w:rsidRPr="00AE0606">
        <w:rPr>
          <w:color w:val="auto"/>
          <w:sz w:val="22"/>
          <w:szCs w:val="24"/>
          <w:lang w:val="en-US"/>
        </w:rPr>
        <w:t>below:</w:t>
      </w:r>
    </w:p>
    <w:p w:rsidR="004D4632" w:rsidRPr="003D1380" w:rsidRDefault="004D4632" w:rsidP="004D463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4D4632" w:rsidTr="00655972">
        <w:tc>
          <w:tcPr>
            <w:tcW w:w="4927" w:type="dxa"/>
          </w:tcPr>
          <w:p w:rsidR="004D4632" w:rsidRDefault="004D4632" w:rsidP="004D4632">
            <w:pPr>
              <w:rPr>
                <w:b/>
              </w:rPr>
            </w:pPr>
            <w:r>
              <w:rPr>
                <w:b/>
              </w:rPr>
              <w:t>Task</w:t>
            </w:r>
          </w:p>
        </w:tc>
        <w:tc>
          <w:tcPr>
            <w:tcW w:w="4928" w:type="dxa"/>
            <w:shd w:val="clear" w:color="auto" w:fill="auto"/>
          </w:tcPr>
          <w:p w:rsidR="004D4632" w:rsidRPr="00655972" w:rsidRDefault="004D4632" w:rsidP="004D4632">
            <w:pPr>
              <w:rPr>
                <w:b/>
              </w:rPr>
            </w:pPr>
            <w:r w:rsidRPr="00655972">
              <w:rPr>
                <w:b/>
              </w:rPr>
              <w:t>Proposed completion date</w:t>
            </w:r>
          </w:p>
        </w:tc>
      </w:tr>
      <w:tr w:rsidR="004D4632" w:rsidTr="00655972">
        <w:tc>
          <w:tcPr>
            <w:tcW w:w="4927" w:type="dxa"/>
          </w:tcPr>
          <w:p w:rsidR="004D4632" w:rsidRDefault="004D4632" w:rsidP="004D4632">
            <w:r>
              <w:t>Contracts awarded</w:t>
            </w:r>
          </w:p>
        </w:tc>
        <w:tc>
          <w:tcPr>
            <w:tcW w:w="4928" w:type="dxa"/>
            <w:shd w:val="clear" w:color="auto" w:fill="auto"/>
          </w:tcPr>
          <w:p w:rsidR="004D4632" w:rsidRPr="00655972" w:rsidRDefault="000155EE" w:rsidP="00C74189">
            <w:r>
              <w:t xml:space="preserve">Week commencing </w:t>
            </w:r>
            <w:r w:rsidR="00C74189">
              <w:t>4</w:t>
            </w:r>
            <w:r w:rsidR="00C74189" w:rsidRPr="00C74189">
              <w:rPr>
                <w:vertAlign w:val="superscript"/>
              </w:rPr>
              <w:t>th</w:t>
            </w:r>
            <w:r w:rsidR="00C74189">
              <w:t xml:space="preserve"> March</w:t>
            </w:r>
            <w:r>
              <w:t xml:space="preserve"> 2019</w:t>
            </w:r>
          </w:p>
        </w:tc>
      </w:tr>
      <w:tr w:rsidR="004D4632" w:rsidTr="00655972">
        <w:tc>
          <w:tcPr>
            <w:tcW w:w="4927" w:type="dxa"/>
          </w:tcPr>
          <w:p w:rsidR="00434C82" w:rsidRDefault="00380513" w:rsidP="004D4632">
            <w:r>
              <w:t xml:space="preserve">Stage 1 </w:t>
            </w:r>
            <w:r w:rsidR="004D4632">
              <w:t xml:space="preserve"> </w:t>
            </w:r>
            <w:r>
              <w:t>Output – Draft report</w:t>
            </w:r>
            <w:r w:rsidR="00434C82">
              <w:t>:</w:t>
            </w:r>
          </w:p>
          <w:p w:rsidR="00380513" w:rsidRDefault="00380513" w:rsidP="00380513">
            <w:pPr>
              <w:pStyle w:val="ListParagraph"/>
              <w:numPr>
                <w:ilvl w:val="0"/>
                <w:numId w:val="11"/>
              </w:numPr>
            </w:pPr>
            <w:r w:rsidRPr="00636784">
              <w:t xml:space="preserve">Phase 1 Contamination Risk Assessment with recommendation for the soil survey and indicative cost of soil survey </w:t>
            </w:r>
          </w:p>
          <w:p w:rsidR="00380513" w:rsidRDefault="00380513" w:rsidP="00380513">
            <w:pPr>
              <w:pStyle w:val="ListParagraph"/>
              <w:numPr>
                <w:ilvl w:val="0"/>
                <w:numId w:val="11"/>
              </w:numPr>
            </w:pPr>
            <w:r>
              <w:t>A geotechnical technical note</w:t>
            </w:r>
          </w:p>
          <w:p w:rsidR="004D4632" w:rsidRPr="00B66CBE" w:rsidRDefault="004D4632" w:rsidP="004D4632">
            <w:pPr>
              <w:jc w:val="both"/>
              <w:rPr>
                <w:lang w:val="en-US"/>
              </w:rPr>
            </w:pPr>
            <w:r w:rsidRPr="00A91333">
              <w:rPr>
                <w:lang w:val="en-US"/>
              </w:rPr>
              <w:t xml:space="preserve"> </w:t>
            </w:r>
          </w:p>
        </w:tc>
        <w:tc>
          <w:tcPr>
            <w:tcW w:w="4928" w:type="dxa"/>
            <w:shd w:val="clear" w:color="auto" w:fill="auto"/>
          </w:tcPr>
          <w:p w:rsidR="004D4632" w:rsidRPr="00655972" w:rsidRDefault="00AD6667" w:rsidP="00C74189">
            <w:r>
              <w:rPr>
                <w:lang w:val="en-US"/>
              </w:rPr>
              <w:t xml:space="preserve">By </w:t>
            </w:r>
            <w:r w:rsidR="00C74189">
              <w:rPr>
                <w:lang w:val="en-US"/>
              </w:rPr>
              <w:t>25</w:t>
            </w:r>
            <w:r w:rsidR="004D4632" w:rsidRPr="00655972">
              <w:rPr>
                <w:vertAlign w:val="superscript"/>
                <w:lang w:val="en-US"/>
              </w:rPr>
              <w:t>th</w:t>
            </w:r>
            <w:r w:rsidR="004D4632" w:rsidRPr="00655972">
              <w:rPr>
                <w:lang w:val="en-US"/>
              </w:rPr>
              <w:t xml:space="preserve"> </w:t>
            </w:r>
            <w:r w:rsidR="000155EE">
              <w:rPr>
                <w:lang w:val="en-US"/>
              </w:rPr>
              <w:t>March</w:t>
            </w:r>
            <w:r w:rsidR="004D4632" w:rsidRPr="00655972">
              <w:rPr>
                <w:lang w:val="en-US"/>
              </w:rPr>
              <w:t xml:space="preserve"> </w:t>
            </w:r>
            <w:r w:rsidR="004D4632" w:rsidRPr="00655972">
              <w:t>2019</w:t>
            </w:r>
          </w:p>
        </w:tc>
      </w:tr>
      <w:tr w:rsidR="00380513" w:rsidTr="00655972">
        <w:tc>
          <w:tcPr>
            <w:tcW w:w="4927" w:type="dxa"/>
          </w:tcPr>
          <w:p w:rsidR="00380513" w:rsidRPr="00A91333" w:rsidRDefault="00380513">
            <w:pPr>
              <w:rPr>
                <w:lang w:val="en-US"/>
              </w:rPr>
            </w:pPr>
            <w:r>
              <w:rPr>
                <w:lang w:val="en-US"/>
              </w:rPr>
              <w:t xml:space="preserve">Client - review </w:t>
            </w:r>
            <w:r w:rsidR="00CC1EC9">
              <w:rPr>
                <w:lang w:val="en-US"/>
              </w:rPr>
              <w:t xml:space="preserve">&amp; respond to </w:t>
            </w:r>
            <w:r>
              <w:rPr>
                <w:lang w:val="en-US"/>
              </w:rPr>
              <w:t>report</w:t>
            </w:r>
          </w:p>
        </w:tc>
        <w:tc>
          <w:tcPr>
            <w:tcW w:w="4928" w:type="dxa"/>
            <w:shd w:val="clear" w:color="auto" w:fill="auto"/>
          </w:tcPr>
          <w:p w:rsidR="00380513" w:rsidRPr="00655972" w:rsidRDefault="00CC1EC9" w:rsidP="00C74189">
            <w:r>
              <w:t xml:space="preserve">By </w:t>
            </w:r>
            <w:r w:rsidR="00C74189">
              <w:t>1</w:t>
            </w:r>
            <w:r w:rsidR="00C74189" w:rsidRPr="00C74189">
              <w:rPr>
                <w:vertAlign w:val="superscript"/>
              </w:rPr>
              <w:t>st</w:t>
            </w:r>
            <w:r w:rsidR="00C74189">
              <w:t xml:space="preserve"> April</w:t>
            </w:r>
            <w:r>
              <w:t xml:space="preserve"> 2019</w:t>
            </w:r>
          </w:p>
        </w:tc>
      </w:tr>
      <w:tr w:rsidR="004D4632" w:rsidTr="00655972">
        <w:tc>
          <w:tcPr>
            <w:tcW w:w="4927" w:type="dxa"/>
          </w:tcPr>
          <w:p w:rsidR="004D4632" w:rsidRDefault="004D4632">
            <w:r w:rsidRPr="00A91333">
              <w:rPr>
                <w:lang w:val="en-US"/>
              </w:rPr>
              <w:t xml:space="preserve">Decision </w:t>
            </w:r>
            <w:r w:rsidR="00434C82">
              <w:rPr>
                <w:lang w:val="en-US"/>
              </w:rPr>
              <w:t>&amp; call-off for</w:t>
            </w:r>
            <w:r w:rsidR="00F53B4E">
              <w:rPr>
                <w:lang w:val="en-US"/>
              </w:rPr>
              <w:t xml:space="preserve"> Stage </w:t>
            </w:r>
            <w:r w:rsidRPr="00A91333">
              <w:rPr>
                <w:lang w:val="en-US"/>
              </w:rPr>
              <w:t>2</w:t>
            </w:r>
          </w:p>
        </w:tc>
        <w:tc>
          <w:tcPr>
            <w:tcW w:w="4928" w:type="dxa"/>
            <w:shd w:val="clear" w:color="auto" w:fill="auto"/>
          </w:tcPr>
          <w:p w:rsidR="004D4632" w:rsidRPr="00655972" w:rsidRDefault="004D4632" w:rsidP="00C74189">
            <w:r w:rsidRPr="00655972">
              <w:t xml:space="preserve">By </w:t>
            </w:r>
            <w:r w:rsidR="00C74189">
              <w:t>8</w:t>
            </w:r>
            <w:r w:rsidR="00C74189" w:rsidRPr="00C74189">
              <w:rPr>
                <w:vertAlign w:val="superscript"/>
              </w:rPr>
              <w:t>th</w:t>
            </w:r>
            <w:r w:rsidR="00C74189">
              <w:t xml:space="preserve"> </w:t>
            </w:r>
            <w:r w:rsidR="00380513">
              <w:t>April</w:t>
            </w:r>
            <w:r w:rsidR="00A86E4A" w:rsidRPr="00655972">
              <w:t xml:space="preserve"> 2019</w:t>
            </w:r>
          </w:p>
        </w:tc>
      </w:tr>
      <w:tr w:rsidR="004D4632" w:rsidTr="00655972">
        <w:tc>
          <w:tcPr>
            <w:tcW w:w="4927" w:type="dxa"/>
          </w:tcPr>
          <w:p w:rsidR="004D4632" w:rsidRDefault="004D4632" w:rsidP="004D4632">
            <w:r>
              <w:t>Draft report to client</w:t>
            </w:r>
          </w:p>
        </w:tc>
        <w:tc>
          <w:tcPr>
            <w:tcW w:w="4928" w:type="dxa"/>
            <w:shd w:val="clear" w:color="auto" w:fill="auto"/>
          </w:tcPr>
          <w:p w:rsidR="004D4632" w:rsidRPr="00655972" w:rsidRDefault="00AD6667" w:rsidP="00C74189">
            <w:r>
              <w:t xml:space="preserve">By </w:t>
            </w:r>
            <w:r w:rsidR="00C74189">
              <w:t>31</w:t>
            </w:r>
            <w:r w:rsidR="00C74189" w:rsidRPr="00C74189">
              <w:rPr>
                <w:vertAlign w:val="superscript"/>
              </w:rPr>
              <w:t>st</w:t>
            </w:r>
            <w:r w:rsidR="00C74189">
              <w:t xml:space="preserve"> </w:t>
            </w:r>
            <w:r w:rsidR="00CC1EC9">
              <w:t>May</w:t>
            </w:r>
            <w:r w:rsidR="00A86E4A" w:rsidRPr="00655972">
              <w:t xml:space="preserve"> 2019</w:t>
            </w:r>
          </w:p>
        </w:tc>
      </w:tr>
      <w:tr w:rsidR="004D4632" w:rsidTr="00655972">
        <w:tc>
          <w:tcPr>
            <w:tcW w:w="4927" w:type="dxa"/>
          </w:tcPr>
          <w:p w:rsidR="004D4632" w:rsidRDefault="004D4632" w:rsidP="004D4632">
            <w:r>
              <w:t>Comments received from client</w:t>
            </w:r>
          </w:p>
        </w:tc>
        <w:tc>
          <w:tcPr>
            <w:tcW w:w="4928" w:type="dxa"/>
            <w:shd w:val="clear" w:color="auto" w:fill="auto"/>
          </w:tcPr>
          <w:p w:rsidR="004D4632" w:rsidRPr="00655972" w:rsidRDefault="00AD6667" w:rsidP="00C74189">
            <w:r>
              <w:t xml:space="preserve">By </w:t>
            </w:r>
            <w:r w:rsidR="00C74189">
              <w:t>13</w:t>
            </w:r>
            <w:r w:rsidR="00C74189" w:rsidRPr="00C74189">
              <w:rPr>
                <w:vertAlign w:val="superscript"/>
              </w:rPr>
              <w:t>th</w:t>
            </w:r>
            <w:r w:rsidR="00C74189">
              <w:t xml:space="preserve"> June</w:t>
            </w:r>
            <w:r w:rsidR="004D4632" w:rsidRPr="00655972">
              <w:t xml:space="preserve"> </w:t>
            </w:r>
            <w:r w:rsidR="00A86E4A" w:rsidRPr="00655972">
              <w:t>2019</w:t>
            </w:r>
          </w:p>
        </w:tc>
      </w:tr>
      <w:tr w:rsidR="004D4632" w:rsidTr="00655972">
        <w:tc>
          <w:tcPr>
            <w:tcW w:w="4927" w:type="dxa"/>
          </w:tcPr>
          <w:p w:rsidR="004D4632" w:rsidRDefault="004D4632" w:rsidP="00D318DA">
            <w:r>
              <w:t xml:space="preserve">Final report </w:t>
            </w:r>
          </w:p>
        </w:tc>
        <w:tc>
          <w:tcPr>
            <w:tcW w:w="4928" w:type="dxa"/>
            <w:shd w:val="clear" w:color="auto" w:fill="auto"/>
          </w:tcPr>
          <w:p w:rsidR="004D4632" w:rsidRPr="00655972" w:rsidRDefault="00AD6667" w:rsidP="00C74189">
            <w:r>
              <w:t xml:space="preserve">By </w:t>
            </w:r>
            <w:r w:rsidR="00C74189">
              <w:t>21</w:t>
            </w:r>
            <w:r w:rsidR="00C74189" w:rsidRPr="00C74189">
              <w:rPr>
                <w:vertAlign w:val="superscript"/>
              </w:rPr>
              <w:t>st</w:t>
            </w:r>
            <w:r w:rsidR="00C74189">
              <w:t xml:space="preserve"> </w:t>
            </w:r>
            <w:r w:rsidR="00CC1EC9">
              <w:t>June</w:t>
            </w:r>
            <w:r w:rsidR="004D4632" w:rsidRPr="00655972">
              <w:t xml:space="preserve"> 2019</w:t>
            </w:r>
          </w:p>
        </w:tc>
      </w:tr>
    </w:tbl>
    <w:p w:rsidR="004D4632" w:rsidRDefault="004D4632" w:rsidP="004D4632">
      <w:pPr>
        <w:jc w:val="both"/>
        <w:rPr>
          <w:lang w:val="en-US"/>
        </w:rPr>
      </w:pPr>
    </w:p>
    <w:p w:rsidR="00A672DB" w:rsidRDefault="00A672DB" w:rsidP="00A672DB">
      <w:pPr>
        <w:pStyle w:val="Heading3"/>
        <w:numPr>
          <w:ilvl w:val="0"/>
          <w:numId w:val="0"/>
        </w:numPr>
        <w:spacing w:before="0" w:after="0"/>
        <w:jc w:val="both"/>
        <w:rPr>
          <w:color w:val="auto"/>
          <w:sz w:val="22"/>
          <w:szCs w:val="24"/>
          <w:lang w:val="en-US"/>
        </w:rPr>
      </w:pPr>
    </w:p>
    <w:p w:rsidR="004D4632" w:rsidRPr="00A672DB" w:rsidRDefault="004D4632" w:rsidP="00A672DB">
      <w:pPr>
        <w:pStyle w:val="Heading3"/>
        <w:numPr>
          <w:ilvl w:val="0"/>
          <w:numId w:val="0"/>
        </w:numPr>
        <w:spacing w:before="0" w:after="0"/>
        <w:jc w:val="both"/>
        <w:rPr>
          <w:color w:val="auto"/>
          <w:sz w:val="22"/>
          <w:szCs w:val="24"/>
          <w:lang w:val="en-US"/>
        </w:rPr>
      </w:pPr>
      <w:r w:rsidRPr="00A672DB">
        <w:rPr>
          <w:color w:val="auto"/>
          <w:sz w:val="22"/>
          <w:szCs w:val="24"/>
          <w:lang w:val="en-US"/>
        </w:rPr>
        <w:t>The contract</w:t>
      </w:r>
      <w:r w:rsidR="00C74189">
        <w:rPr>
          <w:color w:val="auto"/>
          <w:sz w:val="22"/>
          <w:szCs w:val="24"/>
          <w:lang w:val="en-US"/>
        </w:rPr>
        <w:t>or</w:t>
      </w:r>
      <w:r w:rsidRPr="00A672DB">
        <w:rPr>
          <w:color w:val="auto"/>
          <w:sz w:val="22"/>
          <w:szCs w:val="24"/>
          <w:lang w:val="en-US"/>
        </w:rPr>
        <w:t xml:space="preserve"> must allow time for access to be agreed with Bury Council</w:t>
      </w:r>
      <w:r w:rsidR="00A672DB">
        <w:rPr>
          <w:color w:val="auto"/>
          <w:sz w:val="22"/>
          <w:szCs w:val="24"/>
          <w:lang w:val="en-US"/>
        </w:rPr>
        <w:t xml:space="preserve"> and other tenants</w:t>
      </w:r>
      <w:r w:rsidRPr="00A672DB">
        <w:rPr>
          <w:color w:val="auto"/>
          <w:sz w:val="22"/>
          <w:szCs w:val="24"/>
          <w:lang w:val="en-US"/>
        </w:rPr>
        <w:t xml:space="preserve">. The contract will include the possibility for extension should a programme before </w:t>
      </w:r>
      <w:r w:rsidR="0023439A">
        <w:rPr>
          <w:color w:val="auto"/>
          <w:sz w:val="22"/>
          <w:szCs w:val="24"/>
          <w:lang w:val="en-US"/>
        </w:rPr>
        <w:t>June</w:t>
      </w:r>
      <w:r w:rsidR="0023439A" w:rsidRPr="00A672DB">
        <w:rPr>
          <w:color w:val="auto"/>
          <w:sz w:val="22"/>
          <w:szCs w:val="24"/>
          <w:lang w:val="en-US"/>
        </w:rPr>
        <w:t xml:space="preserve"> </w:t>
      </w:r>
      <w:r w:rsidRPr="00A672DB">
        <w:rPr>
          <w:color w:val="auto"/>
          <w:sz w:val="22"/>
          <w:szCs w:val="24"/>
          <w:lang w:val="en-US"/>
        </w:rPr>
        <w:t xml:space="preserve">not be possible due to availability, weather or access. </w:t>
      </w:r>
    </w:p>
    <w:p w:rsidR="006C57A8" w:rsidRDefault="006C57A8" w:rsidP="004D4632">
      <w:pPr>
        <w:jc w:val="both"/>
        <w:rPr>
          <w:lang w:val="en-US"/>
        </w:rPr>
      </w:pPr>
    </w:p>
    <w:p w:rsidR="00434C82" w:rsidRDefault="00434C82" w:rsidP="004D4632">
      <w:pPr>
        <w:jc w:val="both"/>
        <w:rPr>
          <w:lang w:val="en-US"/>
        </w:rPr>
      </w:pPr>
    </w:p>
    <w:p w:rsidR="006C57A8" w:rsidRDefault="006C57A8" w:rsidP="006C57A8">
      <w:pPr>
        <w:rPr>
          <w:u w:val="single"/>
        </w:rPr>
      </w:pPr>
      <w:r>
        <w:rPr>
          <w:u w:val="single"/>
        </w:rPr>
        <w:t>O</w:t>
      </w:r>
      <w:r w:rsidRPr="006C57A8">
        <w:rPr>
          <w:u w:val="single"/>
        </w:rPr>
        <w:t>utputs</w:t>
      </w:r>
    </w:p>
    <w:p w:rsidR="0023439A" w:rsidRDefault="0023439A" w:rsidP="006C57A8">
      <w:pPr>
        <w:rPr>
          <w:u w:val="single"/>
        </w:rPr>
      </w:pPr>
    </w:p>
    <w:p w:rsidR="006F527B" w:rsidRPr="00D46ED4" w:rsidRDefault="006F527B" w:rsidP="009426BE">
      <w:pPr>
        <w:ind w:firstLine="360"/>
        <w:rPr>
          <w:b/>
        </w:rPr>
      </w:pPr>
      <w:r w:rsidRPr="00D46ED4">
        <w:rPr>
          <w:b/>
        </w:rPr>
        <w:t>Stage 1</w:t>
      </w:r>
    </w:p>
    <w:p w:rsidR="006F527B" w:rsidRDefault="006F527B" w:rsidP="006F527B">
      <w:pPr>
        <w:pStyle w:val="ListParagraph"/>
        <w:numPr>
          <w:ilvl w:val="0"/>
          <w:numId w:val="11"/>
        </w:numPr>
      </w:pPr>
      <w:r w:rsidRPr="00636784">
        <w:t xml:space="preserve">Phase 1 Contamination Risk Assessment with recommendation for the soil survey and indicative cost of soil survey </w:t>
      </w:r>
    </w:p>
    <w:p w:rsidR="006F527B" w:rsidRDefault="006F527B" w:rsidP="006F527B">
      <w:pPr>
        <w:pStyle w:val="ListParagraph"/>
        <w:numPr>
          <w:ilvl w:val="0"/>
          <w:numId w:val="11"/>
        </w:numPr>
      </w:pPr>
      <w:r>
        <w:t>A geotechnical technical note</w:t>
      </w:r>
    </w:p>
    <w:p w:rsidR="0023439A" w:rsidRDefault="0023439A" w:rsidP="009426BE">
      <w:pPr>
        <w:pStyle w:val="ListParagraph"/>
      </w:pPr>
    </w:p>
    <w:p w:rsidR="006F527B" w:rsidRPr="00D46ED4" w:rsidRDefault="006F527B" w:rsidP="006F527B">
      <w:pPr>
        <w:ind w:left="360"/>
        <w:rPr>
          <w:b/>
        </w:rPr>
      </w:pPr>
      <w:r w:rsidRPr="00D46ED4">
        <w:rPr>
          <w:b/>
        </w:rPr>
        <w:t>Stage 2</w:t>
      </w:r>
    </w:p>
    <w:p w:rsidR="006F527B" w:rsidRDefault="006F527B" w:rsidP="006F527B">
      <w:pPr>
        <w:pStyle w:val="ListParagraph"/>
        <w:numPr>
          <w:ilvl w:val="0"/>
          <w:numId w:val="11"/>
        </w:numPr>
      </w:pPr>
      <w:r w:rsidRPr="00636784">
        <w:t>Phase 2 Soil-Resource Suitability</w:t>
      </w:r>
      <w:r>
        <w:t xml:space="preserve"> report</w:t>
      </w:r>
    </w:p>
    <w:p w:rsidR="006C57A8" w:rsidRPr="006C57A8" w:rsidRDefault="006C57A8" w:rsidP="009426BE">
      <w:pPr>
        <w:pStyle w:val="ListParagraph"/>
        <w:numPr>
          <w:ilvl w:val="1"/>
          <w:numId w:val="13"/>
        </w:numPr>
        <w:jc w:val="both"/>
        <w:rPr>
          <w:lang w:val="en-US"/>
        </w:rPr>
      </w:pPr>
      <w:r w:rsidRPr="006C57A8">
        <w:rPr>
          <w:lang w:val="en-US"/>
        </w:rPr>
        <w:t>The information should be presented as a report with appropriate presentation of collated data.</w:t>
      </w:r>
    </w:p>
    <w:p w:rsidR="006C57A8" w:rsidRPr="006C57A8" w:rsidRDefault="006C57A8" w:rsidP="009426BE">
      <w:pPr>
        <w:pStyle w:val="ListParagraph"/>
        <w:numPr>
          <w:ilvl w:val="1"/>
          <w:numId w:val="13"/>
        </w:numPr>
        <w:jc w:val="both"/>
        <w:rPr>
          <w:lang w:val="en-US"/>
        </w:rPr>
      </w:pPr>
      <w:r w:rsidRPr="006C57A8">
        <w:rPr>
          <w:lang w:val="en-US"/>
        </w:rPr>
        <w:t xml:space="preserve">Draft report, associated diagrams and/or maps should be initially provided; the Consultant may provide these electronically. A proposed structure for the </w:t>
      </w:r>
      <w:r w:rsidR="002822DC">
        <w:rPr>
          <w:lang w:val="en-US"/>
        </w:rPr>
        <w:t xml:space="preserve">Phase 2 </w:t>
      </w:r>
      <w:r w:rsidRPr="006C57A8">
        <w:rPr>
          <w:lang w:val="en-US"/>
        </w:rPr>
        <w:t>report is included belo</w:t>
      </w:r>
      <w:r w:rsidRPr="00655972">
        <w:rPr>
          <w:lang w:val="en-US"/>
        </w:rPr>
        <w:t xml:space="preserve">w in </w:t>
      </w:r>
      <w:r w:rsidR="00655972" w:rsidRPr="00655972">
        <w:rPr>
          <w:lang w:val="en-US"/>
        </w:rPr>
        <w:t>Appendix 2</w:t>
      </w:r>
      <w:r w:rsidR="002822DC">
        <w:rPr>
          <w:lang w:val="en-US"/>
        </w:rPr>
        <w:t>, any alternative structure should be agreed in advance with the client</w:t>
      </w:r>
      <w:r w:rsidRPr="00655972">
        <w:rPr>
          <w:lang w:val="en-US"/>
        </w:rPr>
        <w:t>.</w:t>
      </w:r>
      <w:r w:rsidRPr="006C57A8">
        <w:rPr>
          <w:lang w:val="en-US"/>
        </w:rPr>
        <w:t xml:space="preserve"> </w:t>
      </w:r>
    </w:p>
    <w:p w:rsidR="006C57A8" w:rsidRPr="006C57A8" w:rsidRDefault="006C57A8" w:rsidP="009426BE">
      <w:pPr>
        <w:pStyle w:val="ListParagraph"/>
        <w:numPr>
          <w:ilvl w:val="1"/>
          <w:numId w:val="13"/>
        </w:numPr>
        <w:jc w:val="both"/>
        <w:rPr>
          <w:lang w:val="en-US"/>
        </w:rPr>
      </w:pPr>
      <w:r w:rsidRPr="006C57A8">
        <w:rPr>
          <w:lang w:val="en-US"/>
        </w:rPr>
        <w:t xml:space="preserve">Final report, once all comments have been resolved to the satisfaction of the client, two bound copies of the final report should be provided, including maps at an appropriate scale, plus an electronic copy in MS Word format and </w:t>
      </w:r>
      <w:r>
        <w:t>.pdf format</w:t>
      </w:r>
      <w:r w:rsidRPr="006C57A8">
        <w:rPr>
          <w:lang w:val="en-US"/>
        </w:rPr>
        <w:t>. Any computer-generated maps should also be provided in electronic copy, in an approved format.</w:t>
      </w:r>
    </w:p>
    <w:p w:rsidR="00323316" w:rsidRPr="00A672DB" w:rsidRDefault="00323316" w:rsidP="0047298D"/>
    <w:p w:rsidR="00A15A13" w:rsidRDefault="00A15A13" w:rsidP="00323316"/>
    <w:p w:rsidR="006F527B" w:rsidRPr="009426BE" w:rsidRDefault="006F527B" w:rsidP="00323316">
      <w:pPr>
        <w:rPr>
          <w:u w:val="single"/>
        </w:rPr>
      </w:pPr>
      <w:r w:rsidRPr="009426BE">
        <w:rPr>
          <w:u w:val="single"/>
        </w:rPr>
        <w:t>Payment profile</w:t>
      </w:r>
    </w:p>
    <w:p w:rsidR="006F527B" w:rsidRDefault="006F527B" w:rsidP="00323316">
      <w:r>
        <w:t>Stage 1 and Stage 2 will be paid for once the client has signed off the end of each stage.</w:t>
      </w:r>
    </w:p>
    <w:p w:rsidR="006F527B" w:rsidRPr="00A31C58" w:rsidRDefault="006F527B"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5574"/>
        <w:gridCol w:w="3304"/>
      </w:tblGrid>
      <w:tr w:rsidR="003C2EB2" w:rsidRPr="00A86E4A" w:rsidTr="009426BE">
        <w:trPr>
          <w:trHeight w:val="241"/>
          <w:jc w:val="center"/>
        </w:trPr>
        <w:tc>
          <w:tcPr>
            <w:tcW w:w="5574" w:type="dxa"/>
            <w:shd w:val="clear" w:color="auto" w:fill="EAF1DD"/>
          </w:tcPr>
          <w:p w:rsidR="003C2EB2" w:rsidRPr="00A86E4A" w:rsidRDefault="00A86E4A" w:rsidP="00416884">
            <w:pPr>
              <w:rPr>
                <w:b/>
              </w:rPr>
            </w:pPr>
            <w:r w:rsidRPr="00A86E4A">
              <w:rPr>
                <w:b/>
              </w:rPr>
              <w:t>Stages</w:t>
            </w:r>
          </w:p>
        </w:tc>
        <w:tc>
          <w:tcPr>
            <w:tcW w:w="3304" w:type="dxa"/>
            <w:shd w:val="clear" w:color="auto" w:fill="EAF1DD"/>
          </w:tcPr>
          <w:p w:rsidR="003C2EB2" w:rsidRPr="00A86E4A" w:rsidRDefault="003C2EB2" w:rsidP="00416884">
            <w:pPr>
              <w:rPr>
                <w:b/>
              </w:rPr>
            </w:pPr>
            <w:r w:rsidRPr="00A86E4A">
              <w:rPr>
                <w:b/>
              </w:rPr>
              <w:t>Dates</w:t>
            </w:r>
          </w:p>
        </w:tc>
      </w:tr>
      <w:tr w:rsidR="00EB0F24" w:rsidRPr="00A86E4A" w:rsidTr="009426BE">
        <w:trPr>
          <w:trHeight w:val="307"/>
          <w:jc w:val="center"/>
        </w:trPr>
        <w:tc>
          <w:tcPr>
            <w:tcW w:w="5574" w:type="dxa"/>
          </w:tcPr>
          <w:p w:rsidR="00EB0F24" w:rsidRPr="00A86E4A" w:rsidRDefault="00EB0F24" w:rsidP="00416884">
            <w:r>
              <w:t>ITT issued</w:t>
            </w:r>
          </w:p>
        </w:tc>
        <w:tc>
          <w:tcPr>
            <w:tcW w:w="3304" w:type="dxa"/>
          </w:tcPr>
          <w:p w:rsidR="00EB0F24" w:rsidRDefault="00DB45FE">
            <w:r>
              <w:t xml:space="preserve">w/c </w:t>
            </w:r>
            <w:r w:rsidR="00EB0F24">
              <w:t>28</w:t>
            </w:r>
            <w:r w:rsidR="00EB0F24" w:rsidRPr="00EB0F24">
              <w:rPr>
                <w:vertAlign w:val="superscript"/>
              </w:rPr>
              <w:t>th</w:t>
            </w:r>
            <w:r w:rsidR="00EB0F24">
              <w:t xml:space="preserve"> January 2019</w:t>
            </w:r>
          </w:p>
        </w:tc>
      </w:tr>
      <w:tr w:rsidR="003C2EB2" w:rsidRPr="00A86E4A" w:rsidTr="009426BE">
        <w:trPr>
          <w:trHeight w:val="307"/>
          <w:jc w:val="center"/>
        </w:trPr>
        <w:tc>
          <w:tcPr>
            <w:tcW w:w="5574" w:type="dxa"/>
          </w:tcPr>
          <w:p w:rsidR="003C2EB2" w:rsidRPr="00A86E4A" w:rsidRDefault="003C2EB2" w:rsidP="00416884">
            <w:r w:rsidRPr="00A86E4A">
              <w:t>Closing date</w:t>
            </w:r>
            <w:r w:rsidR="00C2705B" w:rsidRPr="00A86E4A">
              <w:t xml:space="preserve"> for expressing inter</w:t>
            </w:r>
            <w:r w:rsidR="006B7986" w:rsidRPr="00A86E4A">
              <w:t>e</w:t>
            </w:r>
            <w:r w:rsidR="00C2705B" w:rsidRPr="00A86E4A">
              <w:t>st</w:t>
            </w:r>
            <w:r w:rsidR="00A86E4A" w:rsidRPr="00A86E4A">
              <w:t xml:space="preserve"> and questions</w:t>
            </w:r>
          </w:p>
        </w:tc>
        <w:tc>
          <w:tcPr>
            <w:tcW w:w="3304" w:type="dxa"/>
          </w:tcPr>
          <w:p w:rsidR="003C2EB2" w:rsidRPr="00A86E4A" w:rsidRDefault="00DB2B2D">
            <w:r>
              <w:t>11</w:t>
            </w:r>
            <w:r w:rsidR="00B15D87" w:rsidRPr="009426BE">
              <w:rPr>
                <w:vertAlign w:val="superscript"/>
              </w:rPr>
              <w:t>th</w:t>
            </w:r>
            <w:r w:rsidR="00B15D87">
              <w:t xml:space="preserve"> February 2019</w:t>
            </w:r>
          </w:p>
        </w:tc>
      </w:tr>
      <w:tr w:rsidR="00052841" w:rsidRPr="00A86E4A" w:rsidTr="009426BE">
        <w:trPr>
          <w:trHeight w:val="320"/>
          <w:jc w:val="center"/>
        </w:trPr>
        <w:tc>
          <w:tcPr>
            <w:tcW w:w="5574" w:type="dxa"/>
          </w:tcPr>
          <w:p w:rsidR="00052841" w:rsidRPr="009426BE" w:rsidRDefault="00052841" w:rsidP="00416884">
            <w:r w:rsidRPr="009426BE">
              <w:t>Bidder briefing</w:t>
            </w:r>
          </w:p>
        </w:tc>
        <w:tc>
          <w:tcPr>
            <w:tcW w:w="3304" w:type="dxa"/>
          </w:tcPr>
          <w:p w:rsidR="00052841" w:rsidRPr="00EB0F24" w:rsidRDefault="00EB0F24" w:rsidP="00416884">
            <w:r w:rsidRPr="00EB0F24">
              <w:t>13</w:t>
            </w:r>
            <w:r w:rsidRPr="00EB0F24">
              <w:rPr>
                <w:vertAlign w:val="superscript"/>
              </w:rPr>
              <w:t>th</w:t>
            </w:r>
            <w:r w:rsidRPr="00EB0F24">
              <w:t xml:space="preserve"> February 2019</w:t>
            </w:r>
          </w:p>
        </w:tc>
      </w:tr>
      <w:tr w:rsidR="003C2EB2" w:rsidRPr="00A86E4A" w:rsidTr="009426BE">
        <w:trPr>
          <w:trHeight w:val="320"/>
          <w:jc w:val="center"/>
        </w:trPr>
        <w:tc>
          <w:tcPr>
            <w:tcW w:w="5574" w:type="dxa"/>
          </w:tcPr>
          <w:p w:rsidR="003C2EB2" w:rsidRPr="00A86E4A" w:rsidRDefault="003C2EB2" w:rsidP="00416884">
            <w:pPr>
              <w:rPr>
                <w:b/>
              </w:rPr>
            </w:pPr>
            <w:r w:rsidRPr="00A86E4A">
              <w:rPr>
                <w:b/>
              </w:rPr>
              <w:t>Closing Date and Time for Tender Returns</w:t>
            </w:r>
          </w:p>
        </w:tc>
        <w:tc>
          <w:tcPr>
            <w:tcW w:w="3304" w:type="dxa"/>
          </w:tcPr>
          <w:p w:rsidR="003C2EB2" w:rsidRPr="00A86E4A" w:rsidRDefault="00B15D87" w:rsidP="00EB0F24">
            <w:pPr>
              <w:rPr>
                <w:b/>
              </w:rPr>
            </w:pPr>
            <w:r>
              <w:rPr>
                <w:b/>
              </w:rPr>
              <w:t xml:space="preserve">13:00 on </w:t>
            </w:r>
            <w:r w:rsidR="00EB0F24">
              <w:rPr>
                <w:b/>
              </w:rPr>
              <w:t>22</w:t>
            </w:r>
            <w:r w:rsidR="00EB0F24" w:rsidRPr="00EB0F24">
              <w:rPr>
                <w:b/>
                <w:vertAlign w:val="superscript"/>
              </w:rPr>
              <w:t>nd</w:t>
            </w:r>
            <w:r w:rsidR="00EB0F24">
              <w:rPr>
                <w:b/>
              </w:rPr>
              <w:t xml:space="preserve"> </w:t>
            </w:r>
            <w:r>
              <w:rPr>
                <w:b/>
              </w:rPr>
              <w:t>February 2019</w:t>
            </w:r>
          </w:p>
        </w:tc>
      </w:tr>
      <w:tr w:rsidR="003C2EB2" w:rsidRPr="00A86E4A" w:rsidTr="009426BE">
        <w:trPr>
          <w:trHeight w:val="312"/>
          <w:jc w:val="center"/>
        </w:trPr>
        <w:tc>
          <w:tcPr>
            <w:tcW w:w="5574" w:type="dxa"/>
          </w:tcPr>
          <w:p w:rsidR="003C2EB2" w:rsidRPr="00A86E4A" w:rsidRDefault="003C2EB2" w:rsidP="00416884">
            <w:r w:rsidRPr="00A86E4A">
              <w:t>Notification of Award</w:t>
            </w:r>
          </w:p>
        </w:tc>
        <w:tc>
          <w:tcPr>
            <w:tcW w:w="3304" w:type="dxa"/>
          </w:tcPr>
          <w:p w:rsidR="003C2EB2" w:rsidRPr="00A86E4A" w:rsidRDefault="0023439A" w:rsidP="00EB0F24">
            <w:r>
              <w:t xml:space="preserve">w/c </w:t>
            </w:r>
            <w:r w:rsidR="00EB0F24">
              <w:t>4</w:t>
            </w:r>
            <w:r w:rsidR="00EB0F24" w:rsidRPr="00EB0F24">
              <w:rPr>
                <w:vertAlign w:val="superscript"/>
              </w:rPr>
              <w:t>th</w:t>
            </w:r>
            <w:r w:rsidR="00EB0F24">
              <w:t xml:space="preserve"> March</w:t>
            </w:r>
            <w:r>
              <w:t xml:space="preserve"> 2019</w:t>
            </w:r>
          </w:p>
        </w:tc>
      </w:tr>
      <w:tr w:rsidR="003C2EB2" w:rsidRPr="00A86E4A" w:rsidTr="009426BE">
        <w:trPr>
          <w:trHeight w:val="287"/>
          <w:jc w:val="center"/>
        </w:trPr>
        <w:tc>
          <w:tcPr>
            <w:tcW w:w="5574" w:type="dxa"/>
          </w:tcPr>
          <w:p w:rsidR="003C2EB2" w:rsidRPr="00A86E4A" w:rsidRDefault="00A86E4A" w:rsidP="00416884">
            <w:r w:rsidRPr="00A86E4A">
              <w:t>Expected Start Date</w:t>
            </w:r>
          </w:p>
        </w:tc>
        <w:tc>
          <w:tcPr>
            <w:tcW w:w="3304" w:type="dxa"/>
          </w:tcPr>
          <w:p w:rsidR="003C2EB2" w:rsidRPr="00A86E4A" w:rsidRDefault="00EB0F24" w:rsidP="00EB0F24">
            <w:r>
              <w:t>8</w:t>
            </w:r>
            <w:r w:rsidRPr="00EB0F24">
              <w:rPr>
                <w:vertAlign w:val="superscript"/>
              </w:rPr>
              <w:t>th</w:t>
            </w:r>
            <w:r>
              <w:t xml:space="preserve"> </w:t>
            </w:r>
            <w:r w:rsidR="00B15D87">
              <w:t>March 2019</w:t>
            </w:r>
          </w:p>
        </w:tc>
      </w:tr>
    </w:tbl>
    <w:p w:rsidR="00956066" w:rsidRPr="00A86E4A" w:rsidRDefault="00956066" w:rsidP="003C2EB2"/>
    <w:p w:rsidR="003C2EB2" w:rsidRPr="00A86E4A" w:rsidRDefault="00EB0F24" w:rsidP="003C2EB2">
      <w:pPr>
        <w:pStyle w:val="Heading3"/>
        <w:spacing w:after="0" w:line="240" w:lineRule="atLeast"/>
        <w:ind w:right="570"/>
        <w:rPr>
          <w:color w:val="auto"/>
        </w:rPr>
      </w:pPr>
      <w:r>
        <w:rPr>
          <w:color w:val="auto"/>
        </w:rPr>
        <w:t>Bidder Briefing Day and Site Visit</w:t>
      </w:r>
    </w:p>
    <w:p w:rsidR="0044231A" w:rsidRDefault="0044231A" w:rsidP="0044231A">
      <w:pPr>
        <w:pStyle w:val="FCGBBodyText"/>
      </w:pPr>
    </w:p>
    <w:p w:rsidR="003C2EB2" w:rsidRDefault="00EB0F24" w:rsidP="00096231">
      <w:r>
        <w:t>There is a</w:t>
      </w:r>
      <w:r w:rsidR="006C57A8">
        <w:t xml:space="preserve"> proposed bidder briefing day</w:t>
      </w:r>
      <w:r>
        <w:t xml:space="preserve">, to be held </w:t>
      </w:r>
      <w:r w:rsidR="00072312">
        <w:t xml:space="preserve">at </w:t>
      </w:r>
      <w:r w:rsidR="00072312" w:rsidRPr="00072312">
        <w:rPr>
          <w:b/>
        </w:rPr>
        <w:t>11am</w:t>
      </w:r>
      <w:r w:rsidR="00072312">
        <w:t xml:space="preserve"> </w:t>
      </w:r>
      <w:r>
        <w:t xml:space="preserve">on </w:t>
      </w:r>
      <w:r w:rsidRPr="00EB0F24">
        <w:rPr>
          <w:b/>
        </w:rPr>
        <w:t>13</w:t>
      </w:r>
      <w:r w:rsidRPr="00EB0F24">
        <w:rPr>
          <w:b/>
          <w:vertAlign w:val="superscript"/>
        </w:rPr>
        <w:t>th</w:t>
      </w:r>
      <w:r w:rsidRPr="00EB0F24">
        <w:rPr>
          <w:b/>
        </w:rPr>
        <w:t xml:space="preserve"> February 2019</w:t>
      </w:r>
      <w:r w:rsidR="00072312">
        <w:rPr>
          <w:b/>
        </w:rPr>
        <w:t xml:space="preserve"> </w:t>
      </w:r>
      <w:r w:rsidR="00072312">
        <w:t xml:space="preserve">at </w:t>
      </w:r>
      <w:r w:rsidR="00072312" w:rsidRPr="00072312">
        <w:rPr>
          <w:b/>
        </w:rPr>
        <w:t>Acorn Room, The Tree House, Cannock Chase Forest, Birches Valley, Rugeley. WS15 2UQ</w:t>
      </w:r>
      <w:r>
        <w:t xml:space="preserve">. This will </w:t>
      </w:r>
      <w:r w:rsidRPr="00EB0F24">
        <w:rPr>
          <w:u w:val="single"/>
        </w:rPr>
        <w:t>not</w:t>
      </w:r>
      <w:r>
        <w:t xml:space="preserve"> include a site visit</w:t>
      </w:r>
      <w:r w:rsidR="006C57A8">
        <w:t xml:space="preserve"> however the sites in question are publically accessible.</w:t>
      </w:r>
    </w:p>
    <w:p w:rsidR="00072312" w:rsidRDefault="00072312" w:rsidP="00072312">
      <w:pPr>
        <w:jc w:val="both"/>
      </w:pPr>
      <w:r>
        <w:t xml:space="preserve">Please confirm event attendance </w:t>
      </w:r>
      <w:r>
        <w:rPr>
          <w:rStyle w:val="Hyperlink"/>
          <w:color w:val="auto"/>
          <w:szCs w:val="20"/>
          <w:u w:val="none"/>
        </w:rPr>
        <w:t xml:space="preserve">by </w:t>
      </w:r>
      <w:r w:rsidR="003E1C75">
        <w:rPr>
          <w:rStyle w:val="Hyperlink"/>
          <w:b/>
          <w:color w:val="auto"/>
          <w:szCs w:val="20"/>
          <w:u w:val="none"/>
        </w:rPr>
        <w:t>11</w:t>
      </w:r>
      <w:bookmarkStart w:id="0" w:name="_GoBack"/>
      <w:bookmarkEnd w:id="0"/>
      <w:r w:rsidRPr="00DB2B2D">
        <w:rPr>
          <w:rStyle w:val="Hyperlink"/>
          <w:b/>
          <w:color w:val="auto"/>
          <w:szCs w:val="20"/>
          <w:u w:val="none"/>
          <w:vertAlign w:val="superscript"/>
        </w:rPr>
        <w:t>th</w:t>
      </w:r>
      <w:r w:rsidRPr="00DB2B2D">
        <w:rPr>
          <w:rStyle w:val="Hyperlink"/>
          <w:b/>
          <w:color w:val="auto"/>
          <w:szCs w:val="20"/>
          <w:u w:val="none"/>
        </w:rPr>
        <w:t xml:space="preserve"> </w:t>
      </w:r>
      <w:r w:rsidRPr="00072312">
        <w:rPr>
          <w:rStyle w:val="Hyperlink"/>
          <w:b/>
          <w:color w:val="auto"/>
          <w:szCs w:val="20"/>
          <w:u w:val="none"/>
        </w:rPr>
        <w:t>February 2019</w:t>
      </w:r>
      <w:r>
        <w:rPr>
          <w:rStyle w:val="Hyperlink"/>
          <w:color w:val="auto"/>
          <w:szCs w:val="20"/>
          <w:u w:val="none"/>
        </w:rPr>
        <w:t xml:space="preserve"> </w:t>
      </w:r>
      <w:r>
        <w:t>to:</w:t>
      </w:r>
    </w:p>
    <w:p w:rsidR="00072312" w:rsidRDefault="00072312" w:rsidP="00072312">
      <w:pPr>
        <w:jc w:val="both"/>
        <w:rPr>
          <w:rStyle w:val="Hyperlink"/>
          <w:szCs w:val="20"/>
        </w:rPr>
      </w:pPr>
      <w:r>
        <w:t xml:space="preserve"> </w:t>
      </w:r>
      <w:hyperlink r:id="rId12" w:history="1">
        <w:r w:rsidRPr="00462BBC">
          <w:rPr>
            <w:rStyle w:val="Hyperlink"/>
            <w:szCs w:val="20"/>
          </w:rPr>
          <w:t>Laura.charles@forestryengland.uk</w:t>
        </w:r>
      </w:hyperlink>
    </w:p>
    <w:p w:rsidR="00072312" w:rsidRPr="0044231A" w:rsidRDefault="00072312" w:rsidP="00096231"/>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Please send all enquiries by email, by the deadline stated at Section 3.2</w:t>
      </w:r>
      <w:r w:rsidR="00DB2B2D">
        <w:t>,</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rsidR="006C57A8" w:rsidRDefault="006C57A8" w:rsidP="006C57A8">
      <w:pPr>
        <w:jc w:val="both"/>
        <w:rPr>
          <w:szCs w:val="20"/>
        </w:rPr>
      </w:pPr>
    </w:p>
    <w:p w:rsidR="006C57A8" w:rsidRPr="00014DF3" w:rsidRDefault="006C57A8" w:rsidP="006C57A8">
      <w:pPr>
        <w:ind w:firstLine="720"/>
        <w:jc w:val="both"/>
        <w:rPr>
          <w:szCs w:val="20"/>
        </w:rPr>
      </w:pPr>
      <w:r>
        <w:rPr>
          <w:szCs w:val="20"/>
        </w:rPr>
        <w:t>Laura Charles</w:t>
      </w:r>
      <w:r w:rsidR="00DB2B2D">
        <w:rPr>
          <w:szCs w:val="20"/>
        </w:rPr>
        <w:t xml:space="preserve">, </w:t>
      </w:r>
      <w:r w:rsidRPr="00014DF3">
        <w:rPr>
          <w:szCs w:val="20"/>
        </w:rPr>
        <w:t>Business Development Manager</w:t>
      </w:r>
    </w:p>
    <w:p w:rsidR="006C57A8" w:rsidRDefault="005F0CCC" w:rsidP="006C57A8">
      <w:pPr>
        <w:ind w:firstLine="720"/>
        <w:jc w:val="both"/>
        <w:rPr>
          <w:rStyle w:val="Hyperlink"/>
          <w:szCs w:val="20"/>
        </w:rPr>
      </w:pPr>
      <w:hyperlink r:id="rId13" w:history="1">
        <w:r w:rsidR="006C57A8" w:rsidRPr="00462BBC">
          <w:rPr>
            <w:rStyle w:val="Hyperlink"/>
            <w:szCs w:val="20"/>
          </w:rPr>
          <w:t>Laura.charles@forestryengland.uk</w:t>
        </w:r>
      </w:hyperlink>
    </w:p>
    <w:p w:rsidR="00DB2B2D" w:rsidRPr="00DB2B2D" w:rsidRDefault="00DB2B2D" w:rsidP="00DB2B2D">
      <w:pPr>
        <w:jc w:val="both"/>
        <w:rPr>
          <w:rStyle w:val="Hyperlink"/>
          <w:b/>
          <w:color w:val="auto"/>
          <w:szCs w:val="20"/>
          <w:u w:val="none"/>
        </w:rPr>
      </w:pPr>
      <w:r w:rsidRPr="00DB2B2D">
        <w:rPr>
          <w:rStyle w:val="Hyperlink"/>
          <w:b/>
          <w:color w:val="auto"/>
          <w:szCs w:val="20"/>
          <w:u w:val="none"/>
        </w:rPr>
        <w:t>AND</w:t>
      </w:r>
    </w:p>
    <w:p w:rsidR="00DB2B2D" w:rsidRDefault="00DB2B2D" w:rsidP="00DB2B2D">
      <w:pPr>
        <w:jc w:val="both"/>
        <w:rPr>
          <w:rStyle w:val="Hyperlink"/>
          <w:color w:val="auto"/>
          <w:szCs w:val="20"/>
          <w:u w:val="none"/>
        </w:rPr>
      </w:pPr>
      <w:r w:rsidRPr="00DB2B2D">
        <w:rPr>
          <w:rStyle w:val="Hyperlink"/>
          <w:color w:val="auto"/>
          <w:szCs w:val="20"/>
          <w:u w:val="none"/>
        </w:rPr>
        <w:tab/>
      </w:r>
      <w:r>
        <w:rPr>
          <w:rStyle w:val="Hyperlink"/>
          <w:color w:val="auto"/>
          <w:szCs w:val="20"/>
          <w:u w:val="none"/>
        </w:rPr>
        <w:t>Kieron Doick, Head of</w:t>
      </w:r>
      <w:r w:rsidRPr="00DB2B2D">
        <w:rPr>
          <w:rStyle w:val="Hyperlink"/>
          <w:color w:val="auto"/>
          <w:szCs w:val="20"/>
          <w:u w:val="none"/>
        </w:rPr>
        <w:t xml:space="preserve"> Urban Forest Research Group</w:t>
      </w:r>
      <w:r>
        <w:rPr>
          <w:rStyle w:val="Hyperlink"/>
          <w:color w:val="auto"/>
          <w:szCs w:val="20"/>
          <w:u w:val="none"/>
        </w:rPr>
        <w:t xml:space="preserve">, </w:t>
      </w:r>
      <w:r w:rsidRPr="00DB2B2D">
        <w:rPr>
          <w:rStyle w:val="Hyperlink"/>
          <w:color w:val="auto"/>
          <w:szCs w:val="20"/>
          <w:u w:val="none"/>
        </w:rPr>
        <w:t>Forest Research</w:t>
      </w:r>
      <w:r>
        <w:rPr>
          <w:rStyle w:val="Hyperlink"/>
          <w:color w:val="auto"/>
          <w:szCs w:val="20"/>
          <w:u w:val="none"/>
        </w:rPr>
        <w:tab/>
      </w:r>
    </w:p>
    <w:p w:rsidR="00DB2B2D" w:rsidRPr="00DB2B2D" w:rsidRDefault="00DB2B2D" w:rsidP="00DB2B2D">
      <w:pPr>
        <w:jc w:val="both"/>
        <w:rPr>
          <w:szCs w:val="20"/>
        </w:rPr>
      </w:pPr>
      <w:r>
        <w:rPr>
          <w:rStyle w:val="Hyperlink"/>
          <w:color w:val="auto"/>
          <w:szCs w:val="20"/>
          <w:u w:val="none"/>
        </w:rPr>
        <w:tab/>
      </w:r>
      <w:r w:rsidRPr="00DB2B2D">
        <w:rPr>
          <w:rStyle w:val="Hyperlink"/>
          <w:szCs w:val="20"/>
        </w:rPr>
        <w:t>Kieron.Doick@forestry.gsi.gov.uk</w:t>
      </w:r>
    </w:p>
    <w:p w:rsidR="006C57A8" w:rsidRPr="00014DF3" w:rsidRDefault="006C57A8" w:rsidP="006C57A8">
      <w:pPr>
        <w:ind w:firstLine="720"/>
        <w:jc w:val="both"/>
        <w:rPr>
          <w:szCs w:val="2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Default="003C2EB2" w:rsidP="007E0FAD">
      <w:pPr>
        <w:rPr>
          <w:b/>
        </w:rPr>
      </w:pPr>
      <w:r w:rsidRPr="0044231A">
        <w:rPr>
          <w:b/>
        </w:rPr>
        <w:lastRenderedPageBreak/>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885D3A" w:rsidRPr="0044231A" w:rsidRDefault="00885D3A" w:rsidP="007E0FAD">
      <w:pPr>
        <w:rPr>
          <w:b/>
        </w:rPr>
      </w:pP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full,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885D3A" w:rsidRDefault="00885D3A" w:rsidP="0016319B"/>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655972">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655972">
      <w:pPr>
        <w:numPr>
          <w:ilvl w:val="0"/>
          <w:numId w:val="3"/>
        </w:numPr>
        <w:spacing w:before="120" w:line="240" w:lineRule="atLeast"/>
      </w:pPr>
      <w:r>
        <w:t xml:space="preserve">1 </w:t>
      </w:r>
      <w:r w:rsidR="00223D85" w:rsidRPr="006B7986">
        <w:t>copy on disk or USB type storage device in a read only format</w:t>
      </w:r>
      <w:r w:rsidR="00A62E18">
        <w: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223D85" w:rsidRPr="0062656E" w:rsidRDefault="00223D85" w:rsidP="00223D85">
      <w:r w:rsidRPr="00362D3F">
        <w:t>Mark your envelopes with the words</w:t>
      </w:r>
      <w:r w:rsidRPr="00736E3A">
        <w:rPr>
          <w:color w:val="365F91"/>
        </w:rPr>
        <w:t xml:space="preserve"> </w:t>
      </w:r>
      <w:r w:rsidRPr="00362D3F">
        <w:t>‘</w:t>
      </w:r>
      <w:r w:rsidRPr="0062656E">
        <w:rPr>
          <w:b/>
        </w:rPr>
        <w:t xml:space="preserve">Tender for </w:t>
      </w:r>
      <w:r w:rsidR="00A86E4A">
        <w:rPr>
          <w:b/>
        </w:rPr>
        <w:t xml:space="preserve">Bury Land Soil Suitability report </w:t>
      </w:r>
      <w:r w:rsidR="00C9039E" w:rsidRPr="00C9039E">
        <w:rPr>
          <w:b/>
        </w:rPr>
        <w:t>19/FM/DEL19</w:t>
      </w:r>
      <w:r w:rsidRPr="0062656E">
        <w:rPr>
          <w:b/>
        </w:rPr>
        <w:t xml:space="preserve"> –</w:t>
      </w:r>
      <w:r w:rsidRPr="0062656E">
        <w:t xml:space="preserve"> </w:t>
      </w:r>
      <w:r w:rsidRPr="0062656E">
        <w:rPr>
          <w:b/>
        </w:rPr>
        <w:t xml:space="preserve">Not to be opened until </w:t>
      </w:r>
      <w:r w:rsidR="00EB0F24">
        <w:rPr>
          <w:b/>
        </w:rPr>
        <w:t>13:00 22</w:t>
      </w:r>
      <w:r w:rsidR="00EB0F24" w:rsidRPr="00EB0F24">
        <w:rPr>
          <w:b/>
          <w:vertAlign w:val="superscript"/>
        </w:rPr>
        <w:t>nd</w:t>
      </w:r>
      <w:r w:rsidR="00EB0F24">
        <w:rPr>
          <w:b/>
        </w:rPr>
        <w:t xml:space="preserve"> </w:t>
      </w:r>
      <w:r w:rsidR="005000A5">
        <w:rPr>
          <w:b/>
        </w:rPr>
        <w:t>February 2019’</w:t>
      </w:r>
      <w:r w:rsidRPr="0062656E">
        <w:t>.</w:t>
      </w:r>
    </w:p>
    <w:p w:rsidR="00362D3F" w:rsidRDefault="00362D3F" w:rsidP="00223D85">
      <w:pPr>
        <w:rPr>
          <w:b/>
          <w:color w:val="365F91"/>
        </w:rPr>
      </w:pPr>
    </w:p>
    <w:p w:rsidR="00223D85" w:rsidRPr="00362D3F" w:rsidRDefault="00223D85" w:rsidP="00223D85">
      <w:r w:rsidRPr="00362D3F">
        <w:t>Send completed tender documents to the following address:</w:t>
      </w:r>
    </w:p>
    <w:p w:rsidR="00A86E4A" w:rsidRDefault="00A86E4A" w:rsidP="00223D85"/>
    <w:p w:rsidR="00A86E4A" w:rsidRDefault="00A86E4A" w:rsidP="00A86E4A">
      <w:pPr>
        <w:ind w:firstLine="720"/>
        <w:jc w:val="both"/>
        <w:rPr>
          <w:szCs w:val="20"/>
        </w:rPr>
      </w:pPr>
      <w:r>
        <w:rPr>
          <w:szCs w:val="20"/>
        </w:rPr>
        <w:t>Laura Charles</w:t>
      </w:r>
    </w:p>
    <w:p w:rsidR="00A86E4A" w:rsidRPr="00014DF3" w:rsidRDefault="00A86E4A" w:rsidP="00A86E4A">
      <w:pPr>
        <w:ind w:firstLine="720"/>
        <w:jc w:val="both"/>
        <w:rPr>
          <w:szCs w:val="20"/>
        </w:rPr>
      </w:pPr>
      <w:r w:rsidRPr="00014DF3">
        <w:rPr>
          <w:szCs w:val="20"/>
        </w:rPr>
        <w:t>Business Development Manager</w:t>
      </w:r>
    </w:p>
    <w:p w:rsidR="00A86E4A" w:rsidRDefault="00A86E4A" w:rsidP="00A86E4A">
      <w:pPr>
        <w:ind w:firstLine="720"/>
        <w:jc w:val="both"/>
        <w:rPr>
          <w:szCs w:val="20"/>
        </w:rPr>
      </w:pPr>
      <w:r w:rsidRPr="00014DF3">
        <w:rPr>
          <w:szCs w:val="20"/>
        </w:rPr>
        <w:t>Forestry Commission</w:t>
      </w:r>
    </w:p>
    <w:p w:rsidR="00A86E4A" w:rsidRPr="00014DF3" w:rsidRDefault="00A86E4A" w:rsidP="00A86E4A">
      <w:pPr>
        <w:ind w:firstLine="720"/>
        <w:jc w:val="both"/>
        <w:rPr>
          <w:szCs w:val="20"/>
        </w:rPr>
      </w:pPr>
      <w:r w:rsidRPr="00014DF3">
        <w:rPr>
          <w:szCs w:val="20"/>
        </w:rPr>
        <w:t>Delamere Forest</w:t>
      </w:r>
    </w:p>
    <w:p w:rsidR="00A86E4A" w:rsidRPr="00014DF3" w:rsidRDefault="00A86E4A" w:rsidP="00A86E4A">
      <w:pPr>
        <w:ind w:firstLine="720"/>
        <w:jc w:val="both"/>
        <w:rPr>
          <w:szCs w:val="20"/>
        </w:rPr>
      </w:pPr>
      <w:r w:rsidRPr="00014DF3">
        <w:rPr>
          <w:szCs w:val="20"/>
        </w:rPr>
        <w:t>Linmere</w:t>
      </w:r>
      <w:r>
        <w:rPr>
          <w:szCs w:val="20"/>
        </w:rPr>
        <w:t xml:space="preserve">, </w:t>
      </w:r>
      <w:r w:rsidRPr="00014DF3">
        <w:rPr>
          <w:szCs w:val="20"/>
        </w:rPr>
        <w:t>Northwich</w:t>
      </w:r>
    </w:p>
    <w:p w:rsidR="00A86E4A" w:rsidRDefault="00A86E4A" w:rsidP="00A86E4A">
      <w:pPr>
        <w:ind w:firstLine="720"/>
        <w:jc w:val="both"/>
        <w:rPr>
          <w:szCs w:val="20"/>
        </w:rPr>
      </w:pPr>
      <w:r w:rsidRPr="00014DF3">
        <w:rPr>
          <w:szCs w:val="20"/>
        </w:rPr>
        <w:t xml:space="preserve">Cheshire </w:t>
      </w:r>
    </w:p>
    <w:p w:rsidR="00A86E4A" w:rsidRDefault="00A86E4A" w:rsidP="00A86E4A">
      <w:pPr>
        <w:ind w:firstLine="720"/>
        <w:jc w:val="both"/>
        <w:rPr>
          <w:szCs w:val="20"/>
        </w:rPr>
      </w:pPr>
      <w:r w:rsidRPr="00014DF3">
        <w:rPr>
          <w:szCs w:val="20"/>
        </w:rPr>
        <w:t>CW8 2JD</w:t>
      </w:r>
    </w:p>
    <w:p w:rsidR="00A86E4A" w:rsidRDefault="005F0CCC" w:rsidP="00A86E4A">
      <w:pPr>
        <w:ind w:firstLine="720"/>
        <w:jc w:val="both"/>
        <w:rPr>
          <w:szCs w:val="20"/>
        </w:rPr>
      </w:pPr>
      <w:hyperlink r:id="rId14" w:history="1">
        <w:r w:rsidR="00A86E4A" w:rsidRPr="00462BBC">
          <w:rPr>
            <w:rStyle w:val="Hyperlink"/>
            <w:szCs w:val="20"/>
          </w:rPr>
          <w:t>Laura.charles@forestryengland.uk</w:t>
        </w:r>
      </w:hyperlink>
    </w:p>
    <w:p w:rsidR="00A86E4A" w:rsidRDefault="00A86E4A" w:rsidP="00223D85"/>
    <w:p w:rsidR="00885D3A" w:rsidRPr="0062656E" w:rsidRDefault="00885D3A" w:rsidP="00223D85"/>
    <w:p w:rsidR="00956066" w:rsidRPr="00267A7F" w:rsidRDefault="00956066" w:rsidP="002E609B">
      <w:pPr>
        <w:pStyle w:val="Heading2"/>
        <w:rPr>
          <w:sz w:val="28"/>
        </w:rPr>
      </w:pPr>
      <w:r w:rsidRPr="00267A7F">
        <w:rPr>
          <w:sz w:val="28"/>
        </w:rPr>
        <w:lastRenderedPageBreak/>
        <w:t>Clarification</w:t>
      </w:r>
    </w:p>
    <w:p w:rsidR="002E609B" w:rsidRDefault="00956066" w:rsidP="00956066">
      <w:r>
        <w:t xml:space="preserve">During our evaluation process, we may need to seek clarification on aspects of your tender return.  If required we will contact you using the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w:t>
      </w:r>
      <w:r w:rsidR="00C34C26">
        <w:t>,</w:t>
      </w:r>
      <w:r>
        <w:t xml:space="preserve">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contact the FC </w:t>
      </w:r>
      <w:r w:rsidR="005163D3">
        <w:t>before submitting a tender</w:t>
      </w:r>
      <w:r w:rsidR="0084682B">
        <w:t>,</w:t>
      </w:r>
      <w:r w:rsidR="005163D3">
        <w:t xml:space="preserve"> </w:t>
      </w:r>
      <w:r>
        <w:t>if you intend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lastRenderedPageBreak/>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885D3A" w:rsidRDefault="00885D3A" w:rsidP="0016319B">
      <w:pPr>
        <w:rPr>
          <w:rFonts w:cs="Arial"/>
          <w:lang w:eastAsia="en-GB"/>
        </w:rPr>
      </w:pP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655972">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655972">
      <w:pPr>
        <w:numPr>
          <w:ilvl w:val="0"/>
          <w:numId w:val="10"/>
        </w:numPr>
      </w:pPr>
      <w:r>
        <w:t>The completed tender and all accompanying documents must be in English.</w:t>
      </w:r>
    </w:p>
    <w:p w:rsidR="0028179E" w:rsidRDefault="00FB553A" w:rsidP="00655972">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655972">
      <w:pPr>
        <w:numPr>
          <w:ilvl w:val="0"/>
          <w:numId w:val="10"/>
        </w:numPr>
      </w:pPr>
      <w:r>
        <w:t>All prices will be in sterling and exclusive of VAT.</w:t>
      </w:r>
    </w:p>
    <w:p w:rsidR="0028179E" w:rsidRPr="00E537D1" w:rsidRDefault="0028179E" w:rsidP="00655972">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655972">
      <w:pPr>
        <w:numPr>
          <w:ilvl w:val="0"/>
          <w:numId w:val="10"/>
        </w:numPr>
      </w:pPr>
      <w:r>
        <w:t>A Tender Panel</w:t>
      </w:r>
      <w:r w:rsidRPr="009E5141">
        <w:t xml:space="preserve"> will evaluate responses to the tender objectively using the evaluation matrix.</w:t>
      </w:r>
    </w:p>
    <w:p w:rsidR="0062656E" w:rsidRDefault="0062656E" w:rsidP="00655972">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885D3A" w:rsidRPr="0062656E" w:rsidRDefault="00885D3A" w:rsidP="00885D3A">
      <w:pPr>
        <w:pStyle w:val="ListParagraph"/>
        <w:rPr>
          <w:color w:val="000000"/>
        </w:rPr>
      </w:pP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lastRenderedPageBreak/>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84682B" w:rsidP="0016319B">
      <w:r w:rsidRPr="009E5141">
        <w:t>Neither the FC, nor their advisors, nor their respective directors, officers, members, partners, employees, other staff nor</w:t>
      </w:r>
      <w:r w:rsidR="0016319B" w:rsidRPr="009E5141">
        <w:t xml:space="preserve"> agents:</w:t>
      </w:r>
    </w:p>
    <w:p w:rsidR="0016319B" w:rsidRPr="009E5141" w:rsidRDefault="0016319B" w:rsidP="00655972">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655972">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16319B" w:rsidRPr="000B17E3" w:rsidRDefault="0016319B" w:rsidP="00E82136">
      <w:pPr>
        <w:pStyle w:val="Heading1"/>
        <w:rPr>
          <w:sz w:val="28"/>
          <w:szCs w:val="28"/>
        </w:rPr>
      </w:pPr>
      <w:r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F159EB" w:rsidRDefault="00F159EB">
      <w:pPr>
        <w:spacing w:line="240" w:lineRule="auto"/>
        <w:rPr>
          <w:rFonts w:cs="Arial"/>
          <w:bCs/>
          <w:iCs/>
          <w:color w:val="004E2E"/>
          <w:sz w:val="36"/>
          <w:szCs w:val="28"/>
        </w:rPr>
      </w:pPr>
      <w:r>
        <w:br w:type="page"/>
      </w:r>
    </w:p>
    <w:p w:rsidR="00323316" w:rsidRDefault="00CC6687" w:rsidP="004162FB">
      <w:pPr>
        <w:pStyle w:val="Heading2"/>
        <w:rPr>
          <w:sz w:val="28"/>
        </w:rPr>
      </w:pPr>
      <w:r w:rsidRPr="004162FB">
        <w:rPr>
          <w:sz w:val="28"/>
        </w:rPr>
        <w:lastRenderedPageBreak/>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D40E1F" w:rsidRDefault="00D40E1F">
      <w:pPr>
        <w:spacing w:line="240" w:lineRule="auto"/>
        <w:rPr>
          <w:rFonts w:cs="Arial"/>
          <w:bCs/>
          <w:iCs/>
          <w:color w:val="004E2E"/>
          <w:sz w:val="32"/>
          <w:szCs w:val="32"/>
          <w:u w:val="single"/>
        </w:rPr>
      </w:pPr>
      <w:r>
        <w:rPr>
          <w:sz w:val="32"/>
          <w:szCs w:val="32"/>
          <w:u w:val="single"/>
        </w:rPr>
        <w:br w:type="page"/>
      </w:r>
    </w:p>
    <w:p w:rsidR="00EB4E53" w:rsidRDefault="00672D28" w:rsidP="00164F33">
      <w:pPr>
        <w:pStyle w:val="Heading2"/>
        <w:numPr>
          <w:ilvl w:val="0"/>
          <w:numId w:val="0"/>
        </w:numPr>
        <w:rPr>
          <w:sz w:val="32"/>
          <w:szCs w:val="32"/>
        </w:rPr>
      </w:pPr>
      <w:r w:rsidRPr="00A36628">
        <w:rPr>
          <w:sz w:val="32"/>
          <w:szCs w:val="32"/>
          <w:u w:val="single"/>
        </w:rPr>
        <w:lastRenderedPageBreak/>
        <w:t>Selection Criteria</w:t>
      </w:r>
      <w:r w:rsidR="00EB4E53" w:rsidRPr="00A36628">
        <w:rPr>
          <w:sz w:val="32"/>
          <w:szCs w:val="32"/>
        </w:rPr>
        <w:t xml:space="preserve"> </w:t>
      </w:r>
    </w:p>
    <w:p w:rsidR="0084682B" w:rsidRPr="009426BE" w:rsidRDefault="0084682B" w:rsidP="009426BE">
      <w:pPr>
        <w:pStyle w:val="FCGBBodyText"/>
      </w:pP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836699">
            <w:pPr>
              <w:rPr>
                <w:rFonts w:eastAsia="Arial"/>
              </w:rPr>
            </w:pPr>
            <w:r w:rsidRPr="005D3614">
              <w:rPr>
                <w:rFonts w:eastAsia="Arial"/>
              </w:rPr>
              <w:t>Pu</w:t>
            </w:r>
            <w:r w:rsidRPr="00A86E4A">
              <w:rPr>
                <w:rFonts w:eastAsia="Arial"/>
              </w:rPr>
              <w:t xml:space="preserve">blic Liability Insurance = </w:t>
            </w:r>
            <w:r w:rsidR="00836699" w:rsidRPr="00A86E4A">
              <w:rPr>
                <w:rFonts w:eastAsia="Arial"/>
              </w:rPr>
              <w:t>£5 million</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836699" w:rsidRDefault="00684A4E" w:rsidP="00772E85">
            <w:pPr>
              <w:rPr>
                <w:rFonts w:eastAsia="Arial"/>
                <w:color w:val="C00000"/>
                <w:highlight w:val="yellow"/>
              </w:rPr>
            </w:pPr>
            <w:r w:rsidRPr="00772E85">
              <w:rPr>
                <w:rFonts w:eastAsia="Arial"/>
              </w:rPr>
              <w:t xml:space="preserve">Professional Indemnity Insurance = </w:t>
            </w:r>
            <w:r w:rsidR="00772E85" w:rsidRPr="00A86E4A">
              <w:rPr>
                <w:rFonts w:eastAsia="Arial"/>
              </w:rPr>
              <w:t>£5 million</w:t>
            </w:r>
          </w:p>
        </w:tc>
        <w:tc>
          <w:tcPr>
            <w:tcW w:w="2233" w:type="dxa"/>
            <w:shd w:val="clear" w:color="auto" w:fill="auto"/>
          </w:tcPr>
          <w:p w:rsidR="00684A4E" w:rsidRDefault="00684A4E" w:rsidP="005F596F"/>
        </w:tc>
      </w:tr>
    </w:tbl>
    <w:p w:rsidR="0084682B" w:rsidRDefault="0084682B" w:rsidP="009426BE">
      <w:pPr>
        <w:pStyle w:val="Heading2"/>
        <w:numPr>
          <w:ilvl w:val="0"/>
          <w:numId w:val="0"/>
        </w:numPr>
        <w:rPr>
          <w:sz w:val="28"/>
        </w:rPr>
      </w:pPr>
    </w:p>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5" w:history="1">
        <w:r w:rsidRPr="005A53A0">
          <w:rPr>
            <w:rStyle w:val="Hyperlink"/>
          </w:rPr>
          <w:t>http://www.hse.gov.uk/</w:t>
        </w:r>
      </w:hyperlink>
      <w:r w:rsidRPr="005A53A0">
        <w:t xml:space="preserve">. </w:t>
      </w:r>
    </w:p>
    <w:p w:rsidR="0084682B" w:rsidRDefault="0084682B" w:rsidP="00AA6C9A"/>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655972">
            <w:pPr>
              <w:numPr>
                <w:ilvl w:val="0"/>
                <w:numId w:val="9"/>
              </w:numPr>
              <w:spacing w:before="120" w:line="240" w:lineRule="atLeast"/>
            </w:pPr>
            <w:r>
              <w:t>Does your organisation have a written health and safety policy? AND</w:t>
            </w:r>
          </w:p>
          <w:p w:rsidR="007D1EDC" w:rsidRDefault="007D1EDC" w:rsidP="00655972">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Default="005D3614" w:rsidP="005D3614">
      <w:pPr>
        <w:rPr>
          <w:vanish/>
        </w:rPr>
      </w:pPr>
    </w:p>
    <w:p w:rsidR="0084682B" w:rsidRPr="005D3614" w:rsidRDefault="0084682B"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A10B4B">
        <w:trPr>
          <w:trHeight w:val="774"/>
        </w:trPr>
        <w:tc>
          <w:tcPr>
            <w:tcW w:w="393" w:type="pct"/>
          </w:tcPr>
          <w:p w:rsidR="008104D3" w:rsidRPr="009E5141" w:rsidRDefault="00F159EB" w:rsidP="00073E39">
            <w:pPr>
              <w:rPr>
                <w:snapToGrid w:val="0"/>
              </w:rPr>
            </w:pPr>
            <w:r>
              <w:rPr>
                <w:snapToGrid w:val="0"/>
              </w:rPr>
              <w:lastRenderedPageBreak/>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A10B4B">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5" w:type="pct"/>
          </w:tcPr>
          <w:p w:rsidR="008104D3" w:rsidRPr="00061742" w:rsidRDefault="008104D3" w:rsidP="00073E39">
            <w:pPr>
              <w:rPr>
                <w:b/>
                <w:snapToGrid w:val="0"/>
              </w:rPr>
            </w:pPr>
            <w:r w:rsidRPr="00061742">
              <w:rPr>
                <w:b/>
                <w:snapToGrid w:val="0"/>
              </w:rPr>
              <w:t>Frequency of Update training</w:t>
            </w:r>
          </w:p>
        </w:tc>
      </w:tr>
      <w:tr w:rsidR="008104D3" w:rsidRPr="009E5141" w:rsidTr="00A10B4B">
        <w:trPr>
          <w:trHeight w:val="514"/>
        </w:trPr>
        <w:tc>
          <w:tcPr>
            <w:tcW w:w="1575" w:type="pct"/>
            <w:gridSpan w:val="3"/>
          </w:tcPr>
          <w:p w:rsidR="008104D3" w:rsidRPr="00A10B4B" w:rsidRDefault="00AA6C9A" w:rsidP="00073E39">
            <w:pPr>
              <w:rPr>
                <w:snapToGrid w:val="0"/>
                <w:color w:val="000000" w:themeColor="text1"/>
              </w:rPr>
            </w:pPr>
            <w:r w:rsidRPr="00A10B4B">
              <w:rPr>
                <w:snapToGrid w:val="0"/>
                <w:color w:val="000000" w:themeColor="text1"/>
              </w:rPr>
              <w:t>First Aid at work or 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5" w:type="pct"/>
          </w:tcPr>
          <w:p w:rsidR="008104D3" w:rsidRPr="009E5141" w:rsidRDefault="008104D3" w:rsidP="00073E39">
            <w:pPr>
              <w:rPr>
                <w:b/>
                <w:snapToGrid w:val="0"/>
                <w:color w:val="FF0000"/>
              </w:rPr>
            </w:pPr>
          </w:p>
        </w:tc>
      </w:tr>
      <w:tr w:rsidR="008104D3" w:rsidRPr="009E5141" w:rsidTr="00A10B4B">
        <w:trPr>
          <w:trHeight w:val="529"/>
        </w:trPr>
        <w:tc>
          <w:tcPr>
            <w:tcW w:w="1575" w:type="pct"/>
            <w:gridSpan w:val="3"/>
          </w:tcPr>
          <w:p w:rsidR="008104D3" w:rsidRPr="00A10B4B" w:rsidRDefault="00A10B4B" w:rsidP="00073E39">
            <w:pPr>
              <w:rPr>
                <w:snapToGrid w:val="0"/>
                <w:color w:val="000000" w:themeColor="text1"/>
              </w:rPr>
            </w:pPr>
            <w:r w:rsidRPr="00A10B4B">
              <w:rPr>
                <w:snapToGrid w:val="0"/>
                <w:color w:val="000000" w:themeColor="text1"/>
              </w:rPr>
              <w:t xml:space="preserve">Certificate of competence relevant to </w:t>
            </w:r>
            <w:r>
              <w:rPr>
                <w:snapToGrid w:val="0"/>
                <w:color w:val="000000" w:themeColor="text1"/>
              </w:rPr>
              <w:t xml:space="preserve">any </w:t>
            </w:r>
            <w:r w:rsidRPr="00A10B4B">
              <w:rPr>
                <w:snapToGrid w:val="0"/>
                <w:color w:val="000000" w:themeColor="text1"/>
              </w:rPr>
              <w:t>machine use</w:t>
            </w:r>
          </w:p>
        </w:tc>
        <w:tc>
          <w:tcPr>
            <w:tcW w:w="1599" w:type="pct"/>
          </w:tcPr>
          <w:p w:rsidR="008104D3" w:rsidRPr="009E5141" w:rsidRDefault="008104D3" w:rsidP="00073E39">
            <w:pPr>
              <w:pStyle w:val="FCGBBodyText"/>
              <w:spacing w:line="240" w:lineRule="auto"/>
              <w:rPr>
                <w:b/>
                <w:snapToGrid w:val="0"/>
                <w:color w:val="FF0000"/>
                <w:sz w:val="24"/>
              </w:rPr>
            </w:pPr>
          </w:p>
        </w:tc>
        <w:tc>
          <w:tcPr>
            <w:tcW w:w="880" w:type="pct"/>
          </w:tcPr>
          <w:p w:rsidR="008104D3" w:rsidRPr="009E5141" w:rsidRDefault="008104D3" w:rsidP="00073E39">
            <w:pPr>
              <w:rPr>
                <w:b/>
                <w:snapToGrid w:val="0"/>
                <w:color w:val="FF0000"/>
                <w:sz w:val="24"/>
              </w:rPr>
            </w:pPr>
          </w:p>
        </w:tc>
        <w:tc>
          <w:tcPr>
            <w:tcW w:w="945" w:type="pct"/>
          </w:tcPr>
          <w:p w:rsidR="008104D3" w:rsidRPr="009E5141" w:rsidRDefault="008104D3" w:rsidP="00073E39">
            <w:pPr>
              <w:rPr>
                <w:b/>
                <w:snapToGrid w:val="0"/>
                <w:color w:val="FF0000"/>
                <w:sz w:val="24"/>
              </w:rPr>
            </w:pPr>
          </w:p>
        </w:tc>
      </w:tr>
      <w:tr w:rsidR="00AA6C9A" w:rsidRPr="009E5141" w:rsidTr="00A10B4B">
        <w:trPr>
          <w:trHeight w:val="529"/>
        </w:trPr>
        <w:tc>
          <w:tcPr>
            <w:tcW w:w="413" w:type="pct"/>
            <w:gridSpan w:val="2"/>
          </w:tcPr>
          <w:p w:rsidR="00AA6C9A" w:rsidRPr="00AA6C9A" w:rsidRDefault="00F159EB" w:rsidP="00073E39">
            <w:pPr>
              <w:rPr>
                <w:snapToGrid w:val="0"/>
              </w:rPr>
            </w:pPr>
            <w:r>
              <w:rPr>
                <w:snapToGrid w:val="0"/>
              </w:rPr>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6"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9426BE">
        <w:trPr>
          <w:trHeight w:val="2937"/>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lastRenderedPageBreak/>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9426BE">
        <w:trPr>
          <w:trHeight w:val="3820"/>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9426BE">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4610"/>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p w:rsidR="0084682B" w:rsidRDefault="0084682B" w:rsidP="008104D3">
      <w:pPr>
        <w:rPr>
          <w:b/>
          <w:color w:val="008080"/>
          <w:szCs w:val="20"/>
        </w:rPr>
      </w:pPr>
    </w:p>
    <w:p w:rsidR="0084682B" w:rsidRDefault="0084682B" w:rsidP="008104D3">
      <w:pPr>
        <w:rPr>
          <w:b/>
          <w:color w:val="008080"/>
          <w:szCs w:val="20"/>
        </w:rPr>
      </w:pPr>
    </w:p>
    <w:p w:rsidR="0084682B" w:rsidRDefault="0084682B" w:rsidP="008104D3">
      <w:pPr>
        <w:rPr>
          <w:b/>
          <w:color w:val="008080"/>
          <w:szCs w:val="20"/>
        </w:rPr>
      </w:pPr>
    </w:p>
    <w:p w:rsidR="0084682B" w:rsidRDefault="0084682B" w:rsidP="008104D3">
      <w:pPr>
        <w:rPr>
          <w:b/>
          <w:color w:val="008080"/>
          <w:szCs w:val="20"/>
        </w:rPr>
      </w:pPr>
    </w:p>
    <w:p w:rsidR="0084682B" w:rsidRDefault="0084682B" w:rsidP="008104D3">
      <w:pPr>
        <w:rPr>
          <w:b/>
          <w:color w:val="008080"/>
          <w:szCs w:val="20"/>
        </w:rPr>
      </w:pPr>
    </w:p>
    <w:p w:rsidR="0084682B" w:rsidRPr="009E5141" w:rsidRDefault="0084682B"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9426BE">
        <w:trPr>
          <w:trHeight w:val="4016"/>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p w:rsidR="0084682B" w:rsidRPr="009E5141" w:rsidRDefault="0084682B"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655972">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655972">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655972">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9426BE">
        <w:trPr>
          <w:trHeight w:val="4761"/>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4682B" w:rsidRPr="009E5141" w:rsidRDefault="0084682B"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073E39">
            <w:pPr>
              <w:rPr>
                <w:snapToGrid w:val="0"/>
              </w:rPr>
            </w:pPr>
            <w:r>
              <w:rPr>
                <w:snapToGrid w:val="0"/>
              </w:rPr>
              <w:t>4.3.11</w:t>
            </w:r>
          </w:p>
        </w:tc>
        <w:tc>
          <w:tcPr>
            <w:tcW w:w="4744" w:type="pct"/>
          </w:tcPr>
          <w:p w:rsidR="00B26CC8" w:rsidRPr="00A10B4B" w:rsidRDefault="00B26CC8" w:rsidP="00B26CC8">
            <w:pPr>
              <w:spacing w:before="120"/>
              <w:rPr>
                <w:snapToGrid w:val="0"/>
                <w:color w:val="000000" w:themeColor="text1"/>
              </w:rPr>
            </w:pPr>
            <w:r w:rsidRPr="00A10B4B">
              <w:rPr>
                <w:snapToGrid w:val="0"/>
                <w:color w:val="000000" w:themeColor="text1"/>
              </w:rPr>
              <w:t>Provide a short explanation of your process for Inspection and Testing of Machinery and Equipment providing certificates and completed checklists to support your response.</w:t>
            </w:r>
          </w:p>
          <w:p w:rsidR="008104D3" w:rsidRPr="009E5141" w:rsidRDefault="00B26CC8" w:rsidP="00B26CC8">
            <w:pPr>
              <w:rPr>
                <w:snapToGrid w:val="0"/>
              </w:rPr>
            </w:pPr>
            <w:r w:rsidRPr="00A10B4B">
              <w:rPr>
                <w:snapToGrid w:val="0"/>
                <w:color w:val="000000" w:themeColor="text1"/>
              </w:rPr>
              <w:t>Your answer should show an understanding of the Provision and Use of Work Equipment Regulations 1998 (PUWER) and Lifting Operations and Lifting Equipment Regulations 1998 (LOLER), where relevant.</w:t>
            </w:r>
          </w:p>
        </w:tc>
      </w:tr>
      <w:tr w:rsidR="008104D3" w:rsidRPr="009E5141" w:rsidTr="009426BE">
        <w:trPr>
          <w:trHeight w:val="2712"/>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B26CC8" w:rsidRDefault="00B26CC8"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862785" w:rsidRDefault="00862785" w:rsidP="008104D3">
      <w:pPr>
        <w:spacing w:after="120"/>
        <w:rPr>
          <w:b/>
          <w:color w:val="FF0000"/>
          <w:u w:val="single"/>
        </w:rPr>
      </w:pPr>
    </w:p>
    <w:p w:rsidR="007F3F4D" w:rsidRDefault="007F3F4D" w:rsidP="007F3F4D">
      <w:pPr>
        <w:pStyle w:val="Heading2"/>
        <w:rPr>
          <w:sz w:val="28"/>
        </w:rPr>
      </w:pPr>
      <w:r>
        <w:rPr>
          <w:sz w:val="28"/>
        </w:rPr>
        <w:lastRenderedPageBreak/>
        <w:t>References</w:t>
      </w:r>
    </w:p>
    <w:p w:rsidR="00862785" w:rsidRPr="009426BE" w:rsidRDefault="00862785" w:rsidP="009426BE">
      <w:pPr>
        <w:pStyle w:val="FCGBBodyText"/>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p w:rsidR="00862785" w:rsidRDefault="00862785" w:rsidP="00C74CB2"/>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p w:rsidR="00862785" w:rsidRDefault="00862785" w:rsidP="00C74CB2"/>
          <w:p w:rsidR="00862785" w:rsidRDefault="00862785"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862785" w:rsidRDefault="00862785" w:rsidP="007F3F4D">
      <w:pPr>
        <w:pStyle w:val="FCGBBodyText"/>
      </w:pPr>
    </w:p>
    <w:p w:rsidR="00862785" w:rsidRDefault="00862785" w:rsidP="007F3F4D">
      <w:pPr>
        <w:pStyle w:val="FCGBBodyText"/>
      </w:pPr>
    </w:p>
    <w:p w:rsidR="00862785" w:rsidRDefault="00862785" w:rsidP="007F3F4D">
      <w:pPr>
        <w:pStyle w:val="FCGBBodyText"/>
      </w:pPr>
    </w:p>
    <w:p w:rsidR="00862785" w:rsidRDefault="00862785" w:rsidP="007F3F4D">
      <w:pPr>
        <w:pStyle w:val="FCGBBodyText"/>
      </w:pPr>
    </w:p>
    <w:p w:rsidR="00862785" w:rsidRDefault="00862785" w:rsidP="007F3F4D">
      <w:pPr>
        <w:pStyle w:val="FCGBBodyText"/>
      </w:pPr>
    </w:p>
    <w:p w:rsidR="00862785" w:rsidRDefault="00862785" w:rsidP="007F3F4D">
      <w:pPr>
        <w:pStyle w:val="FCGBBodyText"/>
      </w:pPr>
    </w:p>
    <w:p w:rsidR="00862785" w:rsidRDefault="00862785" w:rsidP="007F3F4D">
      <w:pPr>
        <w:pStyle w:val="FCGBBodyText"/>
      </w:pPr>
    </w:p>
    <w:p w:rsidR="00862785" w:rsidRDefault="00862785" w:rsidP="007F3F4D">
      <w:pPr>
        <w:pStyle w:val="FCGBBodyText"/>
      </w:pPr>
    </w:p>
    <w:p w:rsidR="007F3F4D" w:rsidRP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1A206F" w:rsidRPr="005D3614" w:rsidTr="00A31C58">
        <w:tc>
          <w:tcPr>
            <w:tcW w:w="796" w:type="dxa"/>
            <w:shd w:val="clear" w:color="auto" w:fill="auto"/>
          </w:tcPr>
          <w:p w:rsidR="001A206F" w:rsidRPr="005D3614" w:rsidRDefault="001A206F" w:rsidP="001A206F">
            <w:pPr>
              <w:pStyle w:val="FCGBBodyText"/>
              <w:rPr>
                <w:color w:val="0D0D0D"/>
              </w:rPr>
            </w:pPr>
            <w:r>
              <w:rPr>
                <w:color w:val="0D0D0D"/>
              </w:rPr>
              <w:t>4.5.1</w:t>
            </w:r>
          </w:p>
        </w:tc>
        <w:tc>
          <w:tcPr>
            <w:tcW w:w="6825" w:type="dxa"/>
            <w:shd w:val="clear" w:color="auto" w:fill="auto"/>
          </w:tcPr>
          <w:p w:rsidR="001A206F" w:rsidRPr="001A206F" w:rsidRDefault="001A206F" w:rsidP="00227D03">
            <w:r w:rsidRPr="001A206F">
              <w:t>Please describe how you will meet the requirements of this contract</w:t>
            </w:r>
            <w:r>
              <w:t xml:space="preserve"> and provide a method statement. </w:t>
            </w:r>
            <w:r w:rsidRPr="00673571">
              <w:t>This should include health and safety</w:t>
            </w:r>
            <w:r>
              <w:t xml:space="preserve"> and site specific considerations </w:t>
            </w:r>
            <w:r w:rsidRPr="001A206F">
              <w:t>and details of the equipment you intend to use and its suitability for this contract.</w:t>
            </w:r>
            <w:r w:rsidR="00227D03">
              <w:t xml:space="preserve">  Particular attention should be given to location and avoidance of service</w:t>
            </w:r>
            <w:r w:rsidR="00755523">
              <w:t>s</w:t>
            </w:r>
            <w:r w:rsidR="00227D03">
              <w:t>, demarcation from users of the site, signage for users of the site and reinstatement.</w:t>
            </w:r>
            <w:r w:rsidR="00052841">
              <w:t xml:space="preserve"> A maximum of 4 sides of A4 at size 11 font.</w:t>
            </w:r>
          </w:p>
        </w:tc>
        <w:tc>
          <w:tcPr>
            <w:tcW w:w="2517" w:type="dxa"/>
            <w:shd w:val="clear" w:color="auto" w:fill="auto"/>
          </w:tcPr>
          <w:p w:rsidR="001A206F" w:rsidRPr="001A206F" w:rsidRDefault="003B4A4A" w:rsidP="00073E39">
            <w:pPr>
              <w:pStyle w:val="FCGBBodyText"/>
            </w:pPr>
            <w:r>
              <w:t>2</w:t>
            </w:r>
            <w:r w:rsidR="001A206F" w:rsidRPr="001A206F">
              <w:t>0</w:t>
            </w:r>
          </w:p>
        </w:tc>
      </w:tr>
      <w:tr w:rsidR="001A206F" w:rsidRPr="005D3614" w:rsidTr="001A206F">
        <w:tc>
          <w:tcPr>
            <w:tcW w:w="10138" w:type="dxa"/>
            <w:gridSpan w:val="3"/>
            <w:shd w:val="clear" w:color="auto" w:fill="auto"/>
          </w:tcPr>
          <w:p w:rsidR="001A206F" w:rsidRPr="001A206F" w:rsidRDefault="001A206F" w:rsidP="001A206F">
            <w:pPr>
              <w:pStyle w:val="FCGBBodyText"/>
            </w:pPr>
            <w:r w:rsidRPr="001A206F">
              <w:t>Response:</w:t>
            </w:r>
          </w:p>
          <w:p w:rsidR="001A206F" w:rsidRPr="001A206F" w:rsidRDefault="001A206F" w:rsidP="001A206F">
            <w:pPr>
              <w:pStyle w:val="FCGBBodyText"/>
            </w:pPr>
          </w:p>
          <w:p w:rsidR="001A206F" w:rsidRPr="001A206F" w:rsidRDefault="001A206F" w:rsidP="001A206F">
            <w:pPr>
              <w:pStyle w:val="FCGBBodyText"/>
            </w:pPr>
          </w:p>
          <w:p w:rsidR="001A206F" w:rsidRPr="001A206F" w:rsidRDefault="001A206F" w:rsidP="001A206F">
            <w:pPr>
              <w:pStyle w:val="FCGBBodyText"/>
            </w:pPr>
          </w:p>
          <w:p w:rsidR="001A206F" w:rsidRPr="001A206F" w:rsidRDefault="001A206F" w:rsidP="001A206F">
            <w:pPr>
              <w:pStyle w:val="FCGBBodyText"/>
            </w:pPr>
          </w:p>
        </w:tc>
      </w:tr>
      <w:tr w:rsidR="001A206F" w:rsidRPr="005D3614" w:rsidTr="00A31C58">
        <w:tc>
          <w:tcPr>
            <w:tcW w:w="796" w:type="dxa"/>
            <w:shd w:val="clear" w:color="auto" w:fill="auto"/>
          </w:tcPr>
          <w:p w:rsidR="001A206F" w:rsidRPr="005D3614" w:rsidRDefault="001A206F" w:rsidP="00073E39">
            <w:pPr>
              <w:pStyle w:val="FCGBBodyText"/>
              <w:rPr>
                <w:color w:val="0D0D0D"/>
              </w:rPr>
            </w:pPr>
            <w:r>
              <w:rPr>
                <w:color w:val="0D0D0D"/>
              </w:rPr>
              <w:t>4.5.2</w:t>
            </w:r>
          </w:p>
        </w:tc>
        <w:tc>
          <w:tcPr>
            <w:tcW w:w="6825" w:type="dxa"/>
            <w:shd w:val="clear" w:color="auto" w:fill="auto"/>
          </w:tcPr>
          <w:p w:rsidR="001A206F" w:rsidRPr="001A206F" w:rsidRDefault="001A206F" w:rsidP="00FA7469">
            <w:r w:rsidRPr="00B16F51">
              <w:t xml:space="preserve">Please </w:t>
            </w:r>
            <w:r w:rsidRPr="001A206F">
              <w:t xml:space="preserve">outline your proposed programme for </w:t>
            </w:r>
            <w:r w:rsidRPr="00B16F51">
              <w:t xml:space="preserve">this project and state your proposed completion date, with a brief outline of leads times.  </w:t>
            </w:r>
            <w:r>
              <w:t xml:space="preserve">This </w:t>
            </w:r>
            <w:r w:rsidRPr="00D1280A">
              <w:t>must include key milestones</w:t>
            </w:r>
            <w:r w:rsidR="006F527B">
              <w:t>, including the payment profile</w:t>
            </w:r>
            <w:r w:rsidR="00FA7469">
              <w:t xml:space="preserve"> </w:t>
            </w:r>
            <w:r w:rsidRPr="00D1280A">
              <w:t>and details of how you will keep on budget</w:t>
            </w:r>
            <w:r>
              <w:t xml:space="preserve"> and to time and should refer to the key timescales in </w:t>
            </w:r>
            <w:r w:rsidR="00A86E4A">
              <w:t>programme and timescales section</w:t>
            </w:r>
            <w:r>
              <w:t>.</w:t>
            </w:r>
          </w:p>
        </w:tc>
        <w:tc>
          <w:tcPr>
            <w:tcW w:w="2517" w:type="dxa"/>
            <w:shd w:val="clear" w:color="auto" w:fill="auto"/>
          </w:tcPr>
          <w:p w:rsidR="001A206F" w:rsidRPr="001A206F" w:rsidRDefault="001A206F" w:rsidP="00073E39">
            <w:pPr>
              <w:pStyle w:val="FCGBBodyText"/>
            </w:pPr>
            <w:r w:rsidRPr="001A206F">
              <w:t>10</w:t>
            </w:r>
          </w:p>
        </w:tc>
      </w:tr>
      <w:tr w:rsidR="001A206F" w:rsidRPr="005D3614" w:rsidTr="005D3614">
        <w:tc>
          <w:tcPr>
            <w:tcW w:w="10138" w:type="dxa"/>
            <w:gridSpan w:val="3"/>
            <w:shd w:val="clear" w:color="auto" w:fill="auto"/>
          </w:tcPr>
          <w:p w:rsidR="001A206F" w:rsidRPr="005D3614" w:rsidRDefault="001A206F" w:rsidP="00073E39">
            <w:pPr>
              <w:pStyle w:val="FCGBBodyText"/>
              <w:rPr>
                <w:color w:val="0D0D0D"/>
              </w:rPr>
            </w:pPr>
            <w:r w:rsidRPr="005D3614">
              <w:rPr>
                <w:color w:val="0D0D0D"/>
              </w:rPr>
              <w:t>Response:</w:t>
            </w:r>
          </w:p>
          <w:p w:rsidR="001A206F" w:rsidRPr="005D3614" w:rsidRDefault="001A206F" w:rsidP="00073E39">
            <w:pPr>
              <w:pStyle w:val="FCGBBodyText"/>
              <w:rPr>
                <w:color w:val="0D0D0D"/>
              </w:rPr>
            </w:pPr>
          </w:p>
          <w:p w:rsidR="001A206F" w:rsidRDefault="001A206F" w:rsidP="00073E39">
            <w:pPr>
              <w:pStyle w:val="FCGBBodyText"/>
              <w:rPr>
                <w:color w:val="0D0D0D"/>
              </w:rPr>
            </w:pPr>
          </w:p>
          <w:p w:rsidR="001A206F" w:rsidRDefault="001A206F" w:rsidP="00073E39">
            <w:pPr>
              <w:pStyle w:val="FCGBBodyText"/>
              <w:rPr>
                <w:color w:val="0D0D0D"/>
              </w:rPr>
            </w:pPr>
          </w:p>
          <w:p w:rsidR="001A206F" w:rsidRPr="005D3614" w:rsidRDefault="001A206F" w:rsidP="00073E39">
            <w:pPr>
              <w:pStyle w:val="FCGBBodyText"/>
              <w:rPr>
                <w:color w:val="0D0D0D"/>
              </w:rPr>
            </w:pPr>
          </w:p>
        </w:tc>
      </w:tr>
      <w:tr w:rsidR="006F527B" w:rsidRPr="005D3614" w:rsidTr="00EA5005">
        <w:tc>
          <w:tcPr>
            <w:tcW w:w="796" w:type="dxa"/>
            <w:shd w:val="clear" w:color="auto" w:fill="auto"/>
          </w:tcPr>
          <w:p w:rsidR="006F527B" w:rsidRPr="005D3614" w:rsidRDefault="006F527B" w:rsidP="00EA5005">
            <w:pPr>
              <w:pStyle w:val="FCGBBodyText"/>
              <w:rPr>
                <w:color w:val="0D0D0D"/>
              </w:rPr>
            </w:pPr>
            <w:r>
              <w:rPr>
                <w:color w:val="0D0D0D"/>
              </w:rPr>
              <w:t>4.5.3</w:t>
            </w:r>
          </w:p>
        </w:tc>
        <w:tc>
          <w:tcPr>
            <w:tcW w:w="6825" w:type="dxa"/>
            <w:shd w:val="clear" w:color="auto" w:fill="auto"/>
          </w:tcPr>
          <w:p w:rsidR="006F527B" w:rsidRPr="001A206F" w:rsidRDefault="006F527B" w:rsidP="006F527B">
            <w:r w:rsidRPr="00B16F51">
              <w:t xml:space="preserve">Please </w:t>
            </w:r>
            <w:r w:rsidRPr="001A206F">
              <w:t xml:space="preserve">outline your proposed </w:t>
            </w:r>
            <w:r>
              <w:t>staff for delivering the works and their experience and qualifications relevant to the scope of works.</w:t>
            </w:r>
          </w:p>
        </w:tc>
        <w:tc>
          <w:tcPr>
            <w:tcW w:w="2517" w:type="dxa"/>
            <w:shd w:val="clear" w:color="auto" w:fill="auto"/>
          </w:tcPr>
          <w:p w:rsidR="006F527B" w:rsidRPr="001A206F" w:rsidRDefault="006F527B" w:rsidP="00EA5005">
            <w:pPr>
              <w:pStyle w:val="FCGBBodyText"/>
            </w:pPr>
            <w:r w:rsidRPr="001A206F">
              <w:t>10</w:t>
            </w:r>
          </w:p>
        </w:tc>
      </w:tr>
      <w:tr w:rsidR="006F527B" w:rsidRPr="005D3614" w:rsidTr="00EA5005">
        <w:tc>
          <w:tcPr>
            <w:tcW w:w="10138" w:type="dxa"/>
            <w:gridSpan w:val="3"/>
            <w:shd w:val="clear" w:color="auto" w:fill="auto"/>
          </w:tcPr>
          <w:p w:rsidR="006F527B" w:rsidRPr="005D3614" w:rsidRDefault="006F527B" w:rsidP="00EA5005">
            <w:pPr>
              <w:pStyle w:val="FCGBBodyText"/>
              <w:rPr>
                <w:color w:val="0D0D0D"/>
              </w:rPr>
            </w:pPr>
            <w:r w:rsidRPr="005D3614">
              <w:rPr>
                <w:color w:val="0D0D0D"/>
              </w:rPr>
              <w:t>Response:</w:t>
            </w:r>
          </w:p>
          <w:p w:rsidR="006F527B" w:rsidRPr="005D3614" w:rsidRDefault="006F527B" w:rsidP="00EA5005">
            <w:pPr>
              <w:pStyle w:val="FCGBBodyText"/>
              <w:rPr>
                <w:color w:val="0D0D0D"/>
              </w:rPr>
            </w:pPr>
          </w:p>
          <w:p w:rsidR="006F527B" w:rsidRDefault="006F527B" w:rsidP="00EA5005">
            <w:pPr>
              <w:pStyle w:val="FCGBBodyText"/>
              <w:rPr>
                <w:color w:val="0D0D0D"/>
              </w:rPr>
            </w:pPr>
          </w:p>
          <w:p w:rsidR="006F527B" w:rsidRDefault="006F527B" w:rsidP="00EA5005">
            <w:pPr>
              <w:pStyle w:val="FCGBBodyText"/>
              <w:rPr>
                <w:color w:val="0D0D0D"/>
              </w:rPr>
            </w:pPr>
          </w:p>
          <w:p w:rsidR="006F527B" w:rsidRPr="005D3614" w:rsidRDefault="006F527B" w:rsidP="00EA5005">
            <w:pPr>
              <w:pStyle w:val="FCGBBodyText"/>
              <w:rPr>
                <w:color w:val="0D0D0D"/>
              </w:rPr>
            </w:pPr>
          </w:p>
        </w:tc>
      </w:tr>
    </w:tbl>
    <w:p w:rsidR="006F527B" w:rsidRPr="009426BE" w:rsidRDefault="006F527B" w:rsidP="006F527B">
      <w:pPr>
        <w:pStyle w:val="Heading2"/>
        <w:numPr>
          <w:ilvl w:val="0"/>
          <w:numId w:val="0"/>
        </w:numPr>
        <w:rPr>
          <w:sz w:val="28"/>
        </w:rPr>
      </w:pPr>
    </w:p>
    <w:p w:rsidR="000967EA" w:rsidRPr="00A36628" w:rsidRDefault="00E82136" w:rsidP="000967EA">
      <w:pPr>
        <w:pStyle w:val="Heading2"/>
        <w:rPr>
          <w:sz w:val="28"/>
        </w:rPr>
      </w:pPr>
      <w:r>
        <w:br w:type="page"/>
      </w:r>
      <w:r w:rsidR="000967EA" w:rsidRPr="00A36628">
        <w:rPr>
          <w:sz w:val="28"/>
        </w:rPr>
        <w:lastRenderedPageBreak/>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F61F52">
        <w:trPr>
          <w:trHeight w:val="348"/>
        </w:trPr>
        <w:tc>
          <w:tcPr>
            <w:tcW w:w="8798" w:type="dxa"/>
            <w:shd w:val="clear" w:color="auto" w:fill="auto"/>
          </w:tcPr>
          <w:p w:rsidR="00DE4069" w:rsidRPr="00362D3F" w:rsidRDefault="00DE4069" w:rsidP="00F61F52">
            <w:pPr>
              <w:rPr>
                <w:b/>
              </w:rPr>
            </w:pPr>
            <w:r w:rsidRPr="00362D3F">
              <w:rPr>
                <w:b/>
              </w:rPr>
              <w:t>Please provide details of your pricing in the schedule provided below</w:t>
            </w:r>
          </w:p>
          <w:p w:rsidR="00DE4069" w:rsidRPr="00362D3F" w:rsidRDefault="00DE4069" w:rsidP="00F61F52">
            <w:pPr>
              <w:rPr>
                <w:b/>
              </w:rPr>
            </w:pPr>
          </w:p>
        </w:tc>
        <w:tc>
          <w:tcPr>
            <w:tcW w:w="1187" w:type="dxa"/>
            <w:shd w:val="clear" w:color="auto" w:fill="auto"/>
          </w:tcPr>
          <w:p w:rsidR="00DE4069" w:rsidRPr="00362D3F" w:rsidRDefault="00D13BD3" w:rsidP="00F61F52">
            <w:pPr>
              <w:jc w:val="center"/>
            </w:pPr>
            <w:r>
              <w:t>6</w:t>
            </w:r>
            <w:r w:rsidR="001A206F">
              <w:t>0</w:t>
            </w:r>
          </w:p>
          <w:p w:rsidR="00DE4069" w:rsidRPr="00362D3F" w:rsidRDefault="00DE4069" w:rsidP="00F61F52">
            <w:pPr>
              <w:jc w:val="center"/>
            </w:pPr>
          </w:p>
        </w:tc>
      </w:tr>
    </w:tbl>
    <w:p w:rsidR="00391B8E" w:rsidRDefault="00391B8E" w:rsidP="00391B8E">
      <w:pPr>
        <w:rPr>
          <w:b/>
          <w:color w:val="008080"/>
        </w:rPr>
      </w:pPr>
    </w:p>
    <w:p w:rsidR="00A10B4B" w:rsidRPr="00A10B4B" w:rsidRDefault="00A10B4B" w:rsidP="00A10B4B">
      <w:pPr>
        <w:spacing w:before="120" w:line="240" w:lineRule="atLeast"/>
        <w:jc w:val="both"/>
        <w:rPr>
          <w:rFonts w:cs="Arial"/>
          <w:szCs w:val="24"/>
          <w:u w:val="single"/>
        </w:rPr>
      </w:pPr>
      <w:r w:rsidRPr="00A10B4B">
        <w:rPr>
          <w:rFonts w:cs="Arial"/>
          <w:szCs w:val="24"/>
        </w:rPr>
        <w:t>Please use the following tables as a template for your quotation.  The tables are designed to offer clarity and transparency, but are only an example and not all points will be applicable.  Please edit and add new points as appropriate to facilitate these aims. An electronic version is available upon request.</w:t>
      </w:r>
    </w:p>
    <w:p w:rsidR="00A10B4B" w:rsidRPr="00A10B4B" w:rsidRDefault="00A10B4B" w:rsidP="00A10B4B">
      <w:pPr>
        <w:numPr>
          <w:ilvl w:val="0"/>
          <w:numId w:val="7"/>
        </w:numPr>
        <w:spacing w:before="120" w:line="240" w:lineRule="atLeast"/>
        <w:jc w:val="both"/>
        <w:rPr>
          <w:rFonts w:cs="Arial"/>
          <w:szCs w:val="24"/>
        </w:rPr>
      </w:pPr>
      <w:r w:rsidRPr="00A10B4B">
        <w:rPr>
          <w:rFonts w:cs="Arial"/>
          <w:szCs w:val="24"/>
        </w:rPr>
        <w:t>Table A covers set-price professional fees</w:t>
      </w:r>
    </w:p>
    <w:p w:rsidR="00A10B4B" w:rsidRPr="00A10B4B" w:rsidRDefault="00A10B4B" w:rsidP="00A10B4B">
      <w:pPr>
        <w:numPr>
          <w:ilvl w:val="0"/>
          <w:numId w:val="7"/>
        </w:numPr>
        <w:spacing w:before="120" w:line="240" w:lineRule="atLeast"/>
        <w:jc w:val="both"/>
        <w:rPr>
          <w:rFonts w:cs="Arial"/>
          <w:szCs w:val="24"/>
        </w:rPr>
      </w:pPr>
      <w:r w:rsidRPr="00A10B4B">
        <w:rPr>
          <w:rFonts w:cs="Arial"/>
          <w:szCs w:val="24"/>
        </w:rPr>
        <w:t xml:space="preserve">Table B covers associated costs that you wish to claim for that are not subject to change.  </w:t>
      </w:r>
    </w:p>
    <w:p w:rsidR="00A10B4B" w:rsidRPr="00A10B4B" w:rsidRDefault="00A10B4B" w:rsidP="00A10B4B">
      <w:pPr>
        <w:numPr>
          <w:ilvl w:val="0"/>
          <w:numId w:val="7"/>
        </w:numPr>
        <w:spacing w:before="120" w:line="240" w:lineRule="atLeast"/>
        <w:jc w:val="both"/>
        <w:rPr>
          <w:rFonts w:cs="Arial"/>
          <w:szCs w:val="24"/>
        </w:rPr>
      </w:pPr>
      <w:r w:rsidRPr="00A10B4B">
        <w:rPr>
          <w:rFonts w:cs="Arial"/>
          <w:szCs w:val="24"/>
        </w:rPr>
        <w:t xml:space="preserve">Table C is the ‘Grand Total’ quotation price, exclusive of VAT and disbursements (this price is not subject to increase, but may decrease if, for example, less time is required than quoted.  </w:t>
      </w:r>
    </w:p>
    <w:p w:rsidR="00A10B4B" w:rsidRPr="00A10B4B" w:rsidRDefault="00A10B4B" w:rsidP="00A10B4B">
      <w:pPr>
        <w:numPr>
          <w:ilvl w:val="0"/>
          <w:numId w:val="7"/>
        </w:numPr>
        <w:spacing w:before="120" w:line="240" w:lineRule="atLeast"/>
        <w:jc w:val="both"/>
        <w:rPr>
          <w:rFonts w:cs="Arial"/>
          <w:szCs w:val="24"/>
        </w:rPr>
      </w:pPr>
      <w:r w:rsidRPr="00A10B4B">
        <w:rPr>
          <w:rFonts w:cs="Arial"/>
          <w:szCs w:val="24"/>
        </w:rPr>
        <w:t xml:space="preserve">Table D details best estimates for which you will be able to reclaim the cost upon production of a receipt. Because the number of samples could vary from the quotation, sample-associated costs should be included in this table with an indicative total cost based upon total number of samples envisaged.  </w:t>
      </w:r>
    </w:p>
    <w:p w:rsidR="00A10B4B" w:rsidRPr="00A10B4B" w:rsidRDefault="00A10B4B" w:rsidP="00A10B4B">
      <w:pPr>
        <w:spacing w:before="120" w:line="240" w:lineRule="atLeast"/>
        <w:ind w:left="360"/>
        <w:jc w:val="both"/>
        <w:rPr>
          <w:rFonts w:cs="Arial"/>
          <w:szCs w:val="24"/>
        </w:rPr>
      </w:pPr>
      <w:r w:rsidRPr="00A10B4B">
        <w:rPr>
          <w:rFonts w:cs="Arial"/>
          <w:szCs w:val="24"/>
        </w:rPr>
        <w:t>All queries should be directed to the person named in the Covering Letter of this ITQ.</w:t>
      </w:r>
    </w:p>
    <w:p w:rsidR="00A10B4B" w:rsidRPr="00A10B4B" w:rsidRDefault="00A10B4B" w:rsidP="00A10B4B">
      <w:pPr>
        <w:spacing w:before="120" w:line="240" w:lineRule="atLeast"/>
        <w:jc w:val="both"/>
        <w:rPr>
          <w:rFonts w:cs="Arial"/>
          <w:szCs w:val="24"/>
        </w:rPr>
      </w:pPr>
    </w:p>
    <w:p w:rsidR="00A10B4B" w:rsidRPr="00A10B4B" w:rsidRDefault="00A10B4B" w:rsidP="00A10B4B">
      <w:pPr>
        <w:spacing w:before="120" w:line="240" w:lineRule="atLeast"/>
        <w:jc w:val="both"/>
        <w:rPr>
          <w:rFonts w:cs="Arial"/>
          <w:szCs w:val="24"/>
        </w:rPr>
      </w:pPr>
      <w:r w:rsidRPr="00A10B4B">
        <w:rPr>
          <w:rFonts w:cs="Arial"/>
          <w:szCs w:val="24"/>
        </w:rPr>
        <w:t>Table A – Fees</w:t>
      </w:r>
    </w:p>
    <w:tbl>
      <w:tblPr>
        <w:tblW w:w="9224" w:type="dxa"/>
        <w:tblBorders>
          <w:top w:val="single" w:sz="12" w:space="0" w:color="auto"/>
          <w:bottom w:val="single" w:sz="12" w:space="0" w:color="auto"/>
        </w:tblBorders>
        <w:tblLook w:val="01E0" w:firstRow="1" w:lastRow="1" w:firstColumn="1" w:lastColumn="1" w:noHBand="0" w:noVBand="0"/>
      </w:tblPr>
      <w:tblGrid>
        <w:gridCol w:w="5637"/>
        <w:gridCol w:w="1799"/>
        <w:gridCol w:w="1788"/>
      </w:tblGrid>
      <w:tr w:rsidR="00A10B4B" w:rsidRPr="00A10B4B" w:rsidTr="009426BE">
        <w:tc>
          <w:tcPr>
            <w:tcW w:w="5637" w:type="dxa"/>
            <w:tcBorders>
              <w:top w:val="single" w:sz="12" w:space="0" w:color="auto"/>
              <w:left w:val="single" w:sz="8" w:space="0" w:color="auto"/>
              <w:bottom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Task</w:t>
            </w:r>
          </w:p>
        </w:tc>
        <w:tc>
          <w:tcPr>
            <w:tcW w:w="1799" w:type="dxa"/>
            <w:tcBorders>
              <w:top w:val="single" w:sz="12" w:space="0" w:color="auto"/>
              <w:left w:val="single" w:sz="8" w:space="0" w:color="auto"/>
              <w:bottom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Time input (days)</w:t>
            </w:r>
            <w:r w:rsidRPr="00A10B4B">
              <w:rPr>
                <w:rFonts w:cs="Arial"/>
                <w:szCs w:val="24"/>
                <w:vertAlign w:val="superscript"/>
              </w:rPr>
              <w:t>†</w:t>
            </w:r>
          </w:p>
        </w:tc>
        <w:tc>
          <w:tcPr>
            <w:tcW w:w="1788" w:type="dxa"/>
            <w:tcBorders>
              <w:top w:val="single" w:sz="12" w:space="0" w:color="auto"/>
              <w:left w:val="single" w:sz="8" w:space="0" w:color="auto"/>
              <w:bottom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Cost (£)</w:t>
            </w:r>
          </w:p>
        </w:tc>
      </w:tr>
      <w:tr w:rsidR="00A10B4B" w:rsidRPr="00A10B4B" w:rsidTr="009426BE">
        <w:tc>
          <w:tcPr>
            <w:tcW w:w="5637" w:type="dxa"/>
            <w:tcBorders>
              <w:top w:val="single" w:sz="8" w:space="0" w:color="auto"/>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u w:val="single"/>
              </w:rPr>
            </w:pPr>
            <w:r w:rsidRPr="00A10B4B">
              <w:rPr>
                <w:rFonts w:cs="Arial"/>
                <w:szCs w:val="24"/>
                <w:u w:val="single"/>
              </w:rPr>
              <w:t>Tasks 2-6 of the ITT</w:t>
            </w:r>
          </w:p>
        </w:tc>
        <w:tc>
          <w:tcPr>
            <w:tcW w:w="1799" w:type="dxa"/>
            <w:tcBorders>
              <w:top w:val="single" w:sz="8" w:space="0" w:color="auto"/>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88" w:type="dxa"/>
            <w:tcBorders>
              <w:top w:val="single" w:sz="8" w:space="0" w:color="auto"/>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r>
      <w:tr w:rsidR="00A10B4B" w:rsidRPr="00A10B4B" w:rsidTr="009426BE">
        <w:tc>
          <w:tcPr>
            <w:tcW w:w="5637"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99"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88"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r>
      <w:tr w:rsidR="00A10B4B" w:rsidRPr="00A10B4B" w:rsidTr="009426BE">
        <w:tc>
          <w:tcPr>
            <w:tcW w:w="5637"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General preparation, reviewing of site report(s), maps etc., accessing information, prep. of risk assessments and H&amp;S reports</w:t>
            </w:r>
          </w:p>
        </w:tc>
        <w:tc>
          <w:tcPr>
            <w:tcW w:w="1799"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88"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r>
      <w:tr w:rsidR="00A10B4B" w:rsidRPr="00A10B4B" w:rsidTr="009426BE">
        <w:tc>
          <w:tcPr>
            <w:tcW w:w="5637"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Field investigations including setting out sampling grid, surveying and sampling</w:t>
            </w:r>
          </w:p>
        </w:tc>
        <w:tc>
          <w:tcPr>
            <w:tcW w:w="1799"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88"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r>
      <w:tr w:rsidR="00A10B4B" w:rsidRPr="00A10B4B" w:rsidTr="009426BE">
        <w:tc>
          <w:tcPr>
            <w:tcW w:w="5637"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Analysis and interpretation of information, preparation of draft report including plans</w:t>
            </w:r>
          </w:p>
        </w:tc>
        <w:tc>
          <w:tcPr>
            <w:tcW w:w="1799"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88"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r>
      <w:tr w:rsidR="00A10B4B" w:rsidRPr="00A10B4B" w:rsidTr="009426BE">
        <w:tc>
          <w:tcPr>
            <w:tcW w:w="5637"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Preparation of final report (x2) and maps and an appropriate computer-based format copy</w:t>
            </w:r>
          </w:p>
        </w:tc>
        <w:tc>
          <w:tcPr>
            <w:tcW w:w="1799"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88"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r>
      <w:tr w:rsidR="00A10B4B" w:rsidRPr="00A10B4B" w:rsidTr="009426BE">
        <w:tc>
          <w:tcPr>
            <w:tcW w:w="5637" w:type="dxa"/>
            <w:tcBorders>
              <w:left w:val="single" w:sz="8" w:space="0" w:color="auto"/>
              <w:bottom w:val="nil"/>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99" w:type="dxa"/>
            <w:tcBorders>
              <w:left w:val="single" w:sz="8" w:space="0" w:color="auto"/>
              <w:bottom w:val="nil"/>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88" w:type="dxa"/>
            <w:tcBorders>
              <w:left w:val="single" w:sz="8" w:space="0" w:color="auto"/>
              <w:bottom w:val="nil"/>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r>
      <w:tr w:rsidR="00A10B4B" w:rsidRPr="00A10B4B" w:rsidTr="009426BE">
        <w:tc>
          <w:tcPr>
            <w:tcW w:w="5637" w:type="dxa"/>
            <w:tcBorders>
              <w:left w:val="single" w:sz="8" w:space="0" w:color="auto"/>
              <w:bottom w:val="nil"/>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lastRenderedPageBreak/>
              <w:t>Others &lt;please specify&gt;</w:t>
            </w:r>
          </w:p>
        </w:tc>
        <w:tc>
          <w:tcPr>
            <w:tcW w:w="1799" w:type="dxa"/>
            <w:tcBorders>
              <w:left w:val="single" w:sz="8" w:space="0" w:color="auto"/>
              <w:bottom w:val="nil"/>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88" w:type="dxa"/>
            <w:tcBorders>
              <w:left w:val="single" w:sz="8" w:space="0" w:color="auto"/>
              <w:bottom w:val="nil"/>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r>
      <w:tr w:rsidR="00A10B4B" w:rsidRPr="00A10B4B" w:rsidTr="009426BE">
        <w:tc>
          <w:tcPr>
            <w:tcW w:w="5637" w:type="dxa"/>
            <w:tcBorders>
              <w:left w:val="single" w:sz="8" w:space="0" w:color="auto"/>
              <w:bottom w:val="nil"/>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99" w:type="dxa"/>
            <w:tcBorders>
              <w:left w:val="single" w:sz="8" w:space="0" w:color="auto"/>
              <w:bottom w:val="nil"/>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88" w:type="dxa"/>
            <w:tcBorders>
              <w:left w:val="single" w:sz="8" w:space="0" w:color="auto"/>
              <w:bottom w:val="nil"/>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r>
      <w:tr w:rsidR="00A10B4B" w:rsidRPr="00A10B4B" w:rsidTr="009426BE">
        <w:tc>
          <w:tcPr>
            <w:tcW w:w="5637" w:type="dxa"/>
            <w:tcBorders>
              <w:top w:val="nil"/>
              <w:left w:val="single" w:sz="8" w:space="0" w:color="auto"/>
              <w:bottom w:val="double" w:sz="4"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vertAlign w:val="superscript"/>
              </w:rPr>
              <w:t>†</w:t>
            </w:r>
            <w:r w:rsidRPr="00A10B4B">
              <w:rPr>
                <w:rFonts w:cs="Arial"/>
                <w:szCs w:val="24"/>
              </w:rPr>
              <w:t xml:space="preserve"> &lt;please specify day rate(s)&gt;</w:t>
            </w:r>
          </w:p>
        </w:tc>
        <w:tc>
          <w:tcPr>
            <w:tcW w:w="1799" w:type="dxa"/>
            <w:tcBorders>
              <w:top w:val="nil"/>
              <w:left w:val="single" w:sz="8" w:space="0" w:color="auto"/>
              <w:bottom w:val="double" w:sz="4"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88" w:type="dxa"/>
            <w:tcBorders>
              <w:top w:val="nil"/>
              <w:left w:val="single" w:sz="8" w:space="0" w:color="auto"/>
              <w:bottom w:val="double" w:sz="4"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r>
      <w:tr w:rsidR="00A10B4B" w:rsidRPr="00A10B4B" w:rsidTr="009426BE">
        <w:trPr>
          <w:trHeight w:val="397"/>
        </w:trPr>
        <w:tc>
          <w:tcPr>
            <w:tcW w:w="5637" w:type="dxa"/>
            <w:tcBorders>
              <w:top w:val="double" w:sz="4" w:space="0" w:color="auto"/>
              <w:left w:val="single" w:sz="8" w:space="0" w:color="auto"/>
              <w:bottom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799" w:type="dxa"/>
            <w:tcBorders>
              <w:top w:val="double" w:sz="4" w:space="0" w:color="auto"/>
              <w:left w:val="single" w:sz="8" w:space="0" w:color="auto"/>
              <w:bottom w:val="single" w:sz="8" w:space="0" w:color="auto"/>
              <w:right w:val="single" w:sz="8" w:space="0" w:color="auto"/>
            </w:tcBorders>
            <w:shd w:val="clear" w:color="auto" w:fill="auto"/>
            <w:vAlign w:val="center"/>
          </w:tcPr>
          <w:p w:rsidR="00A10B4B" w:rsidRPr="00A10B4B" w:rsidRDefault="00A10B4B" w:rsidP="00A10B4B">
            <w:pPr>
              <w:spacing w:before="120" w:line="240" w:lineRule="atLeast"/>
              <w:jc w:val="both"/>
              <w:rPr>
                <w:rFonts w:cs="Arial"/>
                <w:szCs w:val="24"/>
              </w:rPr>
            </w:pPr>
            <w:r w:rsidRPr="00A10B4B">
              <w:rPr>
                <w:rFonts w:cs="Arial"/>
                <w:szCs w:val="24"/>
              </w:rPr>
              <w:t>Total</w:t>
            </w:r>
          </w:p>
        </w:tc>
        <w:tc>
          <w:tcPr>
            <w:tcW w:w="1788" w:type="dxa"/>
            <w:tcBorders>
              <w:top w:val="double" w:sz="4" w:space="0" w:color="auto"/>
              <w:left w:val="single" w:sz="8" w:space="0" w:color="auto"/>
              <w:bottom w:val="single" w:sz="8" w:space="0" w:color="auto"/>
              <w:right w:val="single" w:sz="8" w:space="0" w:color="auto"/>
            </w:tcBorders>
            <w:shd w:val="clear" w:color="auto" w:fill="auto"/>
            <w:vAlign w:val="center"/>
          </w:tcPr>
          <w:p w:rsidR="00A10B4B" w:rsidRPr="00A10B4B" w:rsidRDefault="00A10B4B" w:rsidP="00A10B4B">
            <w:pPr>
              <w:spacing w:before="120" w:line="240" w:lineRule="atLeast"/>
              <w:jc w:val="both"/>
              <w:rPr>
                <w:rFonts w:cs="Arial"/>
                <w:szCs w:val="24"/>
              </w:rPr>
            </w:pPr>
          </w:p>
        </w:tc>
      </w:tr>
    </w:tbl>
    <w:p w:rsidR="00A10B4B" w:rsidRPr="00A10B4B" w:rsidRDefault="00A10B4B" w:rsidP="00A10B4B">
      <w:pPr>
        <w:spacing w:before="120" w:line="240" w:lineRule="atLeast"/>
        <w:jc w:val="both"/>
        <w:rPr>
          <w:rFonts w:cs="Arial"/>
          <w:szCs w:val="24"/>
        </w:rPr>
      </w:pPr>
    </w:p>
    <w:p w:rsidR="00A10B4B" w:rsidRPr="00A10B4B" w:rsidRDefault="00A10B4B" w:rsidP="00A10B4B">
      <w:pPr>
        <w:spacing w:before="120" w:line="240" w:lineRule="atLeast"/>
        <w:jc w:val="both"/>
        <w:rPr>
          <w:rFonts w:cs="Arial"/>
          <w:szCs w:val="24"/>
        </w:rPr>
      </w:pPr>
    </w:p>
    <w:p w:rsidR="00A10B4B" w:rsidRPr="00A10B4B" w:rsidRDefault="00A10B4B" w:rsidP="00A10B4B">
      <w:pPr>
        <w:spacing w:before="120" w:line="240" w:lineRule="atLeast"/>
        <w:jc w:val="both"/>
        <w:rPr>
          <w:rFonts w:cs="Arial"/>
          <w:szCs w:val="24"/>
        </w:rPr>
      </w:pPr>
      <w:r w:rsidRPr="00A10B4B">
        <w:rPr>
          <w:rFonts w:cs="Arial"/>
          <w:szCs w:val="24"/>
        </w:rPr>
        <w:t>Table B – Expenses/ Associated Costs</w:t>
      </w:r>
    </w:p>
    <w:tbl>
      <w:tblPr>
        <w:tblW w:w="9181" w:type="dxa"/>
        <w:tblBorders>
          <w:top w:val="single" w:sz="12" w:space="0" w:color="auto"/>
          <w:bottom w:val="single" w:sz="12" w:space="0" w:color="auto"/>
        </w:tblBorders>
        <w:tblLook w:val="01E0" w:firstRow="1" w:lastRow="1" w:firstColumn="1" w:lastColumn="1" w:noHBand="0" w:noVBand="0"/>
      </w:tblPr>
      <w:tblGrid>
        <w:gridCol w:w="7338"/>
        <w:gridCol w:w="1843"/>
      </w:tblGrid>
      <w:tr w:rsidR="00A10B4B" w:rsidRPr="00A10B4B" w:rsidTr="009426BE">
        <w:tc>
          <w:tcPr>
            <w:tcW w:w="7338" w:type="dxa"/>
            <w:tcBorders>
              <w:top w:val="single" w:sz="12" w:space="0" w:color="auto"/>
              <w:left w:val="single" w:sz="8" w:space="0" w:color="auto"/>
              <w:bottom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Item</w:t>
            </w:r>
          </w:p>
        </w:tc>
        <w:tc>
          <w:tcPr>
            <w:tcW w:w="1843" w:type="dxa"/>
            <w:tcBorders>
              <w:top w:val="single" w:sz="12" w:space="0" w:color="auto"/>
              <w:left w:val="single" w:sz="8" w:space="0" w:color="auto"/>
              <w:bottom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Cost (£)</w:t>
            </w: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Mileage &lt; please specify per mile amount&gt;</w:t>
            </w:r>
          </w:p>
        </w:tc>
        <w:tc>
          <w:tcPr>
            <w:tcW w:w="1843"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Subsistence &lt; please specify rate&gt;</w:t>
            </w:r>
          </w:p>
        </w:tc>
        <w:tc>
          <w:tcPr>
            <w:tcW w:w="1843"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Consumables</w:t>
            </w:r>
          </w:p>
        </w:tc>
        <w:tc>
          <w:tcPr>
            <w:tcW w:w="1843"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ind w:left="34" w:hanging="34"/>
              <w:jc w:val="both"/>
              <w:rPr>
                <w:rFonts w:cs="Arial"/>
                <w:szCs w:val="24"/>
              </w:rPr>
            </w:pPr>
          </w:p>
        </w:tc>
      </w:tr>
      <w:tr w:rsidR="00A10B4B" w:rsidRPr="00A10B4B" w:rsidTr="009426BE">
        <w:tc>
          <w:tcPr>
            <w:tcW w:w="7338" w:type="dxa"/>
            <w:tcBorders>
              <w:top w:val="nil"/>
              <w:left w:val="single" w:sz="8" w:space="0" w:color="auto"/>
              <w:bottom w:val="nil"/>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Others &lt;please specify&gt;</w:t>
            </w:r>
          </w:p>
        </w:tc>
        <w:tc>
          <w:tcPr>
            <w:tcW w:w="1843" w:type="dxa"/>
            <w:tcBorders>
              <w:top w:val="nil"/>
              <w:left w:val="single" w:sz="8" w:space="0" w:color="auto"/>
              <w:bottom w:val="nil"/>
              <w:right w:val="single" w:sz="8" w:space="0" w:color="auto"/>
            </w:tcBorders>
            <w:shd w:val="clear" w:color="auto" w:fill="auto"/>
          </w:tcPr>
          <w:p w:rsidR="00A10B4B" w:rsidRPr="00A10B4B" w:rsidRDefault="00A10B4B" w:rsidP="00A10B4B">
            <w:pPr>
              <w:spacing w:before="120" w:line="240" w:lineRule="atLeast"/>
              <w:ind w:left="34" w:hanging="34"/>
              <w:jc w:val="both"/>
              <w:rPr>
                <w:rFonts w:cs="Arial"/>
                <w:szCs w:val="24"/>
              </w:rPr>
            </w:pPr>
          </w:p>
        </w:tc>
      </w:tr>
      <w:tr w:rsidR="00A10B4B" w:rsidRPr="00A10B4B" w:rsidTr="009426BE">
        <w:tc>
          <w:tcPr>
            <w:tcW w:w="7338" w:type="dxa"/>
            <w:tcBorders>
              <w:top w:val="nil"/>
              <w:left w:val="single" w:sz="8" w:space="0" w:color="auto"/>
              <w:bottom w:val="double" w:sz="4"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1843" w:type="dxa"/>
            <w:tcBorders>
              <w:top w:val="nil"/>
              <w:left w:val="single" w:sz="8" w:space="0" w:color="auto"/>
              <w:bottom w:val="double" w:sz="4" w:space="0" w:color="auto"/>
              <w:right w:val="single" w:sz="8" w:space="0" w:color="auto"/>
            </w:tcBorders>
            <w:shd w:val="clear" w:color="auto" w:fill="auto"/>
          </w:tcPr>
          <w:p w:rsidR="00A10B4B" w:rsidRPr="00A10B4B" w:rsidRDefault="00A10B4B" w:rsidP="00A10B4B">
            <w:pPr>
              <w:spacing w:before="120" w:line="240" w:lineRule="atLeast"/>
              <w:ind w:left="34" w:hanging="34"/>
              <w:jc w:val="both"/>
              <w:rPr>
                <w:rFonts w:cs="Arial"/>
                <w:szCs w:val="24"/>
              </w:rPr>
            </w:pPr>
          </w:p>
        </w:tc>
      </w:tr>
      <w:tr w:rsidR="00A10B4B" w:rsidRPr="00A10B4B" w:rsidTr="009426BE">
        <w:trPr>
          <w:trHeight w:val="397"/>
        </w:trPr>
        <w:tc>
          <w:tcPr>
            <w:tcW w:w="7338" w:type="dxa"/>
            <w:tcBorders>
              <w:top w:val="double" w:sz="4" w:space="0" w:color="auto"/>
              <w:left w:val="single" w:sz="8" w:space="0" w:color="auto"/>
              <w:bottom w:val="single" w:sz="12" w:space="0" w:color="auto"/>
              <w:right w:val="single" w:sz="8" w:space="0" w:color="auto"/>
            </w:tcBorders>
            <w:shd w:val="clear" w:color="auto" w:fill="auto"/>
            <w:vAlign w:val="center"/>
          </w:tcPr>
          <w:p w:rsidR="00A10B4B" w:rsidRPr="00A10B4B" w:rsidRDefault="00A10B4B" w:rsidP="00A10B4B">
            <w:pPr>
              <w:spacing w:before="120" w:line="240" w:lineRule="atLeast"/>
              <w:jc w:val="both"/>
              <w:rPr>
                <w:rFonts w:cs="Arial"/>
                <w:szCs w:val="24"/>
              </w:rPr>
            </w:pPr>
            <w:r w:rsidRPr="00A10B4B">
              <w:rPr>
                <w:rFonts w:cs="Arial"/>
                <w:szCs w:val="24"/>
              </w:rPr>
              <w:t>Total</w:t>
            </w:r>
          </w:p>
        </w:tc>
        <w:tc>
          <w:tcPr>
            <w:tcW w:w="1843" w:type="dxa"/>
            <w:tcBorders>
              <w:top w:val="double" w:sz="4" w:space="0" w:color="auto"/>
              <w:left w:val="single" w:sz="8" w:space="0" w:color="auto"/>
              <w:bottom w:val="single" w:sz="12" w:space="0" w:color="auto"/>
              <w:right w:val="single" w:sz="8" w:space="0" w:color="auto"/>
            </w:tcBorders>
            <w:shd w:val="clear" w:color="auto" w:fill="auto"/>
            <w:vAlign w:val="center"/>
          </w:tcPr>
          <w:p w:rsidR="00A10B4B" w:rsidRPr="00A10B4B" w:rsidRDefault="00A10B4B" w:rsidP="00A10B4B">
            <w:pPr>
              <w:spacing w:before="120" w:line="240" w:lineRule="atLeast"/>
              <w:jc w:val="both"/>
              <w:rPr>
                <w:rFonts w:cs="Arial"/>
                <w:szCs w:val="24"/>
              </w:rPr>
            </w:pPr>
          </w:p>
        </w:tc>
      </w:tr>
    </w:tbl>
    <w:p w:rsidR="00A10B4B" w:rsidRDefault="00A10B4B" w:rsidP="00A10B4B">
      <w:pPr>
        <w:spacing w:before="120" w:line="240" w:lineRule="atLeast"/>
        <w:jc w:val="both"/>
        <w:rPr>
          <w:rFonts w:cs="Arial"/>
          <w:szCs w:val="24"/>
        </w:rPr>
      </w:pPr>
    </w:p>
    <w:p w:rsidR="00862785" w:rsidRPr="00A10B4B" w:rsidRDefault="00862785" w:rsidP="00A10B4B">
      <w:pPr>
        <w:spacing w:before="120" w:line="240" w:lineRule="atLeast"/>
        <w:jc w:val="both"/>
        <w:rPr>
          <w:rFonts w:cs="Arial"/>
          <w:szCs w:val="24"/>
        </w:rPr>
      </w:pPr>
    </w:p>
    <w:p w:rsidR="00A10B4B" w:rsidRPr="00A10B4B" w:rsidRDefault="00A10B4B" w:rsidP="00A10B4B">
      <w:pPr>
        <w:spacing w:before="120" w:line="240" w:lineRule="atLeast"/>
        <w:jc w:val="both"/>
        <w:rPr>
          <w:rFonts w:cs="Arial"/>
          <w:szCs w:val="24"/>
        </w:rPr>
      </w:pPr>
      <w:r w:rsidRPr="00A10B4B">
        <w:rPr>
          <w:rFonts w:cs="Arial"/>
          <w:szCs w:val="24"/>
        </w:rPr>
        <w:t>Table C – Grand Total</w:t>
      </w:r>
    </w:p>
    <w:tbl>
      <w:tblPr>
        <w:tblW w:w="5736" w:type="dxa"/>
        <w:tblBorders>
          <w:top w:val="single" w:sz="12" w:space="0" w:color="auto"/>
          <w:bottom w:val="single" w:sz="12" w:space="0" w:color="auto"/>
        </w:tblBorders>
        <w:tblLook w:val="01E0" w:firstRow="1" w:lastRow="1" w:firstColumn="1" w:lastColumn="1" w:noHBand="0" w:noVBand="0"/>
      </w:tblPr>
      <w:tblGrid>
        <w:gridCol w:w="3227"/>
        <w:gridCol w:w="2509"/>
      </w:tblGrid>
      <w:tr w:rsidR="00A10B4B" w:rsidRPr="00A10B4B" w:rsidTr="009426BE">
        <w:trPr>
          <w:trHeight w:val="340"/>
        </w:trPr>
        <w:tc>
          <w:tcPr>
            <w:tcW w:w="3227" w:type="dxa"/>
            <w:tcBorders>
              <w:top w:val="single" w:sz="12" w:space="0" w:color="auto"/>
              <w:left w:val="single" w:sz="8" w:space="0" w:color="auto"/>
              <w:bottom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2509" w:type="dxa"/>
            <w:tcBorders>
              <w:top w:val="single" w:sz="12" w:space="0" w:color="auto"/>
              <w:left w:val="single" w:sz="8" w:space="0" w:color="auto"/>
              <w:bottom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Cost (£)</w:t>
            </w:r>
          </w:p>
        </w:tc>
      </w:tr>
      <w:tr w:rsidR="00A10B4B" w:rsidRPr="00A10B4B" w:rsidTr="009426BE">
        <w:trPr>
          <w:trHeight w:val="340"/>
        </w:trPr>
        <w:tc>
          <w:tcPr>
            <w:tcW w:w="3227" w:type="dxa"/>
            <w:tcBorders>
              <w:top w:val="single" w:sz="8" w:space="0" w:color="auto"/>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Total A</w:t>
            </w:r>
          </w:p>
        </w:tc>
        <w:tc>
          <w:tcPr>
            <w:tcW w:w="2509" w:type="dxa"/>
            <w:tcBorders>
              <w:top w:val="single" w:sz="8" w:space="0" w:color="auto"/>
              <w:left w:val="single" w:sz="8" w:space="0" w:color="auto"/>
              <w:right w:val="single" w:sz="8" w:space="0" w:color="auto"/>
            </w:tcBorders>
            <w:shd w:val="clear" w:color="auto" w:fill="auto"/>
          </w:tcPr>
          <w:p w:rsidR="00A10B4B" w:rsidRPr="00A10B4B" w:rsidRDefault="00A10B4B" w:rsidP="00A10B4B">
            <w:pPr>
              <w:spacing w:before="120" w:line="240" w:lineRule="atLeast"/>
              <w:ind w:left="34" w:hanging="34"/>
              <w:jc w:val="both"/>
              <w:rPr>
                <w:rFonts w:cs="Arial"/>
                <w:szCs w:val="24"/>
              </w:rPr>
            </w:pPr>
          </w:p>
        </w:tc>
      </w:tr>
      <w:tr w:rsidR="00A10B4B" w:rsidRPr="00A10B4B" w:rsidTr="009426BE">
        <w:trPr>
          <w:trHeight w:val="340"/>
        </w:trPr>
        <w:tc>
          <w:tcPr>
            <w:tcW w:w="3227"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Total B</w:t>
            </w:r>
          </w:p>
        </w:tc>
        <w:tc>
          <w:tcPr>
            <w:tcW w:w="2509"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ind w:left="34" w:hanging="34"/>
              <w:jc w:val="both"/>
              <w:rPr>
                <w:rFonts w:cs="Arial"/>
                <w:szCs w:val="24"/>
              </w:rPr>
            </w:pPr>
          </w:p>
        </w:tc>
      </w:tr>
      <w:tr w:rsidR="00A10B4B" w:rsidRPr="00A10B4B" w:rsidTr="009426BE">
        <w:trPr>
          <w:trHeight w:val="340"/>
        </w:trPr>
        <w:tc>
          <w:tcPr>
            <w:tcW w:w="3227"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r w:rsidRPr="00A10B4B">
              <w:rPr>
                <w:rFonts w:cs="Arial"/>
                <w:szCs w:val="24"/>
              </w:rPr>
              <w:t>Others &lt;please specify&gt;</w:t>
            </w:r>
          </w:p>
        </w:tc>
        <w:tc>
          <w:tcPr>
            <w:tcW w:w="2509" w:type="dxa"/>
            <w:tcBorders>
              <w:left w:val="single" w:sz="8" w:space="0" w:color="auto"/>
              <w:right w:val="single" w:sz="8" w:space="0" w:color="auto"/>
            </w:tcBorders>
            <w:shd w:val="clear" w:color="auto" w:fill="auto"/>
          </w:tcPr>
          <w:p w:rsidR="00A10B4B" w:rsidRPr="00A10B4B" w:rsidRDefault="00A10B4B" w:rsidP="00A10B4B">
            <w:pPr>
              <w:spacing w:before="120" w:line="240" w:lineRule="atLeast"/>
              <w:ind w:left="34" w:hanging="34"/>
              <w:jc w:val="both"/>
              <w:rPr>
                <w:rFonts w:cs="Arial"/>
                <w:szCs w:val="24"/>
              </w:rPr>
            </w:pPr>
          </w:p>
        </w:tc>
      </w:tr>
      <w:tr w:rsidR="00A10B4B" w:rsidRPr="00A10B4B" w:rsidTr="009426BE">
        <w:trPr>
          <w:trHeight w:val="340"/>
        </w:trPr>
        <w:tc>
          <w:tcPr>
            <w:tcW w:w="3227" w:type="dxa"/>
            <w:tcBorders>
              <w:top w:val="nil"/>
              <w:left w:val="single" w:sz="8" w:space="0" w:color="auto"/>
              <w:bottom w:val="double" w:sz="4" w:space="0" w:color="auto"/>
              <w:right w:val="single" w:sz="8" w:space="0" w:color="auto"/>
            </w:tcBorders>
            <w:shd w:val="clear" w:color="auto" w:fill="auto"/>
          </w:tcPr>
          <w:p w:rsidR="00A10B4B" w:rsidRPr="00A10B4B" w:rsidRDefault="00A10B4B" w:rsidP="00A10B4B">
            <w:pPr>
              <w:spacing w:before="120" w:line="240" w:lineRule="atLeast"/>
              <w:jc w:val="both"/>
              <w:rPr>
                <w:rFonts w:cs="Arial"/>
                <w:szCs w:val="24"/>
              </w:rPr>
            </w:pPr>
          </w:p>
        </w:tc>
        <w:tc>
          <w:tcPr>
            <w:tcW w:w="2509" w:type="dxa"/>
            <w:tcBorders>
              <w:top w:val="nil"/>
              <w:left w:val="single" w:sz="8" w:space="0" w:color="auto"/>
              <w:bottom w:val="double" w:sz="4" w:space="0" w:color="auto"/>
              <w:right w:val="single" w:sz="8" w:space="0" w:color="auto"/>
            </w:tcBorders>
            <w:shd w:val="clear" w:color="auto" w:fill="auto"/>
          </w:tcPr>
          <w:p w:rsidR="00A10B4B" w:rsidRPr="00A10B4B" w:rsidRDefault="00A10B4B" w:rsidP="00A10B4B">
            <w:pPr>
              <w:spacing w:before="120" w:line="240" w:lineRule="atLeast"/>
              <w:ind w:left="34" w:hanging="34"/>
              <w:jc w:val="both"/>
              <w:rPr>
                <w:rFonts w:cs="Arial"/>
                <w:szCs w:val="24"/>
              </w:rPr>
            </w:pPr>
          </w:p>
        </w:tc>
      </w:tr>
      <w:tr w:rsidR="00A10B4B" w:rsidRPr="00A10B4B" w:rsidTr="009426BE">
        <w:trPr>
          <w:trHeight w:val="340"/>
        </w:trPr>
        <w:tc>
          <w:tcPr>
            <w:tcW w:w="3227" w:type="dxa"/>
            <w:tcBorders>
              <w:top w:val="double" w:sz="4" w:space="0" w:color="auto"/>
              <w:left w:val="single" w:sz="8" w:space="0" w:color="auto"/>
              <w:bottom w:val="single" w:sz="12" w:space="0" w:color="auto"/>
              <w:right w:val="single" w:sz="8" w:space="0" w:color="auto"/>
            </w:tcBorders>
            <w:shd w:val="clear" w:color="auto" w:fill="auto"/>
            <w:vAlign w:val="center"/>
          </w:tcPr>
          <w:p w:rsidR="00A10B4B" w:rsidRPr="00A10B4B" w:rsidRDefault="00A10B4B" w:rsidP="00A10B4B">
            <w:pPr>
              <w:spacing w:before="120" w:line="240" w:lineRule="atLeast"/>
              <w:jc w:val="both"/>
              <w:rPr>
                <w:rFonts w:cs="Arial"/>
                <w:szCs w:val="24"/>
              </w:rPr>
            </w:pPr>
            <w:r w:rsidRPr="00A10B4B">
              <w:rPr>
                <w:rFonts w:cs="Arial"/>
                <w:szCs w:val="24"/>
              </w:rPr>
              <w:t xml:space="preserve"> Grand Total</w:t>
            </w:r>
            <w:r w:rsidRPr="00A10B4B">
              <w:rPr>
                <w:rFonts w:cs="Arial"/>
                <w:szCs w:val="24"/>
                <w:vertAlign w:val="superscript"/>
              </w:rPr>
              <w:t>‡</w:t>
            </w:r>
          </w:p>
        </w:tc>
        <w:tc>
          <w:tcPr>
            <w:tcW w:w="2509" w:type="dxa"/>
            <w:tcBorders>
              <w:top w:val="double" w:sz="4" w:space="0" w:color="auto"/>
              <w:left w:val="single" w:sz="8" w:space="0" w:color="auto"/>
              <w:bottom w:val="single" w:sz="12" w:space="0" w:color="auto"/>
              <w:right w:val="single" w:sz="8" w:space="0" w:color="auto"/>
            </w:tcBorders>
            <w:shd w:val="clear" w:color="auto" w:fill="auto"/>
            <w:vAlign w:val="center"/>
          </w:tcPr>
          <w:p w:rsidR="00A10B4B" w:rsidRPr="00A10B4B" w:rsidRDefault="00A10B4B" w:rsidP="00A10B4B">
            <w:pPr>
              <w:spacing w:before="120" w:line="240" w:lineRule="atLeast"/>
              <w:jc w:val="both"/>
              <w:rPr>
                <w:rFonts w:cs="Arial"/>
                <w:szCs w:val="24"/>
              </w:rPr>
            </w:pPr>
          </w:p>
        </w:tc>
      </w:tr>
    </w:tbl>
    <w:p w:rsidR="00A10B4B" w:rsidRPr="00A10B4B" w:rsidRDefault="00A10B4B" w:rsidP="00A10B4B">
      <w:pPr>
        <w:spacing w:before="120" w:line="240" w:lineRule="atLeast"/>
        <w:jc w:val="both"/>
        <w:rPr>
          <w:rFonts w:cs="Arial"/>
          <w:szCs w:val="24"/>
        </w:rPr>
      </w:pPr>
      <w:r w:rsidRPr="00A10B4B">
        <w:rPr>
          <w:rFonts w:cs="Arial"/>
          <w:szCs w:val="24"/>
          <w:vertAlign w:val="superscript"/>
        </w:rPr>
        <w:t>‡</w:t>
      </w:r>
      <w:r w:rsidRPr="00A10B4B">
        <w:rPr>
          <w:rFonts w:cs="Arial"/>
          <w:szCs w:val="24"/>
        </w:rPr>
        <w:t xml:space="preserve"> Exclusive of VAT and exclusive of disbursements </w:t>
      </w:r>
    </w:p>
    <w:p w:rsidR="00A10B4B" w:rsidRDefault="00A10B4B" w:rsidP="00A10B4B">
      <w:pPr>
        <w:spacing w:before="120" w:line="240" w:lineRule="atLeast"/>
        <w:jc w:val="both"/>
        <w:rPr>
          <w:rFonts w:cs="Arial"/>
          <w:szCs w:val="24"/>
        </w:rPr>
      </w:pPr>
    </w:p>
    <w:p w:rsidR="00862785" w:rsidRDefault="00862785" w:rsidP="00A10B4B">
      <w:pPr>
        <w:spacing w:before="120" w:line="240" w:lineRule="atLeast"/>
        <w:jc w:val="both"/>
        <w:rPr>
          <w:rFonts w:cs="Arial"/>
          <w:szCs w:val="24"/>
        </w:rPr>
      </w:pPr>
    </w:p>
    <w:p w:rsidR="00862785" w:rsidRDefault="00862785" w:rsidP="00A10B4B">
      <w:pPr>
        <w:spacing w:before="120" w:line="240" w:lineRule="atLeast"/>
        <w:jc w:val="both"/>
        <w:rPr>
          <w:rFonts w:cs="Arial"/>
          <w:szCs w:val="24"/>
        </w:rPr>
      </w:pPr>
    </w:p>
    <w:p w:rsidR="00862785" w:rsidRDefault="00862785" w:rsidP="00A10B4B">
      <w:pPr>
        <w:spacing w:before="120" w:line="240" w:lineRule="atLeast"/>
        <w:jc w:val="both"/>
        <w:rPr>
          <w:rFonts w:cs="Arial"/>
          <w:szCs w:val="24"/>
        </w:rPr>
      </w:pPr>
    </w:p>
    <w:p w:rsidR="00862785" w:rsidRDefault="00862785" w:rsidP="00A10B4B">
      <w:pPr>
        <w:spacing w:before="120" w:line="240" w:lineRule="atLeast"/>
        <w:jc w:val="both"/>
        <w:rPr>
          <w:rFonts w:cs="Arial"/>
          <w:szCs w:val="24"/>
        </w:rPr>
      </w:pPr>
    </w:p>
    <w:p w:rsidR="00862785" w:rsidRDefault="00862785" w:rsidP="00A10B4B">
      <w:pPr>
        <w:spacing w:before="120" w:line="240" w:lineRule="atLeast"/>
        <w:jc w:val="both"/>
        <w:rPr>
          <w:rFonts w:cs="Arial"/>
          <w:szCs w:val="24"/>
        </w:rPr>
      </w:pPr>
    </w:p>
    <w:p w:rsidR="00862785" w:rsidRPr="00A10B4B" w:rsidRDefault="00862785" w:rsidP="00A10B4B">
      <w:pPr>
        <w:spacing w:before="120" w:line="240" w:lineRule="atLeast"/>
        <w:jc w:val="both"/>
        <w:rPr>
          <w:rFonts w:cs="Arial"/>
          <w:szCs w:val="24"/>
        </w:rPr>
      </w:pPr>
    </w:p>
    <w:p w:rsidR="00A10B4B" w:rsidRPr="00A10B4B" w:rsidRDefault="00A10B4B" w:rsidP="00A10B4B">
      <w:pPr>
        <w:spacing w:before="120" w:line="240" w:lineRule="atLeast"/>
        <w:jc w:val="both"/>
        <w:rPr>
          <w:rFonts w:cs="Arial"/>
          <w:szCs w:val="24"/>
        </w:rPr>
      </w:pPr>
      <w:r w:rsidRPr="00A10B4B">
        <w:rPr>
          <w:rFonts w:cs="Arial"/>
          <w:szCs w:val="24"/>
        </w:rPr>
        <w:lastRenderedPageBreak/>
        <w:t>Table D – Provisional Sum for Disbursements (Disbursements can only be claimed on production of a valid VAT receipt)</w:t>
      </w:r>
    </w:p>
    <w:tbl>
      <w:tblPr>
        <w:tblW w:w="9181" w:type="dxa"/>
        <w:tblBorders>
          <w:top w:val="single" w:sz="12" w:space="0" w:color="auto"/>
          <w:bottom w:val="single" w:sz="12" w:space="0" w:color="auto"/>
        </w:tblBorders>
        <w:tblLook w:val="01E0" w:firstRow="1" w:lastRow="1" w:firstColumn="1" w:lastColumn="1" w:noHBand="0" w:noVBand="0"/>
      </w:tblPr>
      <w:tblGrid>
        <w:gridCol w:w="7338"/>
        <w:gridCol w:w="1843"/>
      </w:tblGrid>
      <w:tr w:rsidR="00A10B4B" w:rsidRPr="00A10B4B" w:rsidTr="009426BE">
        <w:trPr>
          <w:trHeight w:val="697"/>
        </w:trPr>
        <w:tc>
          <w:tcPr>
            <w:tcW w:w="7338" w:type="dxa"/>
            <w:tcBorders>
              <w:top w:val="single" w:sz="12" w:space="0" w:color="auto"/>
              <w:left w:val="single" w:sz="8" w:space="0" w:color="auto"/>
              <w:bottom w:val="single" w:sz="8" w:space="0" w:color="auto"/>
              <w:right w:val="single" w:sz="8" w:space="0" w:color="auto"/>
            </w:tcBorders>
            <w:shd w:val="clear" w:color="auto" w:fill="auto"/>
          </w:tcPr>
          <w:p w:rsidR="00A10B4B" w:rsidRPr="00A10B4B" w:rsidRDefault="00A10B4B" w:rsidP="00A10B4B">
            <w:pPr>
              <w:spacing w:line="240" w:lineRule="auto"/>
              <w:jc w:val="both"/>
              <w:rPr>
                <w:rFonts w:cs="Arial"/>
                <w:szCs w:val="24"/>
              </w:rPr>
            </w:pPr>
            <w:r w:rsidRPr="00A10B4B">
              <w:rPr>
                <w:rFonts w:cs="Arial"/>
                <w:szCs w:val="24"/>
              </w:rPr>
              <w:t>Item</w:t>
            </w:r>
          </w:p>
        </w:tc>
        <w:tc>
          <w:tcPr>
            <w:tcW w:w="1843" w:type="dxa"/>
            <w:tcBorders>
              <w:top w:val="single" w:sz="12" w:space="0" w:color="auto"/>
              <w:left w:val="single" w:sz="8" w:space="0" w:color="auto"/>
              <w:bottom w:val="single" w:sz="8" w:space="0" w:color="auto"/>
              <w:right w:val="single" w:sz="8" w:space="0" w:color="auto"/>
            </w:tcBorders>
            <w:shd w:val="clear" w:color="auto" w:fill="auto"/>
          </w:tcPr>
          <w:p w:rsidR="00A10B4B" w:rsidRPr="00A10B4B" w:rsidRDefault="00A10B4B" w:rsidP="00A10B4B">
            <w:pPr>
              <w:spacing w:line="240" w:lineRule="auto"/>
              <w:jc w:val="both"/>
              <w:rPr>
                <w:rFonts w:cs="Arial"/>
                <w:szCs w:val="24"/>
              </w:rPr>
            </w:pPr>
            <w:r w:rsidRPr="00A10B4B">
              <w:rPr>
                <w:rFonts w:cs="Arial"/>
                <w:szCs w:val="24"/>
              </w:rPr>
              <w:t>Cost (£)</w:t>
            </w:r>
          </w:p>
        </w:tc>
      </w:tr>
      <w:tr w:rsidR="00A10B4B" w:rsidRPr="00A10B4B" w:rsidTr="009426BE">
        <w:tc>
          <w:tcPr>
            <w:tcW w:w="7338" w:type="dxa"/>
            <w:tcBorders>
              <w:top w:val="single" w:sz="8" w:space="0" w:color="auto"/>
              <w:left w:val="single" w:sz="8" w:space="0" w:color="auto"/>
              <w:right w:val="single" w:sz="8" w:space="0" w:color="auto"/>
            </w:tcBorders>
            <w:shd w:val="clear" w:color="auto" w:fill="auto"/>
          </w:tcPr>
          <w:p w:rsidR="00A10B4B" w:rsidRPr="00A10B4B" w:rsidRDefault="00A10B4B" w:rsidP="00A10B4B">
            <w:pPr>
              <w:spacing w:line="240" w:lineRule="auto"/>
              <w:jc w:val="both"/>
              <w:rPr>
                <w:rFonts w:cs="Arial"/>
                <w:szCs w:val="24"/>
              </w:rPr>
            </w:pPr>
          </w:p>
        </w:tc>
        <w:tc>
          <w:tcPr>
            <w:tcW w:w="1843" w:type="dxa"/>
            <w:tcBorders>
              <w:top w:val="single" w:sz="8" w:space="0" w:color="auto"/>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line="240" w:lineRule="auto"/>
              <w:jc w:val="both"/>
              <w:rPr>
                <w:rFonts w:cs="Arial"/>
                <w:szCs w:val="24"/>
                <w:u w:val="single"/>
              </w:rPr>
            </w:pPr>
            <w:r w:rsidRPr="00A10B4B">
              <w:rPr>
                <w:rFonts w:cs="Arial"/>
                <w:szCs w:val="24"/>
              </w:rPr>
              <w:t>Laboratory costs: -</w:t>
            </w:r>
          </w:p>
        </w:tc>
        <w:tc>
          <w:tcPr>
            <w:tcW w:w="1843" w:type="dxa"/>
            <w:tcBorders>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line="240" w:lineRule="auto"/>
              <w:ind w:left="567"/>
              <w:jc w:val="both"/>
              <w:rPr>
                <w:rFonts w:cs="Arial"/>
                <w:szCs w:val="24"/>
              </w:rPr>
            </w:pPr>
            <w:r w:rsidRPr="00A10B4B">
              <w:rPr>
                <w:rFonts w:cs="Arial"/>
                <w:szCs w:val="24"/>
              </w:rPr>
              <w:t>i)</w:t>
            </w:r>
          </w:p>
        </w:tc>
        <w:tc>
          <w:tcPr>
            <w:tcW w:w="1843" w:type="dxa"/>
            <w:tcBorders>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line="240" w:lineRule="auto"/>
              <w:ind w:left="567"/>
              <w:jc w:val="both"/>
              <w:rPr>
                <w:rFonts w:cs="Arial"/>
                <w:szCs w:val="24"/>
              </w:rPr>
            </w:pPr>
            <w:r w:rsidRPr="00A10B4B">
              <w:rPr>
                <w:rFonts w:cs="Arial"/>
                <w:szCs w:val="24"/>
              </w:rPr>
              <w:t>ii)</w:t>
            </w:r>
          </w:p>
        </w:tc>
        <w:tc>
          <w:tcPr>
            <w:tcW w:w="1843" w:type="dxa"/>
            <w:tcBorders>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line="240" w:lineRule="auto"/>
              <w:ind w:left="567"/>
              <w:jc w:val="both"/>
              <w:rPr>
                <w:rFonts w:cs="Arial"/>
                <w:szCs w:val="24"/>
              </w:rPr>
            </w:pPr>
            <w:r w:rsidRPr="00A10B4B">
              <w:rPr>
                <w:rFonts w:cs="Arial"/>
                <w:szCs w:val="24"/>
              </w:rPr>
              <w:t>iii)</w:t>
            </w:r>
          </w:p>
        </w:tc>
        <w:tc>
          <w:tcPr>
            <w:tcW w:w="1843" w:type="dxa"/>
            <w:tcBorders>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line="240" w:lineRule="auto"/>
              <w:ind w:left="567"/>
              <w:jc w:val="both"/>
              <w:rPr>
                <w:rFonts w:cs="Arial"/>
                <w:szCs w:val="24"/>
              </w:rPr>
            </w:pPr>
            <w:r w:rsidRPr="00A10B4B">
              <w:rPr>
                <w:rFonts w:cs="Arial"/>
                <w:szCs w:val="24"/>
              </w:rPr>
              <w:t>iv)</w:t>
            </w:r>
          </w:p>
        </w:tc>
        <w:tc>
          <w:tcPr>
            <w:tcW w:w="1843" w:type="dxa"/>
            <w:tcBorders>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line="240" w:lineRule="auto"/>
              <w:ind w:left="567"/>
              <w:jc w:val="both"/>
              <w:rPr>
                <w:rFonts w:cs="Arial"/>
                <w:szCs w:val="24"/>
              </w:rPr>
            </w:pPr>
            <w:r w:rsidRPr="00A10B4B">
              <w:rPr>
                <w:rFonts w:cs="Arial"/>
                <w:szCs w:val="24"/>
              </w:rPr>
              <w:t>v)</w:t>
            </w:r>
          </w:p>
        </w:tc>
        <w:tc>
          <w:tcPr>
            <w:tcW w:w="1843" w:type="dxa"/>
            <w:tcBorders>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line="240" w:lineRule="auto"/>
              <w:ind w:left="567"/>
              <w:jc w:val="both"/>
              <w:rPr>
                <w:rFonts w:cs="Arial"/>
                <w:szCs w:val="24"/>
              </w:rPr>
            </w:pPr>
            <w:r w:rsidRPr="00A10B4B">
              <w:rPr>
                <w:rFonts w:cs="Arial"/>
                <w:szCs w:val="24"/>
              </w:rPr>
              <w:t xml:space="preserve">vi) </w:t>
            </w:r>
          </w:p>
        </w:tc>
        <w:tc>
          <w:tcPr>
            <w:tcW w:w="1843" w:type="dxa"/>
            <w:tcBorders>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line="240" w:lineRule="auto"/>
              <w:ind w:left="567"/>
              <w:jc w:val="both"/>
              <w:rPr>
                <w:rFonts w:cs="Arial"/>
                <w:szCs w:val="24"/>
              </w:rPr>
            </w:pPr>
          </w:p>
        </w:tc>
        <w:tc>
          <w:tcPr>
            <w:tcW w:w="1843" w:type="dxa"/>
            <w:tcBorders>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line="240" w:lineRule="auto"/>
              <w:jc w:val="both"/>
              <w:rPr>
                <w:rFonts w:cs="Arial"/>
                <w:szCs w:val="24"/>
              </w:rPr>
            </w:pPr>
            <w:r w:rsidRPr="00A10B4B">
              <w:rPr>
                <w:rFonts w:cs="Arial"/>
                <w:szCs w:val="24"/>
              </w:rPr>
              <w:t>Others: (please consider likely costs of additional site visits, additional sampling, etc.)</w:t>
            </w:r>
            <w:r w:rsidRPr="00A10B4B">
              <w:rPr>
                <w:rFonts w:cs="Arial"/>
                <w:szCs w:val="24"/>
                <w:vertAlign w:val="superscript"/>
              </w:rPr>
              <w:t xml:space="preserve"> </w:t>
            </w:r>
            <w:r w:rsidRPr="00A10B4B">
              <w:rPr>
                <w:rFonts w:cs="Arial"/>
                <w:szCs w:val="24"/>
              </w:rPr>
              <w:t>(Please specify in each case)</w:t>
            </w:r>
          </w:p>
        </w:tc>
        <w:tc>
          <w:tcPr>
            <w:tcW w:w="1843" w:type="dxa"/>
            <w:tcBorders>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line="240" w:lineRule="auto"/>
              <w:ind w:left="567"/>
              <w:jc w:val="both"/>
              <w:rPr>
                <w:rFonts w:cs="Arial"/>
                <w:szCs w:val="24"/>
              </w:rPr>
            </w:pPr>
            <w:r w:rsidRPr="00A10B4B">
              <w:rPr>
                <w:rFonts w:cs="Arial"/>
                <w:szCs w:val="24"/>
              </w:rPr>
              <w:t>i)</w:t>
            </w:r>
          </w:p>
        </w:tc>
        <w:tc>
          <w:tcPr>
            <w:tcW w:w="1843" w:type="dxa"/>
            <w:tcBorders>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line="240" w:lineRule="auto"/>
              <w:ind w:left="567"/>
              <w:jc w:val="both"/>
              <w:rPr>
                <w:rFonts w:cs="Arial"/>
                <w:szCs w:val="24"/>
              </w:rPr>
            </w:pPr>
            <w:r w:rsidRPr="00A10B4B">
              <w:rPr>
                <w:rFonts w:cs="Arial"/>
                <w:szCs w:val="24"/>
              </w:rPr>
              <w:t>ii)</w:t>
            </w:r>
          </w:p>
        </w:tc>
        <w:tc>
          <w:tcPr>
            <w:tcW w:w="1843" w:type="dxa"/>
            <w:tcBorders>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line="240" w:lineRule="auto"/>
              <w:ind w:left="567"/>
              <w:jc w:val="both"/>
              <w:rPr>
                <w:rFonts w:cs="Arial"/>
                <w:szCs w:val="24"/>
              </w:rPr>
            </w:pPr>
            <w:r w:rsidRPr="00A10B4B">
              <w:rPr>
                <w:rFonts w:cs="Arial"/>
                <w:szCs w:val="24"/>
              </w:rPr>
              <w:t>iii)</w:t>
            </w:r>
          </w:p>
        </w:tc>
        <w:tc>
          <w:tcPr>
            <w:tcW w:w="1843" w:type="dxa"/>
            <w:tcBorders>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right w:val="single" w:sz="8" w:space="0" w:color="auto"/>
            </w:tcBorders>
            <w:shd w:val="clear" w:color="auto" w:fill="auto"/>
          </w:tcPr>
          <w:p w:rsidR="00A10B4B" w:rsidRPr="00A10B4B" w:rsidRDefault="00A10B4B" w:rsidP="00A10B4B">
            <w:pPr>
              <w:spacing w:line="240" w:lineRule="auto"/>
              <w:ind w:left="567"/>
              <w:jc w:val="both"/>
              <w:rPr>
                <w:rFonts w:cs="Arial"/>
                <w:szCs w:val="24"/>
              </w:rPr>
            </w:pPr>
            <w:r w:rsidRPr="00A10B4B">
              <w:rPr>
                <w:rFonts w:cs="Arial"/>
                <w:szCs w:val="24"/>
              </w:rPr>
              <w:t>iv)</w:t>
            </w:r>
          </w:p>
        </w:tc>
        <w:tc>
          <w:tcPr>
            <w:tcW w:w="1843" w:type="dxa"/>
            <w:tcBorders>
              <w:left w:val="single" w:sz="8"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c>
          <w:tcPr>
            <w:tcW w:w="7338" w:type="dxa"/>
            <w:tcBorders>
              <w:left w:val="single" w:sz="8" w:space="0" w:color="auto"/>
              <w:bottom w:val="nil"/>
              <w:right w:val="single" w:sz="8" w:space="0" w:color="auto"/>
            </w:tcBorders>
            <w:shd w:val="clear" w:color="auto" w:fill="auto"/>
          </w:tcPr>
          <w:p w:rsidR="00A10B4B" w:rsidRPr="00A10B4B" w:rsidRDefault="00A10B4B" w:rsidP="00A10B4B">
            <w:pPr>
              <w:spacing w:line="240" w:lineRule="auto"/>
              <w:ind w:left="567"/>
              <w:jc w:val="both"/>
              <w:rPr>
                <w:rFonts w:cs="Arial"/>
                <w:szCs w:val="24"/>
              </w:rPr>
            </w:pPr>
            <w:r w:rsidRPr="00A10B4B">
              <w:rPr>
                <w:rFonts w:cs="Arial"/>
                <w:szCs w:val="24"/>
              </w:rPr>
              <w:t>v)</w:t>
            </w:r>
          </w:p>
        </w:tc>
        <w:tc>
          <w:tcPr>
            <w:tcW w:w="1843" w:type="dxa"/>
            <w:tcBorders>
              <w:left w:val="single" w:sz="8" w:space="0" w:color="auto"/>
              <w:bottom w:val="nil"/>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rPr>
          <w:trHeight w:val="812"/>
        </w:trPr>
        <w:tc>
          <w:tcPr>
            <w:tcW w:w="7338" w:type="dxa"/>
            <w:tcBorders>
              <w:top w:val="nil"/>
              <w:left w:val="single" w:sz="8" w:space="0" w:color="auto"/>
              <w:bottom w:val="double" w:sz="4" w:space="0" w:color="auto"/>
              <w:right w:val="single" w:sz="8" w:space="0" w:color="auto"/>
            </w:tcBorders>
            <w:shd w:val="clear" w:color="auto" w:fill="auto"/>
          </w:tcPr>
          <w:p w:rsidR="00A10B4B" w:rsidRPr="00A10B4B" w:rsidRDefault="00A10B4B" w:rsidP="00A10B4B">
            <w:pPr>
              <w:spacing w:line="240" w:lineRule="auto"/>
              <w:jc w:val="both"/>
              <w:rPr>
                <w:rFonts w:cs="Arial"/>
                <w:szCs w:val="24"/>
              </w:rPr>
            </w:pPr>
            <w:r w:rsidRPr="00A10B4B">
              <w:rPr>
                <w:rFonts w:cs="Arial"/>
                <w:szCs w:val="24"/>
              </w:rPr>
              <w:t>&lt;add others as necessary&gt;</w:t>
            </w:r>
          </w:p>
        </w:tc>
        <w:tc>
          <w:tcPr>
            <w:tcW w:w="1843" w:type="dxa"/>
            <w:tcBorders>
              <w:top w:val="nil"/>
              <w:left w:val="single" w:sz="8" w:space="0" w:color="auto"/>
              <w:bottom w:val="double" w:sz="4" w:space="0" w:color="auto"/>
              <w:right w:val="single" w:sz="8" w:space="0" w:color="auto"/>
            </w:tcBorders>
            <w:shd w:val="clear" w:color="auto" w:fill="auto"/>
          </w:tcPr>
          <w:p w:rsidR="00A10B4B" w:rsidRPr="00A10B4B" w:rsidRDefault="00A10B4B" w:rsidP="00A10B4B">
            <w:pPr>
              <w:spacing w:line="240" w:lineRule="auto"/>
              <w:ind w:left="34" w:hanging="34"/>
              <w:jc w:val="both"/>
              <w:rPr>
                <w:rFonts w:cs="Arial"/>
                <w:szCs w:val="24"/>
              </w:rPr>
            </w:pPr>
          </w:p>
        </w:tc>
      </w:tr>
      <w:tr w:rsidR="00A10B4B" w:rsidRPr="00A10B4B" w:rsidTr="009426BE">
        <w:trPr>
          <w:trHeight w:val="681"/>
        </w:trPr>
        <w:tc>
          <w:tcPr>
            <w:tcW w:w="7338" w:type="dxa"/>
            <w:tcBorders>
              <w:top w:val="double" w:sz="4" w:space="0" w:color="auto"/>
              <w:left w:val="single" w:sz="8" w:space="0" w:color="auto"/>
              <w:bottom w:val="single" w:sz="12" w:space="0" w:color="auto"/>
              <w:right w:val="single" w:sz="8" w:space="0" w:color="auto"/>
            </w:tcBorders>
            <w:shd w:val="clear" w:color="auto" w:fill="auto"/>
            <w:vAlign w:val="center"/>
          </w:tcPr>
          <w:p w:rsidR="00A10B4B" w:rsidRPr="00A10B4B" w:rsidRDefault="00A10B4B" w:rsidP="00A10B4B">
            <w:pPr>
              <w:spacing w:line="240" w:lineRule="auto"/>
              <w:jc w:val="both"/>
              <w:rPr>
                <w:rFonts w:cs="Arial"/>
                <w:szCs w:val="24"/>
              </w:rPr>
            </w:pPr>
            <w:r w:rsidRPr="00A10B4B">
              <w:rPr>
                <w:rFonts w:cs="Arial"/>
                <w:szCs w:val="24"/>
              </w:rPr>
              <w:t>Total</w:t>
            </w:r>
          </w:p>
        </w:tc>
        <w:tc>
          <w:tcPr>
            <w:tcW w:w="1843" w:type="dxa"/>
            <w:tcBorders>
              <w:top w:val="double" w:sz="4" w:space="0" w:color="auto"/>
              <w:left w:val="single" w:sz="8" w:space="0" w:color="auto"/>
              <w:bottom w:val="single" w:sz="12" w:space="0" w:color="auto"/>
              <w:right w:val="single" w:sz="8" w:space="0" w:color="auto"/>
            </w:tcBorders>
            <w:shd w:val="clear" w:color="auto" w:fill="auto"/>
            <w:vAlign w:val="center"/>
          </w:tcPr>
          <w:p w:rsidR="00A10B4B" w:rsidRPr="00A10B4B" w:rsidRDefault="00A10B4B" w:rsidP="00A10B4B">
            <w:pPr>
              <w:spacing w:line="240" w:lineRule="auto"/>
              <w:jc w:val="both"/>
              <w:rPr>
                <w:rFonts w:cs="Arial"/>
                <w:szCs w:val="24"/>
              </w:rPr>
            </w:pPr>
          </w:p>
        </w:tc>
      </w:tr>
    </w:tbl>
    <w:p w:rsidR="00A10B4B" w:rsidRDefault="00A10B4B" w:rsidP="00391B8E">
      <w:pPr>
        <w:rPr>
          <w:b/>
          <w:color w:val="008080"/>
        </w:rPr>
      </w:pPr>
    </w:p>
    <w:p w:rsidR="00862785" w:rsidRDefault="00862785" w:rsidP="00391B8E">
      <w:pPr>
        <w:rPr>
          <w:rFonts w:cs="Arial"/>
          <w:szCs w:val="24"/>
        </w:rPr>
      </w:pPr>
    </w:p>
    <w:p w:rsidR="00862785" w:rsidRDefault="00862785" w:rsidP="00391B8E">
      <w:pPr>
        <w:rPr>
          <w:rFonts w:cs="Arial"/>
          <w:szCs w:val="24"/>
        </w:rPr>
      </w:pPr>
    </w:p>
    <w:p w:rsidR="00F602E7" w:rsidRDefault="00F602E7" w:rsidP="00391B8E">
      <w:pPr>
        <w:rPr>
          <w:rFonts w:cs="Arial"/>
          <w:szCs w:val="24"/>
        </w:rPr>
      </w:pPr>
      <w:r w:rsidRPr="00F602E7">
        <w:rPr>
          <w:rFonts w:cs="Arial"/>
          <w:szCs w:val="24"/>
        </w:rPr>
        <w:t xml:space="preserve">Table </w:t>
      </w:r>
      <w:r>
        <w:rPr>
          <w:rFonts w:cs="Arial"/>
          <w:szCs w:val="24"/>
        </w:rPr>
        <w:t>E</w:t>
      </w:r>
      <w:r w:rsidRPr="00F602E7">
        <w:rPr>
          <w:rFonts w:cs="Arial"/>
          <w:szCs w:val="24"/>
        </w:rPr>
        <w:t xml:space="preserve"> </w:t>
      </w:r>
      <w:r w:rsidR="004256F1">
        <w:rPr>
          <w:rFonts w:cs="Arial"/>
          <w:szCs w:val="24"/>
        </w:rPr>
        <w:t>–</w:t>
      </w:r>
      <w:r w:rsidRPr="00F602E7">
        <w:rPr>
          <w:rFonts w:cs="Arial"/>
          <w:szCs w:val="24"/>
        </w:rPr>
        <w:t xml:space="preserve"> Summary</w:t>
      </w:r>
    </w:p>
    <w:p w:rsidR="004256F1" w:rsidRDefault="004256F1" w:rsidP="00391B8E">
      <w:pPr>
        <w:rPr>
          <w:rFonts w:cs="Arial"/>
          <w:szCs w:val="24"/>
        </w:rPr>
      </w:pPr>
    </w:p>
    <w:tbl>
      <w:tblPr>
        <w:tblStyle w:val="TableGrid"/>
        <w:tblW w:w="0" w:type="auto"/>
        <w:tblLook w:val="04A0" w:firstRow="1" w:lastRow="0" w:firstColumn="1" w:lastColumn="0" w:noHBand="0" w:noVBand="1"/>
      </w:tblPr>
      <w:tblGrid>
        <w:gridCol w:w="8755"/>
        <w:gridCol w:w="1383"/>
      </w:tblGrid>
      <w:tr w:rsidR="004256F1" w:rsidRPr="004256F1" w:rsidTr="009426BE">
        <w:tc>
          <w:tcPr>
            <w:tcW w:w="8755" w:type="dxa"/>
          </w:tcPr>
          <w:p w:rsidR="004256F1" w:rsidRPr="009426BE" w:rsidRDefault="004256F1" w:rsidP="00391B8E">
            <w:pPr>
              <w:rPr>
                <w:rFonts w:cs="Arial"/>
                <w:b/>
                <w:szCs w:val="24"/>
              </w:rPr>
            </w:pPr>
            <w:r w:rsidRPr="009426BE">
              <w:rPr>
                <w:rFonts w:cs="Arial"/>
                <w:b/>
                <w:szCs w:val="24"/>
              </w:rPr>
              <w:t>Description</w:t>
            </w:r>
          </w:p>
        </w:tc>
        <w:tc>
          <w:tcPr>
            <w:tcW w:w="1383" w:type="dxa"/>
          </w:tcPr>
          <w:p w:rsidR="004256F1" w:rsidRPr="009426BE" w:rsidRDefault="004256F1" w:rsidP="00391B8E">
            <w:pPr>
              <w:rPr>
                <w:rFonts w:cs="Arial"/>
                <w:b/>
                <w:szCs w:val="24"/>
              </w:rPr>
            </w:pPr>
            <w:r w:rsidRPr="009426BE">
              <w:rPr>
                <w:rFonts w:cs="Arial"/>
                <w:b/>
                <w:szCs w:val="24"/>
              </w:rPr>
              <w:t>Price £</w:t>
            </w:r>
          </w:p>
        </w:tc>
      </w:tr>
      <w:tr w:rsidR="004256F1" w:rsidRPr="004256F1" w:rsidTr="009426BE">
        <w:tc>
          <w:tcPr>
            <w:tcW w:w="8755" w:type="dxa"/>
            <w:shd w:val="clear" w:color="auto" w:fill="BFBFBF" w:themeFill="background1" w:themeFillShade="BF"/>
          </w:tcPr>
          <w:p w:rsidR="004256F1" w:rsidRPr="009426BE" w:rsidRDefault="004256F1" w:rsidP="00391B8E">
            <w:pPr>
              <w:rPr>
                <w:rFonts w:cs="Arial"/>
                <w:b/>
                <w:szCs w:val="24"/>
              </w:rPr>
            </w:pPr>
            <w:r w:rsidRPr="009426BE">
              <w:rPr>
                <w:rFonts w:cs="Arial"/>
                <w:b/>
                <w:szCs w:val="24"/>
              </w:rPr>
              <w:t>Stage 1</w:t>
            </w:r>
          </w:p>
        </w:tc>
        <w:tc>
          <w:tcPr>
            <w:tcW w:w="1383" w:type="dxa"/>
            <w:shd w:val="clear" w:color="auto" w:fill="BFBFBF" w:themeFill="background1" w:themeFillShade="BF"/>
          </w:tcPr>
          <w:p w:rsidR="004256F1" w:rsidRPr="009426BE" w:rsidRDefault="004256F1" w:rsidP="00391B8E">
            <w:pPr>
              <w:rPr>
                <w:rFonts w:cs="Arial"/>
                <w:b/>
                <w:szCs w:val="24"/>
              </w:rPr>
            </w:pPr>
          </w:p>
        </w:tc>
      </w:tr>
      <w:tr w:rsidR="004256F1" w:rsidTr="009426BE">
        <w:trPr>
          <w:trHeight w:val="529"/>
        </w:trPr>
        <w:tc>
          <w:tcPr>
            <w:tcW w:w="8755" w:type="dxa"/>
          </w:tcPr>
          <w:p w:rsidR="004256F1" w:rsidRDefault="004256F1" w:rsidP="00391B8E">
            <w:pPr>
              <w:rPr>
                <w:rFonts w:cs="Arial"/>
                <w:szCs w:val="24"/>
              </w:rPr>
            </w:pPr>
            <w:r>
              <w:rPr>
                <w:rFonts w:cs="Arial"/>
                <w:szCs w:val="24"/>
              </w:rPr>
              <w:t>Phase 1 report</w:t>
            </w:r>
          </w:p>
        </w:tc>
        <w:tc>
          <w:tcPr>
            <w:tcW w:w="1383" w:type="dxa"/>
          </w:tcPr>
          <w:p w:rsidR="004256F1" w:rsidRDefault="004256F1" w:rsidP="00391B8E">
            <w:pPr>
              <w:rPr>
                <w:rFonts w:cs="Arial"/>
                <w:szCs w:val="24"/>
              </w:rPr>
            </w:pPr>
          </w:p>
        </w:tc>
      </w:tr>
      <w:tr w:rsidR="004256F1" w:rsidTr="009426BE">
        <w:trPr>
          <w:trHeight w:val="565"/>
        </w:trPr>
        <w:tc>
          <w:tcPr>
            <w:tcW w:w="8755" w:type="dxa"/>
          </w:tcPr>
          <w:p w:rsidR="004256F1" w:rsidRDefault="004256F1" w:rsidP="00391B8E">
            <w:pPr>
              <w:rPr>
                <w:rFonts w:cs="Arial"/>
                <w:szCs w:val="24"/>
              </w:rPr>
            </w:pPr>
            <w:r>
              <w:rPr>
                <w:rFonts w:cs="Arial"/>
                <w:szCs w:val="24"/>
              </w:rPr>
              <w:t>Desk based geotech</w:t>
            </w:r>
            <w:r w:rsidR="00FA7469">
              <w:rPr>
                <w:rFonts w:cs="Arial"/>
                <w:szCs w:val="24"/>
              </w:rPr>
              <w:t>nical</w:t>
            </w:r>
            <w:r>
              <w:rPr>
                <w:rFonts w:cs="Arial"/>
                <w:szCs w:val="24"/>
              </w:rPr>
              <w:t xml:space="preserve"> report</w:t>
            </w:r>
          </w:p>
        </w:tc>
        <w:tc>
          <w:tcPr>
            <w:tcW w:w="1383" w:type="dxa"/>
          </w:tcPr>
          <w:p w:rsidR="004256F1" w:rsidRDefault="004256F1" w:rsidP="00391B8E">
            <w:pPr>
              <w:rPr>
                <w:rFonts w:cs="Arial"/>
                <w:szCs w:val="24"/>
              </w:rPr>
            </w:pPr>
          </w:p>
        </w:tc>
      </w:tr>
      <w:tr w:rsidR="004256F1" w:rsidRPr="004256F1" w:rsidTr="009426BE">
        <w:tc>
          <w:tcPr>
            <w:tcW w:w="8755" w:type="dxa"/>
            <w:shd w:val="clear" w:color="auto" w:fill="BFBFBF" w:themeFill="background1" w:themeFillShade="BF"/>
          </w:tcPr>
          <w:p w:rsidR="004256F1" w:rsidRPr="009426BE" w:rsidRDefault="004256F1" w:rsidP="00391B8E">
            <w:pPr>
              <w:rPr>
                <w:rFonts w:cs="Arial"/>
                <w:b/>
                <w:szCs w:val="24"/>
              </w:rPr>
            </w:pPr>
            <w:r w:rsidRPr="009426BE">
              <w:rPr>
                <w:rFonts w:cs="Arial"/>
                <w:b/>
                <w:szCs w:val="24"/>
              </w:rPr>
              <w:t>Stage 2</w:t>
            </w:r>
          </w:p>
        </w:tc>
        <w:tc>
          <w:tcPr>
            <w:tcW w:w="1383" w:type="dxa"/>
            <w:shd w:val="clear" w:color="auto" w:fill="BFBFBF" w:themeFill="background1" w:themeFillShade="BF"/>
          </w:tcPr>
          <w:p w:rsidR="004256F1" w:rsidRPr="009426BE" w:rsidRDefault="004256F1" w:rsidP="00391B8E">
            <w:pPr>
              <w:rPr>
                <w:rFonts w:cs="Arial"/>
                <w:b/>
                <w:szCs w:val="24"/>
              </w:rPr>
            </w:pPr>
          </w:p>
        </w:tc>
      </w:tr>
      <w:tr w:rsidR="004256F1" w:rsidTr="009426BE">
        <w:trPr>
          <w:trHeight w:val="535"/>
        </w:trPr>
        <w:tc>
          <w:tcPr>
            <w:tcW w:w="8755" w:type="dxa"/>
          </w:tcPr>
          <w:p w:rsidR="004256F1" w:rsidRDefault="004256F1" w:rsidP="00391B8E">
            <w:pPr>
              <w:rPr>
                <w:rFonts w:cs="Arial"/>
                <w:szCs w:val="24"/>
              </w:rPr>
            </w:pPr>
            <w:r>
              <w:rPr>
                <w:rFonts w:cs="Arial"/>
                <w:szCs w:val="24"/>
              </w:rPr>
              <w:t>Phase 2</w:t>
            </w:r>
          </w:p>
        </w:tc>
        <w:tc>
          <w:tcPr>
            <w:tcW w:w="1383" w:type="dxa"/>
          </w:tcPr>
          <w:p w:rsidR="004256F1" w:rsidRDefault="004256F1" w:rsidP="00391B8E">
            <w:pPr>
              <w:rPr>
                <w:rFonts w:cs="Arial"/>
                <w:szCs w:val="24"/>
              </w:rPr>
            </w:pPr>
          </w:p>
        </w:tc>
      </w:tr>
      <w:tr w:rsidR="004256F1" w:rsidTr="009426BE">
        <w:trPr>
          <w:trHeight w:val="543"/>
        </w:trPr>
        <w:tc>
          <w:tcPr>
            <w:tcW w:w="8755" w:type="dxa"/>
          </w:tcPr>
          <w:p w:rsidR="004256F1" w:rsidRDefault="004256F1" w:rsidP="00391B8E">
            <w:pPr>
              <w:rPr>
                <w:rFonts w:cs="Arial"/>
                <w:szCs w:val="24"/>
              </w:rPr>
            </w:pPr>
            <w:r>
              <w:rPr>
                <w:rFonts w:cs="Arial"/>
                <w:szCs w:val="24"/>
              </w:rPr>
              <w:t>Total</w:t>
            </w:r>
          </w:p>
        </w:tc>
        <w:tc>
          <w:tcPr>
            <w:tcW w:w="1383" w:type="dxa"/>
          </w:tcPr>
          <w:p w:rsidR="004256F1" w:rsidRDefault="004256F1" w:rsidP="00391B8E">
            <w:pPr>
              <w:rPr>
                <w:rFonts w:cs="Arial"/>
                <w:szCs w:val="24"/>
              </w:rPr>
            </w:pPr>
          </w:p>
        </w:tc>
      </w:tr>
    </w:tbl>
    <w:p w:rsidR="004256F1" w:rsidRPr="00F602E7" w:rsidRDefault="004256F1" w:rsidP="00391B8E">
      <w:pPr>
        <w:rPr>
          <w:rFonts w:cs="Arial"/>
          <w:szCs w:val="24"/>
        </w:rPr>
      </w:pPr>
    </w:p>
    <w:p w:rsidR="00862785" w:rsidRDefault="00862785" w:rsidP="009426BE">
      <w:pPr>
        <w:pStyle w:val="FCGBBodyText"/>
      </w:pPr>
    </w:p>
    <w:p w:rsidR="00B96813" w:rsidRPr="006B5DE2" w:rsidRDefault="00B96813" w:rsidP="00B96813">
      <w:pPr>
        <w:pStyle w:val="Heading2"/>
        <w:rPr>
          <w:sz w:val="28"/>
        </w:rPr>
      </w:pPr>
      <w:r w:rsidRPr="006B5DE2">
        <w:rPr>
          <w:sz w:val="28"/>
        </w:rPr>
        <w:lastRenderedPageBreak/>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7" w:history="1">
        <w:r w:rsidRPr="00772E85">
          <w:rPr>
            <w:rStyle w:val="Hyperlink"/>
          </w:rPr>
          <w:t>terms and conditions</w:t>
        </w:r>
      </w:hyperlink>
      <w:r w:rsidRPr="00772E85">
        <w:t xml:space="preserve"> for </w:t>
      </w:r>
      <w:r w:rsidR="00772E85" w:rsidRPr="00772E85">
        <w:t>services (non operational)</w:t>
      </w:r>
      <w:r w:rsidRPr="00772E85">
        <w:t>.</w:t>
      </w:r>
      <w:r w:rsidRPr="00A31C58">
        <w:t xml:space="preserve"> </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862785" w:rsidRDefault="00862785" w:rsidP="009426BE">
      <w:pPr>
        <w:pStyle w:val="Heading2"/>
        <w:numPr>
          <w:ilvl w:val="0"/>
          <w:numId w:val="0"/>
        </w:numPr>
        <w:rPr>
          <w:sz w:val="28"/>
        </w:rPr>
      </w:pPr>
    </w:p>
    <w:p w:rsidR="005953FA" w:rsidRPr="006B5DE2" w:rsidRDefault="005953FA" w:rsidP="005953FA">
      <w:pPr>
        <w:pStyle w:val="Heading2"/>
        <w:rPr>
          <w:sz w:val="28"/>
        </w:rPr>
      </w:pPr>
      <w:r w:rsidRPr="006B5DE2">
        <w:rPr>
          <w:sz w:val="28"/>
        </w:rPr>
        <w:t>Declaration</w:t>
      </w:r>
    </w:p>
    <w:p w:rsidR="000B4F70"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w:t>
      </w:r>
    </w:p>
    <w:p w:rsidR="000B4F70" w:rsidRDefault="000B4F70" w:rsidP="005953FA"/>
    <w:p w:rsidR="005953FA" w:rsidRDefault="005953FA" w:rsidP="005953FA">
      <w:r>
        <w:t xml:space="preserve">………………………………………………………………… </w:t>
      </w:r>
      <w:r w:rsidRPr="005953FA">
        <w:rPr>
          <w:b/>
        </w:rPr>
        <w:t>(insert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DE705F" w:rsidRPr="000B4F70" w:rsidRDefault="00DE705F" w:rsidP="003C0A8C">
      <w:pPr>
        <w:rPr>
          <w:rFonts w:eastAsia="Arial"/>
        </w:rPr>
      </w:pPr>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655972">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655972">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655972">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9426BE">
      <w:pPr>
        <w:pBdr>
          <w:bottom w:val="single" w:sz="4" w:space="0"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rsidP="009426BE">
      <w:pPr>
        <w:spacing w:line="240" w:lineRule="auto"/>
        <w:rPr>
          <w:color w:val="004E2E"/>
          <w:sz w:val="28"/>
          <w:szCs w:val="28"/>
        </w:rPr>
      </w:pPr>
      <w:r w:rsidRPr="0080527D">
        <w:rPr>
          <w:color w:val="004E2E"/>
          <w:sz w:val="28"/>
          <w:szCs w:val="28"/>
        </w:rPr>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Default="0080527D" w:rsidP="00BB1EAF">
            <w:pPr>
              <w:rPr>
                <w:rFonts w:eastAsia="Arial" w:cs="Arial"/>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62785" w:rsidRPr="0080527D" w:rsidRDefault="00862785" w:rsidP="00BB1EAF">
            <w:pPr>
              <w:rPr>
                <w:rFonts w:eastAsia="Arial" w:cs="Arial"/>
                <w:b/>
              </w:rPr>
            </w:pPr>
          </w:p>
          <w:p w:rsidR="0080527D" w:rsidRDefault="0080527D" w:rsidP="00BB1EAF">
            <w:pPr>
              <w:rPr>
                <w:rFonts w:eastAsia="Arial" w:cs="Arial"/>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p w:rsidR="00862785" w:rsidRPr="0080527D" w:rsidRDefault="00862785" w:rsidP="00BB1EAF">
            <w:pPr>
              <w:rPr>
                <w:rFonts w:eastAsia="Arial" w:cs="Arial"/>
                <w:b/>
              </w:rPr>
            </w:pP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862785" w:rsidRPr="009F706E" w:rsidRDefault="00862785" w:rsidP="009F706E">
            <w:pPr>
              <w:rPr>
                <w:rFonts w:eastAsia="Arial" w:cs="Arial"/>
              </w:rPr>
            </w:pPr>
          </w:p>
          <w:p w:rsidR="009F706E" w:rsidRDefault="009F706E" w:rsidP="009F706E">
            <w:pPr>
              <w:rPr>
                <w:rFonts w:eastAsia="Arial" w:cs="Arial"/>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p w:rsidR="00862785" w:rsidRPr="009F706E" w:rsidRDefault="00862785" w:rsidP="009F706E">
            <w:pPr>
              <w:rPr>
                <w:rFonts w:eastAsia="Arial" w:cs="Arial"/>
                <w:b/>
              </w:rPr>
            </w:pP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862785" w:rsidRPr="009F706E" w:rsidRDefault="00862785" w:rsidP="009F706E">
            <w:pPr>
              <w:rPr>
                <w:rFonts w:eastAsia="Arial" w:cs="Arial"/>
              </w:rPr>
            </w:pPr>
          </w:p>
          <w:p w:rsidR="00862785" w:rsidRPr="009F706E" w:rsidRDefault="009F706E" w:rsidP="009426BE">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lastRenderedPageBreak/>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rsidR="00862785" w:rsidRPr="009F706E" w:rsidRDefault="00862785" w:rsidP="009F706E">
            <w:pPr>
              <w:rPr>
                <w:rFonts w:eastAsia="Arial" w:cs="Arial"/>
              </w:rPr>
            </w:pP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862785" w:rsidRPr="00E50F9A" w:rsidRDefault="009F706E" w:rsidP="009426BE">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lastRenderedPageBreak/>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rPr>
                <w:b/>
              </w:rPr>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p w:rsidR="00862785" w:rsidRDefault="00862785" w:rsidP="00BB1EAF">
            <w:pPr>
              <w:spacing w:before="120" w:line="240" w:lineRule="atLeast"/>
            </w:pPr>
          </w:p>
        </w:tc>
      </w:tr>
      <w:tr w:rsidR="009F706E" w:rsidTr="009F706E">
        <w:tc>
          <w:tcPr>
            <w:tcW w:w="651" w:type="pct"/>
            <w:gridSpan w:val="2"/>
            <w:shd w:val="clear" w:color="auto" w:fill="auto"/>
          </w:tcPr>
          <w:p w:rsidR="009F706E" w:rsidRDefault="0007474D" w:rsidP="00BB1EAF">
            <w:pPr>
              <w:spacing w:before="120" w:line="240" w:lineRule="atLeast"/>
            </w:pPr>
            <w:r>
              <w:lastRenderedPageBreak/>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655972">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rsidR="009F706E" w:rsidRPr="0050325F" w:rsidRDefault="009F706E" w:rsidP="00655972">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655972">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Default="009F706E" w:rsidP="00BB1EAF">
            <w:pPr>
              <w:spacing w:before="120" w:line="240" w:lineRule="atLeast"/>
              <w:rPr>
                <w:b/>
              </w:rPr>
            </w:pPr>
            <w:r w:rsidRPr="00BB1EAF">
              <w:rPr>
                <w:b/>
              </w:rPr>
              <w:t>Fail - Lack of evidence or understanding provided and or inadequate checking process demonstrated</w:t>
            </w:r>
          </w:p>
          <w:p w:rsidR="00862785" w:rsidRPr="00BB1EAF" w:rsidRDefault="00862785" w:rsidP="00BB1EAF">
            <w:pPr>
              <w:spacing w:before="120" w:line="240" w:lineRule="atLeast"/>
              <w:rPr>
                <w:b/>
              </w:rPr>
            </w:pP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Default="009F706E" w:rsidP="00BB1EAF">
            <w:pPr>
              <w:spacing w:before="120" w:line="240" w:lineRule="atLeast"/>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p w:rsidR="00862785" w:rsidRPr="009F706E" w:rsidRDefault="00862785" w:rsidP="00BB1EAF">
            <w:pPr>
              <w:spacing w:before="120" w:line="240" w:lineRule="atLeast"/>
              <w:rPr>
                <w:b/>
              </w:rPr>
            </w:pP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4.5</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655972" w:rsidRDefault="00BB1EAF" w:rsidP="00BB1EAF">
            <w:pPr>
              <w:spacing w:before="120" w:line="240" w:lineRule="atLeast"/>
              <w:rPr>
                <w:color w:val="548DD4" w:themeColor="text2" w:themeTint="99"/>
              </w:rPr>
            </w:pPr>
            <w:r w:rsidRPr="00655972">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655972" w:rsidRDefault="00655972" w:rsidP="00BB1EAF">
            <w:pPr>
              <w:spacing w:before="120" w:line="240" w:lineRule="atLeast"/>
            </w:pPr>
            <w:r w:rsidRPr="00655972">
              <w:t>40</w:t>
            </w:r>
            <w:r w:rsidR="00BB1EAF" w:rsidRPr="00655972">
              <w:t>%</w:t>
            </w:r>
          </w:p>
          <w:p w:rsidR="00BB1EAF" w:rsidRPr="00655972" w:rsidRDefault="00BB1EAF" w:rsidP="00BB1EAF">
            <w:pPr>
              <w:spacing w:before="120" w:line="240" w:lineRule="atLeast"/>
              <w:rPr>
                <w:color w:val="548DD4" w:themeColor="text2" w:themeTint="99"/>
              </w:rPr>
            </w:pPr>
          </w:p>
          <w:p w:rsidR="00BB1EAF" w:rsidRPr="00655972"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655972" w:rsidRDefault="00BB1EAF" w:rsidP="00BB1EAF">
            <w:pPr>
              <w:spacing w:before="120" w:line="240" w:lineRule="atLeast"/>
              <w:rPr>
                <w:color w:val="548DD4" w:themeColor="text2" w:themeTint="99"/>
              </w:rPr>
            </w:pPr>
            <w:r w:rsidRPr="00655972">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655972" w:rsidRDefault="00655972" w:rsidP="00BB1EAF">
            <w:pPr>
              <w:spacing w:before="120" w:line="240" w:lineRule="atLeast"/>
            </w:pPr>
            <w:r w:rsidRPr="00655972">
              <w:t>60</w:t>
            </w:r>
            <w:r w:rsidR="00B55944" w:rsidRPr="00655972">
              <w:t>%</w:t>
            </w:r>
          </w:p>
          <w:p w:rsidR="00B55944" w:rsidRPr="00655972"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BB1EAF" w:rsidRPr="00655972" w:rsidRDefault="005F261D" w:rsidP="00655972">
            <w:pPr>
              <w:spacing w:line="240" w:lineRule="auto"/>
              <w:rPr>
                <w:rFonts w:eastAsia="Calibri" w:cs="Verdana"/>
                <w:color w:val="365F91"/>
                <w:lang w:eastAsia="en-GB"/>
              </w:rPr>
            </w:pPr>
            <w:r>
              <w:t>Tender Price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18"/>
      <w:headerReference w:type="default" r:id="rId19"/>
      <w:footerReference w:type="even" r:id="rId20"/>
      <w:footerReference w:type="default" r:id="rId21"/>
      <w:headerReference w:type="first" r:id="rId22"/>
      <w:footerReference w:type="first" r:id="rId23"/>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CCC" w:rsidRDefault="005F0CCC">
      <w:r>
        <w:separator/>
      </w:r>
    </w:p>
    <w:p w:rsidR="005F0CCC" w:rsidRDefault="005F0CCC"/>
  </w:endnote>
  <w:endnote w:type="continuationSeparator" w:id="0">
    <w:p w:rsidR="005F0CCC" w:rsidRDefault="005F0CCC">
      <w:r>
        <w:continuationSeparator/>
      </w:r>
    </w:p>
    <w:p w:rsidR="005F0CCC" w:rsidRDefault="005F0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B4E" w:rsidRDefault="00F53B4E">
    <w:pPr>
      <w:pStyle w:val="Footer"/>
    </w:pPr>
  </w:p>
  <w:p w:rsidR="00F53B4E" w:rsidRDefault="00F53B4E"/>
  <w:p w:rsidR="00F53B4E" w:rsidRDefault="00F53B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B4E" w:rsidRDefault="00F53B4E" w:rsidP="004040E8">
    <w:pPr>
      <w:pStyle w:val="Foote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3E1C75">
      <w:rPr>
        <w:rStyle w:val="PageNumber"/>
        <w:noProof/>
        <w:lang w:val="en-US"/>
      </w:rPr>
      <w:t>12</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Invitation to Tender for </w:t>
    </w:r>
    <w:r w:rsidRPr="00C9039E">
      <w:rPr>
        <w:rStyle w:val="PageNumber"/>
        <w:lang w:val="en-US"/>
      </w:rPr>
      <w:t>Bury L</w:t>
    </w:r>
    <w:r>
      <w:rPr>
        <w:rStyle w:val="PageNumber"/>
        <w:lang w:val="en-US"/>
      </w:rPr>
      <w:t>and Soil Suitability Assessment</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Laura Charles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B4E" w:rsidRDefault="00F53B4E"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3E1C75">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Document tile    </w:t>
    </w:r>
    <w:r w:rsidRPr="00AE04D4">
      <w:rPr>
        <w:rStyle w:val="PageNumber"/>
        <w:b/>
        <w:color w:val="004E2E"/>
        <w:lang w:val="en-US"/>
      </w:rPr>
      <w:t>|</w:t>
    </w:r>
    <w:r w:rsidRPr="00E87D0C">
      <w:rPr>
        <w:rStyle w:val="PageNumber"/>
        <w:lang w:val="en-US"/>
      </w:rPr>
      <w:t xml:space="preserve">    Author name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3E1C75">
      <w:rPr>
        <w:rStyle w:val="PageNumber"/>
        <w:noProof/>
      </w:rPr>
      <w:t>28/01/2019</w:t>
    </w:r>
    <w:r>
      <w:rPr>
        <w:rStyle w:val="PageNumber"/>
      </w:rPr>
      <w:fldChar w:fldCharType="end"/>
    </w:r>
  </w:p>
  <w:p w:rsidR="00F53B4E" w:rsidRDefault="00F53B4E" w:rsidP="004040E8">
    <w:pPr>
      <w:pStyle w:val="Footer"/>
    </w:pPr>
  </w:p>
  <w:p w:rsidR="00F53B4E" w:rsidRDefault="00F53B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CCC" w:rsidRDefault="005F0CCC">
      <w:r>
        <w:separator/>
      </w:r>
    </w:p>
    <w:p w:rsidR="005F0CCC" w:rsidRDefault="005F0CCC"/>
  </w:footnote>
  <w:footnote w:type="continuationSeparator" w:id="0">
    <w:p w:rsidR="005F0CCC" w:rsidRDefault="005F0CCC">
      <w:r>
        <w:continuationSeparator/>
      </w:r>
    </w:p>
    <w:p w:rsidR="005F0CCC" w:rsidRDefault="005F0C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B4E" w:rsidRDefault="00F53B4E">
    <w:pPr>
      <w:pStyle w:val="Header"/>
    </w:pPr>
  </w:p>
  <w:p w:rsidR="00F53B4E" w:rsidRDefault="00F53B4E"/>
  <w:p w:rsidR="00F53B4E" w:rsidRDefault="00F53B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B4E" w:rsidRDefault="00F53B4E"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63B28AA0" wp14:editId="537D15F5">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B4E" w:rsidRDefault="00F53B4E" w:rsidP="005C34E6">
    <w:pPr>
      <w:pStyle w:val="RunningTitle"/>
      <w:numPr>
        <w:ilvl w:val="0"/>
        <w:numId w:val="0"/>
      </w:numPr>
    </w:pPr>
    <w:r>
      <w:t xml:space="preserve">ITT </w:t>
    </w:r>
  </w:p>
  <w:p w:rsidR="00F53B4E" w:rsidRDefault="00F53B4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B4E" w:rsidRDefault="00F53B4E">
    <w:pPr>
      <w:pStyle w:val="Header"/>
    </w:pPr>
    <w:r>
      <w:rPr>
        <w:noProof/>
        <w:lang w:eastAsia="en-GB"/>
      </w:rPr>
      <w:drawing>
        <wp:anchor distT="0" distB="0" distL="114300" distR="114300" simplePos="0" relativeHeight="251658752" behindDoc="1" locked="0" layoutInCell="1" allowOverlap="1" wp14:anchorId="219D53E4" wp14:editId="2BA8030F">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678A16E3" wp14:editId="379CE466">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B4E" w:rsidRPr="00661478" w:rsidRDefault="00F53B4E"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F53B4E" w:rsidRPr="00661478" w:rsidRDefault="00F53B4E" w:rsidP="00952BF0">
                    <w:pPr>
                      <w:pStyle w:val="ParentTitle"/>
                    </w:pPr>
                  </w:p>
                </w:txbxContent>
              </v:textbox>
              <w10:wrap anchorx="page" anchory="page"/>
              <w10:anchorlock/>
            </v:shape>
          </w:pict>
        </mc:Fallback>
      </mc:AlternateContent>
    </w:r>
  </w:p>
  <w:p w:rsidR="00F53B4E" w:rsidRDefault="00F53B4E"/>
  <w:p w:rsidR="00F53B4E" w:rsidRDefault="00F53B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455AE"/>
    <w:multiLevelType w:val="hybridMultilevel"/>
    <w:tmpl w:val="30324AE6"/>
    <w:lvl w:ilvl="0" w:tplc="B862FF40">
      <w:numFmt w:val="bullet"/>
      <w:lvlText w:val="-"/>
      <w:lvlJc w:val="left"/>
      <w:pPr>
        <w:ind w:left="720" w:hanging="36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01D13"/>
    <w:multiLevelType w:val="hybridMultilevel"/>
    <w:tmpl w:val="40464A5E"/>
    <w:lvl w:ilvl="0" w:tplc="1ADA9C00">
      <w:start w:val="5"/>
      <w:numFmt w:val="bullet"/>
      <w:lvlText w:val="-"/>
      <w:lvlJc w:val="left"/>
      <w:pPr>
        <w:ind w:left="720" w:hanging="360"/>
      </w:pPr>
      <w:rPr>
        <w:rFonts w:ascii="Verdana" w:eastAsia="Times New Roman"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3B1B3B"/>
    <w:multiLevelType w:val="hybridMultilevel"/>
    <w:tmpl w:val="AF641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7E42CC9"/>
    <w:multiLevelType w:val="hybridMultilevel"/>
    <w:tmpl w:val="DE4A7ACC"/>
    <w:lvl w:ilvl="0" w:tplc="68482C32">
      <w:start w:val="21"/>
      <w:numFmt w:val="bullet"/>
      <w:lvlText w:val="-"/>
      <w:lvlJc w:val="left"/>
      <w:pPr>
        <w:ind w:left="1080" w:hanging="360"/>
      </w:pPr>
      <w:rPr>
        <w:rFonts w:ascii="Verdana" w:eastAsia="Times New Roman" w:hAnsi="Verdana" w:cs="Times New Roman"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0157F26"/>
    <w:multiLevelType w:val="hybridMultilevel"/>
    <w:tmpl w:val="7824793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3">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8B36F95"/>
    <w:multiLevelType w:val="hybridMultilevel"/>
    <w:tmpl w:val="08B8BB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8"/>
  </w:num>
  <w:num w:numId="6">
    <w:abstractNumId w:val="15"/>
  </w:num>
  <w:num w:numId="7">
    <w:abstractNumId w:val="3"/>
  </w:num>
  <w:num w:numId="8">
    <w:abstractNumId w:val="13"/>
  </w:num>
  <w:num w:numId="9">
    <w:abstractNumId w:val="2"/>
  </w:num>
  <w:num w:numId="10">
    <w:abstractNumId w:val="7"/>
  </w:num>
  <w:num w:numId="11">
    <w:abstractNumId w:val="0"/>
  </w:num>
  <w:num w:numId="12">
    <w:abstractNumId w:val="6"/>
  </w:num>
  <w:num w:numId="13">
    <w:abstractNumId w:val="5"/>
  </w:num>
  <w:num w:numId="14">
    <w:abstractNumId w:val="14"/>
  </w:num>
  <w:num w:numId="15">
    <w:abstractNumId w:val="11"/>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05A81"/>
    <w:rsid w:val="0001068A"/>
    <w:rsid w:val="000155EE"/>
    <w:rsid w:val="000215D1"/>
    <w:rsid w:val="00022C50"/>
    <w:rsid w:val="00023730"/>
    <w:rsid w:val="00023F56"/>
    <w:rsid w:val="0002684A"/>
    <w:rsid w:val="00051F4F"/>
    <w:rsid w:val="00052841"/>
    <w:rsid w:val="00061742"/>
    <w:rsid w:val="00072312"/>
    <w:rsid w:val="00073E39"/>
    <w:rsid w:val="0007474D"/>
    <w:rsid w:val="000749D3"/>
    <w:rsid w:val="00084ACE"/>
    <w:rsid w:val="00091679"/>
    <w:rsid w:val="00093B5A"/>
    <w:rsid w:val="00096231"/>
    <w:rsid w:val="000967EA"/>
    <w:rsid w:val="00097827"/>
    <w:rsid w:val="0009784B"/>
    <w:rsid w:val="000A4B10"/>
    <w:rsid w:val="000B17E3"/>
    <w:rsid w:val="000B4F70"/>
    <w:rsid w:val="000C0CFC"/>
    <w:rsid w:val="000C5048"/>
    <w:rsid w:val="000C7155"/>
    <w:rsid w:val="000D2254"/>
    <w:rsid w:val="000F6193"/>
    <w:rsid w:val="000F74E1"/>
    <w:rsid w:val="001049E9"/>
    <w:rsid w:val="00117292"/>
    <w:rsid w:val="0012191E"/>
    <w:rsid w:val="00126D0B"/>
    <w:rsid w:val="00127611"/>
    <w:rsid w:val="00132858"/>
    <w:rsid w:val="00133C89"/>
    <w:rsid w:val="0014271F"/>
    <w:rsid w:val="00154351"/>
    <w:rsid w:val="0016319B"/>
    <w:rsid w:val="00164F33"/>
    <w:rsid w:val="00171943"/>
    <w:rsid w:val="00174FA6"/>
    <w:rsid w:val="00182B10"/>
    <w:rsid w:val="00186667"/>
    <w:rsid w:val="00190506"/>
    <w:rsid w:val="00193552"/>
    <w:rsid w:val="00197A10"/>
    <w:rsid w:val="001A151A"/>
    <w:rsid w:val="001A206F"/>
    <w:rsid w:val="001A37D1"/>
    <w:rsid w:val="001B3C3B"/>
    <w:rsid w:val="001E4494"/>
    <w:rsid w:val="001F3821"/>
    <w:rsid w:val="001F7EA0"/>
    <w:rsid w:val="002078BE"/>
    <w:rsid w:val="002117DB"/>
    <w:rsid w:val="00216D18"/>
    <w:rsid w:val="00222E88"/>
    <w:rsid w:val="00223D85"/>
    <w:rsid w:val="00226860"/>
    <w:rsid w:val="00227D03"/>
    <w:rsid w:val="002337F5"/>
    <w:rsid w:val="0023439A"/>
    <w:rsid w:val="00240C6C"/>
    <w:rsid w:val="002455A9"/>
    <w:rsid w:val="00246D42"/>
    <w:rsid w:val="00252A87"/>
    <w:rsid w:val="00256BB2"/>
    <w:rsid w:val="00262050"/>
    <w:rsid w:val="00267A7F"/>
    <w:rsid w:val="00277241"/>
    <w:rsid w:val="00281792"/>
    <w:rsid w:val="0028179E"/>
    <w:rsid w:val="00281E1A"/>
    <w:rsid w:val="002822DC"/>
    <w:rsid w:val="002845B3"/>
    <w:rsid w:val="00291578"/>
    <w:rsid w:val="002A76A4"/>
    <w:rsid w:val="002A7708"/>
    <w:rsid w:val="002C2A27"/>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E42"/>
    <w:rsid w:val="00335F94"/>
    <w:rsid w:val="00340B62"/>
    <w:rsid w:val="00350EBA"/>
    <w:rsid w:val="00351226"/>
    <w:rsid w:val="00362D3F"/>
    <w:rsid w:val="00364BDA"/>
    <w:rsid w:val="0036689C"/>
    <w:rsid w:val="00367C48"/>
    <w:rsid w:val="00375320"/>
    <w:rsid w:val="00380513"/>
    <w:rsid w:val="00391B8E"/>
    <w:rsid w:val="00394881"/>
    <w:rsid w:val="003A639A"/>
    <w:rsid w:val="003B4A4A"/>
    <w:rsid w:val="003C0A8C"/>
    <w:rsid w:val="003C2EB2"/>
    <w:rsid w:val="003C7FFA"/>
    <w:rsid w:val="003D3BCE"/>
    <w:rsid w:val="003E1C75"/>
    <w:rsid w:val="003E4D98"/>
    <w:rsid w:val="003F02FA"/>
    <w:rsid w:val="003F30B3"/>
    <w:rsid w:val="004040E8"/>
    <w:rsid w:val="00410EDA"/>
    <w:rsid w:val="00413628"/>
    <w:rsid w:val="00414C9E"/>
    <w:rsid w:val="00415AE7"/>
    <w:rsid w:val="004162FB"/>
    <w:rsid w:val="00416884"/>
    <w:rsid w:val="00424E8A"/>
    <w:rsid w:val="004253BB"/>
    <w:rsid w:val="004256F1"/>
    <w:rsid w:val="004279BC"/>
    <w:rsid w:val="0043228B"/>
    <w:rsid w:val="00434C82"/>
    <w:rsid w:val="00437391"/>
    <w:rsid w:val="004404A4"/>
    <w:rsid w:val="0044231A"/>
    <w:rsid w:val="00446741"/>
    <w:rsid w:val="00447D70"/>
    <w:rsid w:val="00450E38"/>
    <w:rsid w:val="004616BC"/>
    <w:rsid w:val="0047298D"/>
    <w:rsid w:val="004944AB"/>
    <w:rsid w:val="00495D8F"/>
    <w:rsid w:val="004B2470"/>
    <w:rsid w:val="004C6782"/>
    <w:rsid w:val="004D4150"/>
    <w:rsid w:val="004D4632"/>
    <w:rsid w:val="004D6959"/>
    <w:rsid w:val="004D76FD"/>
    <w:rsid w:val="004E69BB"/>
    <w:rsid w:val="004F2F4F"/>
    <w:rsid w:val="005000A5"/>
    <w:rsid w:val="00502CAF"/>
    <w:rsid w:val="00514212"/>
    <w:rsid w:val="005163D3"/>
    <w:rsid w:val="005242D1"/>
    <w:rsid w:val="005453C3"/>
    <w:rsid w:val="00545FCC"/>
    <w:rsid w:val="00555277"/>
    <w:rsid w:val="00557BFB"/>
    <w:rsid w:val="00563FE0"/>
    <w:rsid w:val="00566EDF"/>
    <w:rsid w:val="00570F56"/>
    <w:rsid w:val="00573C08"/>
    <w:rsid w:val="00576166"/>
    <w:rsid w:val="00576B8A"/>
    <w:rsid w:val="00577B31"/>
    <w:rsid w:val="00580A39"/>
    <w:rsid w:val="005906DE"/>
    <w:rsid w:val="00593350"/>
    <w:rsid w:val="00594357"/>
    <w:rsid w:val="005953FA"/>
    <w:rsid w:val="005A2ADC"/>
    <w:rsid w:val="005C0CE8"/>
    <w:rsid w:val="005C183C"/>
    <w:rsid w:val="005C34E6"/>
    <w:rsid w:val="005C6716"/>
    <w:rsid w:val="005D3614"/>
    <w:rsid w:val="005E2B4A"/>
    <w:rsid w:val="005F0BFE"/>
    <w:rsid w:val="005F0CCC"/>
    <w:rsid w:val="005F1BD9"/>
    <w:rsid w:val="005F261D"/>
    <w:rsid w:val="005F596F"/>
    <w:rsid w:val="006154D8"/>
    <w:rsid w:val="00616BC8"/>
    <w:rsid w:val="0062656E"/>
    <w:rsid w:val="00635C89"/>
    <w:rsid w:val="00636784"/>
    <w:rsid w:val="00646B17"/>
    <w:rsid w:val="006504A3"/>
    <w:rsid w:val="00654668"/>
    <w:rsid w:val="00655972"/>
    <w:rsid w:val="006608E8"/>
    <w:rsid w:val="00661478"/>
    <w:rsid w:val="00661BD3"/>
    <w:rsid w:val="00661C19"/>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3400"/>
    <w:rsid w:val="006C57A8"/>
    <w:rsid w:val="006C5B8F"/>
    <w:rsid w:val="006D0CA4"/>
    <w:rsid w:val="006E1C8C"/>
    <w:rsid w:val="006E2996"/>
    <w:rsid w:val="006F15FE"/>
    <w:rsid w:val="006F527B"/>
    <w:rsid w:val="006F745D"/>
    <w:rsid w:val="00705026"/>
    <w:rsid w:val="00715596"/>
    <w:rsid w:val="00731693"/>
    <w:rsid w:val="00732BE4"/>
    <w:rsid w:val="007367FA"/>
    <w:rsid w:val="00736E3A"/>
    <w:rsid w:val="007419F1"/>
    <w:rsid w:val="00741C57"/>
    <w:rsid w:val="00755523"/>
    <w:rsid w:val="00767726"/>
    <w:rsid w:val="00772E85"/>
    <w:rsid w:val="00776E6E"/>
    <w:rsid w:val="00781E67"/>
    <w:rsid w:val="00782D72"/>
    <w:rsid w:val="00792A49"/>
    <w:rsid w:val="007937E2"/>
    <w:rsid w:val="00793CBF"/>
    <w:rsid w:val="00797DD4"/>
    <w:rsid w:val="007A3832"/>
    <w:rsid w:val="007B30B5"/>
    <w:rsid w:val="007B7F5F"/>
    <w:rsid w:val="007C286C"/>
    <w:rsid w:val="007C4820"/>
    <w:rsid w:val="007C59D0"/>
    <w:rsid w:val="007C66DE"/>
    <w:rsid w:val="007D0859"/>
    <w:rsid w:val="007D1EDC"/>
    <w:rsid w:val="007D3D31"/>
    <w:rsid w:val="007E0FAD"/>
    <w:rsid w:val="007F3F4D"/>
    <w:rsid w:val="007F4B1C"/>
    <w:rsid w:val="007F54D4"/>
    <w:rsid w:val="008010F8"/>
    <w:rsid w:val="0080305C"/>
    <w:rsid w:val="0080527D"/>
    <w:rsid w:val="008104D3"/>
    <w:rsid w:val="008201E9"/>
    <w:rsid w:val="008239DC"/>
    <w:rsid w:val="00826AA0"/>
    <w:rsid w:val="00826ACF"/>
    <w:rsid w:val="0083514F"/>
    <w:rsid w:val="00836699"/>
    <w:rsid w:val="00840201"/>
    <w:rsid w:val="00840B7A"/>
    <w:rsid w:val="00844A75"/>
    <w:rsid w:val="0084566A"/>
    <w:rsid w:val="0084682B"/>
    <w:rsid w:val="0085117F"/>
    <w:rsid w:val="00860F5E"/>
    <w:rsid w:val="00862785"/>
    <w:rsid w:val="00862856"/>
    <w:rsid w:val="00863C19"/>
    <w:rsid w:val="008642DA"/>
    <w:rsid w:val="0087073A"/>
    <w:rsid w:val="00874391"/>
    <w:rsid w:val="00875C9A"/>
    <w:rsid w:val="00885D3A"/>
    <w:rsid w:val="008873D6"/>
    <w:rsid w:val="00897CB3"/>
    <w:rsid w:val="008A1665"/>
    <w:rsid w:val="008B033E"/>
    <w:rsid w:val="008B78E7"/>
    <w:rsid w:val="008C39A7"/>
    <w:rsid w:val="008D0DB9"/>
    <w:rsid w:val="008D48E0"/>
    <w:rsid w:val="008D6685"/>
    <w:rsid w:val="008E3113"/>
    <w:rsid w:val="008F4F14"/>
    <w:rsid w:val="00902C1C"/>
    <w:rsid w:val="009118DF"/>
    <w:rsid w:val="00931197"/>
    <w:rsid w:val="009426BE"/>
    <w:rsid w:val="00946D6E"/>
    <w:rsid w:val="00952011"/>
    <w:rsid w:val="00952BF0"/>
    <w:rsid w:val="00955AFA"/>
    <w:rsid w:val="00956066"/>
    <w:rsid w:val="009668BE"/>
    <w:rsid w:val="00971F49"/>
    <w:rsid w:val="00977A43"/>
    <w:rsid w:val="00980B3C"/>
    <w:rsid w:val="00992B25"/>
    <w:rsid w:val="00994B1A"/>
    <w:rsid w:val="00996B6B"/>
    <w:rsid w:val="009972BD"/>
    <w:rsid w:val="009A407F"/>
    <w:rsid w:val="009A41EF"/>
    <w:rsid w:val="009B5B6A"/>
    <w:rsid w:val="009B654F"/>
    <w:rsid w:val="009C0BE9"/>
    <w:rsid w:val="009D3AA1"/>
    <w:rsid w:val="009E18DD"/>
    <w:rsid w:val="009E5462"/>
    <w:rsid w:val="009F11C7"/>
    <w:rsid w:val="009F706E"/>
    <w:rsid w:val="00A10B4B"/>
    <w:rsid w:val="00A15A13"/>
    <w:rsid w:val="00A23546"/>
    <w:rsid w:val="00A24D8D"/>
    <w:rsid w:val="00A27509"/>
    <w:rsid w:val="00A27C85"/>
    <w:rsid w:val="00A31C58"/>
    <w:rsid w:val="00A36628"/>
    <w:rsid w:val="00A44CB6"/>
    <w:rsid w:val="00A52317"/>
    <w:rsid w:val="00A55A2E"/>
    <w:rsid w:val="00A57510"/>
    <w:rsid w:val="00A62E18"/>
    <w:rsid w:val="00A666ED"/>
    <w:rsid w:val="00A672DB"/>
    <w:rsid w:val="00A7318E"/>
    <w:rsid w:val="00A86E4A"/>
    <w:rsid w:val="00A94D87"/>
    <w:rsid w:val="00AA6C9A"/>
    <w:rsid w:val="00AB6F28"/>
    <w:rsid w:val="00AC5809"/>
    <w:rsid w:val="00AD6667"/>
    <w:rsid w:val="00AE04D4"/>
    <w:rsid w:val="00AF720B"/>
    <w:rsid w:val="00B05C08"/>
    <w:rsid w:val="00B153AE"/>
    <w:rsid w:val="00B15D87"/>
    <w:rsid w:val="00B26CC8"/>
    <w:rsid w:val="00B3054F"/>
    <w:rsid w:val="00B4146C"/>
    <w:rsid w:val="00B55944"/>
    <w:rsid w:val="00B71737"/>
    <w:rsid w:val="00B766BA"/>
    <w:rsid w:val="00B8131D"/>
    <w:rsid w:val="00B854CA"/>
    <w:rsid w:val="00B858E2"/>
    <w:rsid w:val="00B8694B"/>
    <w:rsid w:val="00B96813"/>
    <w:rsid w:val="00BA0822"/>
    <w:rsid w:val="00BA0A21"/>
    <w:rsid w:val="00BA28AF"/>
    <w:rsid w:val="00BA7AAA"/>
    <w:rsid w:val="00BB1D49"/>
    <w:rsid w:val="00BB1EAF"/>
    <w:rsid w:val="00BB2E25"/>
    <w:rsid w:val="00BC3CCC"/>
    <w:rsid w:val="00BC5662"/>
    <w:rsid w:val="00BD2ECC"/>
    <w:rsid w:val="00BE0288"/>
    <w:rsid w:val="00BE2D7D"/>
    <w:rsid w:val="00BF4CC6"/>
    <w:rsid w:val="00C050EF"/>
    <w:rsid w:val="00C21968"/>
    <w:rsid w:val="00C23CEA"/>
    <w:rsid w:val="00C26503"/>
    <w:rsid w:val="00C2705B"/>
    <w:rsid w:val="00C34C26"/>
    <w:rsid w:val="00C43F12"/>
    <w:rsid w:val="00C47637"/>
    <w:rsid w:val="00C550BD"/>
    <w:rsid w:val="00C62480"/>
    <w:rsid w:val="00C72469"/>
    <w:rsid w:val="00C74189"/>
    <w:rsid w:val="00C74CB2"/>
    <w:rsid w:val="00C83704"/>
    <w:rsid w:val="00C83F50"/>
    <w:rsid w:val="00C86335"/>
    <w:rsid w:val="00C86FFA"/>
    <w:rsid w:val="00C9039E"/>
    <w:rsid w:val="00CA27B9"/>
    <w:rsid w:val="00CA2AB7"/>
    <w:rsid w:val="00CB12C8"/>
    <w:rsid w:val="00CB2D76"/>
    <w:rsid w:val="00CB2F2A"/>
    <w:rsid w:val="00CB782D"/>
    <w:rsid w:val="00CC1EC9"/>
    <w:rsid w:val="00CC1F17"/>
    <w:rsid w:val="00CC6687"/>
    <w:rsid w:val="00CD1BF0"/>
    <w:rsid w:val="00CD33C3"/>
    <w:rsid w:val="00CD466A"/>
    <w:rsid w:val="00CD5CA3"/>
    <w:rsid w:val="00CD606F"/>
    <w:rsid w:val="00CD6ABD"/>
    <w:rsid w:val="00D02ED7"/>
    <w:rsid w:val="00D13BD3"/>
    <w:rsid w:val="00D20C8A"/>
    <w:rsid w:val="00D22B97"/>
    <w:rsid w:val="00D24CAA"/>
    <w:rsid w:val="00D318DA"/>
    <w:rsid w:val="00D40E1F"/>
    <w:rsid w:val="00D42582"/>
    <w:rsid w:val="00D42F99"/>
    <w:rsid w:val="00D50496"/>
    <w:rsid w:val="00D56C11"/>
    <w:rsid w:val="00D81924"/>
    <w:rsid w:val="00D8382F"/>
    <w:rsid w:val="00D84FB2"/>
    <w:rsid w:val="00D85C95"/>
    <w:rsid w:val="00D87159"/>
    <w:rsid w:val="00D96837"/>
    <w:rsid w:val="00DB263D"/>
    <w:rsid w:val="00DB2B2D"/>
    <w:rsid w:val="00DB45FE"/>
    <w:rsid w:val="00DC13B4"/>
    <w:rsid w:val="00DC4E6B"/>
    <w:rsid w:val="00DD3B87"/>
    <w:rsid w:val="00DE4069"/>
    <w:rsid w:val="00DE705F"/>
    <w:rsid w:val="00E03F64"/>
    <w:rsid w:val="00E05D6D"/>
    <w:rsid w:val="00E06AFE"/>
    <w:rsid w:val="00E07471"/>
    <w:rsid w:val="00E16C6A"/>
    <w:rsid w:val="00E40E48"/>
    <w:rsid w:val="00E477E9"/>
    <w:rsid w:val="00E51194"/>
    <w:rsid w:val="00E537D1"/>
    <w:rsid w:val="00E54294"/>
    <w:rsid w:val="00E70652"/>
    <w:rsid w:val="00E80B52"/>
    <w:rsid w:val="00E82136"/>
    <w:rsid w:val="00E86232"/>
    <w:rsid w:val="00E91F85"/>
    <w:rsid w:val="00E94DE8"/>
    <w:rsid w:val="00EA0858"/>
    <w:rsid w:val="00EA5005"/>
    <w:rsid w:val="00EB0F24"/>
    <w:rsid w:val="00EB18CF"/>
    <w:rsid w:val="00EB4E53"/>
    <w:rsid w:val="00EB4EE2"/>
    <w:rsid w:val="00EB5C17"/>
    <w:rsid w:val="00ED0329"/>
    <w:rsid w:val="00ED4A92"/>
    <w:rsid w:val="00EE09B6"/>
    <w:rsid w:val="00EE5993"/>
    <w:rsid w:val="00F004F5"/>
    <w:rsid w:val="00F12013"/>
    <w:rsid w:val="00F139DD"/>
    <w:rsid w:val="00F13B89"/>
    <w:rsid w:val="00F146E6"/>
    <w:rsid w:val="00F159EB"/>
    <w:rsid w:val="00F25930"/>
    <w:rsid w:val="00F262A4"/>
    <w:rsid w:val="00F30AD3"/>
    <w:rsid w:val="00F31B3B"/>
    <w:rsid w:val="00F411CE"/>
    <w:rsid w:val="00F53B4E"/>
    <w:rsid w:val="00F55682"/>
    <w:rsid w:val="00F602E7"/>
    <w:rsid w:val="00F61F52"/>
    <w:rsid w:val="00F66CEE"/>
    <w:rsid w:val="00F74078"/>
    <w:rsid w:val="00F76CC5"/>
    <w:rsid w:val="00F80A65"/>
    <w:rsid w:val="00F925DB"/>
    <w:rsid w:val="00F92BDA"/>
    <w:rsid w:val="00FA7469"/>
    <w:rsid w:val="00FB553A"/>
    <w:rsid w:val="00FB6593"/>
    <w:rsid w:val="00FC0E9D"/>
    <w:rsid w:val="00FD606C"/>
    <w:rsid w:val="00FD7297"/>
    <w:rsid w:val="00FE07CD"/>
    <w:rsid w:val="00FE532D"/>
    <w:rsid w:val="00FE55E1"/>
    <w:rsid w:val="00FE57CB"/>
    <w:rsid w:val="00FF4698"/>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character" w:styleId="FollowedHyperlink">
    <w:name w:val="FollowedHyperlink"/>
    <w:basedOn w:val="DefaultParagraphFont"/>
    <w:rsid w:val="00A86E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character" w:styleId="FollowedHyperlink">
    <w:name w:val="FollowedHyperlink"/>
    <w:basedOn w:val="DefaultParagraphFont"/>
    <w:rsid w:val="00A86E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1943343555">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ura.charles@forestryengland.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aura.charles@forestryengland.uk" TargetMode="External"/><Relationship Id="rId17" Type="http://schemas.openxmlformats.org/officeDocument/2006/relationships/hyperlink" Target="http://www.forestry.gov.uk/website/forestry.nsf/byunique/infd-8xtkx5"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forestry.gov.uk/forestry/infd-8wpmp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se.gov.uk/" TargetMode="External"/><Relationship Id="rId23" Type="http://schemas.openxmlformats.org/officeDocument/2006/relationships/footer" Target="footer3.xml"/><Relationship Id="rId10" Type="http://schemas.openxmlformats.org/officeDocument/2006/relationships/hyperlink" Target="http://www.forestry.gov.uk/fr/INFD-5WPKNB"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mailto:Laura.charles@forestryengland.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06688A"/>
    <w:rsid w:val="00147D0E"/>
    <w:rsid w:val="00170403"/>
    <w:rsid w:val="00277D45"/>
    <w:rsid w:val="002E6416"/>
    <w:rsid w:val="00347795"/>
    <w:rsid w:val="00410A5B"/>
    <w:rsid w:val="00480CF6"/>
    <w:rsid w:val="00522482"/>
    <w:rsid w:val="005660B7"/>
    <w:rsid w:val="00592780"/>
    <w:rsid w:val="005A63A7"/>
    <w:rsid w:val="00683CE6"/>
    <w:rsid w:val="006A5334"/>
    <w:rsid w:val="007371BD"/>
    <w:rsid w:val="007564CF"/>
    <w:rsid w:val="0077029B"/>
    <w:rsid w:val="007968F3"/>
    <w:rsid w:val="00842057"/>
    <w:rsid w:val="008E6D05"/>
    <w:rsid w:val="009E6E39"/>
    <w:rsid w:val="00A54C28"/>
    <w:rsid w:val="00B6001C"/>
    <w:rsid w:val="00D61443"/>
    <w:rsid w:val="00D96DB4"/>
    <w:rsid w:val="00EC1EE6"/>
    <w:rsid w:val="00F47DB8"/>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7FDC2-EF3F-49C5-8C5E-5CD6849C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7322</Words>
  <Characters>41741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48966</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Coffin, Emily</cp:lastModifiedBy>
  <cp:revision>2</cp:revision>
  <cp:lastPrinted>2018-11-27T08:56:00Z</cp:lastPrinted>
  <dcterms:created xsi:type="dcterms:W3CDTF">2019-01-28T11:42:00Z</dcterms:created>
  <dcterms:modified xsi:type="dcterms:W3CDTF">2019-01-28T11:42:00Z</dcterms:modified>
</cp:coreProperties>
</file>