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A6892" w14:textId="77777777" w:rsidR="002A6DD5" w:rsidRDefault="00000000" w:rsidP="009E3A01">
      <w:pPr>
        <w:rPr>
          <w:rFonts w:ascii="Arial" w:eastAsia="Arial" w:hAnsi="Arial"/>
          <w:b/>
          <w:sz w:val="36"/>
          <w:szCs w:val="36"/>
        </w:rPr>
      </w:pPr>
      <w:r>
        <w:rPr>
          <w:rFonts w:ascii="Arial" w:eastAsia="Arial" w:hAnsi="Arial"/>
          <w:b/>
          <w:sz w:val="36"/>
          <w:szCs w:val="36"/>
        </w:rPr>
        <w:t>Order Schedule 2 (Staff Transfer)</w:t>
      </w:r>
    </w:p>
    <w:p w14:paraId="45B84B57" w14:textId="77777777" w:rsidR="002A6DD5" w:rsidRDefault="00000000" w:rsidP="009E3A01">
      <w:pPr>
        <w:keepNext/>
        <w:numPr>
          <w:ilvl w:val="0"/>
          <w:numId w:val="14"/>
        </w:numPr>
        <w:spacing w:before="120"/>
        <w:rPr>
          <w:rFonts w:ascii="Arial" w:eastAsia="Arial" w:hAnsi="Arial"/>
          <w:b/>
          <w:color w:val="000000"/>
          <w:sz w:val="24"/>
          <w:szCs w:val="24"/>
        </w:rPr>
      </w:pPr>
      <w:r>
        <w:rPr>
          <w:rFonts w:ascii="Arial" w:eastAsia="Arial" w:hAnsi="Arial"/>
          <w:b/>
          <w:color w:val="000000"/>
          <w:sz w:val="24"/>
          <w:szCs w:val="24"/>
        </w:rPr>
        <w:t>Definitions</w:t>
      </w:r>
    </w:p>
    <w:p w14:paraId="4A2F151B" w14:textId="77777777" w:rsidR="002A6DD5" w:rsidRDefault="00000000" w:rsidP="009E3A01">
      <w:pPr>
        <w:keepNext/>
        <w:numPr>
          <w:ilvl w:val="1"/>
          <w:numId w:val="14"/>
        </w:numPr>
        <w:tabs>
          <w:tab w:val="left" w:pos="273"/>
        </w:tabs>
        <w:spacing w:before="120" w:after="120"/>
      </w:pPr>
      <w:r>
        <w:rPr>
          <w:rFonts w:ascii="Arial" w:eastAsia="Arial" w:hAnsi="Arial"/>
          <w:color w:val="000000"/>
          <w:sz w:val="24"/>
          <w:szCs w:val="24"/>
        </w:rPr>
        <w:t>In this Schedule, the following words have the following meanings and they shall supplement Joint Schedule 1  (Definitions):</w:t>
      </w:r>
    </w:p>
    <w:tbl>
      <w:tblPr>
        <w:tblW w:w="9026" w:type="dxa"/>
        <w:tblLayout w:type="fixed"/>
        <w:tblCellMar>
          <w:left w:w="10" w:type="dxa"/>
          <w:right w:w="10" w:type="dxa"/>
        </w:tblCellMar>
        <w:tblLook w:val="04A0" w:firstRow="1" w:lastRow="0" w:firstColumn="1" w:lastColumn="0" w:noHBand="0" w:noVBand="1"/>
      </w:tblPr>
      <w:tblGrid>
        <w:gridCol w:w="2917"/>
        <w:gridCol w:w="6109"/>
      </w:tblGrid>
      <w:tr w:rsidR="002A6DD5" w14:paraId="43158C16" w14:textId="77777777">
        <w:tblPrEx>
          <w:tblCellMar>
            <w:top w:w="0" w:type="dxa"/>
            <w:bottom w:w="0" w:type="dxa"/>
          </w:tblCellMar>
        </w:tblPrEx>
        <w:tc>
          <w:tcPr>
            <w:tcW w:w="2917" w:type="dxa"/>
            <w:shd w:val="clear" w:color="auto" w:fill="auto"/>
            <w:tcMar>
              <w:top w:w="0" w:type="dxa"/>
              <w:left w:w="115" w:type="dxa"/>
              <w:bottom w:w="0" w:type="dxa"/>
              <w:right w:w="115" w:type="dxa"/>
            </w:tcMar>
          </w:tcPr>
          <w:p w14:paraId="0B49981C" w14:textId="77777777" w:rsidR="002A6DD5" w:rsidRDefault="00000000" w:rsidP="009E3A01">
            <w:pP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shd w:val="clear" w:color="auto" w:fill="auto"/>
            <w:tcMar>
              <w:top w:w="0" w:type="dxa"/>
              <w:left w:w="115" w:type="dxa"/>
              <w:bottom w:w="0" w:type="dxa"/>
              <w:right w:w="115" w:type="dxa"/>
            </w:tcMar>
          </w:tcPr>
          <w:p w14:paraId="215D21D9" w14:textId="77777777" w:rsidR="002A6DD5" w:rsidRDefault="00000000" w:rsidP="009E3A01">
            <w:pPr>
              <w:tabs>
                <w:tab w:val="left" w:pos="-179"/>
                <w:tab w:val="left" w:pos="-9"/>
              </w:tabs>
              <w:spacing w:after="120"/>
              <w:ind w:left="170"/>
              <w:rPr>
                <w:rFonts w:ascii="Arial" w:eastAsia="Arial" w:hAnsi="Arial"/>
                <w:sz w:val="24"/>
                <w:szCs w:val="24"/>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14:paraId="0CE833BD" w14:textId="77777777" w:rsidR="002A6DD5" w:rsidRDefault="002A6DD5" w:rsidP="009E3A01">
            <w:pPr>
              <w:tabs>
                <w:tab w:val="left" w:pos="-179"/>
                <w:tab w:val="left" w:pos="-9"/>
              </w:tabs>
              <w:spacing w:after="120"/>
              <w:rPr>
                <w:rFonts w:ascii="Arial" w:eastAsia="Arial" w:hAnsi="Arial"/>
                <w:sz w:val="24"/>
                <w:szCs w:val="24"/>
              </w:rPr>
            </w:pPr>
          </w:p>
        </w:tc>
      </w:tr>
      <w:tr w:rsidR="002A6DD5" w14:paraId="31C9D61B" w14:textId="77777777">
        <w:tblPrEx>
          <w:tblCellMar>
            <w:top w:w="0" w:type="dxa"/>
            <w:bottom w:w="0" w:type="dxa"/>
          </w:tblCellMar>
        </w:tblPrEx>
        <w:tc>
          <w:tcPr>
            <w:tcW w:w="2917" w:type="dxa"/>
            <w:shd w:val="clear" w:color="auto" w:fill="auto"/>
            <w:tcMar>
              <w:top w:w="0" w:type="dxa"/>
              <w:left w:w="115" w:type="dxa"/>
              <w:bottom w:w="0" w:type="dxa"/>
              <w:right w:w="115" w:type="dxa"/>
            </w:tcMar>
          </w:tcPr>
          <w:p w14:paraId="2CAC0B33" w14:textId="77777777" w:rsidR="002A6DD5" w:rsidRDefault="00000000" w:rsidP="009E3A01">
            <w:pPr>
              <w:spacing w:after="0"/>
              <w:ind w:left="706"/>
              <w:rPr>
                <w:rFonts w:ascii="Arial" w:eastAsia="Arial" w:hAnsi="Arial"/>
                <w:b/>
                <w:color w:val="000000"/>
                <w:sz w:val="24"/>
                <w:szCs w:val="24"/>
              </w:rPr>
            </w:pPr>
            <w:r>
              <w:rPr>
                <w:rFonts w:ascii="Arial" w:eastAsia="Arial" w:hAnsi="Arial"/>
                <w:b/>
                <w:color w:val="000000"/>
                <w:sz w:val="24"/>
                <w:szCs w:val="24"/>
              </w:rPr>
              <w:t>"Employee Liability"</w:t>
            </w:r>
          </w:p>
        </w:tc>
        <w:tc>
          <w:tcPr>
            <w:tcW w:w="6109" w:type="dxa"/>
            <w:shd w:val="clear" w:color="auto" w:fill="auto"/>
            <w:tcMar>
              <w:top w:w="0" w:type="dxa"/>
              <w:left w:w="115" w:type="dxa"/>
              <w:bottom w:w="0" w:type="dxa"/>
              <w:right w:w="115" w:type="dxa"/>
            </w:tcMar>
          </w:tcPr>
          <w:p w14:paraId="5F3669E2" w14:textId="77777777" w:rsidR="002A6DD5" w:rsidRDefault="00000000" w:rsidP="009E3A01">
            <w:pPr>
              <w:tabs>
                <w:tab w:val="left" w:pos="-179"/>
                <w:tab w:val="left" w:pos="-9"/>
              </w:tabs>
              <w:spacing w:after="120"/>
              <w:ind w:left="170"/>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4588F272" w14:textId="77777777" w:rsidR="002A6DD5" w:rsidRDefault="00000000" w:rsidP="009E3A01">
            <w:pPr>
              <w:numPr>
                <w:ilvl w:val="1"/>
                <w:numId w:val="8"/>
              </w:numPr>
              <w:tabs>
                <w:tab w:val="left" w:pos="-1296"/>
                <w:tab w:val="left" w:pos="-576"/>
              </w:tabs>
              <w:spacing w:after="120"/>
              <w:ind w:hanging="545"/>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2A6DD5" w14:paraId="12E7195B" w14:textId="77777777">
        <w:tblPrEx>
          <w:tblCellMar>
            <w:top w:w="0" w:type="dxa"/>
            <w:bottom w:w="0" w:type="dxa"/>
          </w:tblCellMar>
        </w:tblPrEx>
        <w:tc>
          <w:tcPr>
            <w:tcW w:w="2917" w:type="dxa"/>
            <w:shd w:val="clear" w:color="auto" w:fill="auto"/>
            <w:tcMar>
              <w:top w:w="0" w:type="dxa"/>
              <w:left w:w="115" w:type="dxa"/>
              <w:bottom w:w="0" w:type="dxa"/>
              <w:right w:w="115" w:type="dxa"/>
            </w:tcMar>
          </w:tcPr>
          <w:p w14:paraId="2727A9B8" w14:textId="77777777" w:rsidR="002A6DD5" w:rsidRDefault="002A6DD5" w:rsidP="009E3A01">
            <w:pPr>
              <w:spacing w:after="0"/>
              <w:ind w:left="706"/>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14:paraId="37A6BE81" w14:textId="77777777" w:rsidR="002A6DD5" w:rsidRDefault="00000000" w:rsidP="009E3A01">
            <w:pPr>
              <w:numPr>
                <w:ilvl w:val="1"/>
                <w:numId w:val="8"/>
              </w:numPr>
              <w:tabs>
                <w:tab w:val="left" w:pos="-1296"/>
                <w:tab w:val="left" w:pos="-576"/>
              </w:tabs>
              <w:spacing w:after="120"/>
              <w:ind w:hanging="545"/>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2A6DD5" w14:paraId="026B891C" w14:textId="77777777">
        <w:tblPrEx>
          <w:tblCellMar>
            <w:top w:w="0" w:type="dxa"/>
            <w:bottom w:w="0" w:type="dxa"/>
          </w:tblCellMar>
        </w:tblPrEx>
        <w:tc>
          <w:tcPr>
            <w:tcW w:w="2917" w:type="dxa"/>
            <w:shd w:val="clear" w:color="auto" w:fill="auto"/>
            <w:tcMar>
              <w:top w:w="0" w:type="dxa"/>
              <w:left w:w="115" w:type="dxa"/>
              <w:bottom w:w="0" w:type="dxa"/>
              <w:right w:w="115" w:type="dxa"/>
            </w:tcMar>
          </w:tcPr>
          <w:p w14:paraId="46C47E44" w14:textId="77777777" w:rsidR="002A6DD5" w:rsidRDefault="002A6DD5" w:rsidP="009E3A01">
            <w:pPr>
              <w:spacing w:after="0"/>
              <w:ind w:left="706"/>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14:paraId="7B2CD81B" w14:textId="77777777" w:rsidR="002A6DD5" w:rsidRDefault="00000000" w:rsidP="009E3A01">
            <w:pPr>
              <w:numPr>
                <w:ilvl w:val="1"/>
                <w:numId w:val="8"/>
              </w:numPr>
              <w:tabs>
                <w:tab w:val="left" w:pos="-1296"/>
                <w:tab w:val="left" w:pos="-576"/>
              </w:tabs>
              <w:spacing w:after="120"/>
              <w:ind w:hanging="545"/>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2A6DD5" w14:paraId="226DF66B" w14:textId="77777777">
        <w:tblPrEx>
          <w:tblCellMar>
            <w:top w:w="0" w:type="dxa"/>
            <w:bottom w:w="0" w:type="dxa"/>
          </w:tblCellMar>
        </w:tblPrEx>
        <w:tc>
          <w:tcPr>
            <w:tcW w:w="2917" w:type="dxa"/>
            <w:shd w:val="clear" w:color="auto" w:fill="auto"/>
            <w:tcMar>
              <w:top w:w="0" w:type="dxa"/>
              <w:left w:w="115" w:type="dxa"/>
              <w:bottom w:w="0" w:type="dxa"/>
              <w:right w:w="115" w:type="dxa"/>
            </w:tcMar>
          </w:tcPr>
          <w:p w14:paraId="7277B00A" w14:textId="77777777" w:rsidR="002A6DD5" w:rsidRDefault="002A6DD5" w:rsidP="009E3A01">
            <w:pPr>
              <w:spacing w:after="0"/>
              <w:ind w:left="706"/>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14:paraId="74A96AAA" w14:textId="77777777" w:rsidR="002A6DD5" w:rsidRDefault="00000000" w:rsidP="009E3A01">
            <w:pPr>
              <w:numPr>
                <w:ilvl w:val="1"/>
                <w:numId w:val="8"/>
              </w:numPr>
              <w:tabs>
                <w:tab w:val="left" w:pos="-1296"/>
                <w:tab w:val="left" w:pos="-576"/>
              </w:tabs>
              <w:spacing w:after="120"/>
              <w:ind w:hanging="545"/>
            </w:pPr>
            <w:r>
              <w:rPr>
                <w:rFonts w:ascii="Arial" w:eastAsia="Arial" w:hAnsi="Arial"/>
                <w:sz w:val="24"/>
                <w:szCs w:val="24"/>
              </w:rPr>
              <w:t>compensation for less favourable treatment of part-time workers or fixed term employees;</w:t>
            </w:r>
          </w:p>
        </w:tc>
      </w:tr>
      <w:tr w:rsidR="002A6DD5" w14:paraId="1D24924B" w14:textId="77777777">
        <w:tblPrEx>
          <w:tblCellMar>
            <w:top w:w="0" w:type="dxa"/>
            <w:bottom w:w="0" w:type="dxa"/>
          </w:tblCellMar>
        </w:tblPrEx>
        <w:tc>
          <w:tcPr>
            <w:tcW w:w="2917" w:type="dxa"/>
            <w:shd w:val="clear" w:color="auto" w:fill="auto"/>
            <w:tcMar>
              <w:top w:w="0" w:type="dxa"/>
              <w:left w:w="115" w:type="dxa"/>
              <w:bottom w:w="0" w:type="dxa"/>
              <w:right w:w="115" w:type="dxa"/>
            </w:tcMar>
          </w:tcPr>
          <w:p w14:paraId="6F9327AE" w14:textId="77777777" w:rsidR="002A6DD5" w:rsidRDefault="002A6DD5" w:rsidP="009E3A01">
            <w:pPr>
              <w:spacing w:after="0"/>
              <w:ind w:left="706"/>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14:paraId="7B6642FB" w14:textId="77777777" w:rsidR="002A6DD5" w:rsidRDefault="00000000" w:rsidP="009E3A01">
            <w:pPr>
              <w:numPr>
                <w:ilvl w:val="1"/>
                <w:numId w:val="8"/>
              </w:numPr>
              <w:tabs>
                <w:tab w:val="left" w:pos="-1296"/>
                <w:tab w:val="left" w:pos="-576"/>
              </w:tabs>
              <w:spacing w:after="120"/>
              <w:ind w:hanging="545"/>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2A6DD5" w14:paraId="76C3A4A2" w14:textId="77777777">
        <w:tblPrEx>
          <w:tblCellMar>
            <w:top w:w="0" w:type="dxa"/>
            <w:bottom w:w="0" w:type="dxa"/>
          </w:tblCellMar>
        </w:tblPrEx>
        <w:tc>
          <w:tcPr>
            <w:tcW w:w="2917" w:type="dxa"/>
            <w:shd w:val="clear" w:color="auto" w:fill="auto"/>
            <w:tcMar>
              <w:top w:w="0" w:type="dxa"/>
              <w:left w:w="115" w:type="dxa"/>
              <w:bottom w:w="0" w:type="dxa"/>
              <w:right w:w="115" w:type="dxa"/>
            </w:tcMar>
          </w:tcPr>
          <w:p w14:paraId="1F0D0B82" w14:textId="77777777" w:rsidR="002A6DD5" w:rsidRDefault="002A6DD5" w:rsidP="009E3A01">
            <w:pPr>
              <w:keepNext/>
              <w:spacing w:after="0"/>
              <w:ind w:left="706"/>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14:paraId="527F3FE9" w14:textId="77777777" w:rsidR="002A6DD5" w:rsidRDefault="00000000" w:rsidP="009E3A01">
            <w:pPr>
              <w:numPr>
                <w:ilvl w:val="1"/>
                <w:numId w:val="8"/>
              </w:numPr>
              <w:tabs>
                <w:tab w:val="left" w:pos="-1296"/>
                <w:tab w:val="left" w:pos="-576"/>
              </w:tabs>
              <w:spacing w:after="120"/>
              <w:ind w:hanging="545"/>
            </w:pPr>
            <w:r>
              <w:rPr>
                <w:rFonts w:ascii="Arial" w:eastAsia="Arial" w:hAnsi="Arial"/>
                <w:sz w:val="24"/>
                <w:szCs w:val="24"/>
              </w:rPr>
              <w:t>employment claims whether in tort, contract or statute or otherwise;</w:t>
            </w:r>
          </w:p>
        </w:tc>
      </w:tr>
      <w:tr w:rsidR="002A6DD5" w14:paraId="60B87951" w14:textId="77777777">
        <w:tblPrEx>
          <w:tblCellMar>
            <w:top w:w="0" w:type="dxa"/>
            <w:bottom w:w="0" w:type="dxa"/>
          </w:tblCellMar>
        </w:tblPrEx>
        <w:tc>
          <w:tcPr>
            <w:tcW w:w="2917" w:type="dxa"/>
            <w:shd w:val="clear" w:color="auto" w:fill="auto"/>
            <w:tcMar>
              <w:top w:w="0" w:type="dxa"/>
              <w:left w:w="115" w:type="dxa"/>
              <w:bottom w:w="0" w:type="dxa"/>
              <w:right w:w="115" w:type="dxa"/>
            </w:tcMar>
          </w:tcPr>
          <w:p w14:paraId="4A8FD6A2" w14:textId="77777777" w:rsidR="002A6DD5" w:rsidRDefault="002A6DD5" w:rsidP="009E3A01">
            <w:pPr>
              <w:keepNext/>
              <w:spacing w:after="0"/>
              <w:ind w:left="706"/>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14:paraId="0B29E164" w14:textId="77777777" w:rsidR="002A6DD5" w:rsidRDefault="00000000" w:rsidP="009E3A01">
            <w:pPr>
              <w:numPr>
                <w:ilvl w:val="1"/>
                <w:numId w:val="8"/>
              </w:numPr>
              <w:tabs>
                <w:tab w:val="left" w:pos="-1296"/>
                <w:tab w:val="left" w:pos="-576"/>
              </w:tabs>
              <w:spacing w:after="120"/>
              <w:ind w:hanging="545"/>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2A6DD5" w14:paraId="4B5A9D7C" w14:textId="77777777">
        <w:tblPrEx>
          <w:tblCellMar>
            <w:top w:w="0" w:type="dxa"/>
            <w:bottom w:w="0" w:type="dxa"/>
          </w:tblCellMar>
        </w:tblPrEx>
        <w:tc>
          <w:tcPr>
            <w:tcW w:w="2917" w:type="dxa"/>
            <w:shd w:val="clear" w:color="auto" w:fill="auto"/>
            <w:tcMar>
              <w:top w:w="0" w:type="dxa"/>
              <w:left w:w="115" w:type="dxa"/>
              <w:bottom w:w="0" w:type="dxa"/>
              <w:right w:w="115" w:type="dxa"/>
            </w:tcMar>
          </w:tcPr>
          <w:p w14:paraId="2012F6EA" w14:textId="77777777" w:rsidR="002A6DD5" w:rsidRDefault="00000000" w:rsidP="009E3A01">
            <w:pPr>
              <w:spacing w:before="120" w:after="120"/>
              <w:ind w:left="709"/>
              <w:rPr>
                <w:rFonts w:ascii="Arial" w:eastAsia="Arial" w:hAnsi="Arial"/>
                <w:b/>
                <w:color w:val="000000"/>
                <w:sz w:val="24"/>
                <w:szCs w:val="24"/>
              </w:rPr>
            </w:pPr>
            <w:r>
              <w:rPr>
                <w:rFonts w:ascii="Arial" w:eastAsia="Arial" w:hAnsi="Arial"/>
                <w:b/>
                <w:color w:val="000000"/>
                <w:sz w:val="24"/>
                <w:szCs w:val="24"/>
              </w:rPr>
              <w:t>"Former Agency"</w:t>
            </w:r>
          </w:p>
        </w:tc>
        <w:tc>
          <w:tcPr>
            <w:tcW w:w="6109" w:type="dxa"/>
            <w:shd w:val="clear" w:color="auto" w:fill="auto"/>
            <w:tcMar>
              <w:top w:w="0" w:type="dxa"/>
              <w:left w:w="115" w:type="dxa"/>
              <w:bottom w:w="0" w:type="dxa"/>
              <w:right w:w="115" w:type="dxa"/>
            </w:tcMar>
          </w:tcPr>
          <w:p w14:paraId="1297245C" w14:textId="77777777" w:rsidR="002A6DD5" w:rsidRDefault="00000000" w:rsidP="009E3A01">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supplier supplying services to the Client before the Relevant Transfer Date that are the same as or substantially similar to the Services (or any part of the Services) and shall include any Subcontractor of such supplier (or any Subcontractor of any such Subcontractor);</w:t>
            </w:r>
          </w:p>
        </w:tc>
      </w:tr>
      <w:tr w:rsidR="002A6DD5" w14:paraId="7653541B" w14:textId="77777777">
        <w:tblPrEx>
          <w:tblCellMar>
            <w:top w:w="0" w:type="dxa"/>
            <w:bottom w:w="0" w:type="dxa"/>
          </w:tblCellMar>
        </w:tblPrEx>
        <w:trPr>
          <w:trHeight w:val="3560"/>
        </w:trPr>
        <w:tc>
          <w:tcPr>
            <w:tcW w:w="2917" w:type="dxa"/>
            <w:shd w:val="clear" w:color="auto" w:fill="auto"/>
            <w:tcMar>
              <w:top w:w="0" w:type="dxa"/>
              <w:left w:w="115" w:type="dxa"/>
              <w:bottom w:w="0" w:type="dxa"/>
              <w:right w:w="115" w:type="dxa"/>
            </w:tcMar>
          </w:tcPr>
          <w:p w14:paraId="6E58837F" w14:textId="77777777" w:rsidR="002A6DD5" w:rsidRDefault="00000000" w:rsidP="009E3A01">
            <w:pPr>
              <w:spacing w:before="120" w:after="120"/>
              <w:ind w:left="709"/>
              <w:rPr>
                <w:rFonts w:ascii="Arial" w:eastAsia="Arial" w:hAnsi="Arial"/>
                <w:b/>
                <w:color w:val="000000"/>
                <w:sz w:val="24"/>
                <w:szCs w:val="24"/>
              </w:rPr>
            </w:pPr>
            <w:r>
              <w:rPr>
                <w:rFonts w:ascii="Arial" w:eastAsia="Arial" w:hAnsi="Arial"/>
                <w:b/>
                <w:color w:val="000000"/>
                <w:sz w:val="24"/>
                <w:szCs w:val="24"/>
              </w:rPr>
              <w:t>"New Fair Deal"</w:t>
            </w:r>
          </w:p>
        </w:tc>
        <w:tc>
          <w:tcPr>
            <w:tcW w:w="6109" w:type="dxa"/>
            <w:shd w:val="clear" w:color="auto" w:fill="auto"/>
            <w:tcMar>
              <w:top w:w="0" w:type="dxa"/>
              <w:left w:w="115" w:type="dxa"/>
              <w:bottom w:w="0" w:type="dxa"/>
              <w:right w:w="115" w:type="dxa"/>
            </w:tcMar>
          </w:tcPr>
          <w:p w14:paraId="54B99D17" w14:textId="77777777" w:rsidR="002A6DD5" w:rsidRDefault="00000000" w:rsidP="009E3A01">
            <w:pPr>
              <w:tabs>
                <w:tab w:val="left" w:pos="34"/>
              </w:tabs>
              <w:spacing w:before="120" w:after="120"/>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14:paraId="6FCC623B" w14:textId="77777777" w:rsidR="002A6DD5" w:rsidRDefault="00000000" w:rsidP="009E3A01">
            <w:pPr>
              <w:numPr>
                <w:ilvl w:val="5"/>
                <w:numId w:val="8"/>
              </w:numP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14:paraId="0EE15A56" w14:textId="77777777" w:rsidR="002A6DD5" w:rsidRDefault="00000000" w:rsidP="009E3A01">
            <w:pPr>
              <w:numPr>
                <w:ilvl w:val="5"/>
                <w:numId w:val="8"/>
              </w:numP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Agency by the Client;</w:t>
            </w:r>
          </w:p>
        </w:tc>
      </w:tr>
      <w:tr w:rsidR="002A6DD5" w14:paraId="3B9AC5D5" w14:textId="77777777">
        <w:tblPrEx>
          <w:tblCellMar>
            <w:top w:w="0" w:type="dxa"/>
            <w:bottom w:w="0" w:type="dxa"/>
          </w:tblCellMar>
        </w:tblPrEx>
        <w:trPr>
          <w:trHeight w:val="1824"/>
        </w:trPr>
        <w:tc>
          <w:tcPr>
            <w:tcW w:w="2917" w:type="dxa"/>
            <w:shd w:val="clear" w:color="auto" w:fill="auto"/>
            <w:tcMar>
              <w:top w:w="0" w:type="dxa"/>
              <w:left w:w="115" w:type="dxa"/>
              <w:bottom w:w="0" w:type="dxa"/>
              <w:right w:w="115" w:type="dxa"/>
            </w:tcMar>
          </w:tcPr>
          <w:p w14:paraId="75CE78DB" w14:textId="77777777" w:rsidR="002A6DD5" w:rsidRDefault="00000000" w:rsidP="009E3A01">
            <w:pP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shd w:val="clear" w:color="auto" w:fill="auto"/>
            <w:tcMar>
              <w:top w:w="0" w:type="dxa"/>
              <w:left w:w="115" w:type="dxa"/>
              <w:bottom w:w="0" w:type="dxa"/>
              <w:right w:w="115" w:type="dxa"/>
            </w:tcMar>
          </w:tcPr>
          <w:p w14:paraId="0CFF5CE0" w14:textId="77777777" w:rsidR="002A6DD5" w:rsidRDefault="00000000" w:rsidP="009E3A01">
            <w:pPr>
              <w:tabs>
                <w:tab w:val="left" w:pos="34"/>
              </w:tabs>
              <w:spacing w:before="120" w:after="120"/>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June 2004;</w:t>
            </w:r>
          </w:p>
        </w:tc>
      </w:tr>
      <w:tr w:rsidR="002A6DD5" w14:paraId="7182B8A1" w14:textId="77777777">
        <w:tblPrEx>
          <w:tblCellMar>
            <w:top w:w="0" w:type="dxa"/>
            <w:bottom w:w="0" w:type="dxa"/>
          </w:tblCellMar>
        </w:tblPrEx>
        <w:tc>
          <w:tcPr>
            <w:tcW w:w="2917" w:type="dxa"/>
            <w:shd w:val="clear" w:color="auto" w:fill="auto"/>
            <w:tcMar>
              <w:top w:w="0" w:type="dxa"/>
              <w:left w:w="115" w:type="dxa"/>
              <w:bottom w:w="0" w:type="dxa"/>
              <w:right w:w="115" w:type="dxa"/>
            </w:tcMar>
          </w:tcPr>
          <w:p w14:paraId="3BA448A8" w14:textId="77777777" w:rsidR="002A6DD5" w:rsidRDefault="00000000" w:rsidP="009E3A01">
            <w:pP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shd w:val="clear" w:color="auto" w:fill="auto"/>
            <w:tcMar>
              <w:top w:w="0" w:type="dxa"/>
              <w:left w:w="115" w:type="dxa"/>
              <w:bottom w:w="0" w:type="dxa"/>
              <w:right w:w="115" w:type="dxa"/>
            </w:tcMar>
          </w:tcPr>
          <w:p w14:paraId="28842B6D" w14:textId="77777777" w:rsidR="002A6DD5" w:rsidRDefault="00000000" w:rsidP="009E3A01">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Client can end this contract) or 10.6 (When the Agency can end the contract);</w:t>
            </w:r>
          </w:p>
        </w:tc>
      </w:tr>
      <w:tr w:rsidR="002A6DD5" w14:paraId="659678A7" w14:textId="77777777">
        <w:tblPrEx>
          <w:tblCellMar>
            <w:top w:w="0" w:type="dxa"/>
            <w:bottom w:w="0" w:type="dxa"/>
          </w:tblCellMar>
        </w:tblPrEx>
        <w:tc>
          <w:tcPr>
            <w:tcW w:w="2917" w:type="dxa"/>
            <w:shd w:val="clear" w:color="auto" w:fill="auto"/>
            <w:tcMar>
              <w:top w:w="0" w:type="dxa"/>
              <w:left w:w="115" w:type="dxa"/>
              <w:bottom w:w="0" w:type="dxa"/>
              <w:right w:w="115" w:type="dxa"/>
            </w:tcMar>
          </w:tcPr>
          <w:p w14:paraId="3EF1F5FE" w14:textId="77777777" w:rsidR="002A6DD5" w:rsidRDefault="00000000" w:rsidP="009E3A01">
            <w:pP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shd w:val="clear" w:color="auto" w:fill="auto"/>
            <w:tcMar>
              <w:top w:w="0" w:type="dxa"/>
              <w:left w:w="115" w:type="dxa"/>
              <w:bottom w:w="0" w:type="dxa"/>
              <w:right w:w="115" w:type="dxa"/>
            </w:tcMar>
          </w:tcPr>
          <w:p w14:paraId="6376F4B4" w14:textId="77777777" w:rsidR="002A6DD5" w:rsidRDefault="00000000" w:rsidP="009E3A01">
            <w:pPr>
              <w:tabs>
                <w:tab w:val="left" w:pos="34"/>
              </w:tabs>
              <w:spacing w:before="120" w:after="120"/>
            </w:pPr>
            <w:r>
              <w:rPr>
                <w:rFonts w:ascii="Arial" w:eastAsia="Arial" w:hAnsi="Arial"/>
                <w:color w:val="000000"/>
                <w:sz w:val="24"/>
                <w:szCs w:val="24"/>
              </w:rPr>
              <w:t>a transfer of employment to which the Employment Regulations applies;</w:t>
            </w:r>
          </w:p>
        </w:tc>
      </w:tr>
      <w:tr w:rsidR="002A6DD5" w14:paraId="278E9B9B" w14:textId="77777777">
        <w:tblPrEx>
          <w:tblCellMar>
            <w:top w:w="0" w:type="dxa"/>
            <w:bottom w:w="0" w:type="dxa"/>
          </w:tblCellMar>
        </w:tblPrEx>
        <w:tc>
          <w:tcPr>
            <w:tcW w:w="2917" w:type="dxa"/>
            <w:shd w:val="clear" w:color="auto" w:fill="auto"/>
            <w:tcMar>
              <w:top w:w="0" w:type="dxa"/>
              <w:left w:w="115" w:type="dxa"/>
              <w:bottom w:w="0" w:type="dxa"/>
              <w:right w:w="115" w:type="dxa"/>
            </w:tcMar>
          </w:tcPr>
          <w:p w14:paraId="589F81A6" w14:textId="77777777" w:rsidR="002A6DD5" w:rsidRDefault="00000000" w:rsidP="009E3A01">
            <w:pP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shd w:val="clear" w:color="auto" w:fill="auto"/>
            <w:tcMar>
              <w:top w:w="0" w:type="dxa"/>
              <w:left w:w="115" w:type="dxa"/>
              <w:bottom w:w="0" w:type="dxa"/>
              <w:right w:w="115" w:type="dxa"/>
            </w:tcMar>
          </w:tcPr>
          <w:p w14:paraId="7A3D951E" w14:textId="77777777" w:rsidR="002A6DD5" w:rsidRDefault="00000000" w:rsidP="009E3A01">
            <w:pPr>
              <w:tabs>
                <w:tab w:val="left" w:pos="34"/>
              </w:tabs>
              <w:spacing w:before="120" w:after="120"/>
            </w:pPr>
            <w:r>
              <w:rPr>
                <w:rFonts w:ascii="Arial" w:eastAsia="Arial" w:hAnsi="Arial"/>
                <w:color w:val="000000"/>
                <w:sz w:val="24"/>
                <w:szCs w:val="24"/>
              </w:rPr>
              <w:t xml:space="preserve">in relation to a Relevant Transfer, the date upon which the Relevant Transfer takes place. For the purposes of Part D: Pensions and its Annexes, where the Agency or a Subcontractor was the Former Agency and there is no Relevant Transfer of the Fair Deal Employees because </w:t>
            </w:r>
            <w:r>
              <w:rPr>
                <w:rFonts w:ascii="Arial" w:eastAsia="Arial" w:hAnsi="Arial"/>
                <w:color w:val="000000"/>
                <w:sz w:val="24"/>
                <w:szCs w:val="24"/>
              </w:rPr>
              <w:lastRenderedPageBreak/>
              <w:t>they remain continuously employed by the Agency (or Subcontractor), references to the Relevant Transfer Date shall become references to the Start Date;</w:t>
            </w:r>
          </w:p>
        </w:tc>
      </w:tr>
      <w:tr w:rsidR="002A6DD5" w14:paraId="44094FFD" w14:textId="77777777">
        <w:tblPrEx>
          <w:tblCellMar>
            <w:top w:w="0" w:type="dxa"/>
            <w:bottom w:w="0" w:type="dxa"/>
          </w:tblCellMar>
        </w:tblPrEx>
        <w:tc>
          <w:tcPr>
            <w:tcW w:w="2917" w:type="dxa"/>
            <w:shd w:val="clear" w:color="auto" w:fill="auto"/>
            <w:tcMar>
              <w:top w:w="0" w:type="dxa"/>
              <w:left w:w="115" w:type="dxa"/>
              <w:bottom w:w="0" w:type="dxa"/>
              <w:right w:w="115" w:type="dxa"/>
            </w:tcMar>
          </w:tcPr>
          <w:p w14:paraId="24F45EF4" w14:textId="77777777" w:rsidR="002A6DD5" w:rsidRDefault="00000000" w:rsidP="009E3A01">
            <w:pPr>
              <w:keepNext/>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"Staffing Information"</w:t>
            </w:r>
          </w:p>
        </w:tc>
        <w:tc>
          <w:tcPr>
            <w:tcW w:w="6109" w:type="dxa"/>
            <w:shd w:val="clear" w:color="auto" w:fill="auto"/>
            <w:tcMar>
              <w:top w:w="0" w:type="dxa"/>
              <w:left w:w="115" w:type="dxa"/>
              <w:bottom w:w="0" w:type="dxa"/>
              <w:right w:w="115" w:type="dxa"/>
            </w:tcMar>
          </w:tcPr>
          <w:p w14:paraId="4DEB81B8" w14:textId="77777777" w:rsidR="002A6DD5" w:rsidRDefault="00000000" w:rsidP="009E3A01">
            <w:pPr>
              <w:keepNext/>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Agency's Provisional Agency Personnel List or Agency's Final Agency Personnel List, as the case may be, such information as the Client may reasonably request (subject to all applicable provisions of the Data Protection Legislation), but including in an anonymised format:</w:t>
            </w:r>
          </w:p>
          <w:p w14:paraId="5EDC49D5" w14:textId="77777777" w:rsidR="002A6DD5" w:rsidRDefault="00000000" w:rsidP="009E3A01">
            <w:pPr>
              <w:keepNext/>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2A6DD5" w14:paraId="36738E4F" w14:textId="77777777">
        <w:tblPrEx>
          <w:tblCellMar>
            <w:top w:w="0" w:type="dxa"/>
            <w:bottom w:w="0" w:type="dxa"/>
          </w:tblCellMar>
        </w:tblPrEx>
        <w:tc>
          <w:tcPr>
            <w:tcW w:w="2917" w:type="dxa"/>
            <w:shd w:val="clear" w:color="auto" w:fill="auto"/>
            <w:tcMar>
              <w:top w:w="0" w:type="dxa"/>
              <w:left w:w="115" w:type="dxa"/>
              <w:bottom w:w="0" w:type="dxa"/>
              <w:right w:w="115" w:type="dxa"/>
            </w:tcMar>
          </w:tcPr>
          <w:p w14:paraId="344E6E0F" w14:textId="77777777" w:rsidR="002A6DD5" w:rsidRDefault="002A6DD5" w:rsidP="009E3A01">
            <w:pP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14:paraId="3FE1046D" w14:textId="77777777" w:rsidR="002A6DD5" w:rsidRDefault="00000000" w:rsidP="009E3A01">
            <w:pP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2A6DD5" w14:paraId="115E939C" w14:textId="77777777">
        <w:tblPrEx>
          <w:tblCellMar>
            <w:top w:w="0" w:type="dxa"/>
            <w:bottom w:w="0" w:type="dxa"/>
          </w:tblCellMar>
        </w:tblPrEx>
        <w:tc>
          <w:tcPr>
            <w:tcW w:w="2917" w:type="dxa"/>
            <w:shd w:val="clear" w:color="auto" w:fill="auto"/>
            <w:tcMar>
              <w:top w:w="0" w:type="dxa"/>
              <w:left w:w="115" w:type="dxa"/>
              <w:bottom w:w="0" w:type="dxa"/>
              <w:right w:w="115" w:type="dxa"/>
            </w:tcMar>
          </w:tcPr>
          <w:p w14:paraId="0A2735D5" w14:textId="77777777" w:rsidR="002A6DD5" w:rsidRDefault="002A6DD5" w:rsidP="009E3A01">
            <w:pP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14:paraId="1D48EAA6" w14:textId="77777777" w:rsidR="002A6DD5" w:rsidRDefault="00000000" w:rsidP="009E3A01">
            <w:pP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2A6DD5" w14:paraId="063D52A1" w14:textId="77777777">
        <w:tblPrEx>
          <w:tblCellMar>
            <w:top w:w="0" w:type="dxa"/>
            <w:bottom w:w="0" w:type="dxa"/>
          </w:tblCellMar>
        </w:tblPrEx>
        <w:tc>
          <w:tcPr>
            <w:tcW w:w="2917" w:type="dxa"/>
            <w:shd w:val="clear" w:color="auto" w:fill="auto"/>
            <w:tcMar>
              <w:top w:w="0" w:type="dxa"/>
              <w:left w:w="115" w:type="dxa"/>
              <w:bottom w:w="0" w:type="dxa"/>
              <w:right w:w="115" w:type="dxa"/>
            </w:tcMar>
          </w:tcPr>
          <w:p w14:paraId="74518F13" w14:textId="77777777" w:rsidR="002A6DD5" w:rsidRDefault="002A6DD5" w:rsidP="009E3A01">
            <w:pP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14:paraId="77EAD013" w14:textId="77777777" w:rsidR="002A6DD5" w:rsidRDefault="00000000" w:rsidP="009E3A01">
            <w:pP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their relevant contractual notice periods and any other terms relating to termination of employment, including redundancy procedures, and redundancy payments;</w:t>
            </w:r>
          </w:p>
        </w:tc>
      </w:tr>
      <w:tr w:rsidR="002A6DD5" w14:paraId="6596CE56" w14:textId="77777777">
        <w:tblPrEx>
          <w:tblCellMar>
            <w:top w:w="0" w:type="dxa"/>
            <w:bottom w:w="0" w:type="dxa"/>
          </w:tblCellMar>
        </w:tblPrEx>
        <w:tc>
          <w:tcPr>
            <w:tcW w:w="2917" w:type="dxa"/>
            <w:shd w:val="clear" w:color="auto" w:fill="auto"/>
            <w:tcMar>
              <w:top w:w="0" w:type="dxa"/>
              <w:left w:w="115" w:type="dxa"/>
              <w:bottom w:w="0" w:type="dxa"/>
              <w:right w:w="115" w:type="dxa"/>
            </w:tcMar>
          </w:tcPr>
          <w:p w14:paraId="7997A95A" w14:textId="77777777" w:rsidR="002A6DD5" w:rsidRDefault="002A6DD5" w:rsidP="009E3A01">
            <w:pP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14:paraId="4A48CABF" w14:textId="77777777" w:rsidR="002A6DD5" w:rsidRDefault="00000000" w:rsidP="009E3A01">
            <w:pP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2A6DD5" w14:paraId="5EECF0DB" w14:textId="77777777">
        <w:tblPrEx>
          <w:tblCellMar>
            <w:top w:w="0" w:type="dxa"/>
            <w:bottom w:w="0" w:type="dxa"/>
          </w:tblCellMar>
        </w:tblPrEx>
        <w:tc>
          <w:tcPr>
            <w:tcW w:w="2917" w:type="dxa"/>
            <w:shd w:val="clear" w:color="auto" w:fill="auto"/>
            <w:tcMar>
              <w:top w:w="0" w:type="dxa"/>
              <w:left w:w="115" w:type="dxa"/>
              <w:bottom w:w="0" w:type="dxa"/>
              <w:right w:w="115" w:type="dxa"/>
            </w:tcMar>
          </w:tcPr>
          <w:p w14:paraId="6576A7FC" w14:textId="77777777" w:rsidR="002A6DD5" w:rsidRDefault="002A6DD5" w:rsidP="009E3A01">
            <w:pP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14:paraId="14175A39" w14:textId="77777777" w:rsidR="002A6DD5" w:rsidRDefault="00000000" w:rsidP="009E3A01">
            <w:pP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2A6DD5" w14:paraId="14DE7659" w14:textId="77777777">
        <w:tblPrEx>
          <w:tblCellMar>
            <w:top w:w="0" w:type="dxa"/>
            <w:bottom w:w="0" w:type="dxa"/>
          </w:tblCellMar>
        </w:tblPrEx>
        <w:tc>
          <w:tcPr>
            <w:tcW w:w="2917" w:type="dxa"/>
            <w:shd w:val="clear" w:color="auto" w:fill="auto"/>
            <w:tcMar>
              <w:top w:w="0" w:type="dxa"/>
              <w:left w:w="115" w:type="dxa"/>
              <w:bottom w:w="0" w:type="dxa"/>
              <w:right w:w="115" w:type="dxa"/>
            </w:tcMar>
          </w:tcPr>
          <w:p w14:paraId="42E0EB95" w14:textId="77777777" w:rsidR="002A6DD5" w:rsidRDefault="002A6DD5" w:rsidP="009E3A01">
            <w:pP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14:paraId="49BA8DCB" w14:textId="77777777" w:rsidR="002A6DD5" w:rsidRDefault="00000000" w:rsidP="009E3A01">
            <w:pP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2A6DD5" w14:paraId="04426E3B" w14:textId="77777777">
        <w:tblPrEx>
          <w:tblCellMar>
            <w:top w:w="0" w:type="dxa"/>
            <w:bottom w:w="0" w:type="dxa"/>
          </w:tblCellMar>
        </w:tblPrEx>
        <w:tc>
          <w:tcPr>
            <w:tcW w:w="2917" w:type="dxa"/>
            <w:shd w:val="clear" w:color="auto" w:fill="auto"/>
            <w:tcMar>
              <w:top w:w="0" w:type="dxa"/>
              <w:left w:w="115" w:type="dxa"/>
              <w:bottom w:w="0" w:type="dxa"/>
              <w:right w:w="115" w:type="dxa"/>
            </w:tcMar>
          </w:tcPr>
          <w:p w14:paraId="356EE064" w14:textId="77777777" w:rsidR="002A6DD5" w:rsidRDefault="002A6DD5" w:rsidP="009E3A01">
            <w:pP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14:paraId="79A32EAC" w14:textId="77777777" w:rsidR="002A6DD5" w:rsidRDefault="00000000" w:rsidP="009E3A01">
            <w:pP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long term absence; </w:t>
            </w:r>
          </w:p>
        </w:tc>
      </w:tr>
      <w:tr w:rsidR="002A6DD5" w14:paraId="41F787AF" w14:textId="77777777">
        <w:tblPrEx>
          <w:tblCellMar>
            <w:top w:w="0" w:type="dxa"/>
            <w:bottom w:w="0" w:type="dxa"/>
          </w:tblCellMar>
        </w:tblPrEx>
        <w:tc>
          <w:tcPr>
            <w:tcW w:w="2917" w:type="dxa"/>
            <w:shd w:val="clear" w:color="auto" w:fill="auto"/>
            <w:tcMar>
              <w:top w:w="0" w:type="dxa"/>
              <w:left w:w="115" w:type="dxa"/>
              <w:bottom w:w="0" w:type="dxa"/>
              <w:right w:w="115" w:type="dxa"/>
            </w:tcMar>
          </w:tcPr>
          <w:p w14:paraId="038B76B9" w14:textId="77777777" w:rsidR="002A6DD5" w:rsidRDefault="002A6DD5" w:rsidP="009E3A01">
            <w:pP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14:paraId="18564DE8" w14:textId="77777777" w:rsidR="002A6DD5" w:rsidRDefault="00000000" w:rsidP="009E3A01">
            <w:pPr>
              <w:spacing w:before="120" w:after="120"/>
              <w:ind w:left="720" w:hanging="720"/>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t xml:space="preserve">copies of all relevant documents and materials relating to such information, including copies of relevant contracts of employment (or relevant </w:t>
            </w:r>
            <w:r>
              <w:rPr>
                <w:rFonts w:ascii="Arial" w:eastAsia="Arial" w:hAnsi="Arial"/>
                <w:color w:val="000000"/>
                <w:sz w:val="24"/>
                <w:szCs w:val="24"/>
              </w:rPr>
              <w:lastRenderedPageBreak/>
              <w:t>standard contracts if applied generally in respect of such employees); and</w:t>
            </w:r>
          </w:p>
        </w:tc>
      </w:tr>
      <w:tr w:rsidR="002A6DD5" w14:paraId="1F36D9FF" w14:textId="77777777">
        <w:tblPrEx>
          <w:tblCellMar>
            <w:top w:w="0" w:type="dxa"/>
            <w:bottom w:w="0" w:type="dxa"/>
          </w:tblCellMar>
        </w:tblPrEx>
        <w:tc>
          <w:tcPr>
            <w:tcW w:w="2917" w:type="dxa"/>
            <w:shd w:val="clear" w:color="auto" w:fill="auto"/>
            <w:tcMar>
              <w:top w:w="0" w:type="dxa"/>
              <w:left w:w="115" w:type="dxa"/>
              <w:bottom w:w="0" w:type="dxa"/>
              <w:right w:w="115" w:type="dxa"/>
            </w:tcMar>
          </w:tcPr>
          <w:p w14:paraId="501D2C93" w14:textId="77777777" w:rsidR="002A6DD5" w:rsidRDefault="002A6DD5" w:rsidP="009E3A01">
            <w:pPr>
              <w:spacing w:before="120" w:after="120"/>
              <w:ind w:left="709"/>
              <w:rPr>
                <w:rFonts w:ascii="Arial" w:eastAsia="Arial" w:hAnsi="Arial"/>
                <w:b/>
                <w:color w:val="000000"/>
                <w:sz w:val="24"/>
                <w:szCs w:val="24"/>
              </w:rPr>
            </w:pPr>
          </w:p>
          <w:p w14:paraId="0A43E1BE" w14:textId="77777777" w:rsidR="002A6DD5" w:rsidRDefault="002A6DD5" w:rsidP="009E3A01">
            <w:pPr>
              <w:spacing w:before="120" w:after="120"/>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14:paraId="6937DD6F" w14:textId="77777777" w:rsidR="002A6DD5" w:rsidRDefault="00000000" w:rsidP="009E3A01">
            <w:pP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2A6DD5" w14:paraId="4AC4FDCA" w14:textId="77777777">
        <w:tblPrEx>
          <w:tblCellMar>
            <w:top w:w="0" w:type="dxa"/>
            <w:bottom w:w="0" w:type="dxa"/>
          </w:tblCellMar>
        </w:tblPrEx>
        <w:tc>
          <w:tcPr>
            <w:tcW w:w="2917" w:type="dxa"/>
            <w:shd w:val="clear" w:color="auto" w:fill="auto"/>
            <w:tcMar>
              <w:top w:w="0" w:type="dxa"/>
              <w:left w:w="115" w:type="dxa"/>
              <w:bottom w:w="0" w:type="dxa"/>
              <w:right w:w="115" w:type="dxa"/>
            </w:tcMar>
          </w:tcPr>
          <w:p w14:paraId="1655C9FB" w14:textId="77777777" w:rsidR="002A6DD5" w:rsidRDefault="00000000" w:rsidP="009E3A01">
            <w:pPr>
              <w:spacing w:before="120" w:after="120"/>
              <w:ind w:left="709"/>
              <w:rPr>
                <w:rFonts w:ascii="Arial" w:eastAsia="Arial" w:hAnsi="Arial"/>
                <w:b/>
                <w:color w:val="000000"/>
                <w:sz w:val="24"/>
                <w:szCs w:val="24"/>
              </w:rPr>
            </w:pPr>
            <w:r>
              <w:rPr>
                <w:rFonts w:ascii="Arial" w:eastAsia="Arial" w:hAnsi="Arial"/>
                <w:b/>
                <w:color w:val="000000"/>
                <w:sz w:val="24"/>
                <w:szCs w:val="24"/>
              </w:rPr>
              <w:t>"Agency's Final Agency Personnel List"</w:t>
            </w:r>
          </w:p>
        </w:tc>
        <w:tc>
          <w:tcPr>
            <w:tcW w:w="6109" w:type="dxa"/>
            <w:shd w:val="clear" w:color="auto" w:fill="auto"/>
            <w:tcMar>
              <w:top w:w="0" w:type="dxa"/>
              <w:left w:w="115" w:type="dxa"/>
              <w:bottom w:w="0" w:type="dxa"/>
              <w:right w:w="115" w:type="dxa"/>
            </w:tcMar>
          </w:tcPr>
          <w:p w14:paraId="74325A74" w14:textId="77777777" w:rsidR="002A6DD5" w:rsidRDefault="00000000" w:rsidP="009E3A01">
            <w:pP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Agency of all Agency Staff whose will transfer under the Employment Regulations on the Service Transfer Date;</w:t>
            </w:r>
          </w:p>
        </w:tc>
      </w:tr>
      <w:tr w:rsidR="002A6DD5" w14:paraId="2445E812" w14:textId="77777777">
        <w:tblPrEx>
          <w:tblCellMar>
            <w:top w:w="0" w:type="dxa"/>
            <w:bottom w:w="0" w:type="dxa"/>
          </w:tblCellMar>
        </w:tblPrEx>
        <w:tc>
          <w:tcPr>
            <w:tcW w:w="2917" w:type="dxa"/>
            <w:shd w:val="clear" w:color="auto" w:fill="auto"/>
            <w:tcMar>
              <w:top w:w="0" w:type="dxa"/>
              <w:left w:w="115" w:type="dxa"/>
              <w:bottom w:w="0" w:type="dxa"/>
              <w:right w:w="115" w:type="dxa"/>
            </w:tcMar>
          </w:tcPr>
          <w:p w14:paraId="02490CB9" w14:textId="77777777" w:rsidR="002A6DD5" w:rsidRDefault="00000000" w:rsidP="009E3A01">
            <w:pPr>
              <w:spacing w:before="120" w:after="120"/>
              <w:ind w:left="709"/>
              <w:rPr>
                <w:rFonts w:ascii="Arial" w:eastAsia="Arial" w:hAnsi="Arial"/>
                <w:b/>
                <w:color w:val="000000"/>
                <w:sz w:val="24"/>
                <w:szCs w:val="24"/>
              </w:rPr>
            </w:pPr>
            <w:r>
              <w:rPr>
                <w:rFonts w:ascii="Arial" w:eastAsia="Arial" w:hAnsi="Arial"/>
                <w:b/>
                <w:color w:val="000000"/>
                <w:sz w:val="24"/>
                <w:szCs w:val="24"/>
              </w:rPr>
              <w:t>"Agency's Provisional Agency Personnel List"</w:t>
            </w:r>
          </w:p>
        </w:tc>
        <w:tc>
          <w:tcPr>
            <w:tcW w:w="6109" w:type="dxa"/>
            <w:shd w:val="clear" w:color="auto" w:fill="auto"/>
            <w:tcMar>
              <w:top w:w="0" w:type="dxa"/>
              <w:left w:w="115" w:type="dxa"/>
              <w:bottom w:w="0" w:type="dxa"/>
              <w:right w:w="115" w:type="dxa"/>
            </w:tcMar>
          </w:tcPr>
          <w:p w14:paraId="4779BC9F" w14:textId="77777777" w:rsidR="002A6DD5" w:rsidRDefault="00000000" w:rsidP="009E3A01">
            <w:pPr>
              <w:spacing w:before="120" w:after="120"/>
              <w:ind w:left="34"/>
              <w:rPr>
                <w:rFonts w:ascii="Arial" w:eastAsia="Arial" w:hAnsi="Arial"/>
                <w:color w:val="000000"/>
                <w:sz w:val="24"/>
                <w:szCs w:val="24"/>
              </w:rPr>
            </w:pPr>
            <w:r>
              <w:rPr>
                <w:rFonts w:ascii="Arial" w:eastAsia="Arial" w:hAnsi="Arial"/>
                <w:color w:val="000000"/>
                <w:sz w:val="24"/>
                <w:szCs w:val="24"/>
              </w:rPr>
              <w:t>a list prepared and updated by the Agency of all Agency Staff who are at the date of the list  wholly or mainly engaged in or assigned to the provision of the Services or any relevant part of the Services which it is envisaged as at the date of such list will no longer be provided by the Agency;</w:t>
            </w:r>
          </w:p>
        </w:tc>
      </w:tr>
      <w:tr w:rsidR="002A6DD5" w14:paraId="63291898" w14:textId="77777777">
        <w:tblPrEx>
          <w:tblCellMar>
            <w:top w:w="0" w:type="dxa"/>
            <w:bottom w:w="0" w:type="dxa"/>
          </w:tblCellMar>
        </w:tblPrEx>
        <w:tc>
          <w:tcPr>
            <w:tcW w:w="2917" w:type="dxa"/>
            <w:shd w:val="clear" w:color="auto" w:fill="auto"/>
            <w:tcMar>
              <w:top w:w="0" w:type="dxa"/>
              <w:left w:w="115" w:type="dxa"/>
              <w:bottom w:w="0" w:type="dxa"/>
              <w:right w:w="115" w:type="dxa"/>
            </w:tcMar>
          </w:tcPr>
          <w:p w14:paraId="28E4CFE2" w14:textId="77777777" w:rsidR="002A6DD5" w:rsidRDefault="00000000" w:rsidP="009E3A01">
            <w:pP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shd w:val="clear" w:color="auto" w:fill="auto"/>
            <w:tcMar>
              <w:top w:w="0" w:type="dxa"/>
              <w:left w:w="115" w:type="dxa"/>
              <w:bottom w:w="0" w:type="dxa"/>
              <w:right w:w="115" w:type="dxa"/>
            </w:tcMar>
          </w:tcPr>
          <w:p w14:paraId="6D07E6AB" w14:textId="77777777" w:rsidR="002A6DD5" w:rsidRDefault="00000000" w:rsidP="009E3A01">
            <w:pP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2A6DD5" w14:paraId="36688A4F" w14:textId="77777777">
        <w:tblPrEx>
          <w:tblCellMar>
            <w:top w:w="0" w:type="dxa"/>
            <w:bottom w:w="0" w:type="dxa"/>
          </w:tblCellMar>
        </w:tblPrEx>
        <w:tc>
          <w:tcPr>
            <w:tcW w:w="2917" w:type="dxa"/>
            <w:shd w:val="clear" w:color="auto" w:fill="auto"/>
            <w:tcMar>
              <w:top w:w="0" w:type="dxa"/>
              <w:left w:w="115" w:type="dxa"/>
              <w:bottom w:w="0" w:type="dxa"/>
              <w:right w:w="115" w:type="dxa"/>
            </w:tcMar>
          </w:tcPr>
          <w:p w14:paraId="3AA15D67" w14:textId="77777777" w:rsidR="002A6DD5" w:rsidRDefault="00000000" w:rsidP="009E3A01">
            <w:pPr>
              <w:spacing w:before="120" w:after="120"/>
              <w:ind w:left="709"/>
              <w:rPr>
                <w:rFonts w:ascii="Arial" w:eastAsia="Arial" w:hAnsi="Arial"/>
                <w:b/>
                <w:color w:val="000000"/>
                <w:sz w:val="24"/>
                <w:szCs w:val="24"/>
              </w:rPr>
            </w:pPr>
            <w:r>
              <w:rPr>
                <w:rFonts w:ascii="Arial" w:eastAsia="Arial" w:hAnsi="Arial"/>
                <w:b/>
                <w:color w:val="000000"/>
                <w:sz w:val="24"/>
                <w:szCs w:val="24"/>
              </w:rPr>
              <w:t>"Transferring Client Employees"</w:t>
            </w:r>
          </w:p>
        </w:tc>
        <w:tc>
          <w:tcPr>
            <w:tcW w:w="6109" w:type="dxa"/>
            <w:shd w:val="clear" w:color="auto" w:fill="auto"/>
            <w:tcMar>
              <w:top w:w="0" w:type="dxa"/>
              <w:left w:w="115" w:type="dxa"/>
              <w:bottom w:w="0" w:type="dxa"/>
              <w:right w:w="115" w:type="dxa"/>
            </w:tcMar>
          </w:tcPr>
          <w:p w14:paraId="5B891E9E" w14:textId="77777777" w:rsidR="002A6DD5" w:rsidRDefault="00000000" w:rsidP="009E3A01">
            <w:pPr>
              <w:spacing w:before="120" w:after="120"/>
              <w:rPr>
                <w:rFonts w:ascii="Arial" w:eastAsia="Arial" w:hAnsi="Arial"/>
                <w:color w:val="000000"/>
                <w:sz w:val="24"/>
                <w:szCs w:val="24"/>
              </w:rPr>
            </w:pPr>
            <w:r>
              <w:rPr>
                <w:rFonts w:ascii="Arial" w:eastAsia="Arial" w:hAnsi="Arial"/>
                <w:color w:val="000000"/>
                <w:sz w:val="24"/>
                <w:szCs w:val="24"/>
              </w:rPr>
              <w:t>those employees of the Client to whom the Employment Regulations will apply on the Relevant Transfer Date;</w:t>
            </w:r>
          </w:p>
        </w:tc>
      </w:tr>
      <w:tr w:rsidR="002A6DD5" w14:paraId="607F9477" w14:textId="77777777">
        <w:tblPrEx>
          <w:tblCellMar>
            <w:top w:w="0" w:type="dxa"/>
            <w:bottom w:w="0" w:type="dxa"/>
          </w:tblCellMar>
        </w:tblPrEx>
        <w:tc>
          <w:tcPr>
            <w:tcW w:w="2917" w:type="dxa"/>
            <w:shd w:val="clear" w:color="auto" w:fill="auto"/>
            <w:tcMar>
              <w:top w:w="0" w:type="dxa"/>
              <w:left w:w="115" w:type="dxa"/>
              <w:bottom w:w="0" w:type="dxa"/>
              <w:right w:w="115" w:type="dxa"/>
            </w:tcMar>
          </w:tcPr>
          <w:p w14:paraId="638EDCA7" w14:textId="77777777" w:rsidR="002A6DD5" w:rsidRDefault="00000000" w:rsidP="009E3A01">
            <w:pPr>
              <w:spacing w:before="120" w:after="120"/>
              <w:ind w:left="709"/>
            </w:pPr>
            <w:r>
              <w:rPr>
                <w:rFonts w:ascii="Arial" w:eastAsia="Arial" w:hAnsi="Arial"/>
                <w:b/>
                <w:color w:val="000000"/>
                <w:sz w:val="24"/>
                <w:szCs w:val="24"/>
              </w:rPr>
              <w:t>"Transferring Former Agency Employees"</w:t>
            </w:r>
          </w:p>
        </w:tc>
        <w:tc>
          <w:tcPr>
            <w:tcW w:w="6109" w:type="dxa"/>
            <w:shd w:val="clear" w:color="auto" w:fill="auto"/>
            <w:tcMar>
              <w:top w:w="0" w:type="dxa"/>
              <w:left w:w="115" w:type="dxa"/>
              <w:bottom w:w="0" w:type="dxa"/>
              <w:right w:w="115" w:type="dxa"/>
            </w:tcMar>
          </w:tcPr>
          <w:p w14:paraId="7AB3D858" w14:textId="77777777" w:rsidR="002A6DD5" w:rsidRDefault="00000000" w:rsidP="009E3A01">
            <w:pPr>
              <w:spacing w:before="120" w:after="120"/>
            </w:pPr>
            <w:r>
              <w:rPr>
                <w:rFonts w:ascii="Arial" w:eastAsia="Arial" w:hAnsi="Arial"/>
                <w:color w:val="000000"/>
                <w:sz w:val="24"/>
                <w:szCs w:val="24"/>
              </w:rPr>
              <w:t>in relation to a Former Agency, those employees of the Former Agency to whom the Employment Regulations will apply on the Relevant Transfer Date.</w:t>
            </w:r>
          </w:p>
        </w:tc>
      </w:tr>
    </w:tbl>
    <w:p w14:paraId="196F73AC" w14:textId="77777777" w:rsidR="002A6DD5" w:rsidRDefault="00000000" w:rsidP="009E3A01">
      <w:pPr>
        <w:keepNext/>
        <w:numPr>
          <w:ilvl w:val="0"/>
          <w:numId w:val="14"/>
        </w:numP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63B54A2D" w14:textId="77777777" w:rsidR="002A6DD5" w:rsidRDefault="00000000" w:rsidP="009E3A01">
      <w:pPr>
        <w:keepNext/>
        <w:numPr>
          <w:ilvl w:val="1"/>
          <w:numId w:val="14"/>
        </w:numPr>
        <w:tabs>
          <w:tab w:val="left" w:pos="273"/>
        </w:tabs>
        <w:spacing w:before="120" w:after="120"/>
      </w:pPr>
      <w:r>
        <w:rPr>
          <w:rFonts w:ascii="Arial" w:eastAsia="Arial" w:hAnsi="Arial"/>
          <w:color w:val="000000"/>
          <w:sz w:val="24"/>
          <w:szCs w:val="24"/>
        </w:rPr>
        <w:t>Where a provision in this Schedule imposes any obligation on the Agency including (without limit) to comply with a requirement or provide an indemnity, undertaking or warranty, the Agency shall procure that each of its Subcontractors shall comply with such obligation and provide such indemnity, undertaking or warranty to CCS, the Client, Former Agency, Replacement Agency or Replacement Subcontractor, as the case may be and where the Subcontractor fails to satisfy any claims under such indemnities the Agency will be liable for satisfying any such claim as if it had provided the indemnity itself.</w:t>
      </w:r>
    </w:p>
    <w:p w14:paraId="3CEB7F22" w14:textId="77777777" w:rsidR="002A6DD5" w:rsidRDefault="00000000" w:rsidP="009E3A01">
      <w:pPr>
        <w:numPr>
          <w:ilvl w:val="1"/>
          <w:numId w:val="14"/>
        </w:numPr>
        <w:tabs>
          <w:tab w:val="left" w:pos="273"/>
        </w:tabs>
        <w:spacing w:before="120" w:after="120"/>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31790C93" w14:textId="77777777" w:rsidR="002A6DD5" w:rsidRDefault="00000000" w:rsidP="009E3A01">
      <w:pPr>
        <w:numPr>
          <w:ilvl w:val="1"/>
          <w:numId w:val="14"/>
        </w:numPr>
        <w:tabs>
          <w:tab w:val="left" w:pos="273"/>
        </w:tabs>
        <w:spacing w:before="120" w:after="120"/>
      </w:pPr>
      <w:r>
        <w:rPr>
          <w:rFonts w:ascii="Arial" w:eastAsia="Arial" w:hAnsi="Arial"/>
          <w:color w:val="000000"/>
          <w:sz w:val="24"/>
          <w:szCs w:val="24"/>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14:paraId="0BE43959" w14:textId="77777777" w:rsidR="002A6DD5" w:rsidRDefault="00000000" w:rsidP="009E3A01">
      <w:pPr>
        <w:numPr>
          <w:ilvl w:val="1"/>
          <w:numId w:val="14"/>
        </w:numPr>
        <w:tabs>
          <w:tab w:val="left" w:pos="273"/>
        </w:tabs>
        <w:spacing w:before="120" w:after="120"/>
      </w:pPr>
      <w:r>
        <w:rPr>
          <w:rFonts w:ascii="Arial" w:eastAsia="Arial" w:hAnsi="Arial"/>
          <w:color w:val="000000"/>
          <w:sz w:val="24"/>
          <w:szCs w:val="24"/>
        </w:rPr>
        <w:lastRenderedPageBreak/>
        <w:t>No Third Party Beneficiary may enforce, or take any step to enforce, any Third Party Provision without the prior written consent of the Client, which may, if given, be given on and subject to such terms as the Client may determine.</w:t>
      </w:r>
    </w:p>
    <w:p w14:paraId="4D78CBEB" w14:textId="77777777" w:rsidR="002A6DD5" w:rsidRDefault="00000000" w:rsidP="009E3A01">
      <w:pPr>
        <w:numPr>
          <w:ilvl w:val="1"/>
          <w:numId w:val="14"/>
        </w:numPr>
        <w:tabs>
          <w:tab w:val="left" w:pos="273"/>
        </w:tabs>
        <w:spacing w:before="120" w:after="120"/>
      </w:pPr>
      <w:r>
        <w:rPr>
          <w:rFonts w:ascii="Arial" w:eastAsia="Arial" w:hAnsi="Arial"/>
          <w:color w:val="000000"/>
          <w:sz w:val="24"/>
          <w:szCs w:val="24"/>
        </w:rPr>
        <w:t xml:space="preserve">Any amendments or modifications to this Order Contract may be made, and any rights created under Paragraph 2.2 above may be altered or extinguished, by the Parties without the consent of any Third Party Beneficiary.  </w:t>
      </w:r>
    </w:p>
    <w:p w14:paraId="2E33E63E" w14:textId="77777777" w:rsidR="002A6DD5" w:rsidRDefault="00000000" w:rsidP="009E3A01">
      <w:pPr>
        <w:keepNext/>
        <w:numPr>
          <w:ilvl w:val="0"/>
          <w:numId w:val="14"/>
        </w:numPr>
        <w:spacing w:before="120"/>
      </w:pPr>
      <w:r>
        <w:rPr>
          <w:rFonts w:ascii="Arial" w:eastAsia="Arial" w:hAnsi="Arial"/>
          <w:b/>
          <w:color w:val="000000"/>
          <w:sz w:val="24"/>
          <w:szCs w:val="24"/>
        </w:rPr>
        <w:t>Which parts of this Schedule apply</w:t>
      </w:r>
    </w:p>
    <w:p w14:paraId="18149345" w14:textId="77777777" w:rsidR="002A6DD5" w:rsidRDefault="00000000" w:rsidP="009E3A01">
      <w:pPr>
        <w:ind w:left="357"/>
        <w:rPr>
          <w:rFonts w:ascii="Arial" w:eastAsia="Arial" w:hAnsi="Arial"/>
          <w:sz w:val="24"/>
          <w:szCs w:val="24"/>
        </w:rPr>
      </w:pPr>
      <w:r>
        <w:rPr>
          <w:rFonts w:ascii="Arial" w:eastAsia="Arial" w:hAnsi="Arial"/>
          <w:sz w:val="24"/>
          <w:szCs w:val="24"/>
        </w:rPr>
        <w:t>Only the following parts of this Schedule shall apply to this Order Contract:</w:t>
      </w:r>
    </w:p>
    <w:p w14:paraId="1060357E" w14:textId="6D3461A7" w:rsidR="002A6DD5" w:rsidRDefault="00000000" w:rsidP="009E3A01">
      <w:pPr>
        <w:numPr>
          <w:ilvl w:val="1"/>
          <w:numId w:val="12"/>
        </w:numPr>
        <w:spacing w:after="0" w:line="256" w:lineRule="auto"/>
        <w:rPr>
          <w:rFonts w:ascii="Arial" w:eastAsia="Arial" w:hAnsi="Arial"/>
          <w:sz w:val="24"/>
          <w:szCs w:val="24"/>
        </w:rPr>
      </w:pPr>
      <w:r>
        <w:rPr>
          <w:rFonts w:ascii="Arial" w:eastAsia="Arial" w:hAnsi="Arial"/>
          <w:sz w:val="24"/>
          <w:szCs w:val="24"/>
        </w:rPr>
        <w:t>Part C (No Staff Transfer on the Start Date)</w:t>
      </w:r>
    </w:p>
    <w:p w14:paraId="3869706F" w14:textId="77777777" w:rsidR="002A6DD5" w:rsidRDefault="00000000" w:rsidP="009E3A01">
      <w:pPr>
        <w:numPr>
          <w:ilvl w:val="1"/>
          <w:numId w:val="12"/>
        </w:numPr>
        <w:spacing w:after="0" w:line="256" w:lineRule="auto"/>
        <w:rPr>
          <w:rFonts w:ascii="Arial" w:eastAsia="Arial" w:hAnsi="Arial"/>
          <w:sz w:val="24"/>
          <w:szCs w:val="24"/>
        </w:rPr>
      </w:pPr>
      <w:r>
        <w:rPr>
          <w:rFonts w:ascii="Arial" w:eastAsia="Arial" w:hAnsi="Arial"/>
          <w:sz w:val="24"/>
          <w:szCs w:val="24"/>
        </w:rPr>
        <w:t>Part E (Staff Transfer on Exit)</w:t>
      </w:r>
    </w:p>
    <w:p w14:paraId="400B1F20" w14:textId="77777777" w:rsidR="002A6DD5" w:rsidRDefault="002A6DD5" w:rsidP="009E3A01">
      <w:pPr>
        <w:ind w:left="357"/>
        <w:rPr>
          <w:rFonts w:ascii="Arial" w:eastAsia="Arial" w:hAnsi="Arial"/>
          <w:sz w:val="24"/>
          <w:szCs w:val="24"/>
        </w:rPr>
      </w:pPr>
    </w:p>
    <w:p w14:paraId="05B5EF70" w14:textId="77777777" w:rsidR="002A6DD5" w:rsidRDefault="00000000" w:rsidP="009E3A01">
      <w:pPr>
        <w:pStyle w:val="Heading1"/>
        <w:keepNext/>
        <w:pageBreakBefore/>
        <w:jc w:val="both"/>
        <w:rPr>
          <w:rFonts w:ascii="Arial" w:eastAsia="Arial" w:hAnsi="Arial" w:cs="Arial"/>
          <w:sz w:val="24"/>
          <w:szCs w:val="24"/>
        </w:rPr>
      </w:pPr>
      <w:r>
        <w:rPr>
          <w:rFonts w:ascii="Arial" w:eastAsia="Arial" w:hAnsi="Arial" w:cs="Arial"/>
          <w:sz w:val="24"/>
          <w:szCs w:val="24"/>
        </w:rPr>
        <w:lastRenderedPageBreak/>
        <w:t xml:space="preserve">Part A: Staff Transfer at the Start Date </w:t>
      </w:r>
    </w:p>
    <w:p w14:paraId="44BA3868" w14:textId="5305C35A" w:rsidR="009E3A01" w:rsidRPr="009E3A01" w:rsidRDefault="009E3A01" w:rsidP="009E3A01">
      <w:pPr>
        <w:rPr>
          <w:rFonts w:ascii="Arial" w:eastAsia="Arial" w:hAnsi="Arial"/>
          <w:b/>
          <w:caps/>
          <w:sz w:val="24"/>
          <w:szCs w:val="24"/>
        </w:rPr>
      </w:pPr>
      <w:r w:rsidRPr="009E3A01">
        <w:rPr>
          <w:rFonts w:ascii="Arial" w:hAnsi="Arial"/>
        </w:rPr>
        <w:t>Not Applicable.</w:t>
      </w:r>
    </w:p>
    <w:p w14:paraId="690A9334" w14:textId="4AA5BB0D" w:rsidR="009E3A01" w:rsidRPr="009E3A01" w:rsidRDefault="009E3A01" w:rsidP="009E3A01">
      <w:pPr>
        <w:tabs>
          <w:tab w:val="left" w:pos="2660"/>
        </w:tabs>
      </w:pPr>
      <w:r>
        <w:tab/>
      </w:r>
    </w:p>
    <w:p w14:paraId="26A6E402" w14:textId="77777777" w:rsidR="002A6DD5" w:rsidRDefault="00000000" w:rsidP="009E3A01">
      <w:pPr>
        <w:pStyle w:val="Heading1"/>
        <w:pageBreakBefore/>
        <w:jc w:val="both"/>
        <w:rPr>
          <w:rFonts w:ascii="Arial" w:eastAsia="Arial" w:hAnsi="Arial" w:cs="Arial"/>
          <w:sz w:val="24"/>
          <w:szCs w:val="24"/>
        </w:rPr>
      </w:pPr>
      <w:r>
        <w:rPr>
          <w:rFonts w:ascii="Arial" w:eastAsia="Arial" w:hAnsi="Arial" w:cs="Arial"/>
          <w:sz w:val="24"/>
          <w:szCs w:val="24"/>
        </w:rPr>
        <w:lastRenderedPageBreak/>
        <w:t xml:space="preserve">Part B: Staff transfer at the Start Date </w:t>
      </w:r>
    </w:p>
    <w:p w14:paraId="0FA3DFA0" w14:textId="32DA0203" w:rsidR="009E3A01" w:rsidRPr="009E3A01" w:rsidRDefault="009E3A01" w:rsidP="009E3A01">
      <w:pPr>
        <w:rPr>
          <w:rFonts w:eastAsia="Arial"/>
        </w:rPr>
      </w:pPr>
      <w:r w:rsidRPr="009E3A01">
        <w:rPr>
          <w:rFonts w:ascii="Arial" w:hAnsi="Arial"/>
        </w:rPr>
        <w:t>Not Applicable.</w:t>
      </w:r>
    </w:p>
    <w:p w14:paraId="0E354CD4" w14:textId="77777777" w:rsidR="009E3A01" w:rsidRPr="009E3A01" w:rsidRDefault="009E3A01" w:rsidP="009E3A01">
      <w:pPr>
        <w:rPr>
          <w:rFonts w:eastAsia="Arial"/>
        </w:rPr>
      </w:pPr>
    </w:p>
    <w:p w14:paraId="48D45136" w14:textId="00E6D730" w:rsidR="009E3A01" w:rsidRPr="009E3A01" w:rsidRDefault="009E3A01" w:rsidP="009E3A01">
      <w:pPr>
        <w:rPr>
          <w:rFonts w:ascii="Arial" w:eastAsia="Arial" w:hAnsi="Arial"/>
          <w:b/>
          <w:caps/>
          <w:sz w:val="24"/>
          <w:szCs w:val="24"/>
        </w:rPr>
      </w:pPr>
      <w:r>
        <w:tab/>
      </w:r>
    </w:p>
    <w:p w14:paraId="473A4C65" w14:textId="143C71CA" w:rsidR="009E3A01" w:rsidRPr="009E3A01" w:rsidRDefault="009E3A01" w:rsidP="009E3A01">
      <w:pPr>
        <w:tabs>
          <w:tab w:val="left" w:pos="1900"/>
        </w:tabs>
      </w:pPr>
    </w:p>
    <w:p w14:paraId="55981B44" w14:textId="77777777" w:rsidR="002A6DD5" w:rsidRDefault="00000000" w:rsidP="009E3A01">
      <w:pPr>
        <w:pStyle w:val="Heading1"/>
        <w:pageBreakBefore/>
        <w:jc w:val="both"/>
      </w:pPr>
      <w:r>
        <w:rPr>
          <w:rFonts w:ascii="Arial" w:eastAsia="Arial" w:hAnsi="Arial" w:cs="Arial"/>
          <w:sz w:val="24"/>
          <w:szCs w:val="24"/>
        </w:rPr>
        <w:lastRenderedPageBreak/>
        <w:t>Part C: No Staff Transfer on the Start Date</w:t>
      </w:r>
    </w:p>
    <w:p w14:paraId="475AF318" w14:textId="77777777" w:rsidR="002A6DD5" w:rsidRDefault="00000000" w:rsidP="009E3A01">
      <w:pPr>
        <w:keepNext/>
        <w:numPr>
          <w:ilvl w:val="0"/>
          <w:numId w:val="16"/>
        </w:numPr>
        <w:spacing w:before="120"/>
        <w:ind w:left="357" w:hanging="357"/>
      </w:pPr>
      <w:r>
        <w:rPr>
          <w:rFonts w:ascii="Arial" w:eastAsia="Arial" w:hAnsi="Arial"/>
          <w:b/>
          <w:color w:val="000000"/>
          <w:sz w:val="24"/>
          <w:szCs w:val="24"/>
        </w:rPr>
        <w:t>What happens if there is a staff transfer</w:t>
      </w:r>
    </w:p>
    <w:p w14:paraId="072CAF12" w14:textId="77777777" w:rsidR="002A6DD5" w:rsidRDefault="00000000" w:rsidP="009E3A01">
      <w:pPr>
        <w:numPr>
          <w:ilvl w:val="1"/>
          <w:numId w:val="16"/>
        </w:numPr>
        <w:tabs>
          <w:tab w:val="left" w:pos="273"/>
        </w:tabs>
        <w:spacing w:before="120" w:after="120"/>
      </w:pPr>
      <w:bookmarkStart w:id="0" w:name="_heading=h.1pxezwc"/>
      <w:bookmarkEnd w:id="0"/>
      <w:r>
        <w:rPr>
          <w:rFonts w:ascii="Arial" w:eastAsia="Arial" w:hAnsi="Arial"/>
          <w:color w:val="000000"/>
          <w:sz w:val="24"/>
          <w:szCs w:val="24"/>
        </w:rPr>
        <w:t xml:space="preserve">The Client and the Agency agree that the commencement of the provision of the Services or of any part of the Services will not be a Relevant Transfer in relation to any employees of the Client and/or any Former Agency.  </w:t>
      </w:r>
    </w:p>
    <w:p w14:paraId="584506BA" w14:textId="77777777" w:rsidR="002A6DD5" w:rsidRDefault="00000000" w:rsidP="009E3A01">
      <w:pPr>
        <w:keepNext/>
        <w:numPr>
          <w:ilvl w:val="1"/>
          <w:numId w:val="16"/>
        </w:numPr>
        <w:tabs>
          <w:tab w:val="left" w:pos="273"/>
        </w:tabs>
        <w:spacing w:before="120" w:after="120"/>
      </w:pPr>
      <w:bookmarkStart w:id="1" w:name="_heading=h.49x2ik5"/>
      <w:bookmarkEnd w:id="1"/>
      <w:r>
        <w:rPr>
          <w:rFonts w:ascii="Arial" w:eastAsia="Arial" w:hAnsi="Arial"/>
          <w:color w:val="000000"/>
          <w:sz w:val="24"/>
          <w:szCs w:val="24"/>
        </w:rPr>
        <w:t>If any employee of the Client and/or a Former Agency claims, or it is determined in relation to any employee of the Client and/or a Former Agency, that his/her contract of employment has been transferred from the Client and/or the Former Agency to the Agency and/or any Subcontractor pursuant to the Employment Regulations or the Acquired Rights Directive then:</w:t>
      </w:r>
    </w:p>
    <w:p w14:paraId="6B1FE875" w14:textId="77777777" w:rsidR="002A6DD5" w:rsidRDefault="00000000" w:rsidP="009E3A01">
      <w:pPr>
        <w:numPr>
          <w:ilvl w:val="2"/>
          <w:numId w:val="16"/>
        </w:numPr>
        <w:spacing w:before="120" w:after="120"/>
        <w:rPr>
          <w:rFonts w:ascii="Arial" w:eastAsia="Arial" w:hAnsi="Arial"/>
          <w:color w:val="000000"/>
          <w:sz w:val="24"/>
          <w:szCs w:val="24"/>
        </w:rPr>
      </w:pPr>
      <w:bookmarkStart w:id="2" w:name="_heading=h.2p2csry"/>
      <w:bookmarkEnd w:id="2"/>
      <w:r>
        <w:rPr>
          <w:rFonts w:ascii="Arial" w:eastAsia="Arial" w:hAnsi="Arial"/>
          <w:color w:val="000000"/>
          <w:sz w:val="24"/>
          <w:szCs w:val="24"/>
        </w:rPr>
        <w:t>the Agency shall, and shall procure that the relevant Subcontractor shall, within 5 Working Days of becoming aware of that fact, notify the Client in writing and, where required by the Client, notify the Former Agency in writing; and</w:t>
      </w:r>
    </w:p>
    <w:p w14:paraId="4225B702" w14:textId="77777777" w:rsidR="002A6DD5" w:rsidRDefault="00000000" w:rsidP="009E3A01">
      <w:pPr>
        <w:numPr>
          <w:ilvl w:val="2"/>
          <w:numId w:val="16"/>
        </w:numPr>
        <w:spacing w:before="120" w:after="120"/>
        <w:rPr>
          <w:rFonts w:ascii="Arial" w:eastAsia="Arial" w:hAnsi="Arial"/>
          <w:color w:val="000000"/>
          <w:sz w:val="24"/>
          <w:szCs w:val="24"/>
        </w:rPr>
      </w:pPr>
      <w:bookmarkStart w:id="3" w:name="_heading=h.147n2zr"/>
      <w:bookmarkEnd w:id="3"/>
      <w:r>
        <w:rPr>
          <w:rFonts w:ascii="Arial" w:eastAsia="Arial" w:hAnsi="Arial"/>
          <w:color w:val="000000"/>
          <w:sz w:val="24"/>
          <w:szCs w:val="24"/>
        </w:rPr>
        <w:t>the Client and/or the Former Agency may offer (or may procure that a third party may offer) employment to such person within 15 Working Days of the notification from the Agency or the Subcontractor (as appropriate) or take such other reasonable steps as the Client or Former Agency (as the case may be) it considers appropriate to deal with the matter provided always that such steps are in compliance with applicable Law.</w:t>
      </w:r>
    </w:p>
    <w:p w14:paraId="3BEA8DC9" w14:textId="77777777" w:rsidR="002A6DD5" w:rsidRDefault="00000000" w:rsidP="009E3A01">
      <w:pPr>
        <w:numPr>
          <w:ilvl w:val="1"/>
          <w:numId w:val="16"/>
        </w:numPr>
        <w:tabs>
          <w:tab w:val="left" w:pos="273"/>
        </w:tabs>
        <w:spacing w:before="120" w:after="120"/>
      </w:pPr>
      <w:r>
        <w:rPr>
          <w:rFonts w:ascii="Arial" w:eastAsia="Arial" w:hAnsi="Arial"/>
          <w:color w:val="000000"/>
          <w:sz w:val="24"/>
          <w:szCs w:val="24"/>
        </w:rPr>
        <w:t>If an offer referred to in Paragraph 1.2.2 is accepted (or if the situation has otherwise been resolved by the Client and/or the Former Agency),, the Agency shall, or shall procure that the Subcontractor shall, immediately release the person from his/her employment or alleged employment.</w:t>
      </w:r>
    </w:p>
    <w:p w14:paraId="304E2B7E" w14:textId="77777777" w:rsidR="002A6DD5" w:rsidRDefault="00000000" w:rsidP="009E3A01">
      <w:pPr>
        <w:numPr>
          <w:ilvl w:val="1"/>
          <w:numId w:val="16"/>
        </w:numPr>
        <w:tabs>
          <w:tab w:val="left" w:pos="273"/>
        </w:tabs>
        <w:spacing w:before="120" w:after="120"/>
      </w:pPr>
      <w:bookmarkStart w:id="4" w:name="_heading=h.3o7alnk"/>
      <w:bookmarkEnd w:id="4"/>
      <w:r>
        <w:rPr>
          <w:rFonts w:ascii="Arial" w:eastAsia="Arial" w:hAnsi="Arial"/>
          <w:color w:val="000000"/>
          <w:sz w:val="24"/>
          <w:szCs w:val="24"/>
        </w:rPr>
        <w:t xml:space="preserve">If by the end of the 15 Working Day period referred to in Paragraph 1.2.2: </w:t>
      </w:r>
    </w:p>
    <w:p w14:paraId="41E74196" w14:textId="77777777" w:rsidR="002A6DD5" w:rsidRDefault="00000000" w:rsidP="009E3A01">
      <w:pPr>
        <w:numPr>
          <w:ilvl w:val="2"/>
          <w:numId w:val="16"/>
        </w:numP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5FCBF5E6" w14:textId="77777777" w:rsidR="002A6DD5" w:rsidRDefault="00000000" w:rsidP="009E3A01">
      <w:pPr>
        <w:numPr>
          <w:ilvl w:val="2"/>
          <w:numId w:val="16"/>
        </w:numP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2EA573AA" w14:textId="77777777" w:rsidR="002A6DD5" w:rsidRDefault="00000000" w:rsidP="009E3A01">
      <w:pPr>
        <w:numPr>
          <w:ilvl w:val="2"/>
          <w:numId w:val="16"/>
        </w:numP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1C5304F2" w14:textId="77777777" w:rsidR="002A6DD5" w:rsidRDefault="00000000" w:rsidP="009E3A01">
      <w:pP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Agency may within 5 Working Days give notice to terminate the employment or alleged employment of such person. </w:t>
      </w:r>
    </w:p>
    <w:p w14:paraId="37F176A1" w14:textId="77777777" w:rsidR="002A6DD5" w:rsidRDefault="002A6DD5" w:rsidP="009E3A01">
      <w:pPr>
        <w:spacing w:before="120" w:after="120"/>
        <w:ind w:left="1134" w:hanging="1080"/>
        <w:rPr>
          <w:rFonts w:ascii="Arial" w:eastAsia="Arial" w:hAnsi="Arial"/>
          <w:color w:val="000000"/>
          <w:sz w:val="24"/>
          <w:szCs w:val="24"/>
        </w:rPr>
      </w:pPr>
    </w:p>
    <w:p w14:paraId="4560D99A" w14:textId="77777777" w:rsidR="002A6DD5" w:rsidRDefault="00000000" w:rsidP="009E3A01">
      <w:pPr>
        <w:numPr>
          <w:ilvl w:val="1"/>
          <w:numId w:val="16"/>
        </w:numPr>
        <w:tabs>
          <w:tab w:val="left" w:pos="273"/>
        </w:tabs>
        <w:spacing w:before="120" w:after="120"/>
      </w:pPr>
      <w:r>
        <w:rPr>
          <w:rFonts w:ascii="Arial" w:eastAsia="Arial" w:hAnsi="Arial"/>
          <w:color w:val="000000"/>
          <w:sz w:val="24"/>
          <w:szCs w:val="24"/>
        </w:rPr>
        <w:t>Subject to the Agency and/or the relevant Subcontractor acting in accordance with the provisions of Paragraphs 1.2 to 1.4  and in accordance with all applicable employment procedures set out in applicable Law and subject also to Paragraph 1.8 the Client shall:</w:t>
      </w:r>
    </w:p>
    <w:p w14:paraId="2F88BDFE" w14:textId="77777777" w:rsidR="002A6DD5" w:rsidRDefault="00000000" w:rsidP="009E3A01">
      <w:pPr>
        <w:numPr>
          <w:ilvl w:val="2"/>
          <w:numId w:val="16"/>
        </w:numPr>
        <w:spacing w:before="120" w:after="120"/>
        <w:rPr>
          <w:rFonts w:ascii="Arial" w:eastAsia="Arial" w:hAnsi="Arial"/>
          <w:color w:val="000000"/>
          <w:sz w:val="24"/>
          <w:szCs w:val="24"/>
        </w:rPr>
      </w:pPr>
      <w:r>
        <w:rPr>
          <w:rFonts w:ascii="Arial" w:eastAsia="Arial" w:hAnsi="Arial"/>
          <w:color w:val="000000"/>
          <w:sz w:val="24"/>
          <w:szCs w:val="24"/>
        </w:rPr>
        <w:t xml:space="preserve">indemnify the Agency and/or the relevant Subcontractor against all Employee Liabilities arising out of the termination of the employment of any of the Client's employees referred to in Paragraph 1.2 made pursuant to the provisions of Paragraph 1.4 provided that the Agency takes, or shall procure that the </w:t>
      </w:r>
      <w:r>
        <w:rPr>
          <w:rFonts w:ascii="Arial" w:eastAsia="Arial" w:hAnsi="Arial"/>
          <w:color w:val="000000"/>
          <w:sz w:val="24"/>
          <w:szCs w:val="24"/>
        </w:rPr>
        <w:lastRenderedPageBreak/>
        <w:t xml:space="preserve">Subcontractor takes, all reasonable steps to minimise any such Employee Liabilities; and </w:t>
      </w:r>
    </w:p>
    <w:p w14:paraId="2BED72F8" w14:textId="77777777" w:rsidR="002A6DD5" w:rsidRDefault="00000000" w:rsidP="009E3A01">
      <w:pPr>
        <w:numPr>
          <w:ilvl w:val="2"/>
          <w:numId w:val="16"/>
        </w:numPr>
        <w:spacing w:before="120" w:after="120"/>
        <w:rPr>
          <w:rFonts w:ascii="Arial" w:eastAsia="Arial" w:hAnsi="Arial"/>
          <w:color w:val="000000"/>
          <w:sz w:val="24"/>
          <w:szCs w:val="24"/>
        </w:rPr>
      </w:pPr>
      <w:r>
        <w:rPr>
          <w:rFonts w:ascii="Arial" w:eastAsia="Arial" w:hAnsi="Arial"/>
          <w:color w:val="000000"/>
          <w:sz w:val="24"/>
          <w:szCs w:val="24"/>
        </w:rPr>
        <w:t>procure that the Former Agency indemnifies the Agency and/or any Subcontractor against all Employee Liabilities arising out of termination of the employment of the employees of the Former Agency referred to in Paragraph 1.2 made pursuant to the provisions of Paragraph 1.4 provided that the Agency takes, or shall procure that the relevant Subcontractor takes, all reasonable steps to minimise any such Employee Liabilities.</w:t>
      </w:r>
    </w:p>
    <w:p w14:paraId="4F6068B0" w14:textId="77777777" w:rsidR="002A6DD5" w:rsidRDefault="00000000" w:rsidP="009E3A01">
      <w:pPr>
        <w:keepNext/>
        <w:numPr>
          <w:ilvl w:val="1"/>
          <w:numId w:val="16"/>
        </w:numPr>
        <w:tabs>
          <w:tab w:val="left" w:pos="273"/>
        </w:tabs>
        <w:spacing w:before="120" w:after="120"/>
      </w:pPr>
      <w:r>
        <w:rPr>
          <w:rFonts w:ascii="Arial" w:eastAsia="Arial" w:hAnsi="Arial"/>
          <w:color w:val="000000"/>
          <w:sz w:val="24"/>
          <w:szCs w:val="24"/>
        </w:rPr>
        <w:t>If any such person as is described in Paragraph 1.2 is neither re employed by the Client and/or the Former Agency as appropriate nor dismissed by the Agency and/or any Subcontractor within the 15 Working Day period referred to in Paragraph 1.4 such person shall be treated as having transferred to the Agency and/or the Subcontractor (as appropriate) and the Agency shall, or shall procure that the Subcontractor shall, comply with such obligations as may be imposed upon it under Law.</w:t>
      </w:r>
    </w:p>
    <w:p w14:paraId="409D048D" w14:textId="77777777" w:rsidR="002A6DD5" w:rsidRDefault="00000000" w:rsidP="009E3A01">
      <w:pPr>
        <w:keepNext/>
        <w:numPr>
          <w:ilvl w:val="1"/>
          <w:numId w:val="16"/>
        </w:numPr>
        <w:tabs>
          <w:tab w:val="left" w:pos="273"/>
        </w:tabs>
        <w:spacing w:before="120" w:after="120"/>
      </w:pPr>
      <w:r>
        <w:rPr>
          <w:rFonts w:ascii="Arial" w:eastAsia="Arial" w:hAnsi="Arial"/>
          <w:color w:val="000000"/>
          <w:sz w:val="24"/>
          <w:szCs w:val="24"/>
        </w:rPr>
        <w:t>Where any person remains employed by the Agency and/or any Subcontractor pursuant to Paragraph 1.6, all Employee Liabilities in relation to such employee shall remain with the Agency and/or the Subcontractor and the Agency shall indemnify the Client and any Former Agency, and shall procure that the Subcontractor shall indemnify the Client and any Former Agency, against any Employee Liabilities that either of them may incur in respect of any such employees of the Agency and/or employees of the Subcontractor.</w:t>
      </w:r>
    </w:p>
    <w:p w14:paraId="62C45C2E" w14:textId="77777777" w:rsidR="002A6DD5" w:rsidRDefault="002A6DD5" w:rsidP="009E3A01">
      <w:pPr>
        <w:keepNext/>
        <w:tabs>
          <w:tab w:val="left" w:pos="993"/>
        </w:tabs>
        <w:spacing w:before="120" w:after="120"/>
        <w:ind w:left="720" w:hanging="720"/>
        <w:rPr>
          <w:rFonts w:ascii="Arial" w:eastAsia="Arial" w:hAnsi="Arial"/>
          <w:color w:val="000000"/>
          <w:sz w:val="24"/>
          <w:szCs w:val="24"/>
        </w:rPr>
      </w:pPr>
    </w:p>
    <w:p w14:paraId="22112B14" w14:textId="77777777" w:rsidR="002A6DD5" w:rsidRDefault="00000000" w:rsidP="009E3A01">
      <w:pPr>
        <w:keepNext/>
        <w:numPr>
          <w:ilvl w:val="1"/>
          <w:numId w:val="16"/>
        </w:numPr>
        <w:tabs>
          <w:tab w:val="left" w:pos="273"/>
        </w:tabs>
        <w:spacing w:before="120" w:after="120"/>
      </w:pPr>
      <w:bookmarkStart w:id="5" w:name="_heading=h.23ckvvd"/>
      <w:bookmarkEnd w:id="5"/>
      <w:r>
        <w:rPr>
          <w:rFonts w:ascii="Arial" w:eastAsia="Arial" w:hAnsi="Arial"/>
          <w:color w:val="000000"/>
          <w:sz w:val="24"/>
          <w:szCs w:val="24"/>
        </w:rPr>
        <w:t xml:space="preserve">The indemnities in Paragraph 1.5: </w:t>
      </w:r>
    </w:p>
    <w:p w14:paraId="07AE53FE" w14:textId="77777777" w:rsidR="002A6DD5" w:rsidRDefault="00000000" w:rsidP="009E3A01">
      <w:pPr>
        <w:numPr>
          <w:ilvl w:val="2"/>
          <w:numId w:val="16"/>
        </w:numP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45D8F3D1" w14:textId="77777777" w:rsidR="002A6DD5" w:rsidRDefault="00000000" w:rsidP="009E3A01">
      <w:pPr>
        <w:numPr>
          <w:ilvl w:val="3"/>
          <w:numId w:val="16"/>
        </w:numP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2F0E69C6" w14:textId="77777777" w:rsidR="002A6DD5" w:rsidRDefault="00000000" w:rsidP="009E3A01">
      <w:pP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56FCAA65" w14:textId="77777777" w:rsidR="002A6DD5" w:rsidRDefault="00000000" w:rsidP="009E3A01">
      <w:pP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3621B9E3" w14:textId="77777777" w:rsidR="002A6DD5" w:rsidRDefault="00000000" w:rsidP="009E3A01">
      <w:pP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Agency and/or Subcontractor; or</w:t>
      </w:r>
    </w:p>
    <w:p w14:paraId="46E50119" w14:textId="77777777" w:rsidR="002A6DD5" w:rsidRDefault="00000000" w:rsidP="009E3A01">
      <w:pPr>
        <w:numPr>
          <w:ilvl w:val="3"/>
          <w:numId w:val="16"/>
        </w:numP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Agency and/or any Subcontractor neglected to follow a fair dismissal procedure; and </w:t>
      </w:r>
    </w:p>
    <w:p w14:paraId="5A67E86F" w14:textId="77777777" w:rsidR="002A6DD5" w:rsidRDefault="00000000" w:rsidP="009E3A01">
      <w:pPr>
        <w:numPr>
          <w:ilvl w:val="2"/>
          <w:numId w:val="16"/>
        </w:numP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Agency and/or any Subcontractor to the Client and, if applicable, Former Agency within 6 months of the Start Date. </w:t>
      </w:r>
    </w:p>
    <w:p w14:paraId="5F4CC7AF" w14:textId="77777777" w:rsidR="002A6DD5" w:rsidRDefault="00000000" w:rsidP="009E3A01">
      <w:pPr>
        <w:numPr>
          <w:ilvl w:val="1"/>
          <w:numId w:val="16"/>
        </w:numPr>
        <w:tabs>
          <w:tab w:val="left" w:pos="273"/>
        </w:tabs>
        <w:spacing w:before="120" w:after="120"/>
      </w:pPr>
      <w:bookmarkStart w:id="6" w:name="_heading=h.ihv636"/>
      <w:bookmarkEnd w:id="6"/>
      <w:r>
        <w:rPr>
          <w:rFonts w:ascii="Arial" w:eastAsia="Arial" w:hAnsi="Arial"/>
          <w:color w:val="000000"/>
          <w:sz w:val="24"/>
          <w:szCs w:val="24"/>
        </w:rPr>
        <w:lastRenderedPageBreak/>
        <w:t>If the Agency and/or the Subcontractor does not comply with Paragraph 1.2, all Employee Liabilities in relation to such employees shall remain with the Agency and/or the Subcontractor and the Agency shall (i) comply with the provisions of Part D: Pensions of this Schedule, and (ii) indemnify the Client and any Former Agency against any Employee Liabilities that either of them may incur in respect of any such employees of the Agency and/or employees of the Subcontractor.</w:t>
      </w:r>
    </w:p>
    <w:p w14:paraId="1F956ADB" w14:textId="77777777" w:rsidR="002A6DD5" w:rsidRDefault="00000000" w:rsidP="009E3A01">
      <w:pPr>
        <w:keepNext/>
        <w:numPr>
          <w:ilvl w:val="0"/>
          <w:numId w:val="16"/>
        </w:numPr>
        <w:spacing w:before="120"/>
      </w:pPr>
      <w:r>
        <w:rPr>
          <w:rFonts w:ascii="Arial" w:eastAsia="Arial" w:hAnsi="Arial"/>
          <w:b/>
          <w:color w:val="000000"/>
          <w:sz w:val="24"/>
          <w:szCs w:val="24"/>
        </w:rPr>
        <w:t>Limits on the Former Agency’s obligations</w:t>
      </w:r>
    </w:p>
    <w:p w14:paraId="423104B6" w14:textId="77777777" w:rsidR="002A6DD5" w:rsidRDefault="00000000" w:rsidP="009E3A01">
      <w:pPr>
        <w:ind w:left="357"/>
        <w:rPr>
          <w:rFonts w:ascii="Arial" w:eastAsia="Arial" w:hAnsi="Arial"/>
          <w:sz w:val="24"/>
          <w:szCs w:val="24"/>
        </w:rPr>
      </w:pPr>
      <w:r>
        <w:rPr>
          <w:rFonts w:ascii="Arial" w:eastAsia="Arial" w:hAnsi="Arial"/>
          <w:sz w:val="24"/>
          <w:szCs w:val="24"/>
        </w:rPr>
        <w:t>Where in this Part C the Client accepts an obligation to procure that a Former Agency does or does not do something, such obligation shall be limited so that it extends only to the extent that the Client's contract with the Former Agency contains a contractual right in that regard which the Client may enforce, or otherwise so that it requires only that the Client must use reasonable endeavours to procure that the Former Agency does or does not act accordingly.</w:t>
      </w:r>
    </w:p>
    <w:p w14:paraId="6D8E99F3" w14:textId="77777777" w:rsidR="002A6DD5" w:rsidRDefault="00000000" w:rsidP="009E3A01">
      <w:pPr>
        <w:pStyle w:val="Heading1"/>
        <w:keepNext/>
        <w:pageBreakBefore/>
        <w:jc w:val="both"/>
        <w:rPr>
          <w:rFonts w:ascii="Arial" w:eastAsia="Arial" w:hAnsi="Arial" w:cs="Arial"/>
          <w:sz w:val="24"/>
          <w:szCs w:val="24"/>
        </w:rPr>
      </w:pPr>
      <w:r>
        <w:rPr>
          <w:rFonts w:ascii="Arial" w:eastAsia="Arial" w:hAnsi="Arial" w:cs="Arial"/>
          <w:sz w:val="24"/>
          <w:szCs w:val="24"/>
        </w:rPr>
        <w:lastRenderedPageBreak/>
        <w:t>Part D: Pensions</w:t>
      </w:r>
    </w:p>
    <w:p w14:paraId="73C55485" w14:textId="7181D842" w:rsidR="009E3A01" w:rsidRPr="009E3A01" w:rsidRDefault="009E3A01" w:rsidP="009E3A01">
      <w:pPr>
        <w:rPr>
          <w:rFonts w:eastAsia="Arial"/>
        </w:rPr>
      </w:pPr>
      <w:r w:rsidRPr="009E3A01">
        <w:rPr>
          <w:rFonts w:ascii="Arial" w:hAnsi="Arial"/>
        </w:rPr>
        <w:t>Not Applicable.</w:t>
      </w:r>
    </w:p>
    <w:p w14:paraId="19F98E84" w14:textId="77777777" w:rsidR="009E3A01" w:rsidRDefault="009E3A01" w:rsidP="009E3A01">
      <w:pPr>
        <w:rPr>
          <w:rFonts w:ascii="Arial" w:eastAsia="Arial" w:hAnsi="Arial"/>
          <w:b/>
          <w:caps/>
          <w:sz w:val="24"/>
          <w:szCs w:val="24"/>
        </w:rPr>
      </w:pPr>
    </w:p>
    <w:p w14:paraId="713ED09C" w14:textId="4976E6D2" w:rsidR="009E3A01" w:rsidRPr="009E3A01" w:rsidRDefault="009E3A01" w:rsidP="009E3A01">
      <w:pPr>
        <w:rPr>
          <w:rFonts w:ascii="Arial" w:eastAsia="Arial" w:hAnsi="Arial"/>
          <w:b/>
          <w:caps/>
          <w:sz w:val="24"/>
          <w:szCs w:val="24"/>
        </w:rPr>
      </w:pPr>
      <w:r>
        <w:tab/>
      </w:r>
    </w:p>
    <w:p w14:paraId="614248F8" w14:textId="11D5D933" w:rsidR="009E3A01" w:rsidRPr="009E3A01" w:rsidRDefault="009E3A01" w:rsidP="009E3A01">
      <w:pPr>
        <w:tabs>
          <w:tab w:val="left" w:pos="2640"/>
        </w:tabs>
      </w:pPr>
    </w:p>
    <w:p w14:paraId="7B2D3326" w14:textId="77777777" w:rsidR="002A6DD5" w:rsidRDefault="00000000" w:rsidP="009E3A01">
      <w:pPr>
        <w:pageBreakBefore/>
        <w:spacing w:before="120" w:after="120"/>
      </w:pPr>
      <w:r>
        <w:rPr>
          <w:rFonts w:ascii="Arial" w:eastAsia="Arial" w:hAnsi="Arial"/>
          <w:b/>
          <w:color w:val="000000"/>
          <w:sz w:val="24"/>
          <w:szCs w:val="24"/>
        </w:rPr>
        <w:lastRenderedPageBreak/>
        <w:t xml:space="preserve">Part E: Staff Transfer on Exit </w:t>
      </w:r>
    </w:p>
    <w:p w14:paraId="1010205C" w14:textId="77777777" w:rsidR="002A6DD5" w:rsidRDefault="00000000" w:rsidP="009E3A01">
      <w:pPr>
        <w:keepNext/>
        <w:numPr>
          <w:ilvl w:val="0"/>
          <w:numId w:val="19"/>
        </w:numPr>
        <w:spacing w:before="120"/>
        <w:ind w:left="357" w:hanging="357"/>
      </w:pPr>
      <w:r>
        <w:rPr>
          <w:rFonts w:ascii="Arial" w:eastAsia="Arial" w:hAnsi="Arial"/>
          <w:b/>
          <w:color w:val="000000"/>
          <w:sz w:val="24"/>
          <w:szCs w:val="24"/>
        </w:rPr>
        <w:t>Obligations before a Staff Transfer</w:t>
      </w:r>
    </w:p>
    <w:p w14:paraId="55B61E18" w14:textId="77777777" w:rsidR="002A6DD5" w:rsidRDefault="00000000" w:rsidP="009E3A01">
      <w:pPr>
        <w:keepNext/>
        <w:numPr>
          <w:ilvl w:val="1"/>
          <w:numId w:val="19"/>
        </w:numPr>
        <w:tabs>
          <w:tab w:val="left" w:pos="273"/>
        </w:tabs>
        <w:spacing w:before="120" w:after="120"/>
      </w:pPr>
      <w:bookmarkStart w:id="7" w:name="_heading=h.1rvwp1q"/>
      <w:bookmarkEnd w:id="7"/>
      <w:r>
        <w:rPr>
          <w:rFonts w:ascii="Arial" w:eastAsia="Arial" w:hAnsi="Arial"/>
          <w:color w:val="000000"/>
          <w:sz w:val="24"/>
          <w:szCs w:val="24"/>
        </w:rPr>
        <w:t>The Agency agrees that within 20 Working Days of the earliest of:</w:t>
      </w:r>
    </w:p>
    <w:p w14:paraId="46AD7328" w14:textId="77777777" w:rsidR="002A6DD5" w:rsidRDefault="00000000" w:rsidP="009E3A01">
      <w:pPr>
        <w:numPr>
          <w:ilvl w:val="2"/>
          <w:numId w:val="19"/>
        </w:numPr>
        <w:spacing w:before="120" w:after="120"/>
        <w:rPr>
          <w:rFonts w:ascii="Arial" w:eastAsia="Arial" w:hAnsi="Arial"/>
          <w:color w:val="000000"/>
          <w:sz w:val="24"/>
          <w:szCs w:val="24"/>
        </w:rPr>
      </w:pPr>
      <w:bookmarkStart w:id="8" w:name="_heading=h.4bvk7pj"/>
      <w:bookmarkEnd w:id="8"/>
      <w:r>
        <w:rPr>
          <w:rFonts w:ascii="Arial" w:eastAsia="Arial" w:hAnsi="Arial"/>
          <w:color w:val="000000"/>
          <w:sz w:val="24"/>
          <w:szCs w:val="24"/>
        </w:rPr>
        <w:t xml:space="preserve">receipt of a notification from the Client of a Service Transfer or intended Service Transfer; </w:t>
      </w:r>
    </w:p>
    <w:p w14:paraId="0727A9B7" w14:textId="77777777" w:rsidR="002A6DD5" w:rsidRDefault="00000000" w:rsidP="009E3A01">
      <w:pPr>
        <w:numPr>
          <w:ilvl w:val="2"/>
          <w:numId w:val="19"/>
        </w:numPr>
        <w:spacing w:before="120" w:after="120"/>
        <w:rPr>
          <w:rFonts w:ascii="Arial" w:eastAsia="Arial" w:hAnsi="Arial"/>
          <w:color w:val="000000"/>
          <w:sz w:val="24"/>
          <w:szCs w:val="24"/>
        </w:rPr>
      </w:pPr>
      <w:bookmarkStart w:id="9" w:name="_heading=h.2r0uhxc"/>
      <w:bookmarkEnd w:id="9"/>
      <w:r>
        <w:rPr>
          <w:rFonts w:ascii="Arial" w:eastAsia="Arial" w:hAnsi="Arial"/>
          <w:color w:val="000000"/>
          <w:sz w:val="24"/>
          <w:szCs w:val="24"/>
        </w:rPr>
        <w:t xml:space="preserve">receipt of the giving of notice of early termination or any Partial Termination of the relevant Contract; </w:t>
      </w:r>
    </w:p>
    <w:p w14:paraId="17A67F57"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696FE65F"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receipt of a written request of the Client at any time (provided that the Client shall only be entitled to make one such request in any 6 Month period),</w:t>
      </w:r>
    </w:p>
    <w:p w14:paraId="04E5CC71" w14:textId="77777777" w:rsidR="002A6DD5" w:rsidRDefault="00000000" w:rsidP="009E3A01">
      <w:pP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Agency's Provisional Agency Personnel List, together with the Staffing Information in relation to the Agency's Provisional Agency Personnel List and it shall provide an updated Agency's Provisional Agency Personnel List at such intervals as are reasonably requested by the Client.  </w:t>
      </w:r>
    </w:p>
    <w:p w14:paraId="7EE0BD2D" w14:textId="77777777" w:rsidR="002A6DD5" w:rsidRDefault="00000000" w:rsidP="009E3A01">
      <w:pPr>
        <w:numPr>
          <w:ilvl w:val="1"/>
          <w:numId w:val="19"/>
        </w:numPr>
        <w:tabs>
          <w:tab w:val="left" w:pos="273"/>
        </w:tabs>
        <w:spacing w:before="120" w:after="120"/>
      </w:pPr>
      <w:bookmarkStart w:id="10" w:name="_heading=h.1664s55"/>
      <w:bookmarkEnd w:id="10"/>
      <w:r>
        <w:rPr>
          <w:rFonts w:ascii="Arial" w:eastAsia="Arial" w:hAnsi="Arial"/>
          <w:color w:val="000000"/>
          <w:sz w:val="24"/>
          <w:szCs w:val="24"/>
        </w:rPr>
        <w:t>At least 20 Working Days prior to the Service Transfer Date, the Agency shall provide to the Client or at the direction of the Client to any Replacement Agency and/or any Replacement Subcontractor (i) the Agency's Final Agency Personnel List, which shall identify the basis upon which they are Transferring Agency Employees and (ii) the Staffing Information in relation to the Agency’s Final Agency Personnel List (insofar as such information has not previously been provided).</w:t>
      </w:r>
    </w:p>
    <w:p w14:paraId="0EC6550C" w14:textId="77777777" w:rsidR="002A6DD5" w:rsidRDefault="00000000" w:rsidP="009E3A01">
      <w:pPr>
        <w:numPr>
          <w:ilvl w:val="1"/>
          <w:numId w:val="19"/>
        </w:numPr>
        <w:tabs>
          <w:tab w:val="left" w:pos="273"/>
        </w:tabs>
        <w:spacing w:before="120" w:after="120"/>
      </w:pPr>
      <w:r>
        <w:rPr>
          <w:rFonts w:ascii="Arial" w:eastAsia="Arial" w:hAnsi="Arial"/>
          <w:color w:val="000000"/>
          <w:sz w:val="24"/>
          <w:szCs w:val="24"/>
        </w:rPr>
        <w:t xml:space="preserve">The Client shall be permitted to use and disclose information provided by the Agency under Paragraphs 1.1 and 1.2 for the purpose of informing any prospective Replacement Agency and/or Replacement Subcontractor. </w:t>
      </w:r>
    </w:p>
    <w:p w14:paraId="69B95DD6" w14:textId="77777777" w:rsidR="002A6DD5" w:rsidRDefault="00000000" w:rsidP="009E3A01">
      <w:pPr>
        <w:numPr>
          <w:ilvl w:val="1"/>
          <w:numId w:val="19"/>
        </w:numPr>
        <w:tabs>
          <w:tab w:val="left" w:pos="273"/>
        </w:tabs>
        <w:spacing w:before="120" w:after="120"/>
      </w:pPr>
      <w:r>
        <w:rPr>
          <w:rFonts w:ascii="Arial" w:eastAsia="Arial" w:hAnsi="Arial"/>
          <w:color w:val="000000"/>
          <w:sz w:val="24"/>
          <w:szCs w:val="24"/>
        </w:rPr>
        <w:t>The Agency warrants, for the benefit of The Client, any Replacement Agency, and any Replacement Subcontractor that all information provided pursuant to Paragraphs 1.1 and 1.2 shall be true and accurate in all material respects at the time of providing the information.</w:t>
      </w:r>
    </w:p>
    <w:p w14:paraId="0751C897" w14:textId="77777777" w:rsidR="002A6DD5" w:rsidRDefault="00000000" w:rsidP="009E3A01">
      <w:pPr>
        <w:numPr>
          <w:ilvl w:val="1"/>
          <w:numId w:val="19"/>
        </w:numPr>
        <w:tabs>
          <w:tab w:val="left" w:pos="273"/>
        </w:tabs>
        <w:spacing w:before="120" w:after="120"/>
      </w:pPr>
      <w:r>
        <w:rPr>
          <w:rFonts w:ascii="Arial" w:eastAsia="Arial" w:hAnsi="Arial"/>
          <w:color w:val="000000"/>
          <w:sz w:val="24"/>
          <w:szCs w:val="24"/>
        </w:rPr>
        <w:t>From the date of the earliest event referred to in Paragraph 1.1.1, 1.1.2 and 1.1.3, the Agency agrees that it shall not, and agrees to procure that each Subcontractor shall not, assign any person to the provision of the Services who is not listed on the Agency’s Provisional Agency Personnel List and shall not without the approval of the Client (not to be unreasonably withheld or delayed):</w:t>
      </w:r>
    </w:p>
    <w:p w14:paraId="67890745" w14:textId="77777777" w:rsidR="002A6DD5" w:rsidRDefault="00000000" w:rsidP="009E3A01">
      <w:pPr>
        <w:keepNext/>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0EE8C7AC"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replace or re-deploy any Agency Staff listed on the Agency Provisional Agency Personnel List other than where any replacement is of equivalent grade, skills, experience and expertise and is employed on the same terms and conditions of employment as the person he/she replaces</w:t>
      </w:r>
    </w:p>
    <w:p w14:paraId="1340D0A7"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make, promise, propose, permit or implement any material changes to the terms and conditions of employment of the Agency Staff (including pensions and any payments connected with the termination of employment); </w:t>
      </w:r>
    </w:p>
    <w:p w14:paraId="38914EDD"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Agency Staff save for fulfilling assignments and projects previously scheduled and agreed;</w:t>
      </w:r>
    </w:p>
    <w:p w14:paraId="398B56F7"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Agency's Provisional Agency Personnel List;</w:t>
      </w:r>
    </w:p>
    <w:p w14:paraId="3194240A"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1B37531A"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Agency's Provisional Agency Personnel List save by due disciplinary process;</w:t>
      </w:r>
    </w:p>
    <w:p w14:paraId="347BBA27" w14:textId="77777777" w:rsidR="002A6DD5" w:rsidRDefault="00000000" w:rsidP="009E3A01">
      <w:pP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and shall promptly notify, and procure that each Subcontractor shall promptly notify, the Client or, at the direction of the Client, any Replacement Agency and any Replacement Subcontractor of any notice to terminate employment given by the Agency or relevant Subcontractor or received from any persons listed on the Agency's Provisional Agency Personnel List regardless of when such notice takes effect.</w:t>
      </w:r>
    </w:p>
    <w:p w14:paraId="09A13C5E" w14:textId="77777777" w:rsidR="002A6DD5" w:rsidRDefault="00000000" w:rsidP="009E3A01">
      <w:pPr>
        <w:keepNext/>
        <w:numPr>
          <w:ilvl w:val="1"/>
          <w:numId w:val="19"/>
        </w:numPr>
        <w:tabs>
          <w:tab w:val="left" w:pos="273"/>
        </w:tabs>
        <w:spacing w:before="120" w:after="120"/>
      </w:pPr>
      <w:r>
        <w:rPr>
          <w:rFonts w:ascii="Arial" w:eastAsia="Arial" w:hAnsi="Arial"/>
          <w:color w:val="000000"/>
          <w:sz w:val="24"/>
          <w:szCs w:val="24"/>
        </w:rPr>
        <w:t>On or around each anniversary of the Start Date and up to four times during the last 12 Months of the Term, the Client may make written requests to the Agency for information relating to the manner in which the Services are organised.  Within 20 Working Days of receipt of a written request the Agency shall provide, and shall procure that each Subcontractor shall provide, to the Client such information as the Client may reasonably require relating to the manner in which the Services are organised, which shall include:</w:t>
      </w:r>
    </w:p>
    <w:p w14:paraId="09959F98"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4C183B99"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58B32AF5"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6C83D2B1"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1836BA67" w14:textId="77777777" w:rsidR="002A6DD5" w:rsidRDefault="00000000" w:rsidP="009E3A01">
      <w:pPr>
        <w:keepNext/>
        <w:numPr>
          <w:ilvl w:val="1"/>
          <w:numId w:val="19"/>
        </w:numPr>
        <w:tabs>
          <w:tab w:val="left" w:pos="273"/>
        </w:tabs>
        <w:spacing w:before="120" w:after="120"/>
      </w:pPr>
      <w:r>
        <w:rPr>
          <w:rFonts w:ascii="Arial" w:eastAsia="Arial" w:hAnsi="Arial"/>
          <w:color w:val="000000"/>
          <w:sz w:val="24"/>
          <w:szCs w:val="24"/>
        </w:rPr>
        <w:t xml:space="preserve">The Agency shall provide, and shall procure that each Subcontractor shall provide, all reasonable cooperation and assistance to the Client, any Replacement Agency and/or any Replacement Subcontractor to ensure the smooth transfer of the Transferring Agency Employees on the Service Transfer </w:t>
      </w:r>
      <w:r>
        <w:rPr>
          <w:rFonts w:ascii="Arial" w:eastAsia="Arial" w:hAnsi="Arial"/>
          <w:color w:val="000000"/>
          <w:sz w:val="24"/>
          <w:szCs w:val="24"/>
        </w:rPr>
        <w:lastRenderedPageBreak/>
        <w:t xml:space="preserve">Date including providing sufficient information in advance of the Service Transfer Date to ensure that all necessary payroll arrangements can be made to enable the Transferring Agency Employees to be paid as appropriate.  Without prejudice to the generality of the foregoing, within 5 Working Days following the Service Transfer Date, the Agency shall provide, and shall procure that each Subcontractor shall provide, to the Client or, at the direction of the Client, to any Replacement Agency and/or any Replacement Subcontractor (as appropriate), in respect of each person on the Agency's Final Agency Personnel List who is a Transferring Agency Employee: </w:t>
      </w:r>
    </w:p>
    <w:p w14:paraId="0699BCB1"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14:paraId="52E8796A"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3B86AA4E"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38404129"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tax code;</w:t>
      </w:r>
    </w:p>
    <w:p w14:paraId="14109F09"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5CB1C747"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2B36D2AD" w14:textId="77777777" w:rsidR="002A6DD5" w:rsidRDefault="00000000" w:rsidP="009E3A01">
      <w:pPr>
        <w:keepNext/>
        <w:numPr>
          <w:ilvl w:val="0"/>
          <w:numId w:val="19"/>
        </w:numPr>
        <w:spacing w:before="120"/>
      </w:pPr>
      <w:r>
        <w:rPr>
          <w:rFonts w:ascii="Arial" w:eastAsia="Arial" w:hAnsi="Arial"/>
          <w:b/>
          <w:color w:val="000000"/>
          <w:sz w:val="24"/>
          <w:szCs w:val="24"/>
        </w:rPr>
        <w:t>Staff Transfer when the contract ends</w:t>
      </w:r>
    </w:p>
    <w:p w14:paraId="713CEF31" w14:textId="77777777" w:rsidR="002A6DD5" w:rsidRDefault="00000000" w:rsidP="009E3A01">
      <w:pPr>
        <w:numPr>
          <w:ilvl w:val="1"/>
          <w:numId w:val="19"/>
        </w:numPr>
        <w:tabs>
          <w:tab w:val="left" w:pos="273"/>
        </w:tabs>
        <w:spacing w:before="120" w:after="120"/>
      </w:pPr>
      <w:r>
        <w:rPr>
          <w:rFonts w:ascii="Arial" w:eastAsia="Arial" w:hAnsi="Arial"/>
          <w:color w:val="000000"/>
          <w:sz w:val="24"/>
          <w:szCs w:val="24"/>
        </w:rPr>
        <w:t>The Client and the Agency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Agency and/or a Replacement Subcontractor.  Such change in the identity of the supplier of such services may constitute a Relevant Transfer to which the Employment Regulations and/or the Acquired Rights Directive will apply.  The Client and the Agency agree that, as a result of the operation of the Employment Regulations, where a Relevant Transfer occurs, the contracts of employment between the Agency and the Transferring Agency Employees (except in relation to any contract terms disapplied through operation of regulation 10(2) of the Employment Regulations) will have effect on and from the Service Transfer Date as if originally made between the Replacement Agency and/or a Replacement Subcontractor (as the case may be) and each such Transferring Agency Employee.</w:t>
      </w:r>
    </w:p>
    <w:p w14:paraId="49B11B6B" w14:textId="77777777" w:rsidR="002A6DD5" w:rsidRDefault="00000000" w:rsidP="009E3A01">
      <w:pPr>
        <w:numPr>
          <w:ilvl w:val="1"/>
          <w:numId w:val="19"/>
        </w:numPr>
        <w:tabs>
          <w:tab w:val="left" w:pos="273"/>
        </w:tabs>
        <w:spacing w:before="120" w:after="120"/>
      </w:pPr>
      <w:r>
        <w:rPr>
          <w:rFonts w:ascii="Arial" w:eastAsia="Arial" w:hAnsi="Arial"/>
          <w:color w:val="000000"/>
          <w:sz w:val="24"/>
          <w:szCs w:val="24"/>
        </w:rPr>
        <w:t xml:space="preserve">The Agency shall, and shall procure that each Subcontractor shall,  comply with all its obligations in respect of the Transferring Agency Employees arising under the Employment Regulations in respect of the period up to (and including) the Service Transfer Date and shall perform and discharge, and procure that each Subcontractor shall perform and discharge, all its obligations in respect of all the Transferring Agency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w:t>
      </w:r>
      <w:r>
        <w:rPr>
          <w:rFonts w:ascii="Arial" w:eastAsia="Arial" w:hAnsi="Arial"/>
          <w:color w:val="000000"/>
          <w:sz w:val="24"/>
          <w:szCs w:val="24"/>
        </w:rPr>
        <w:lastRenderedPageBreak/>
        <w:t xml:space="preserve">periodic payments shall be made between: (i) the Agency and/or the Subcontractor (as appropriate); and (ii) the Replacement Agency and/or Replacement Subcontractor.  </w:t>
      </w:r>
    </w:p>
    <w:p w14:paraId="2A75B203" w14:textId="77777777" w:rsidR="002A6DD5" w:rsidRDefault="00000000" w:rsidP="009E3A01">
      <w:pPr>
        <w:numPr>
          <w:ilvl w:val="1"/>
          <w:numId w:val="19"/>
        </w:numPr>
        <w:tabs>
          <w:tab w:val="left" w:pos="273"/>
        </w:tabs>
        <w:spacing w:before="120" w:after="120"/>
      </w:pPr>
      <w:bookmarkStart w:id="11" w:name="_heading=h.3q5sasy"/>
      <w:bookmarkEnd w:id="11"/>
      <w:r>
        <w:rPr>
          <w:rFonts w:ascii="Arial" w:eastAsia="Arial" w:hAnsi="Arial"/>
          <w:color w:val="000000"/>
          <w:sz w:val="24"/>
          <w:szCs w:val="24"/>
        </w:rPr>
        <w:t xml:space="preserve">Subject to Paragraph 2.4, the Agency shall indemnify the Client and/or the Replacement Agency and/or any Replacement Subcontractor against any Employee Liabilities arising from or as a result of: </w:t>
      </w:r>
    </w:p>
    <w:p w14:paraId="003AE447"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Agency or any Subcontractor in respect of any Transferring Agency Employee or any appropriate employee representative (as defined in the Employment Regulations) of any Transferring Agency Employee whether occurring before, on or after the Service Transfer Date; </w:t>
      </w:r>
    </w:p>
    <w:p w14:paraId="6E541A55"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Agency or any Subcontractor occurring on or before the Service Transfer Date of: </w:t>
      </w:r>
    </w:p>
    <w:p w14:paraId="2B8324F8" w14:textId="77777777" w:rsidR="002A6DD5" w:rsidRDefault="00000000" w:rsidP="009E3A01">
      <w:pPr>
        <w:pStyle w:val="Heading5"/>
        <w:numPr>
          <w:ilvl w:val="4"/>
          <w:numId w:val="17"/>
        </w:numPr>
        <w:ind w:left="3402" w:hanging="1134"/>
        <w:rPr>
          <w:rFonts w:ascii="Arial" w:eastAsia="Arial" w:hAnsi="Arial"/>
          <w:sz w:val="24"/>
          <w:szCs w:val="24"/>
        </w:rPr>
      </w:pPr>
      <w:r>
        <w:rPr>
          <w:rFonts w:ascii="Arial" w:eastAsia="Arial" w:hAnsi="Arial"/>
          <w:sz w:val="24"/>
          <w:szCs w:val="24"/>
        </w:rPr>
        <w:t>any collective agreement applicable to the Transferring Agency Employees; and/or</w:t>
      </w:r>
    </w:p>
    <w:p w14:paraId="612E0A25" w14:textId="77777777" w:rsidR="002A6DD5" w:rsidRDefault="00000000" w:rsidP="009E3A01">
      <w:pPr>
        <w:pStyle w:val="Heading5"/>
        <w:numPr>
          <w:ilvl w:val="4"/>
          <w:numId w:val="17"/>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Agency Employees which the Agency or any Subcontractor is contractually bound to honour;</w:t>
      </w:r>
    </w:p>
    <w:p w14:paraId="3E48154B" w14:textId="77777777" w:rsidR="002A6DD5" w:rsidRDefault="00000000" w:rsidP="009E3A01">
      <w:pPr>
        <w:numPr>
          <w:ilvl w:val="2"/>
          <w:numId w:val="19"/>
        </w:numPr>
        <w:spacing w:before="120" w:after="120"/>
        <w:rPr>
          <w:rFonts w:ascii="Arial" w:eastAsia="Arial" w:hAnsi="Arial"/>
          <w:color w:val="000000"/>
          <w:sz w:val="24"/>
          <w:szCs w:val="24"/>
        </w:rPr>
      </w:pPr>
      <w:bookmarkStart w:id="12" w:name="_heading=h.25b2l0r"/>
      <w:bookmarkEnd w:id="12"/>
      <w:r>
        <w:rPr>
          <w:rFonts w:ascii="Arial" w:eastAsia="Arial" w:hAnsi="Arial"/>
          <w:color w:val="000000"/>
          <w:sz w:val="24"/>
          <w:szCs w:val="24"/>
        </w:rPr>
        <w:t>any claim by any trade union or other body or person representing any Transferring Agency Employees arising from or connected with any failure by the Agency or a Subcontractor to comply with any legal obligation to such trade union, body or person arising on or before the Service Transfer Date;</w:t>
      </w:r>
    </w:p>
    <w:p w14:paraId="6E65AEA4"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4DE9C5F5" w14:textId="77777777" w:rsidR="002A6DD5" w:rsidRDefault="00000000" w:rsidP="009E3A01">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Transferring Agency Employee, to the extent that the proceeding, claim or demand by HMRC or other statutory authority relates to financial obligations arising on and before the Service Transfer Date; and</w:t>
      </w:r>
    </w:p>
    <w:p w14:paraId="1C5C35ED" w14:textId="77777777" w:rsidR="002A6DD5" w:rsidRDefault="00000000" w:rsidP="009E3A01">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employee who is not identified in the Agency’s Final Agency Personnel List, and in respect of whom it is later alleged or determined that the Employment Regulations applied so as to transfer his/her employment from the Agency to the Client and/or Replacement Agency and/or any Replacement Subcontractor, to the extent that the proceeding, claim or demand by HMRC or other statutory authority relates to financial obligations arising on or before the Service Transfer Date;</w:t>
      </w:r>
    </w:p>
    <w:p w14:paraId="188D8A7C"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lastRenderedPageBreak/>
        <w:t>a failure of the Agency or any Subcontractor to discharge or procure the discharge of all wages, salaries and all other benefits and all PAYE tax deductions and national insurance contributions relating to the Transferring Agency Employees in respect of the period up to (and including) the Service Transfer Date);</w:t>
      </w:r>
    </w:p>
    <w:p w14:paraId="0906722B"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Agency or any Subcontractor other than a Transferring Agency Employee identified in the Agency’s Final Agency Personnel List for whom it is alleged the Client and/or the Replacement Agency and/or any Replacement Subcontractor may be liable by virtue of the relevant Contract and/or the Employment Regulations and/or the Acquired Rights Directive; and</w:t>
      </w:r>
    </w:p>
    <w:p w14:paraId="57569B29"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Agency Employee or any appropriate employee representative (as defined in the Employment Regulations) of any Transferring Agency Employee relating to any act or omission of the Agency or any Subcontractor in relation to its obligations under regulation 13 of the Employment Regulations, except to the extent that the liability arises from the failure by the Client and/or Replacement Agency to comply with regulation 13(4) of the Employment Regulations.</w:t>
      </w:r>
    </w:p>
    <w:p w14:paraId="308B4EEF" w14:textId="77777777" w:rsidR="002A6DD5" w:rsidRDefault="002A6DD5" w:rsidP="009E3A01">
      <w:pPr>
        <w:spacing w:before="120" w:after="120"/>
        <w:ind w:left="2214" w:hanging="1080"/>
        <w:rPr>
          <w:rFonts w:ascii="Arial" w:eastAsia="Arial" w:hAnsi="Arial"/>
          <w:color w:val="000000"/>
          <w:sz w:val="24"/>
          <w:szCs w:val="24"/>
        </w:rPr>
      </w:pPr>
    </w:p>
    <w:p w14:paraId="6B5FF4E6" w14:textId="77777777" w:rsidR="002A6DD5" w:rsidRDefault="00000000" w:rsidP="009E3A01">
      <w:pPr>
        <w:numPr>
          <w:ilvl w:val="1"/>
          <w:numId w:val="19"/>
        </w:numPr>
        <w:tabs>
          <w:tab w:val="left" w:pos="273"/>
        </w:tabs>
        <w:spacing w:before="120" w:after="120"/>
      </w:pPr>
      <w:bookmarkStart w:id="13" w:name="_heading=h.kgcv8k"/>
      <w:bookmarkEnd w:id="13"/>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Agency and/or any Replacement Subcontractor whether occurring or having its origin before, on or after the Service Transfer Date including any Employee Liabilities: </w:t>
      </w:r>
    </w:p>
    <w:p w14:paraId="5B42FFBC"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Agency Employee before the Service Transfer Date on account of substantial detrimental changes to his/her working conditions proposed by the Replacement Agency and/or any Replacement Subcontractor to occur in the period on or after the Service Transfer Date); or</w:t>
      </w:r>
    </w:p>
    <w:p w14:paraId="3459A398"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arising from the Replacement Agency’s failure, and/or Replacement Subcontractor’s failure, to comply with its obligations under the Employment Regulations.</w:t>
      </w:r>
    </w:p>
    <w:p w14:paraId="6DE5BEF4" w14:textId="77777777" w:rsidR="002A6DD5" w:rsidRDefault="002A6DD5" w:rsidP="009E3A01">
      <w:pPr>
        <w:spacing w:before="120" w:after="120"/>
        <w:ind w:left="1134" w:hanging="1080"/>
        <w:rPr>
          <w:rFonts w:ascii="Arial" w:eastAsia="Arial" w:hAnsi="Arial"/>
          <w:color w:val="000000"/>
          <w:sz w:val="24"/>
          <w:szCs w:val="24"/>
        </w:rPr>
      </w:pPr>
    </w:p>
    <w:p w14:paraId="21DB9473" w14:textId="77777777" w:rsidR="002A6DD5" w:rsidRDefault="00000000" w:rsidP="009E3A01">
      <w:pPr>
        <w:keepNext/>
        <w:numPr>
          <w:ilvl w:val="1"/>
          <w:numId w:val="19"/>
        </w:numPr>
        <w:tabs>
          <w:tab w:val="left" w:pos="273"/>
        </w:tabs>
        <w:spacing w:before="120" w:after="120"/>
      </w:pPr>
      <w:bookmarkStart w:id="14" w:name="_heading=h.34g0dwd"/>
      <w:bookmarkEnd w:id="14"/>
      <w:r>
        <w:rPr>
          <w:rFonts w:ascii="Arial" w:eastAsia="Arial" w:hAnsi="Arial"/>
          <w:color w:val="000000"/>
          <w:sz w:val="24"/>
          <w:szCs w:val="24"/>
        </w:rPr>
        <w:t>If any person who is not identified in the Agency's Final Agency Employee List claims, or it is determined in relation to any employees of the Agency, that his/her contract of employment has been transferred from the Agency to the Replacement Agency and/or Replacement Subcontractor pursuant to the Employment Regulations or the Acquired Rights Directive, then:</w:t>
      </w:r>
    </w:p>
    <w:p w14:paraId="7FDAB25A" w14:textId="77777777" w:rsidR="002A6DD5" w:rsidRDefault="00000000" w:rsidP="009E3A01">
      <w:pPr>
        <w:numPr>
          <w:ilvl w:val="2"/>
          <w:numId w:val="19"/>
        </w:numPr>
        <w:spacing w:before="120" w:after="120"/>
        <w:rPr>
          <w:rFonts w:ascii="Arial" w:eastAsia="Arial" w:hAnsi="Arial"/>
          <w:color w:val="000000"/>
          <w:sz w:val="24"/>
          <w:szCs w:val="24"/>
        </w:rPr>
      </w:pPr>
      <w:bookmarkStart w:id="15" w:name="_heading=h.1jlao46"/>
      <w:bookmarkEnd w:id="15"/>
      <w:r>
        <w:rPr>
          <w:rFonts w:ascii="Arial" w:eastAsia="Arial" w:hAnsi="Arial"/>
          <w:color w:val="000000"/>
          <w:sz w:val="24"/>
          <w:szCs w:val="24"/>
        </w:rPr>
        <w:t xml:space="preserve">the Client shall procure that the Replacement Agency and/or Replacement Subcontractor will, within 5 Working Days of </w:t>
      </w:r>
      <w:r>
        <w:rPr>
          <w:rFonts w:ascii="Arial" w:eastAsia="Arial" w:hAnsi="Arial"/>
          <w:color w:val="000000"/>
          <w:sz w:val="24"/>
          <w:szCs w:val="24"/>
        </w:rPr>
        <w:lastRenderedPageBreak/>
        <w:t xml:space="preserve">becoming aware of that fact, notify the Client and the Agency in writing; and </w:t>
      </w:r>
    </w:p>
    <w:p w14:paraId="03F917D7" w14:textId="77777777" w:rsidR="002A6DD5" w:rsidRDefault="00000000" w:rsidP="009E3A01">
      <w:pPr>
        <w:numPr>
          <w:ilvl w:val="2"/>
          <w:numId w:val="19"/>
        </w:numPr>
        <w:spacing w:before="120" w:after="120"/>
        <w:rPr>
          <w:rFonts w:ascii="Arial" w:eastAsia="Arial" w:hAnsi="Arial"/>
          <w:color w:val="000000"/>
          <w:sz w:val="24"/>
          <w:szCs w:val="24"/>
        </w:rPr>
      </w:pPr>
      <w:bookmarkStart w:id="16" w:name="_heading=h.43ky6rz"/>
      <w:bookmarkEnd w:id="16"/>
      <w:r>
        <w:rPr>
          <w:rFonts w:ascii="Arial" w:eastAsia="Arial" w:hAnsi="Arial"/>
          <w:color w:val="000000"/>
          <w:sz w:val="24"/>
          <w:szCs w:val="24"/>
        </w:rPr>
        <w:t xml:space="preserve">the Agency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Agency and/or Replacement Subcontractor. </w:t>
      </w:r>
    </w:p>
    <w:p w14:paraId="06145160" w14:textId="77777777" w:rsidR="002A6DD5" w:rsidRDefault="00000000" w:rsidP="009E3A01">
      <w:pPr>
        <w:keepNext/>
        <w:numPr>
          <w:ilvl w:val="1"/>
          <w:numId w:val="19"/>
        </w:numPr>
        <w:tabs>
          <w:tab w:val="left" w:pos="273"/>
        </w:tabs>
        <w:spacing w:before="120" w:after="120"/>
      </w:pPr>
      <w:r>
        <w:rPr>
          <w:rFonts w:ascii="Arial" w:eastAsia="Arial" w:hAnsi="Arial"/>
          <w:color w:val="000000"/>
          <w:sz w:val="24"/>
          <w:szCs w:val="24"/>
        </w:rPr>
        <w:t>If such offer of is accepted, or if the situation has otherwise been resolved by the Agency or a Subcontractor, Client shall procure that the Replacement Agency shall, or procure that the and/or Replacement Subcontractor shall, immediately release or procure the release the person from his/her employment or alleged employment;</w:t>
      </w:r>
    </w:p>
    <w:p w14:paraId="5482812D" w14:textId="77777777" w:rsidR="002A6DD5" w:rsidRDefault="00000000" w:rsidP="009E3A01">
      <w:pPr>
        <w:keepNext/>
        <w:numPr>
          <w:ilvl w:val="1"/>
          <w:numId w:val="19"/>
        </w:numPr>
        <w:tabs>
          <w:tab w:val="left" w:pos="273"/>
        </w:tabs>
        <w:spacing w:before="120" w:after="120"/>
      </w:pPr>
      <w:bookmarkStart w:id="17" w:name="_heading=h.2iq8gzs"/>
      <w:bookmarkEnd w:id="17"/>
      <w:r>
        <w:rPr>
          <w:rFonts w:ascii="Arial" w:eastAsia="Arial" w:hAnsi="Arial"/>
          <w:color w:val="000000"/>
          <w:sz w:val="24"/>
          <w:szCs w:val="24"/>
        </w:rPr>
        <w:t xml:space="preserve">If after the 15 Working Day period specified in Paragraph 2.5.2 has elapsed: </w:t>
      </w:r>
    </w:p>
    <w:p w14:paraId="2DA2891E"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4F7321B5"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0EE1067B"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69C25B79" w14:textId="77777777" w:rsidR="002A6DD5" w:rsidRDefault="00000000" w:rsidP="009E3A01">
      <w:pPr>
        <w:spacing w:before="120" w:after="120"/>
        <w:ind w:left="993" w:hanging="1080"/>
        <w:rPr>
          <w:rFonts w:ascii="Arial" w:eastAsia="Arial" w:hAnsi="Arial"/>
          <w:color w:val="000000"/>
          <w:sz w:val="24"/>
          <w:szCs w:val="24"/>
        </w:rPr>
      </w:pPr>
      <w:r>
        <w:rPr>
          <w:rFonts w:ascii="Arial" w:eastAsia="Arial" w:hAnsi="Arial"/>
          <w:color w:val="000000"/>
          <w:sz w:val="24"/>
          <w:szCs w:val="24"/>
        </w:rPr>
        <w:t>the Client shall advise the Replacement Agency and/or Replacement Subcontractor (as appropriate) that it may within 5 Working Days give notice to terminate the employment or alleged employment of such person;</w:t>
      </w:r>
    </w:p>
    <w:p w14:paraId="603C1309" w14:textId="77777777" w:rsidR="002A6DD5" w:rsidRDefault="00000000" w:rsidP="009E3A01">
      <w:pPr>
        <w:keepNext/>
        <w:numPr>
          <w:ilvl w:val="1"/>
          <w:numId w:val="19"/>
        </w:numPr>
        <w:tabs>
          <w:tab w:val="left" w:pos="273"/>
        </w:tabs>
        <w:spacing w:before="120" w:after="120"/>
      </w:pPr>
      <w:r>
        <w:rPr>
          <w:rFonts w:ascii="Arial" w:eastAsia="Arial" w:hAnsi="Arial"/>
          <w:color w:val="000000"/>
          <w:sz w:val="24"/>
          <w:szCs w:val="24"/>
        </w:rPr>
        <w:t xml:space="preserve">Subject to the Replacement Agency's and/or Replacement Subcontractor acting in accordance with the provisions of Paragraphs 2.5 to 2.7 and in accordance with all applicable proper employment procedures set out in applicable Law and subject to Paragraph 2.9 below, the Agency will indemnify the Replacement Agency and/or Replacement Subcontractor against all Employee Liabilities arising out of the termination of the employment of any of the Agency's  employees pursuant to the provisions of Paragraph 2.7 provided that the Replacement Agency takes, or shall procure that the Replacement Subcontractor takes, all reasonable steps to minimise any such Employee Liabilities. </w:t>
      </w:r>
    </w:p>
    <w:p w14:paraId="7BB3378D" w14:textId="77777777" w:rsidR="002A6DD5" w:rsidRDefault="00000000" w:rsidP="009E3A01">
      <w:pPr>
        <w:keepNext/>
        <w:numPr>
          <w:ilvl w:val="1"/>
          <w:numId w:val="19"/>
        </w:numPr>
        <w:tabs>
          <w:tab w:val="left" w:pos="273"/>
        </w:tabs>
        <w:spacing w:before="120" w:after="120"/>
      </w:pPr>
      <w:bookmarkStart w:id="18" w:name="_heading=h.xvir7l"/>
      <w:bookmarkEnd w:id="18"/>
      <w:r>
        <w:rPr>
          <w:rFonts w:ascii="Arial" w:eastAsia="Arial" w:hAnsi="Arial"/>
          <w:color w:val="000000"/>
          <w:sz w:val="24"/>
          <w:szCs w:val="24"/>
        </w:rPr>
        <w:t xml:space="preserve">The indemnity in Paragraph 2.8: </w:t>
      </w:r>
    </w:p>
    <w:p w14:paraId="25672305"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00B747F8" w14:textId="77777777" w:rsidR="002A6DD5" w:rsidRDefault="00000000" w:rsidP="009E3A01">
      <w:pPr>
        <w:numPr>
          <w:ilvl w:val="3"/>
          <w:numId w:val="19"/>
        </w:numPr>
        <w:spacing w:before="120" w:after="120"/>
        <w:rPr>
          <w:rFonts w:ascii="Arial" w:eastAsia="Arial" w:hAnsi="Arial"/>
          <w:color w:val="000000"/>
          <w:sz w:val="24"/>
          <w:szCs w:val="24"/>
        </w:rPr>
      </w:pPr>
      <w:r>
        <w:rPr>
          <w:rFonts w:ascii="Arial" w:eastAsia="Arial" w:hAnsi="Arial"/>
          <w:color w:val="000000"/>
          <w:sz w:val="24"/>
          <w:szCs w:val="24"/>
        </w:rPr>
        <w:t xml:space="preserve">any claim for: </w:t>
      </w:r>
    </w:p>
    <w:p w14:paraId="12509DB5" w14:textId="77777777" w:rsidR="002A6DD5" w:rsidRDefault="00000000" w:rsidP="009E3A01">
      <w:pPr>
        <w:numPr>
          <w:ilvl w:val="5"/>
          <w:numId w:val="19"/>
        </w:numP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39BEED77" w14:textId="77777777" w:rsidR="002A6DD5" w:rsidRDefault="00000000" w:rsidP="009E3A01">
      <w:pPr>
        <w:numPr>
          <w:ilvl w:val="5"/>
          <w:numId w:val="19"/>
        </w:numP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6CA8C2DC" w14:textId="77777777" w:rsidR="002A6DD5" w:rsidRDefault="00000000" w:rsidP="009E3A01">
      <w:pPr>
        <w:ind w:left="3600" w:hanging="720"/>
        <w:rPr>
          <w:rFonts w:ascii="Arial" w:eastAsia="Arial" w:hAnsi="Arial"/>
          <w:color w:val="000000"/>
          <w:sz w:val="24"/>
          <w:szCs w:val="24"/>
        </w:rPr>
      </w:pPr>
      <w:r>
        <w:rPr>
          <w:rFonts w:ascii="Arial" w:eastAsia="Arial" w:hAnsi="Arial"/>
          <w:color w:val="000000"/>
          <w:sz w:val="24"/>
          <w:szCs w:val="24"/>
        </w:rPr>
        <w:lastRenderedPageBreak/>
        <w:t>In any case in relation to any alleged act or omission of the Replacement Agency and/or Replacement Subcontractor, or</w:t>
      </w:r>
    </w:p>
    <w:p w14:paraId="2148652A" w14:textId="77777777" w:rsidR="002A6DD5" w:rsidRDefault="00000000" w:rsidP="009E3A01">
      <w:pPr>
        <w:numPr>
          <w:ilvl w:val="3"/>
          <w:numId w:val="19"/>
        </w:numP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Agency and/or Replacement Subcontractor neglected to follow a fair dismissal procedure; and </w:t>
      </w:r>
    </w:p>
    <w:p w14:paraId="715DBDD1" w14:textId="77777777" w:rsidR="002A6DD5" w:rsidRDefault="00000000" w:rsidP="009E3A01">
      <w:pPr>
        <w:numPr>
          <w:ilvl w:val="2"/>
          <w:numId w:val="19"/>
        </w:numPr>
        <w:spacing w:before="120" w:after="120"/>
        <w:rPr>
          <w:rFonts w:ascii="Arial" w:eastAsia="Arial" w:hAnsi="Arial"/>
          <w:color w:val="000000"/>
          <w:sz w:val="24"/>
          <w:szCs w:val="24"/>
        </w:rPr>
      </w:pPr>
      <w:bookmarkStart w:id="19" w:name="_heading=h.3hv69ve"/>
      <w:bookmarkEnd w:id="19"/>
      <w:r>
        <w:rPr>
          <w:rFonts w:ascii="Arial" w:eastAsia="Arial" w:hAnsi="Arial"/>
          <w:color w:val="000000"/>
          <w:sz w:val="24"/>
          <w:szCs w:val="24"/>
        </w:rPr>
        <w:t>shall apply only where the notification referred to in Paragraph 2.5.1 is made by the Replacement Agency and/or Replacement Subcontractor to the Agency within 6 months of the Service Transfer Date..</w:t>
      </w:r>
    </w:p>
    <w:p w14:paraId="3447F8A8" w14:textId="77777777" w:rsidR="002A6DD5" w:rsidRDefault="00000000" w:rsidP="009E3A01">
      <w:pPr>
        <w:numPr>
          <w:ilvl w:val="1"/>
          <w:numId w:val="19"/>
        </w:numPr>
        <w:tabs>
          <w:tab w:val="left" w:pos="273"/>
        </w:tabs>
        <w:spacing w:before="120" w:after="120"/>
      </w:pPr>
      <w:r>
        <w:rPr>
          <w:rFonts w:ascii="Arial" w:eastAsia="Arial" w:hAnsi="Arial"/>
          <w:color w:val="000000"/>
          <w:sz w:val="24"/>
          <w:szCs w:val="24"/>
        </w:rPr>
        <w:t>If any such person as is described in Paragraph 2.5 is neither re-employed by the Agency or any Subcontractor nor dismissed by the Replacement Agency and/or Replacement Subcontractor within the time scales set out in Paragraphs 2.5 to 2.7, such person shall be treated as a Transferring Agency Employee. .</w:t>
      </w:r>
    </w:p>
    <w:p w14:paraId="481B1714" w14:textId="77777777" w:rsidR="002A6DD5" w:rsidRDefault="00000000" w:rsidP="009E3A01">
      <w:pPr>
        <w:numPr>
          <w:ilvl w:val="1"/>
          <w:numId w:val="19"/>
        </w:numPr>
        <w:tabs>
          <w:tab w:val="left" w:pos="273"/>
        </w:tabs>
        <w:spacing w:before="120" w:after="120"/>
      </w:pPr>
      <w:r>
        <w:rPr>
          <w:rFonts w:ascii="Arial" w:eastAsia="Arial" w:hAnsi="Arial"/>
          <w:color w:val="000000"/>
          <w:sz w:val="24"/>
          <w:szCs w:val="24"/>
        </w:rPr>
        <w:t xml:space="preserve">The Agency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Agency’s Final Agency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52513022" w14:textId="77777777" w:rsidR="002A6DD5" w:rsidRDefault="00000000" w:rsidP="009E3A01">
      <w:pPr>
        <w:pStyle w:val="Heading4"/>
        <w:numPr>
          <w:ilvl w:val="3"/>
          <w:numId w:val="3"/>
        </w:numPr>
        <w:rPr>
          <w:rFonts w:ascii="Arial" w:eastAsia="Arial" w:hAnsi="Arial"/>
          <w:sz w:val="24"/>
          <w:szCs w:val="24"/>
        </w:rPr>
      </w:pPr>
      <w:r>
        <w:rPr>
          <w:rFonts w:ascii="Arial" w:eastAsia="Arial" w:hAnsi="Arial"/>
          <w:sz w:val="24"/>
          <w:szCs w:val="24"/>
        </w:rPr>
        <w:t>the Agency and/or any Subcontractor; and</w:t>
      </w:r>
    </w:p>
    <w:p w14:paraId="0FB06857" w14:textId="77777777" w:rsidR="002A6DD5" w:rsidRDefault="00000000" w:rsidP="009E3A01">
      <w:pPr>
        <w:pStyle w:val="Heading4"/>
        <w:numPr>
          <w:ilvl w:val="3"/>
          <w:numId w:val="3"/>
        </w:numPr>
        <w:rPr>
          <w:rFonts w:ascii="Arial" w:eastAsia="Arial" w:hAnsi="Arial"/>
          <w:sz w:val="24"/>
          <w:szCs w:val="24"/>
        </w:rPr>
      </w:pPr>
      <w:r>
        <w:rPr>
          <w:rFonts w:ascii="Arial" w:eastAsia="Arial" w:hAnsi="Arial"/>
          <w:sz w:val="24"/>
          <w:szCs w:val="24"/>
        </w:rPr>
        <w:t>the Replacement Agency and/or the Replacement Subcontractor.</w:t>
      </w:r>
    </w:p>
    <w:p w14:paraId="7D9F78DD" w14:textId="77777777" w:rsidR="002A6DD5" w:rsidRDefault="002A6DD5" w:rsidP="009E3A01">
      <w:pPr>
        <w:tabs>
          <w:tab w:val="left" w:pos="993"/>
        </w:tabs>
        <w:spacing w:before="120" w:after="120"/>
        <w:ind w:left="720" w:hanging="720"/>
        <w:rPr>
          <w:rFonts w:ascii="Arial" w:eastAsia="Arial" w:hAnsi="Arial"/>
          <w:color w:val="000000"/>
          <w:sz w:val="24"/>
          <w:szCs w:val="24"/>
        </w:rPr>
      </w:pPr>
    </w:p>
    <w:p w14:paraId="69ECBD61" w14:textId="77777777" w:rsidR="002A6DD5" w:rsidRDefault="00000000" w:rsidP="009E3A01">
      <w:pPr>
        <w:numPr>
          <w:ilvl w:val="1"/>
          <w:numId w:val="19"/>
        </w:numPr>
        <w:tabs>
          <w:tab w:val="left" w:pos="273"/>
        </w:tabs>
        <w:spacing w:before="120" w:after="120"/>
      </w:pPr>
      <w:bookmarkStart w:id="20" w:name="_heading=h.1x0gk37"/>
      <w:bookmarkEnd w:id="20"/>
      <w:r>
        <w:rPr>
          <w:rFonts w:ascii="Arial" w:eastAsia="Arial" w:hAnsi="Arial"/>
          <w:color w:val="000000"/>
          <w:sz w:val="24"/>
          <w:szCs w:val="24"/>
        </w:rPr>
        <w:t>The Agency shall, and shall procure that each Subcontractor shall,  promptly provide the Client and any Replacement Agency and/or Replacement Subcontractor, in writing such information as is necessary to enable the Client, the Replacement Agency and/or Replacement Subcontractor to carry out their respective duties under regulation 13 of the Employment Regulations. The Client shall procure that the Replacement Agency and/or Replacement Subcontractor, shall promptly provide to the Agency and each Subcontractor in writing such information as is necessary to enable the Agency and each Subcontractor to carry out their respective duties under regulation 13 of the Employment Regulations.</w:t>
      </w:r>
    </w:p>
    <w:p w14:paraId="3A2A1F42" w14:textId="77777777" w:rsidR="002A6DD5" w:rsidRDefault="00000000" w:rsidP="009E3A01">
      <w:pPr>
        <w:numPr>
          <w:ilvl w:val="1"/>
          <w:numId w:val="19"/>
        </w:numPr>
        <w:tabs>
          <w:tab w:val="left" w:pos="273"/>
        </w:tabs>
        <w:spacing w:before="120" w:after="120"/>
      </w:pPr>
      <w:bookmarkStart w:id="21" w:name="_heading=h.4h042r0"/>
      <w:bookmarkEnd w:id="21"/>
      <w:r>
        <w:rPr>
          <w:rFonts w:ascii="Arial" w:eastAsia="Arial" w:hAnsi="Arial"/>
          <w:color w:val="000000"/>
          <w:sz w:val="24"/>
          <w:szCs w:val="24"/>
        </w:rPr>
        <w:t xml:space="preserve">Subject to Paragraph 2.14, the Client shall procure that the Replacement Agency indemnifies the Agency on its own behalf and on behalf of any </w:t>
      </w:r>
      <w:r>
        <w:rPr>
          <w:rFonts w:ascii="Arial" w:eastAsia="Arial" w:hAnsi="Arial"/>
          <w:color w:val="000000"/>
          <w:sz w:val="24"/>
          <w:szCs w:val="24"/>
        </w:rPr>
        <w:lastRenderedPageBreak/>
        <w:t xml:space="preserve">Replacement Subcontractor and its Subcontractors against any Employee Liabilities arising from or as a result of: </w:t>
      </w:r>
    </w:p>
    <w:p w14:paraId="7CFE0BD4"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Agency and/or Replacement Subcontractor in respect of any Transferring Agency Employee in the Agency’s Final Agency Personnel List or any appropriate employee representative (as defined in the Employment Regulations) of any such Transferring Agency Employee; </w:t>
      </w:r>
    </w:p>
    <w:p w14:paraId="3918B096"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Agency and/or Replacement Subcontractor on or after the Service Transfer Date of: </w:t>
      </w:r>
    </w:p>
    <w:p w14:paraId="033B4BFA" w14:textId="77777777" w:rsidR="002A6DD5" w:rsidRDefault="00000000" w:rsidP="009E3A01">
      <w:pPr>
        <w:pStyle w:val="Heading5"/>
        <w:numPr>
          <w:ilvl w:val="4"/>
          <w:numId w:val="3"/>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Agency Employees identified in the Agency’s Final Agency Personnel List; and/or </w:t>
      </w:r>
    </w:p>
    <w:p w14:paraId="14DE755D" w14:textId="77777777" w:rsidR="002A6DD5" w:rsidRDefault="00000000" w:rsidP="009E3A01">
      <w:pPr>
        <w:pStyle w:val="Heading5"/>
        <w:numPr>
          <w:ilvl w:val="4"/>
          <w:numId w:val="3"/>
        </w:numPr>
        <w:ind w:left="3402" w:hanging="1134"/>
        <w:rPr>
          <w:rFonts w:ascii="Arial" w:eastAsia="Arial" w:hAnsi="Arial"/>
          <w:sz w:val="24"/>
          <w:szCs w:val="24"/>
        </w:rPr>
      </w:pPr>
      <w:r>
        <w:rPr>
          <w:rFonts w:ascii="Arial" w:eastAsia="Arial" w:hAnsi="Arial"/>
          <w:sz w:val="24"/>
          <w:szCs w:val="24"/>
        </w:rPr>
        <w:t>any custom or practice in respect of any Transferring Agency Employees identified in the Agency’s Final Agency Personnel List which the Replacement Agency and/or Replacement Subcontractor is contractually bound to honour;</w:t>
      </w:r>
    </w:p>
    <w:p w14:paraId="35492577"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Agency Employees identified in the Agency’s Final Agency Personnel List arising from or connected with any failure by the Replacement Agency and/or Replacement Subcontractor to comply with any legal obligation to such trade union, body or person arising on or after the Service Transfer Date;</w:t>
      </w:r>
    </w:p>
    <w:p w14:paraId="522F04F2"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Agency and/or Replacement Subcontractor to change the terms and conditions of employment or working conditions of any Transferring Agency Employees identified in the Agency’s Final Agency Personnel List on or after their transfer to the Replacement Agency or Replacement Subcontractor (as the case may be) on the Service Transfer Date, or to change the terms and conditions of employment or working conditions of any person identified in the Agency’s Final Agency Personnel List who would have been a Transferring Agency Employee but for their resignation (or decision to treat their employment as terminated under regulation 4(9) of the Employment Regulations) before the Service Transfer Date as a result of or for a reason connected to such proposed changes; </w:t>
      </w:r>
    </w:p>
    <w:p w14:paraId="70DD9306"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Agency or Replacement Subcontractor to, or in respect of, any Transferring Agency Employee identified in the Agency’s Final Agency Personnel List on or before the Service Transfer Date regarding the Relevant Transfer which has not been agreed in advance with the Agency in writing;</w:t>
      </w:r>
    </w:p>
    <w:p w14:paraId="7F5E4895"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lastRenderedPageBreak/>
        <w:t>any proceeding, claim or demand by HMRC or other statutory authority in respect of any financial obligation including, but not limited to, PAYE and primary and secondary national insurance contributions:</w:t>
      </w:r>
    </w:p>
    <w:p w14:paraId="5F1382A0" w14:textId="77777777" w:rsidR="002A6DD5" w:rsidRDefault="00000000" w:rsidP="009E3A01">
      <w:pPr>
        <w:pStyle w:val="Heading5"/>
        <w:numPr>
          <w:ilvl w:val="4"/>
          <w:numId w:val="20"/>
        </w:numPr>
        <w:ind w:left="3544" w:hanging="1276"/>
        <w:rPr>
          <w:rFonts w:ascii="Arial" w:eastAsia="Arial" w:hAnsi="Arial"/>
          <w:sz w:val="24"/>
          <w:szCs w:val="24"/>
        </w:rPr>
      </w:pPr>
      <w:r>
        <w:rPr>
          <w:rFonts w:ascii="Arial" w:eastAsia="Arial" w:hAnsi="Arial"/>
          <w:sz w:val="24"/>
          <w:szCs w:val="24"/>
        </w:rPr>
        <w:t>in relation to any Transferring Agency Employee identified in the Agency’s Final Agency Personnel List, to the extent that the proceeding, claim or demand by HMRC or other statutory authority relates to financial obligations arising after the Service Transfer Date; and</w:t>
      </w:r>
    </w:p>
    <w:p w14:paraId="0A870FC4" w14:textId="77777777" w:rsidR="002A6DD5" w:rsidRDefault="00000000" w:rsidP="009E3A01">
      <w:pPr>
        <w:pStyle w:val="Heading5"/>
        <w:numPr>
          <w:ilvl w:val="4"/>
          <w:numId w:val="20"/>
        </w:numPr>
        <w:ind w:left="3544" w:hanging="1276"/>
        <w:rPr>
          <w:rFonts w:ascii="Arial" w:eastAsia="Arial" w:hAnsi="Arial"/>
          <w:sz w:val="24"/>
          <w:szCs w:val="24"/>
        </w:rPr>
      </w:pPr>
      <w:r>
        <w:rPr>
          <w:rFonts w:ascii="Arial" w:eastAsia="Arial" w:hAnsi="Arial"/>
          <w:sz w:val="24"/>
          <w:szCs w:val="24"/>
        </w:rPr>
        <w:t>in relation to any employee who is not a Transferring Agency Employee identified in the Agency’s Final Agency Personnel List, and in respect of whom it is later alleged or determined that the Employment Regulations applied so as to transfer his/her employment from the Agency or Subcontractor, to the Replacement Agency or Replacement Subcontractor to the extent that the proceeding, claim or demand by HMRC or other statutory authority relates to financial obligations arising after the Service Transfer Date;</w:t>
      </w:r>
    </w:p>
    <w:p w14:paraId="7A748B4C"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a failure of the Replacement Agency or Replacement Subcontractor to discharge or procure the discharge of all wages, salaries and all other benefits and all PAYE tax deductions and national insurance contributions relating to the Transferring Agency Employees identified in the Agency’s Final Agency Personnel List in respect of the period from (and including) the Service Transfer Date; and</w:t>
      </w:r>
    </w:p>
    <w:p w14:paraId="6410CC2E" w14:textId="77777777" w:rsidR="002A6DD5" w:rsidRDefault="00000000" w:rsidP="009E3A01">
      <w:pPr>
        <w:numPr>
          <w:ilvl w:val="2"/>
          <w:numId w:val="19"/>
        </w:numP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Agency Employee identified in the Agency’s Final Agency Personnel List or any appropriate employee representative (as defined in the Employment Regulations) of any such Transferring Agency Employee relating to any act or omission of the Replacement Agency or Replacement Subcontractor in relation to obligations under regulation 13 of the Employment Regulations.</w:t>
      </w:r>
    </w:p>
    <w:p w14:paraId="7375FE5D" w14:textId="77777777" w:rsidR="002A6DD5" w:rsidRDefault="002A6DD5" w:rsidP="009E3A01">
      <w:pPr>
        <w:spacing w:before="120" w:after="120"/>
        <w:ind w:left="2214" w:hanging="1080"/>
        <w:rPr>
          <w:rFonts w:ascii="Arial" w:eastAsia="Arial" w:hAnsi="Arial"/>
          <w:color w:val="000000"/>
          <w:sz w:val="24"/>
          <w:szCs w:val="24"/>
        </w:rPr>
      </w:pPr>
    </w:p>
    <w:p w14:paraId="10AC2714" w14:textId="77777777" w:rsidR="002A6DD5" w:rsidRDefault="00000000" w:rsidP="009E3A01">
      <w:pPr>
        <w:keepNext/>
        <w:numPr>
          <w:ilvl w:val="1"/>
          <w:numId w:val="19"/>
        </w:numPr>
        <w:tabs>
          <w:tab w:val="left" w:pos="993"/>
        </w:tabs>
        <w:spacing w:before="120" w:after="120"/>
        <w:ind w:left="357"/>
      </w:pPr>
      <w:r>
        <w:rPr>
          <w:rFonts w:ascii="Arial" w:eastAsia="Arial" w:hAnsi="Arial"/>
          <w:color w:val="000000"/>
          <w:sz w:val="24"/>
          <w:szCs w:val="24"/>
        </w:rPr>
        <w:t>The indemnities in Paragraph 2.13 shall not apply to the extent that the Employee Liabilities arise or are attributable to an act or omission of the Agency and/or any Subcontractor (as applicable) whether occurring or having its origin before, on or after the Service Transfer Date, including any Employee Liabilities arising from the failure by the Agency and/or any Subcontractor (as applicable) to comply with its obligations under the Employment Regulations.</w:t>
      </w:r>
    </w:p>
    <w:sectPr w:rsidR="002A6DD5">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98075" w14:textId="77777777" w:rsidR="00D754F0" w:rsidRDefault="00D754F0">
      <w:pPr>
        <w:spacing w:after="0"/>
      </w:pPr>
      <w:r>
        <w:separator/>
      </w:r>
    </w:p>
  </w:endnote>
  <w:endnote w:type="continuationSeparator" w:id="0">
    <w:p w14:paraId="57422D1D" w14:textId="77777777" w:rsidR="00D754F0" w:rsidRDefault="00D754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charset w:val="00"/>
    <w:family w:val="roman"/>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506C7" w14:textId="7B45E11A" w:rsidR="009E3A01" w:rsidRDefault="009E3A01">
    <w:pPr>
      <w:pStyle w:val="Footer"/>
    </w:pPr>
    <w:r>
      <w:rPr>
        <w:noProof/>
      </w:rPr>
      <mc:AlternateContent>
        <mc:Choice Requires="wps">
          <w:drawing>
            <wp:anchor distT="0" distB="0" distL="0" distR="0" simplePos="0" relativeHeight="251662336" behindDoc="0" locked="0" layoutInCell="1" allowOverlap="1" wp14:anchorId="42D9AA11" wp14:editId="78B4015E">
              <wp:simplePos x="635" y="635"/>
              <wp:positionH relativeFrom="page">
                <wp:align>center</wp:align>
              </wp:positionH>
              <wp:positionV relativeFrom="page">
                <wp:align>bottom</wp:align>
              </wp:positionV>
              <wp:extent cx="459740" cy="345440"/>
              <wp:effectExtent l="0" t="0" r="16510" b="0"/>
              <wp:wrapNone/>
              <wp:docPr id="622919197"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2560F0B3" w14:textId="12FECC29" w:rsidR="009E3A01" w:rsidRPr="009E3A01" w:rsidRDefault="009E3A01" w:rsidP="009E3A01">
                          <w:pPr>
                            <w:spacing w:after="0"/>
                            <w:rPr>
                              <w:rFonts w:eastAsia="Calibri" w:cs="Calibri"/>
                              <w:noProof/>
                              <w:color w:val="000000"/>
                              <w:sz w:val="20"/>
                              <w:szCs w:val="20"/>
                            </w:rPr>
                          </w:pPr>
                          <w:r w:rsidRPr="009E3A01">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2D9AA11" id="_x0000_t202" coordsize="21600,21600" o:spt="202" path="m,l,21600r21600,l21600,xe">
              <v:stroke joinstyle="miter"/>
              <v:path gradientshapeok="t" o:connecttype="rect"/>
            </v:shapetype>
            <v:shape id="Text Box 5" o:spid="_x0000_s1028" type="#_x0000_t202" alt="OFFICIAL" style="position:absolute;left:0;text-align:left;margin-left:0;margin-top:0;width:36.2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vLCrMDgIAABwE&#10;AAAOAAAAAAAAAAAAAAAAAC4CAABkcnMvZTJvRG9jLnhtbFBLAQItABQABgAIAAAAIQAjaYyj2gAA&#10;AAMBAAAPAAAAAAAAAAAAAAAAAGgEAABkcnMvZG93bnJldi54bWxQSwUGAAAAAAQABADzAAAAbwUA&#10;AAAA&#10;" filled="f" stroked="f">
              <v:fill o:detectmouseclick="t"/>
              <v:textbox style="mso-fit-shape-to-text:t" inset="0,0,0,15pt">
                <w:txbxContent>
                  <w:p w14:paraId="2560F0B3" w14:textId="12FECC29" w:rsidR="009E3A01" w:rsidRPr="009E3A01" w:rsidRDefault="009E3A01" w:rsidP="009E3A01">
                    <w:pPr>
                      <w:spacing w:after="0"/>
                      <w:rPr>
                        <w:rFonts w:eastAsia="Calibri" w:cs="Calibri"/>
                        <w:noProof/>
                        <w:color w:val="000000"/>
                        <w:sz w:val="20"/>
                        <w:szCs w:val="20"/>
                      </w:rPr>
                    </w:pPr>
                    <w:r w:rsidRPr="009E3A01">
                      <w:rPr>
                        <w:rFonts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A4D78" w14:textId="6391A6A5" w:rsidR="00000000" w:rsidRDefault="009E3A01">
    <w:pPr>
      <w:tabs>
        <w:tab w:val="center" w:pos="4513"/>
        <w:tab w:val="right" w:pos="9026"/>
      </w:tabs>
      <w:spacing w:after="0" w:line="276" w:lineRule="auto"/>
      <w:rPr>
        <w:color w:val="BFBFBF"/>
      </w:rPr>
    </w:pPr>
    <w:r>
      <w:rPr>
        <w:noProof/>
        <w:color w:val="BFBFBF"/>
      </w:rPr>
      <mc:AlternateContent>
        <mc:Choice Requires="wps">
          <w:drawing>
            <wp:anchor distT="0" distB="0" distL="0" distR="0" simplePos="0" relativeHeight="251663360" behindDoc="0" locked="0" layoutInCell="1" allowOverlap="1" wp14:anchorId="65B2E1B4" wp14:editId="45803C3B">
              <wp:simplePos x="914400" y="9734550"/>
              <wp:positionH relativeFrom="page">
                <wp:align>center</wp:align>
              </wp:positionH>
              <wp:positionV relativeFrom="page">
                <wp:align>bottom</wp:align>
              </wp:positionV>
              <wp:extent cx="459740" cy="345440"/>
              <wp:effectExtent l="0" t="0" r="16510" b="0"/>
              <wp:wrapNone/>
              <wp:docPr id="859286932"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079B944F" w14:textId="7695439B" w:rsidR="009E3A01" w:rsidRPr="009E3A01" w:rsidRDefault="009E3A01" w:rsidP="009E3A01">
                          <w:pPr>
                            <w:spacing w:after="0"/>
                            <w:rPr>
                              <w:rFonts w:eastAsia="Calibri" w:cs="Calibri"/>
                              <w:noProof/>
                              <w:color w:val="000000"/>
                              <w:sz w:val="20"/>
                              <w:szCs w:val="20"/>
                            </w:rPr>
                          </w:pPr>
                          <w:r w:rsidRPr="009E3A01">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5B2E1B4" id="_x0000_t202" coordsize="21600,21600" o:spt="202" path="m,l,21600r21600,l21600,xe">
              <v:stroke joinstyle="miter"/>
              <v:path gradientshapeok="t" o:connecttype="rect"/>
            </v:shapetype>
            <v:shape id="Text Box 6" o:spid="_x0000_s1029" type="#_x0000_t202" alt="OFFICIAL" style="position:absolute;left:0;text-align:left;margin-left:0;margin-top:0;width:36.2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" filled="f" stroked="f">
              <v:fill o:detectmouseclick="t"/>
              <v:textbox style="mso-fit-shape-to-text:t" inset="0,0,0,15pt">
                <w:txbxContent>
                  <w:p w14:paraId="079B944F" w14:textId="7695439B" w:rsidR="009E3A01" w:rsidRPr="009E3A01" w:rsidRDefault="009E3A01" w:rsidP="009E3A01">
                    <w:pPr>
                      <w:spacing w:after="0"/>
                      <w:rPr>
                        <w:rFonts w:eastAsia="Calibri" w:cs="Calibri"/>
                        <w:noProof/>
                        <w:color w:val="000000"/>
                        <w:sz w:val="20"/>
                        <w:szCs w:val="20"/>
                      </w:rPr>
                    </w:pPr>
                    <w:r w:rsidRPr="009E3A01">
                      <w:rPr>
                        <w:rFonts w:eastAsia="Calibri" w:cs="Calibri"/>
                        <w:noProof/>
                        <w:color w:val="000000"/>
                        <w:sz w:val="20"/>
                        <w:szCs w:val="20"/>
                      </w:rPr>
                      <w:t>OFFICIAL</w:t>
                    </w:r>
                  </w:p>
                </w:txbxContent>
              </v:textbox>
              <w10:wrap anchorx="page" anchory="page"/>
            </v:shape>
          </w:pict>
        </mc:Fallback>
      </mc:AlternateContent>
    </w:r>
  </w:p>
  <w:p w14:paraId="28DACEA9" w14:textId="77777777" w:rsidR="00000000" w:rsidRDefault="00000000">
    <w:pPr>
      <w:tabs>
        <w:tab w:val="center" w:pos="4513"/>
        <w:tab w:val="right" w:pos="9026"/>
      </w:tabs>
      <w:spacing w:after="0" w:line="276" w:lineRule="auto"/>
      <w:jc w:val="left"/>
    </w:pPr>
    <w:r>
      <w:rPr>
        <w:rFonts w:ascii="Arial" w:eastAsia="Arial" w:hAnsi="Arial"/>
        <w:sz w:val="20"/>
        <w:szCs w:val="20"/>
        <w:shd w:val="clear" w:color="auto" w:fill="FFFFFF"/>
      </w:rPr>
      <w:t xml:space="preserve">RM6124 – Communications Marketplace DPS </w:t>
    </w:r>
    <w:r>
      <w:rPr>
        <w:rFonts w:ascii="Arial" w:eastAsia="Arial" w:hAnsi="Arial"/>
        <w:sz w:val="20"/>
        <w:szCs w:val="20"/>
      </w:rPr>
      <w:t xml:space="preserve">                                          </w:t>
    </w:r>
  </w:p>
  <w:p w14:paraId="6D36E99B" w14:textId="77777777" w:rsidR="00000000" w:rsidRDefault="00000000" w:rsidP="009E3A01">
    <w:pPr>
      <w:tabs>
        <w:tab w:val="center" w:pos="4513"/>
        <w:tab w:val="right" w:pos="9026"/>
      </w:tabs>
      <w:spacing w:after="0"/>
    </w:pPr>
    <w:r>
      <w:rPr>
        <w:rFonts w:ascii="Arial" w:eastAsia="Arial" w:hAnsi="Arial"/>
        <w:sz w:val="20"/>
        <w:szCs w:val="20"/>
      </w:rPr>
      <w:t>Project Version: v1.0</w:t>
    </w:r>
    <w:r>
      <w:rPr>
        <w:rFonts w:ascii="Arial" w:eastAsia="Arial" w:hAnsi="Arial"/>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 xml:space="preserve"> PAGE </w:instrText>
    </w:r>
    <w:r>
      <w:rPr>
        <w:rFonts w:ascii="Arial" w:eastAsia="Arial" w:hAnsi="Arial"/>
        <w:color w:val="000000"/>
        <w:sz w:val="20"/>
        <w:szCs w:val="20"/>
      </w:rPr>
      <w:fldChar w:fldCharType="separate"/>
    </w:r>
    <w:r>
      <w:rPr>
        <w:rFonts w:ascii="Arial" w:eastAsia="Arial" w:hAnsi="Arial"/>
        <w:color w:val="000000"/>
        <w:sz w:val="20"/>
        <w:szCs w:val="20"/>
      </w:rPr>
      <w:t>1</w:t>
    </w:r>
    <w:r>
      <w:rPr>
        <w:rFonts w:ascii="Arial" w:eastAsia="Arial" w:hAnsi="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D244D" w14:textId="5C617655" w:rsidR="009E3A01" w:rsidRDefault="009E3A01">
    <w:pPr>
      <w:pStyle w:val="Footer"/>
    </w:pPr>
    <w:r>
      <w:rPr>
        <w:noProof/>
      </w:rPr>
      <mc:AlternateContent>
        <mc:Choice Requires="wps">
          <w:drawing>
            <wp:anchor distT="0" distB="0" distL="0" distR="0" simplePos="0" relativeHeight="251661312" behindDoc="0" locked="0" layoutInCell="1" allowOverlap="1" wp14:anchorId="22059384" wp14:editId="49FB8F33">
              <wp:simplePos x="635" y="635"/>
              <wp:positionH relativeFrom="page">
                <wp:align>center</wp:align>
              </wp:positionH>
              <wp:positionV relativeFrom="page">
                <wp:align>bottom</wp:align>
              </wp:positionV>
              <wp:extent cx="459740" cy="345440"/>
              <wp:effectExtent l="0" t="0" r="16510" b="0"/>
              <wp:wrapNone/>
              <wp:docPr id="1039174786"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62A50687" w14:textId="6FF86592" w:rsidR="009E3A01" w:rsidRPr="009E3A01" w:rsidRDefault="009E3A01" w:rsidP="009E3A01">
                          <w:pPr>
                            <w:spacing w:after="0"/>
                            <w:rPr>
                              <w:rFonts w:eastAsia="Calibri" w:cs="Calibri"/>
                              <w:noProof/>
                              <w:color w:val="000000"/>
                              <w:sz w:val="20"/>
                              <w:szCs w:val="20"/>
                            </w:rPr>
                          </w:pPr>
                          <w:r w:rsidRPr="009E3A01">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2059384" id="_x0000_t202" coordsize="21600,21600" o:spt="202" path="m,l,21600r21600,l21600,xe">
              <v:stroke joinstyle="miter"/>
              <v:path gradientshapeok="t" o:connecttype="rect"/>
            </v:shapetype>
            <v:shape id="Text Box 4" o:spid="_x0000_s1031" type="#_x0000_t202" alt="OFFICIAL" style="position:absolute;left:0;text-align:left;margin-left:0;margin-top:0;width:36.2pt;height:27.2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sEDd8DgIAABwE&#10;AAAOAAAAAAAAAAAAAAAAAC4CAABkcnMvZTJvRG9jLnhtbFBLAQItABQABgAIAAAAIQAjaYyj2gAA&#10;AAMBAAAPAAAAAAAAAAAAAAAAAGgEAABkcnMvZG93bnJldi54bWxQSwUGAAAAAAQABADzAAAAbwUA&#10;AAAA&#10;" filled="f" stroked="f">
              <v:fill o:detectmouseclick="t"/>
              <v:textbox style="mso-fit-shape-to-text:t" inset="0,0,0,15pt">
                <w:txbxContent>
                  <w:p w14:paraId="62A50687" w14:textId="6FF86592" w:rsidR="009E3A01" w:rsidRPr="009E3A01" w:rsidRDefault="009E3A01" w:rsidP="009E3A01">
                    <w:pPr>
                      <w:spacing w:after="0"/>
                      <w:rPr>
                        <w:rFonts w:eastAsia="Calibri" w:cs="Calibri"/>
                        <w:noProof/>
                        <w:color w:val="000000"/>
                        <w:sz w:val="20"/>
                        <w:szCs w:val="20"/>
                      </w:rPr>
                    </w:pPr>
                    <w:r w:rsidRPr="009E3A01">
                      <w:rPr>
                        <w:rFonts w:eastAsia="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18611" w14:textId="77777777" w:rsidR="00D754F0" w:rsidRDefault="00D754F0">
      <w:pPr>
        <w:spacing w:after="0"/>
      </w:pPr>
      <w:r>
        <w:rPr>
          <w:color w:val="000000"/>
        </w:rPr>
        <w:separator/>
      </w:r>
    </w:p>
  </w:footnote>
  <w:footnote w:type="continuationSeparator" w:id="0">
    <w:p w14:paraId="4FAF030A" w14:textId="77777777" w:rsidR="00D754F0" w:rsidRDefault="00D754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7A4C8" w14:textId="69208E65" w:rsidR="009E3A01" w:rsidRDefault="009E3A01">
    <w:pPr>
      <w:pStyle w:val="Header"/>
    </w:pPr>
    <w:r>
      <w:rPr>
        <w:noProof/>
      </w:rPr>
      <mc:AlternateContent>
        <mc:Choice Requires="wps">
          <w:drawing>
            <wp:anchor distT="0" distB="0" distL="0" distR="0" simplePos="0" relativeHeight="251659264" behindDoc="0" locked="0" layoutInCell="1" allowOverlap="1" wp14:anchorId="21039EF9" wp14:editId="6F3D33A2">
              <wp:simplePos x="635" y="635"/>
              <wp:positionH relativeFrom="page">
                <wp:align>center</wp:align>
              </wp:positionH>
              <wp:positionV relativeFrom="page">
                <wp:align>top</wp:align>
              </wp:positionV>
              <wp:extent cx="459740" cy="345440"/>
              <wp:effectExtent l="0" t="0" r="16510" b="16510"/>
              <wp:wrapNone/>
              <wp:docPr id="152554274"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0F4D59EB" w14:textId="257F4EFC" w:rsidR="009E3A01" w:rsidRPr="009E3A01" w:rsidRDefault="009E3A01" w:rsidP="009E3A01">
                          <w:pPr>
                            <w:spacing w:after="0"/>
                            <w:rPr>
                              <w:rFonts w:eastAsia="Calibri" w:cs="Calibri"/>
                              <w:noProof/>
                              <w:color w:val="000000"/>
                              <w:sz w:val="20"/>
                              <w:szCs w:val="20"/>
                            </w:rPr>
                          </w:pPr>
                          <w:r w:rsidRPr="009E3A01">
                            <w:rPr>
                              <w:rFonts w:eastAsia="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1039EF9" id="_x0000_t202" coordsize="21600,21600" o:spt="202" path="m,l,21600r21600,l21600,xe">
              <v:stroke joinstyle="miter"/>
              <v:path gradientshapeok="t" o:connecttype="rect"/>
            </v:shapetype>
            <v:shape id="Text Box 2" o:spid="_x0000_s1026" type="#_x0000_t202" alt="OFFICIAL" style="position:absolute;left:0;text-align:left;margin-left:0;margin-top:0;width:36.2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" filled="f" stroked="f">
              <v:fill o:detectmouseclick="t"/>
              <v:textbox style="mso-fit-shape-to-text:t" inset="0,15pt,0,0">
                <w:txbxContent>
                  <w:p w14:paraId="0F4D59EB" w14:textId="257F4EFC" w:rsidR="009E3A01" w:rsidRPr="009E3A01" w:rsidRDefault="009E3A01" w:rsidP="009E3A01">
                    <w:pPr>
                      <w:spacing w:after="0"/>
                      <w:rPr>
                        <w:rFonts w:eastAsia="Calibri" w:cs="Calibri"/>
                        <w:noProof/>
                        <w:color w:val="000000"/>
                        <w:sz w:val="20"/>
                        <w:szCs w:val="20"/>
                      </w:rPr>
                    </w:pPr>
                    <w:r w:rsidRPr="009E3A01">
                      <w:rPr>
                        <w:rFonts w:eastAsia="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B06CB" w14:textId="13AF5736" w:rsidR="00000000" w:rsidRDefault="009E3A01" w:rsidP="009E3A01">
    <w:pPr>
      <w:tabs>
        <w:tab w:val="center" w:pos="4513"/>
        <w:tab w:val="right" w:pos="9026"/>
      </w:tabs>
      <w:spacing w:after="0"/>
      <w:rPr>
        <w:rFonts w:ascii="Arial" w:eastAsia="Arial" w:hAnsi="Arial"/>
        <w:b/>
        <w:color w:val="000000"/>
        <w:sz w:val="20"/>
        <w:szCs w:val="20"/>
      </w:rPr>
    </w:pPr>
    <w:r>
      <w:rPr>
        <w:rFonts w:ascii="Arial" w:eastAsia="Arial" w:hAnsi="Arial"/>
        <w:b/>
        <w:noProof/>
        <w:color w:val="000000"/>
        <w:sz w:val="20"/>
        <w:szCs w:val="20"/>
      </w:rPr>
      <mc:AlternateContent>
        <mc:Choice Requires="wps">
          <w:drawing>
            <wp:anchor distT="0" distB="0" distL="0" distR="0" simplePos="0" relativeHeight="251660288" behindDoc="0" locked="0" layoutInCell="1" allowOverlap="1" wp14:anchorId="48B17168" wp14:editId="76D8729B">
              <wp:simplePos x="914400" y="450850"/>
              <wp:positionH relativeFrom="page">
                <wp:align>center</wp:align>
              </wp:positionH>
              <wp:positionV relativeFrom="page">
                <wp:align>top</wp:align>
              </wp:positionV>
              <wp:extent cx="459740" cy="345440"/>
              <wp:effectExtent l="0" t="0" r="16510" b="16510"/>
              <wp:wrapNone/>
              <wp:docPr id="1181531298"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113248B1" w14:textId="511B5902" w:rsidR="009E3A01" w:rsidRPr="009E3A01" w:rsidRDefault="009E3A01" w:rsidP="009E3A01">
                          <w:pPr>
                            <w:spacing w:after="0"/>
                            <w:rPr>
                              <w:rFonts w:eastAsia="Calibri" w:cs="Calibri"/>
                              <w:noProof/>
                              <w:color w:val="000000"/>
                              <w:sz w:val="20"/>
                              <w:szCs w:val="20"/>
                            </w:rPr>
                          </w:pPr>
                          <w:r w:rsidRPr="009E3A01">
                            <w:rPr>
                              <w:rFonts w:eastAsia="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8B17168" id="_x0000_t202" coordsize="21600,21600" o:spt="202" path="m,l,21600r21600,l21600,xe">
              <v:stroke joinstyle="miter"/>
              <v:path gradientshapeok="t" o:connecttype="rect"/>
            </v:shapetype>
            <v:shape id="Text Box 3" o:spid="_x0000_s1027" type="#_x0000_t202" alt="OFFICIAL" style="position:absolute;left:0;text-align:left;margin-left:0;margin-top:0;width:36.2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" filled="f" stroked="f">
              <v:fill o:detectmouseclick="t"/>
              <v:textbox style="mso-fit-shape-to-text:t" inset="0,15pt,0,0">
                <w:txbxContent>
                  <w:p w14:paraId="113248B1" w14:textId="511B5902" w:rsidR="009E3A01" w:rsidRPr="009E3A01" w:rsidRDefault="009E3A01" w:rsidP="009E3A01">
                    <w:pPr>
                      <w:spacing w:after="0"/>
                      <w:rPr>
                        <w:rFonts w:eastAsia="Calibri" w:cs="Calibri"/>
                        <w:noProof/>
                        <w:color w:val="000000"/>
                        <w:sz w:val="20"/>
                        <w:szCs w:val="20"/>
                      </w:rPr>
                    </w:pPr>
                    <w:r w:rsidRPr="009E3A01">
                      <w:rPr>
                        <w:rFonts w:eastAsia="Calibri" w:cs="Calibri"/>
                        <w:noProof/>
                        <w:color w:val="000000"/>
                        <w:sz w:val="20"/>
                        <w:szCs w:val="20"/>
                      </w:rPr>
                      <w:t>OFFICIAL</w:t>
                    </w:r>
                  </w:p>
                </w:txbxContent>
              </v:textbox>
              <w10:wrap anchorx="page" anchory="page"/>
            </v:shape>
          </w:pict>
        </mc:Fallback>
      </mc:AlternateContent>
    </w:r>
    <w:r>
      <w:rPr>
        <w:rFonts w:ascii="Arial" w:eastAsia="Arial" w:hAnsi="Arial"/>
        <w:b/>
        <w:color w:val="000000"/>
        <w:sz w:val="20"/>
        <w:szCs w:val="20"/>
      </w:rPr>
      <w:t>O</w:t>
    </w:r>
    <w:r w:rsidR="00000000">
      <w:rPr>
        <w:rFonts w:ascii="Arial" w:eastAsia="Arial" w:hAnsi="Arial"/>
        <w:b/>
        <w:color w:val="000000"/>
        <w:sz w:val="20"/>
        <w:szCs w:val="20"/>
      </w:rPr>
      <w:t>rder Schedule 2 (Staff Transfer)</w:t>
    </w:r>
  </w:p>
  <w:p w14:paraId="21F05085" w14:textId="77777777" w:rsidR="00000000" w:rsidRDefault="00000000" w:rsidP="009E3A01">
    <w:pPr>
      <w:tabs>
        <w:tab w:val="center" w:pos="4513"/>
        <w:tab w:val="right" w:pos="9026"/>
      </w:tabs>
      <w:spacing w:after="0"/>
    </w:pPr>
    <w:r>
      <w:rPr>
        <w:rFonts w:ascii="Arial" w:eastAsia="Arial" w:hAnsi="Arial"/>
        <w:color w:val="000000"/>
        <w:sz w:val="20"/>
        <w:szCs w:val="20"/>
      </w:rPr>
      <w:t xml:space="preserve">Order Ref: </w:t>
    </w:r>
  </w:p>
  <w:p w14:paraId="1B4DCFB1" w14:textId="77777777" w:rsidR="00000000" w:rsidRDefault="00000000" w:rsidP="009E3A01">
    <w:pPr>
      <w:tabs>
        <w:tab w:val="center" w:pos="4513"/>
        <w:tab w:val="right" w:pos="9026"/>
      </w:tabs>
      <w:spacing w:after="0"/>
    </w:pPr>
    <w:r>
      <w:rPr>
        <w:rFonts w:ascii="Arial" w:eastAsia="Arial" w:hAnsi="Arial"/>
        <w:color w:val="000000"/>
        <w:sz w:val="20"/>
        <w:szCs w:val="20"/>
      </w:rPr>
      <w:t>Crown Copyright 20</w:t>
    </w:r>
    <w:r>
      <w:rPr>
        <w:rFonts w:ascii="Arial" w:eastAsia="Arial" w:hAnsi="Arial"/>
        <w:sz w:val="20"/>
        <w:szCs w:val="20"/>
      </w:rPr>
      <w:t>21</w:t>
    </w:r>
    <w:r>
      <w:rPr>
        <w:rFonts w:ascii="Arial" w:eastAsia="Arial" w:hAnsi="Arial"/>
        <w:color w:val="000000"/>
        <w:sz w:val="20"/>
        <w:szCs w:val="20"/>
      </w:rPr>
      <w:t xml:space="preserve"> </w:t>
    </w:r>
  </w:p>
  <w:p w14:paraId="132576D2" w14:textId="77777777" w:rsidR="00000000" w:rsidRDefault="00000000" w:rsidP="009E3A01">
    <w:pPr>
      <w:tabs>
        <w:tab w:val="center" w:pos="4513"/>
        <w:tab w:val="right" w:pos="9026"/>
      </w:tabs>
      <w:spacing w:after="0"/>
      <w:rPr>
        <w:rFonts w:eastAsia="Calibri"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37556" w14:textId="04835EDC" w:rsidR="009E3A01" w:rsidRDefault="009E3A01">
    <w:pPr>
      <w:pStyle w:val="Header"/>
    </w:pPr>
    <w:r>
      <w:rPr>
        <w:noProof/>
      </w:rPr>
      <mc:AlternateContent>
        <mc:Choice Requires="wps">
          <w:drawing>
            <wp:anchor distT="0" distB="0" distL="0" distR="0" simplePos="0" relativeHeight="251658240" behindDoc="0" locked="0" layoutInCell="1" allowOverlap="1" wp14:anchorId="3EDACAA8" wp14:editId="4FA9B51E">
              <wp:simplePos x="635" y="635"/>
              <wp:positionH relativeFrom="page">
                <wp:align>center</wp:align>
              </wp:positionH>
              <wp:positionV relativeFrom="page">
                <wp:align>top</wp:align>
              </wp:positionV>
              <wp:extent cx="459740" cy="345440"/>
              <wp:effectExtent l="0" t="0" r="16510" b="16510"/>
              <wp:wrapNone/>
              <wp:docPr id="1023844027"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3A48D058" w14:textId="166D95C4" w:rsidR="009E3A01" w:rsidRPr="009E3A01" w:rsidRDefault="009E3A01" w:rsidP="009E3A01">
                          <w:pPr>
                            <w:spacing w:after="0"/>
                            <w:rPr>
                              <w:rFonts w:eastAsia="Calibri" w:cs="Calibri"/>
                              <w:noProof/>
                              <w:color w:val="000000"/>
                              <w:sz w:val="20"/>
                              <w:szCs w:val="20"/>
                            </w:rPr>
                          </w:pPr>
                          <w:r w:rsidRPr="009E3A01">
                            <w:rPr>
                              <w:rFonts w:eastAsia="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EDACAA8" id="_x0000_t202" coordsize="21600,21600" o:spt="202" path="m,l,21600r21600,l21600,xe">
              <v:stroke joinstyle="miter"/>
              <v:path gradientshapeok="t" o:connecttype="rect"/>
            </v:shapetype>
            <v:shape id="Text Box 1" o:spid="_x0000_s1030" type="#_x0000_t202" alt="OFFICIAL" style="position:absolute;left:0;text-align:left;margin-left:0;margin-top:0;width:36.2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B9o1PUNAgAAHAQA&#10;AA4AAAAAAAAAAAAAAAAALgIAAGRycy9lMm9Eb2MueG1sUEsBAi0AFAAGAAgAAAAhAMCaUBzaAAAA&#10;AwEAAA8AAAAAAAAAAAAAAAAAZwQAAGRycy9kb3ducmV2LnhtbFBLBQYAAAAABAAEAPMAAABuBQAA&#10;AAA=&#10;" filled="f" stroked="f">
              <v:fill o:detectmouseclick="t"/>
              <v:textbox style="mso-fit-shape-to-text:t" inset="0,15pt,0,0">
                <w:txbxContent>
                  <w:p w14:paraId="3A48D058" w14:textId="166D95C4" w:rsidR="009E3A01" w:rsidRPr="009E3A01" w:rsidRDefault="009E3A01" w:rsidP="009E3A01">
                    <w:pPr>
                      <w:spacing w:after="0"/>
                      <w:rPr>
                        <w:rFonts w:eastAsia="Calibri" w:cs="Calibri"/>
                        <w:noProof/>
                        <w:color w:val="000000"/>
                        <w:sz w:val="20"/>
                        <w:szCs w:val="20"/>
                      </w:rPr>
                    </w:pPr>
                    <w:r w:rsidRPr="009E3A01">
                      <w:rPr>
                        <w:rFonts w:eastAsia="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2C8E"/>
    <w:multiLevelType w:val="multilevel"/>
    <w:tmpl w:val="224044D6"/>
    <w:styleLink w:val="LFO16"/>
    <w:lvl w:ilvl="0">
      <w:start w:val="1"/>
      <w:numFmt w:val="decimal"/>
      <w:pStyle w:val="ScheduleL9"/>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8"/>
      <w:lvlJc w:val="left"/>
      <w:pPr>
        <w:ind w:left="5040" w:hanging="720"/>
      </w:pPr>
      <w:rPr>
        <w:smallCaps w:val="0"/>
      </w:rPr>
    </w:lvl>
    <w:lvl w:ilvl="8">
      <w:start w:val="1"/>
      <w:numFmt w:val="decimal"/>
      <w:lvlText w:val="%9"/>
      <w:lvlJc w:val="left"/>
      <w:pPr>
        <w:ind w:left="5040" w:hanging="720"/>
      </w:pPr>
      <w:rPr>
        <w:smallCaps w:val="0"/>
      </w:rPr>
    </w:lvl>
  </w:abstractNum>
  <w:abstractNum w:abstractNumId="1" w15:restartNumberingAfterBreak="0">
    <w:nsid w:val="025F15BB"/>
    <w:multiLevelType w:val="multilevel"/>
    <w:tmpl w:val="DCBCA764"/>
    <w:styleLink w:val="LFO10"/>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8"/>
      <w:lvlJc w:val="left"/>
      <w:pPr>
        <w:ind w:left="5040" w:hanging="720"/>
      </w:pPr>
      <w:rPr>
        <w:smallCaps w:val="0"/>
      </w:rPr>
    </w:lvl>
    <w:lvl w:ilvl="8">
      <w:start w:val="1"/>
      <w:numFmt w:val="decimal"/>
      <w:lvlText w:val="%9"/>
      <w:lvlJc w:val="left"/>
      <w:pPr>
        <w:ind w:left="5040" w:hanging="720"/>
      </w:pPr>
      <w:rPr>
        <w:smallCaps w:val="0"/>
      </w:rPr>
    </w:lvl>
  </w:abstractNum>
  <w:abstractNum w:abstractNumId="2" w15:restartNumberingAfterBreak="0">
    <w:nsid w:val="085965A6"/>
    <w:multiLevelType w:val="multilevel"/>
    <w:tmpl w:val="DE0ACDE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8"/>
      <w:lvlJc w:val="left"/>
      <w:pPr>
        <w:ind w:left="5040" w:hanging="720"/>
      </w:pPr>
      <w:rPr>
        <w:smallCaps w:val="0"/>
      </w:rPr>
    </w:lvl>
    <w:lvl w:ilvl="8">
      <w:start w:val="1"/>
      <w:numFmt w:val="decimal"/>
      <w:lvlText w:val="%9"/>
      <w:lvlJc w:val="left"/>
      <w:pPr>
        <w:ind w:left="5040" w:hanging="720"/>
      </w:pPr>
      <w:rPr>
        <w:smallCaps w:val="0"/>
      </w:rPr>
    </w:lvl>
  </w:abstractNum>
  <w:abstractNum w:abstractNumId="3" w15:restartNumberingAfterBreak="0">
    <w:nsid w:val="0B655153"/>
    <w:multiLevelType w:val="multilevel"/>
    <w:tmpl w:val="5ACA633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8"/>
      <w:lvlJc w:val="left"/>
      <w:pPr>
        <w:ind w:left="5040" w:hanging="720"/>
      </w:pPr>
      <w:rPr>
        <w:smallCaps w:val="0"/>
      </w:rPr>
    </w:lvl>
    <w:lvl w:ilvl="8">
      <w:start w:val="1"/>
      <w:numFmt w:val="decimal"/>
      <w:lvlText w:val="%9"/>
      <w:lvlJc w:val="left"/>
      <w:pPr>
        <w:ind w:left="5040" w:hanging="720"/>
      </w:pPr>
      <w:rPr>
        <w:smallCaps w:val="0"/>
      </w:rPr>
    </w:lvl>
  </w:abstractNum>
  <w:abstractNum w:abstractNumId="4" w15:restartNumberingAfterBreak="0">
    <w:nsid w:val="0E7A1DA9"/>
    <w:multiLevelType w:val="multilevel"/>
    <w:tmpl w:val="117618C6"/>
    <w:styleLink w:val="LFO7"/>
    <w:lvl w:ilvl="0">
      <w:start w:val="1"/>
      <w:numFmt w:val="decimal"/>
      <w:pStyle w:val="Sch1stylesubclause"/>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8"/>
      <w:lvlJc w:val="left"/>
      <w:pPr>
        <w:ind w:left="5040" w:hanging="720"/>
      </w:pPr>
      <w:rPr>
        <w:smallCaps w:val="0"/>
      </w:rPr>
    </w:lvl>
    <w:lvl w:ilvl="8">
      <w:start w:val="1"/>
      <w:numFmt w:val="decimal"/>
      <w:lvlText w:val="%9"/>
      <w:lvlJc w:val="left"/>
      <w:pPr>
        <w:ind w:left="5040" w:hanging="720"/>
      </w:pPr>
      <w:rPr>
        <w:smallCaps w:val="0"/>
      </w:rPr>
    </w:lvl>
  </w:abstractNum>
  <w:abstractNum w:abstractNumId="5" w15:restartNumberingAfterBreak="0">
    <w:nsid w:val="114778B5"/>
    <w:multiLevelType w:val="multilevel"/>
    <w:tmpl w:val="1E1A373A"/>
    <w:styleLink w:val="LFO2"/>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8"/>
      <w:lvlJc w:val="left"/>
      <w:pPr>
        <w:ind w:left="5040" w:hanging="720"/>
      </w:pPr>
      <w:rPr>
        <w:smallCaps w:val="0"/>
      </w:rPr>
    </w:lvl>
    <w:lvl w:ilvl="8">
      <w:start w:val="1"/>
      <w:numFmt w:val="decimal"/>
      <w:lvlText w:val="%9"/>
      <w:lvlJc w:val="left"/>
      <w:pPr>
        <w:ind w:left="5040" w:hanging="720"/>
      </w:pPr>
      <w:rPr>
        <w:smallCaps w:val="0"/>
      </w:rPr>
    </w:lvl>
  </w:abstractNum>
  <w:abstractNum w:abstractNumId="6" w15:restartNumberingAfterBreak="0">
    <w:nsid w:val="14C34021"/>
    <w:multiLevelType w:val="multilevel"/>
    <w:tmpl w:val="F79017B6"/>
    <w:lvl w:ilvl="0">
      <w:start w:val="6"/>
      <w:numFmt w:val="decimal"/>
      <w:lvlText w:val="%1"/>
      <w:lvlJc w:val="center"/>
      <w:pPr>
        <w:ind w:left="0" w:hanging="57"/>
      </w:pPr>
    </w:lvl>
    <w:lvl w:ilvl="1">
      <w:start w:val="12"/>
      <w:numFmt w:val="decimal"/>
      <w:lvlText w:val="%1.%2"/>
      <w:lvlJc w:val="left"/>
      <w:pPr>
        <w:ind w:left="709" w:hanging="709"/>
      </w:pPr>
      <w:rPr>
        <w:b/>
      </w:rPr>
    </w:lvl>
    <w:lvl w:ilvl="2">
      <w:start w:val="1"/>
      <w:numFmt w:val="decimal"/>
      <w:lvlText w:val="%1.%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7" w15:restartNumberingAfterBreak="0">
    <w:nsid w:val="16951199"/>
    <w:multiLevelType w:val="multilevel"/>
    <w:tmpl w:val="C1C665A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8"/>
      <w:lvlJc w:val="left"/>
      <w:pPr>
        <w:ind w:left="5040" w:hanging="720"/>
      </w:pPr>
      <w:rPr>
        <w:smallCaps w:val="0"/>
      </w:rPr>
    </w:lvl>
    <w:lvl w:ilvl="8">
      <w:start w:val="1"/>
      <w:numFmt w:val="decimal"/>
      <w:lvlText w:val="%9"/>
      <w:lvlJc w:val="left"/>
      <w:pPr>
        <w:ind w:left="5040" w:hanging="720"/>
      </w:pPr>
      <w:rPr>
        <w:smallCaps w:val="0"/>
      </w:rPr>
    </w:lvl>
  </w:abstractNum>
  <w:abstractNum w:abstractNumId="8" w15:restartNumberingAfterBreak="0">
    <w:nsid w:val="216F5F67"/>
    <w:multiLevelType w:val="multilevel"/>
    <w:tmpl w:val="69487330"/>
    <w:styleLink w:val="LFO9"/>
    <w:lvl w:ilvl="0">
      <w:start w:val="1"/>
      <w:numFmt w:val="lowerLetter"/>
      <w:pStyle w:val="FFWDefinitionColumnLevel2"/>
      <w:lvlText w:val="(%1)"/>
      <w:lvlJc w:val="left"/>
      <w:pPr>
        <w:ind w:left="1587" w:hanging="793"/>
      </w:pPr>
    </w:lvl>
    <w:lvl w:ilvl="1">
      <w:start w:val="1"/>
      <w:numFmt w:val="lowerRoman"/>
      <w:lvlText w:val="(%2)"/>
      <w:lvlJc w:val="left"/>
      <w:pPr>
        <w:ind w:left="2381" w:hanging="794"/>
      </w:pPr>
    </w:lvl>
    <w:lvl w:ilvl="2">
      <w:start w:val="1"/>
      <w:numFmt w:val="decimal"/>
      <w:lvlText w:val="%3"/>
      <w:lvlJc w:val="left"/>
      <w:pPr>
        <w:ind w:left="2381" w:hanging="794"/>
      </w:pPr>
    </w:lvl>
    <w:lvl w:ilvl="3">
      <w:start w:val="1"/>
      <w:numFmt w:val="decimal"/>
      <w:lvlText w:val="%4"/>
      <w:lvlJc w:val="left"/>
      <w:pPr>
        <w:ind w:left="2381" w:hanging="794"/>
      </w:pPr>
    </w:lvl>
    <w:lvl w:ilvl="4">
      <w:start w:val="1"/>
      <w:numFmt w:val="decimal"/>
      <w:lvlText w:val="%5"/>
      <w:lvlJc w:val="left"/>
      <w:pPr>
        <w:ind w:left="2381" w:hanging="794"/>
      </w:pPr>
    </w:lvl>
    <w:lvl w:ilvl="5">
      <w:start w:val="1"/>
      <w:numFmt w:val="decimal"/>
      <w:lvlText w:val="%6"/>
      <w:lvlJc w:val="left"/>
      <w:pPr>
        <w:ind w:left="2381" w:hanging="794"/>
      </w:pPr>
    </w:lvl>
    <w:lvl w:ilvl="6">
      <w:start w:val="1"/>
      <w:numFmt w:val="decimal"/>
      <w:lvlText w:val="%7"/>
      <w:lvlJc w:val="left"/>
      <w:pPr>
        <w:ind w:left="2381" w:hanging="794"/>
      </w:pPr>
    </w:lvl>
    <w:lvl w:ilvl="7">
      <w:start w:val="1"/>
      <w:numFmt w:val="decimal"/>
      <w:lvlText w:val="%8"/>
      <w:lvlJc w:val="left"/>
      <w:pPr>
        <w:ind w:left="2381" w:hanging="794"/>
      </w:pPr>
    </w:lvl>
    <w:lvl w:ilvl="8">
      <w:start w:val="1"/>
      <w:numFmt w:val="decimal"/>
      <w:lvlText w:val="%9"/>
      <w:lvlJc w:val="left"/>
      <w:pPr>
        <w:ind w:left="2381" w:hanging="794"/>
      </w:pPr>
    </w:lvl>
  </w:abstractNum>
  <w:abstractNum w:abstractNumId="9" w15:restartNumberingAfterBreak="0">
    <w:nsid w:val="43666DB0"/>
    <w:multiLevelType w:val="multilevel"/>
    <w:tmpl w:val="8D2E876E"/>
    <w:styleLink w:val="LFO6"/>
    <w:lvl w:ilvl="0">
      <w:start w:val="1"/>
      <w:numFmt w:val="decimal"/>
      <w:pStyle w:val="DefinitionNumbering9"/>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8"/>
      <w:lvlJc w:val="left"/>
      <w:pPr>
        <w:ind w:left="5040" w:hanging="720"/>
      </w:pPr>
      <w:rPr>
        <w:smallCaps w:val="0"/>
      </w:rPr>
    </w:lvl>
    <w:lvl w:ilvl="8">
      <w:start w:val="1"/>
      <w:numFmt w:val="decimal"/>
      <w:lvlText w:val="%9"/>
      <w:lvlJc w:val="left"/>
      <w:pPr>
        <w:ind w:left="5040" w:hanging="720"/>
      </w:pPr>
      <w:rPr>
        <w:smallCaps w:val="0"/>
      </w:rPr>
    </w:lvl>
  </w:abstractNum>
  <w:abstractNum w:abstractNumId="10" w15:restartNumberingAfterBreak="0">
    <w:nsid w:val="47A8458D"/>
    <w:multiLevelType w:val="multilevel"/>
    <w:tmpl w:val="EEEEE4DE"/>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decimal"/>
      <w:pStyle w:val="Heading7"/>
      <w:lvlText w:val="%1.%2.%3.%4.%5.%6.%7"/>
      <w:lvlJc w:val="left"/>
      <w:pPr>
        <w:ind w:left="1353" w:hanging="359"/>
      </w:pPr>
      <w:rPr>
        <w:b w:val="0"/>
        <w:i w:val="0"/>
        <w:smallCaps w:val="0"/>
        <w:strike w:val="0"/>
        <w:dstrike w:val="0"/>
        <w:color w:val="000000"/>
        <w:position w:val="0"/>
        <w:u w:val="none"/>
        <w:vertAlign w:val="baseline"/>
      </w:rPr>
    </w:lvl>
    <w:lvl w:ilvl="7">
      <w:start w:val="1"/>
      <w:numFmt w:val="decimal"/>
      <w:pStyle w:val="Heading8"/>
      <w:lvlText w:val="%1.%2.%3.%4.%5.%6.%7.%8"/>
      <w:lvlJc w:val="left"/>
      <w:pPr>
        <w:ind w:left="1713" w:hanging="719"/>
      </w:pPr>
      <w:rPr>
        <w:b w:val="0"/>
        <w:i w:val="0"/>
        <w:smallCaps w:val="0"/>
        <w:strike w:val="0"/>
        <w:dstrike w:val="0"/>
        <w:color w:val="000000"/>
        <w:position w:val="0"/>
        <w:u w:val="none"/>
        <w:vertAlign w:val="baseline"/>
      </w:rPr>
    </w:lvl>
    <w:lvl w:ilvl="8">
      <w:start w:val="1"/>
      <w:numFmt w:val="lowerLetter"/>
      <w:pStyle w:val="Heading9"/>
      <w:lvlText w:val="(%9)"/>
      <w:lvlJc w:val="left"/>
      <w:pPr>
        <w:ind w:left="1080" w:hanging="720"/>
      </w:pPr>
      <w:rPr>
        <w:b w:val="0"/>
        <w:i w:val="0"/>
        <w:smallCaps w:val="0"/>
        <w:strike w:val="0"/>
        <w:dstrike w:val="0"/>
        <w:color w:val="000000"/>
        <w:position w:val="0"/>
        <w:u w:val="none"/>
        <w:vertAlign w:val="baseline"/>
      </w:rPr>
    </w:lvl>
  </w:abstractNum>
  <w:abstractNum w:abstractNumId="11" w15:restartNumberingAfterBreak="0">
    <w:nsid w:val="5B1B5516"/>
    <w:multiLevelType w:val="multilevel"/>
    <w:tmpl w:val="02F0114C"/>
    <w:lvl w:ilvl="0">
      <w:start w:val="1"/>
      <w:numFmt w:val="decimal"/>
      <w:lvlText w:val="%1"/>
      <w:lvlJc w:val="center"/>
      <w:pPr>
        <w:ind w:left="0" w:hanging="57"/>
      </w:pPr>
    </w:lvl>
    <w:lvl w:ilvl="1">
      <w:start w:val="1"/>
      <w:numFmt w:val="decimal"/>
      <w:lvlText w:val="%1.%2"/>
      <w:lvlJc w:val="left"/>
      <w:pPr>
        <w:ind w:left="709" w:hanging="709"/>
      </w:pPr>
      <w:rPr>
        <w:b/>
      </w:rPr>
    </w:lvl>
    <w:lvl w:ilvl="2">
      <w:start w:val="1"/>
      <w:numFmt w:val="decimal"/>
      <w:lvlText w:val="%1.%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2" w15:restartNumberingAfterBreak="0">
    <w:nsid w:val="5B521F23"/>
    <w:multiLevelType w:val="multilevel"/>
    <w:tmpl w:val="71009DD8"/>
    <w:styleLink w:val="LFO4"/>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3"/>
      <w:lvlJc w:val="left"/>
      <w:pPr>
        <w:ind w:left="2381" w:hanging="794"/>
      </w:pPr>
    </w:lvl>
    <w:lvl w:ilvl="3">
      <w:start w:val="1"/>
      <w:numFmt w:val="decimal"/>
      <w:lvlText w:val="%4"/>
      <w:lvlJc w:val="left"/>
      <w:pPr>
        <w:ind w:left="2381" w:hanging="794"/>
      </w:pPr>
    </w:lvl>
    <w:lvl w:ilvl="4">
      <w:start w:val="1"/>
      <w:numFmt w:val="decimal"/>
      <w:lvlText w:val="%5"/>
      <w:lvlJc w:val="left"/>
      <w:pPr>
        <w:ind w:left="2381" w:hanging="794"/>
      </w:pPr>
    </w:lvl>
    <w:lvl w:ilvl="5">
      <w:start w:val="1"/>
      <w:numFmt w:val="decimal"/>
      <w:lvlText w:val="%6"/>
      <w:lvlJc w:val="left"/>
      <w:pPr>
        <w:ind w:left="2381" w:hanging="794"/>
      </w:pPr>
    </w:lvl>
    <w:lvl w:ilvl="6">
      <w:start w:val="1"/>
      <w:numFmt w:val="decimal"/>
      <w:lvlText w:val="%7"/>
      <w:lvlJc w:val="left"/>
      <w:pPr>
        <w:ind w:left="2381" w:hanging="794"/>
      </w:pPr>
    </w:lvl>
    <w:lvl w:ilvl="7">
      <w:start w:val="1"/>
      <w:numFmt w:val="decimal"/>
      <w:lvlText w:val="%8"/>
      <w:lvlJc w:val="left"/>
      <w:pPr>
        <w:ind w:left="2381" w:hanging="794"/>
      </w:pPr>
    </w:lvl>
    <w:lvl w:ilvl="8">
      <w:start w:val="1"/>
      <w:numFmt w:val="decimal"/>
      <w:lvlText w:val="%9"/>
      <w:lvlJc w:val="left"/>
      <w:pPr>
        <w:ind w:left="2381" w:hanging="794"/>
      </w:pPr>
    </w:lvl>
  </w:abstractNum>
  <w:abstractNum w:abstractNumId="13" w15:restartNumberingAfterBreak="0">
    <w:nsid w:val="5D5E24ED"/>
    <w:multiLevelType w:val="multilevel"/>
    <w:tmpl w:val="858CF2F6"/>
    <w:styleLink w:val="LFO3"/>
    <w:lvl w:ilvl="0">
      <w:start w:val="1"/>
      <w:numFmt w:val="decimal"/>
      <w:pStyle w:val="ListBullet"/>
      <w:lvlText w:val="%1"/>
      <w:lvlJc w:val="center"/>
      <w:pPr>
        <w:ind w:left="0" w:hanging="57"/>
      </w:pPr>
    </w:lvl>
    <w:lvl w:ilvl="1">
      <w:start w:val="1"/>
      <w:numFmt w:val="decimal"/>
      <w:lvlText w:val="%1.%2"/>
      <w:lvlJc w:val="left"/>
      <w:pPr>
        <w:ind w:left="709" w:hanging="709"/>
      </w:pPr>
      <w:rPr>
        <w:b/>
      </w:rPr>
    </w:lvl>
    <w:lvl w:ilvl="2">
      <w:start w:val="1"/>
      <w:numFmt w:val="decimal"/>
      <w:lvlText w:val="%1.%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4" w15:restartNumberingAfterBreak="0">
    <w:nsid w:val="623552BB"/>
    <w:multiLevelType w:val="multilevel"/>
    <w:tmpl w:val="16423872"/>
    <w:styleLink w:val="LFO5"/>
    <w:lvl w:ilvl="0">
      <w:start w:val="1"/>
      <w:numFmt w:val="lowerLetter"/>
      <w:pStyle w:val="MOJLevel4"/>
      <w:lvlText w:val="(%1)"/>
      <w:lvlJc w:val="left"/>
      <w:pPr>
        <w:ind w:left="1587" w:hanging="793"/>
      </w:pPr>
    </w:lvl>
    <w:lvl w:ilvl="1">
      <w:start w:val="1"/>
      <w:numFmt w:val="lowerRoman"/>
      <w:lvlText w:val="(%2)"/>
      <w:lvlJc w:val="left"/>
      <w:pPr>
        <w:ind w:left="2381" w:hanging="794"/>
      </w:pPr>
    </w:lvl>
    <w:lvl w:ilvl="2">
      <w:start w:val="1"/>
      <w:numFmt w:val="decimal"/>
      <w:lvlText w:val="%3"/>
      <w:lvlJc w:val="left"/>
      <w:pPr>
        <w:ind w:left="2381" w:hanging="794"/>
      </w:pPr>
    </w:lvl>
    <w:lvl w:ilvl="3">
      <w:start w:val="1"/>
      <w:numFmt w:val="decimal"/>
      <w:lvlText w:val="%4"/>
      <w:lvlJc w:val="left"/>
      <w:pPr>
        <w:ind w:left="2381" w:hanging="794"/>
      </w:pPr>
    </w:lvl>
    <w:lvl w:ilvl="4">
      <w:start w:val="1"/>
      <w:numFmt w:val="decimal"/>
      <w:lvlText w:val="%5"/>
      <w:lvlJc w:val="left"/>
      <w:pPr>
        <w:ind w:left="2381" w:hanging="794"/>
      </w:pPr>
    </w:lvl>
    <w:lvl w:ilvl="5">
      <w:start w:val="1"/>
      <w:numFmt w:val="decimal"/>
      <w:lvlText w:val="%6"/>
      <w:lvlJc w:val="left"/>
      <w:pPr>
        <w:ind w:left="2381" w:hanging="794"/>
      </w:pPr>
    </w:lvl>
    <w:lvl w:ilvl="6">
      <w:start w:val="1"/>
      <w:numFmt w:val="decimal"/>
      <w:lvlText w:val="%7"/>
      <w:lvlJc w:val="left"/>
      <w:pPr>
        <w:ind w:left="2381" w:hanging="794"/>
      </w:pPr>
    </w:lvl>
    <w:lvl w:ilvl="7">
      <w:start w:val="1"/>
      <w:numFmt w:val="decimal"/>
      <w:lvlText w:val="%8"/>
      <w:lvlJc w:val="left"/>
      <w:pPr>
        <w:ind w:left="2381" w:hanging="794"/>
      </w:pPr>
    </w:lvl>
    <w:lvl w:ilvl="8">
      <w:start w:val="1"/>
      <w:numFmt w:val="decimal"/>
      <w:lvlText w:val="%9"/>
      <w:lvlJc w:val="left"/>
      <w:pPr>
        <w:ind w:left="2381" w:hanging="794"/>
      </w:pPr>
    </w:lvl>
  </w:abstractNum>
  <w:abstractNum w:abstractNumId="15" w15:restartNumberingAfterBreak="0">
    <w:nsid w:val="629A7509"/>
    <w:multiLevelType w:val="multilevel"/>
    <w:tmpl w:val="737E381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8"/>
      <w:lvlJc w:val="left"/>
      <w:pPr>
        <w:ind w:left="5040" w:hanging="720"/>
      </w:pPr>
      <w:rPr>
        <w:smallCaps w:val="0"/>
      </w:rPr>
    </w:lvl>
    <w:lvl w:ilvl="8">
      <w:start w:val="1"/>
      <w:numFmt w:val="decimal"/>
      <w:lvlText w:val="%9"/>
      <w:lvlJc w:val="left"/>
      <w:pPr>
        <w:ind w:left="5040" w:hanging="720"/>
      </w:pPr>
      <w:rPr>
        <w:smallCaps w:val="0"/>
      </w:rPr>
    </w:lvl>
  </w:abstractNum>
  <w:abstractNum w:abstractNumId="16" w15:restartNumberingAfterBreak="0">
    <w:nsid w:val="684F6226"/>
    <w:multiLevelType w:val="multilevel"/>
    <w:tmpl w:val="192E6CEA"/>
    <w:styleLink w:val="LFO15"/>
    <w:lvl w:ilvl="0">
      <w:numFmt w:val="bullet"/>
      <w:pStyle w:val="GPSL2NumberedBoldHeading"/>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AB034FD"/>
    <w:multiLevelType w:val="multilevel"/>
    <w:tmpl w:val="11D09C9A"/>
    <w:styleLink w:val="LFO14"/>
    <w:lvl w:ilvl="0">
      <w:start w:val="1"/>
      <w:numFmt w:val="lowerLetter"/>
      <w:pStyle w:val="GPSDefinitionL4"/>
      <w:lvlText w:val="(%1)"/>
      <w:lvlJc w:val="left"/>
      <w:pPr>
        <w:ind w:left="1587" w:hanging="793"/>
      </w:pPr>
    </w:lvl>
    <w:lvl w:ilvl="1">
      <w:start w:val="1"/>
      <w:numFmt w:val="lowerRoman"/>
      <w:lvlText w:val="(%2)"/>
      <w:lvlJc w:val="left"/>
      <w:pPr>
        <w:ind w:left="2381" w:hanging="794"/>
      </w:pPr>
    </w:lvl>
    <w:lvl w:ilvl="2">
      <w:start w:val="1"/>
      <w:numFmt w:val="decimal"/>
      <w:lvlText w:val="%3"/>
      <w:lvlJc w:val="left"/>
      <w:pPr>
        <w:ind w:left="2381" w:hanging="794"/>
      </w:pPr>
    </w:lvl>
    <w:lvl w:ilvl="3">
      <w:start w:val="1"/>
      <w:numFmt w:val="decimal"/>
      <w:lvlText w:val="%4"/>
      <w:lvlJc w:val="left"/>
      <w:pPr>
        <w:ind w:left="2381" w:hanging="794"/>
      </w:pPr>
    </w:lvl>
    <w:lvl w:ilvl="4">
      <w:start w:val="1"/>
      <w:numFmt w:val="decimal"/>
      <w:lvlText w:val="%5"/>
      <w:lvlJc w:val="left"/>
      <w:pPr>
        <w:ind w:left="2381" w:hanging="794"/>
      </w:pPr>
    </w:lvl>
    <w:lvl w:ilvl="5">
      <w:start w:val="1"/>
      <w:numFmt w:val="decimal"/>
      <w:lvlText w:val="%6"/>
      <w:lvlJc w:val="left"/>
      <w:pPr>
        <w:ind w:left="2381" w:hanging="794"/>
      </w:pPr>
    </w:lvl>
    <w:lvl w:ilvl="6">
      <w:start w:val="1"/>
      <w:numFmt w:val="decimal"/>
      <w:lvlText w:val="%7"/>
      <w:lvlJc w:val="left"/>
      <w:pPr>
        <w:ind w:left="2381" w:hanging="794"/>
      </w:pPr>
    </w:lvl>
    <w:lvl w:ilvl="7">
      <w:start w:val="1"/>
      <w:numFmt w:val="decimal"/>
      <w:lvlText w:val="%8"/>
      <w:lvlJc w:val="left"/>
      <w:pPr>
        <w:ind w:left="2381" w:hanging="794"/>
      </w:pPr>
    </w:lvl>
    <w:lvl w:ilvl="8">
      <w:start w:val="1"/>
      <w:numFmt w:val="decimal"/>
      <w:lvlText w:val="%9"/>
      <w:lvlJc w:val="left"/>
      <w:pPr>
        <w:ind w:left="2381" w:hanging="794"/>
      </w:pPr>
    </w:lvl>
  </w:abstractNum>
  <w:abstractNum w:abstractNumId="18" w15:restartNumberingAfterBreak="0">
    <w:nsid w:val="7C6C7C0A"/>
    <w:multiLevelType w:val="multilevel"/>
    <w:tmpl w:val="A3C8ACAC"/>
    <w:styleLink w:val="LFO8"/>
    <w:lvl w:ilvl="0">
      <w:start w:val="1"/>
      <w:numFmt w:val="decimal"/>
      <w:pStyle w:val="FFWLevel6"/>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E932B97"/>
    <w:multiLevelType w:val="multilevel"/>
    <w:tmpl w:val="0CAEF04C"/>
    <w:lvl w:ilvl="0">
      <w:start w:val="2"/>
      <w:numFmt w:val="decimal"/>
      <w:lvlText w:val="%1."/>
      <w:lvlJc w:val="left"/>
      <w:pPr>
        <w:ind w:left="360" w:hanging="360"/>
      </w:pPr>
      <w:rPr>
        <w:b w:val="0"/>
        <w:i w:val="0"/>
        <w:smallCaps w:val="0"/>
        <w:strike w:val="0"/>
        <w:dstrike w:val="0"/>
        <w:color w:val="000000"/>
        <w:position w:val="0"/>
        <w:u w:val="none"/>
        <w:vertAlign w:val="baseline"/>
      </w:rPr>
    </w:lvl>
    <w:lvl w:ilvl="1">
      <w:start w:val="1"/>
      <w:numFmt w:val="decimal"/>
      <w:lvlText w:val="%1.%2"/>
      <w:lvlJc w:val="left"/>
      <w:pPr>
        <w:ind w:left="1353" w:hanging="359"/>
      </w:pPr>
      <w:rPr>
        <w:b w:val="0"/>
        <w:i w:val="0"/>
        <w:smallCaps w:val="0"/>
        <w:strike w:val="0"/>
        <w:dstrike w:val="0"/>
        <w:color w:val="000000"/>
        <w:position w:val="0"/>
        <w:u w:val="none"/>
        <w:vertAlign w:val="baseline"/>
      </w:rPr>
    </w:lvl>
    <w:lvl w:ilvl="2">
      <w:start w:val="1"/>
      <w:numFmt w:val="decimal"/>
      <w:lvlText w:val="%1.%2.%3"/>
      <w:lvlJc w:val="left"/>
      <w:pPr>
        <w:ind w:left="1713" w:hanging="719"/>
      </w:pPr>
      <w:rPr>
        <w:b w:val="0"/>
        <w:i w:val="0"/>
        <w:smallCaps w:val="0"/>
        <w:strike w:val="0"/>
        <w:dstrike w:val="0"/>
        <w:color w:val="000000"/>
        <w:position w:val="0"/>
        <w:u w:val="none"/>
        <w:vertAlign w:val="baseline"/>
      </w:rPr>
    </w:lvl>
    <w:lvl w:ilvl="3">
      <w:start w:val="1"/>
      <w:numFmt w:val="lowerLetter"/>
      <w:lvlText w:val="(%4)"/>
      <w:lvlJc w:val="left"/>
      <w:pPr>
        <w:ind w:left="1080" w:hanging="720"/>
      </w:pPr>
      <w:rPr>
        <w:b w:val="0"/>
        <w:i w:val="0"/>
        <w:smallCaps w:val="0"/>
        <w:strike w:val="0"/>
        <w:dstrike w:val="0"/>
        <w:color w:val="000000"/>
        <w:position w:val="0"/>
        <w:u w:val="none"/>
        <w:vertAlign w:val="baseline"/>
      </w:rPr>
    </w:lvl>
    <w:lvl w:ilvl="4">
      <w:start w:val="1"/>
      <w:numFmt w:val="lowerRoman"/>
      <w:lvlText w:val="(%5)"/>
      <w:lvlJc w:val="left"/>
      <w:pPr>
        <w:ind w:left="3916"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665208194">
    <w:abstractNumId w:val="10"/>
  </w:num>
  <w:num w:numId="2" w16cid:durableId="74862158">
    <w:abstractNumId w:val="5"/>
  </w:num>
  <w:num w:numId="3" w16cid:durableId="760374033">
    <w:abstractNumId w:val="13"/>
  </w:num>
  <w:num w:numId="4" w16cid:durableId="62260102">
    <w:abstractNumId w:val="12"/>
  </w:num>
  <w:num w:numId="5" w16cid:durableId="1561014930">
    <w:abstractNumId w:val="14"/>
  </w:num>
  <w:num w:numId="6" w16cid:durableId="2090036277">
    <w:abstractNumId w:val="9"/>
  </w:num>
  <w:num w:numId="7" w16cid:durableId="1488668849">
    <w:abstractNumId w:val="4"/>
  </w:num>
  <w:num w:numId="8" w16cid:durableId="1837574680">
    <w:abstractNumId w:val="18"/>
  </w:num>
  <w:num w:numId="9" w16cid:durableId="762839132">
    <w:abstractNumId w:val="8"/>
  </w:num>
  <w:num w:numId="10" w16cid:durableId="773674275">
    <w:abstractNumId w:val="1"/>
  </w:num>
  <w:num w:numId="11" w16cid:durableId="630524977">
    <w:abstractNumId w:val="17"/>
  </w:num>
  <w:num w:numId="12" w16cid:durableId="1983727543">
    <w:abstractNumId w:val="16"/>
  </w:num>
  <w:num w:numId="13" w16cid:durableId="451019219">
    <w:abstractNumId w:val="0"/>
  </w:num>
  <w:num w:numId="14" w16cid:durableId="1272515887">
    <w:abstractNumId w:val="15"/>
  </w:num>
  <w:num w:numId="15" w16cid:durableId="777141999">
    <w:abstractNumId w:val="7"/>
  </w:num>
  <w:num w:numId="16" w16cid:durableId="1156262014">
    <w:abstractNumId w:val="3"/>
  </w:num>
  <w:num w:numId="17" w16cid:durableId="341276844">
    <w:abstractNumId w:val="6"/>
  </w:num>
  <w:num w:numId="18" w16cid:durableId="242226955">
    <w:abstractNumId w:val="19"/>
  </w:num>
  <w:num w:numId="19" w16cid:durableId="1182469747">
    <w:abstractNumId w:val="2"/>
  </w:num>
  <w:num w:numId="20" w16cid:durableId="2019891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2A6DD5"/>
    <w:rsid w:val="002A6DD5"/>
    <w:rsid w:val="003B3475"/>
    <w:rsid w:val="009E3A01"/>
    <w:rsid w:val="00D754F0"/>
    <w:rsid w:val="00E364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A0662"/>
  <w15:docId w15:val="{664213CC-CCB2-4F9C-B9C8-BC28FAE45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autoSpaceDN w:val="0"/>
        <w:spacing w:after="240"/>
        <w:jc w:val="both"/>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pPr>
    <w:rPr>
      <w:rFonts w:eastAsia="Times New Roman" w:cs="Arial"/>
      <w:lang w:eastAsia="en-US"/>
    </w:rPr>
  </w:style>
  <w:style w:type="paragraph" w:styleId="Heading1">
    <w:name w:val="heading 1"/>
    <w:next w:val="Normal"/>
    <w:uiPriority w:val="9"/>
    <w:qFormat/>
    <w:pPr>
      <w:suppressAutoHyphens/>
      <w:jc w:val="center"/>
      <w:outlineLvl w:val="0"/>
    </w:pPr>
    <w:rPr>
      <w:rFonts w:ascii="Trebuchet MS" w:eastAsia="Times New Roman" w:hAnsi="Trebuchet MS"/>
      <w:b/>
      <w:caps/>
      <w:lang w:eastAsia="en-US"/>
    </w:rPr>
  </w:style>
  <w:style w:type="paragraph" w:styleId="Heading2">
    <w:name w:val="heading 2"/>
    <w:basedOn w:val="Normal"/>
    <w:next w:val="Normal"/>
    <w:uiPriority w:val="9"/>
    <w:unhideWhenUsed/>
    <w:qFormat/>
    <w:pPr>
      <w:keepNext/>
      <w:keepLines/>
      <w:outlineLvl w:val="1"/>
    </w:pPr>
    <w:rPr>
      <w:rFonts w:ascii="Trebuchet MS" w:eastAsia="HGGothicM" w:hAnsi="Trebuchet MS"/>
      <w:b/>
      <w:bCs/>
    </w:rPr>
  </w:style>
  <w:style w:type="paragraph" w:styleId="Heading3">
    <w:name w:val="heading 3"/>
    <w:basedOn w:val="Normal"/>
    <w:next w:val="Normal"/>
    <w:uiPriority w:val="9"/>
    <w:unhideWhenUsed/>
    <w:qFormat/>
    <w:pPr>
      <w:keepLines/>
      <w:outlineLvl w:val="2"/>
    </w:pPr>
    <w:rPr>
      <w:rFonts w:ascii="Trebuchet MS" w:eastAsia="HGGothicM" w:hAnsi="Trebuchet MS"/>
      <w:bCs/>
    </w:rPr>
  </w:style>
  <w:style w:type="paragraph" w:styleId="Heading4">
    <w:name w:val="heading 4"/>
    <w:basedOn w:val="Heading3"/>
    <w:next w:val="Normal"/>
    <w:uiPriority w:val="9"/>
    <w:unhideWhenUsed/>
    <w:qFormat/>
    <w:pPr>
      <w:outlineLvl w:val="3"/>
    </w:pPr>
  </w:style>
  <w:style w:type="paragraph" w:styleId="Heading5">
    <w:name w:val="heading 5"/>
    <w:basedOn w:val="Heading4"/>
    <w:next w:val="Normal"/>
    <w:uiPriority w:val="9"/>
    <w:unhideWhenUsed/>
    <w:qFormat/>
    <w:pPr>
      <w:outlineLvl w:val="4"/>
    </w:pPr>
  </w:style>
  <w:style w:type="paragraph" w:styleId="Heading6">
    <w:name w:val="heading 6"/>
    <w:basedOn w:val="Heading5"/>
    <w:uiPriority w:val="9"/>
    <w:semiHidden/>
    <w:unhideWhenUsed/>
    <w:qFormat/>
    <w:pPr>
      <w:keepLines w:val="0"/>
      <w:spacing w:line="360" w:lineRule="auto"/>
      <w:outlineLvl w:val="5"/>
    </w:pPr>
    <w:rPr>
      <w:rFonts w:ascii="Times New Roman" w:eastAsia="Times New Roman" w:hAnsi="Times New Roman"/>
      <w:bCs w:val="0"/>
      <w:szCs w:val="20"/>
    </w:rPr>
  </w:style>
  <w:style w:type="paragraph" w:styleId="Heading7">
    <w:name w:val="heading 7"/>
    <w:basedOn w:val="Normal"/>
    <w:next w:val="Normal"/>
    <w:pPr>
      <w:numPr>
        <w:ilvl w:val="6"/>
        <w:numId w:val="1"/>
      </w:numPr>
      <w:outlineLvl w:val="6"/>
    </w:pPr>
    <w:rPr>
      <w:rFonts w:ascii="Trebuchet MS" w:eastAsia="Trebuchet MS" w:hAnsi="Trebuchet MS"/>
    </w:rPr>
  </w:style>
  <w:style w:type="paragraph" w:styleId="Heading8">
    <w:name w:val="heading 8"/>
    <w:basedOn w:val="Normal"/>
    <w:next w:val="Normal"/>
    <w:pPr>
      <w:numPr>
        <w:ilvl w:val="7"/>
        <w:numId w:val="1"/>
      </w:numPr>
      <w:outlineLvl w:val="7"/>
    </w:pPr>
    <w:rPr>
      <w:rFonts w:ascii="Trebuchet MS" w:eastAsia="Trebuchet MS" w:hAnsi="Trebuchet MS"/>
    </w:rPr>
  </w:style>
  <w:style w:type="paragraph" w:styleId="Heading9">
    <w:name w:val="heading 9"/>
    <w:basedOn w:val="Normal"/>
    <w:next w:val="Normal"/>
    <w:pPr>
      <w:numPr>
        <w:ilvl w:val="8"/>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styleId="Title">
    <w:name w:val="Title"/>
    <w:basedOn w:val="Normal"/>
    <w:uiPriority w:val="10"/>
    <w:qFormat/>
    <w:pPr>
      <w:spacing w:before="240" w:after="60" w:line="360" w:lineRule="auto"/>
      <w:jc w:val="center"/>
    </w:pPr>
    <w:rPr>
      <w:rFonts w:ascii="Arial" w:hAnsi="Arial"/>
      <w:b/>
      <w:kern w:val="3"/>
      <w:sz w:val="32"/>
      <w:szCs w:val="20"/>
    </w:rPr>
  </w:style>
  <w:style w:type="character" w:customStyle="1" w:styleId="Heading1Char">
    <w:name w:val="Heading 1 Char"/>
    <w:rPr>
      <w:rFonts w:ascii="Trebuchet MS" w:eastAsia="Times New Roman" w:hAnsi="Trebuchet MS"/>
      <w:b/>
      <w:caps/>
      <w:sz w:val="22"/>
      <w:szCs w:val="22"/>
      <w:lang w:eastAsia="en-US"/>
    </w:rPr>
  </w:style>
  <w:style w:type="character" w:customStyle="1" w:styleId="Heading2Char">
    <w:name w:val="Heading 2 Char"/>
    <w:rPr>
      <w:rFonts w:ascii="Trebuchet MS" w:eastAsia="HGGothicM" w:hAnsi="Trebuchet MS" w:cs="Arial"/>
      <w:b/>
      <w:bCs/>
      <w:sz w:val="22"/>
      <w:szCs w:val="22"/>
      <w:lang w:eastAsia="en-US"/>
    </w:rPr>
  </w:style>
  <w:style w:type="character" w:customStyle="1" w:styleId="Heading3Char">
    <w:name w:val="Heading 3 Char"/>
    <w:rPr>
      <w:rFonts w:ascii="Trebuchet MS" w:eastAsia="HGGothicM" w:hAnsi="Trebuchet MS" w:cs="Arial"/>
      <w:bCs/>
      <w:sz w:val="22"/>
      <w:szCs w:val="22"/>
      <w:lang w:eastAsia="en-US"/>
    </w:rPr>
  </w:style>
  <w:style w:type="character" w:customStyle="1" w:styleId="Heading4Char">
    <w:name w:val="Heading 4 Char"/>
    <w:rPr>
      <w:rFonts w:ascii="Trebuchet MS" w:eastAsia="HGGothicM" w:hAnsi="Trebuchet MS" w:cs="Arial"/>
      <w:bCs/>
      <w:sz w:val="22"/>
      <w:szCs w:val="22"/>
      <w:lang w:eastAsia="en-US"/>
    </w:rPr>
  </w:style>
  <w:style w:type="character" w:customStyle="1" w:styleId="Heading5Char">
    <w:name w:val="Heading 5 Char"/>
    <w:rPr>
      <w:rFonts w:ascii="Trebuchet MS" w:eastAsia="HGGothicM" w:hAnsi="Trebuchet MS" w:cs="Arial"/>
      <w:bCs/>
      <w:sz w:val="22"/>
      <w:szCs w:val="22"/>
      <w:lang w:eastAsia="en-US"/>
    </w:rPr>
  </w:style>
  <w:style w:type="character" w:customStyle="1" w:styleId="Heading7Char">
    <w:name w:val="Heading 7 Char"/>
    <w:rPr>
      <w:rFonts w:ascii="Trebuchet MS" w:eastAsia="Trebuchet MS" w:hAnsi="Trebuchet MS" w:cs="Arial"/>
      <w:sz w:val="22"/>
      <w:szCs w:val="22"/>
      <w:lang w:eastAsia="en-US"/>
    </w:rPr>
  </w:style>
  <w:style w:type="character" w:customStyle="1" w:styleId="Heading8Char">
    <w:name w:val="Heading 8 Char"/>
    <w:rPr>
      <w:rFonts w:ascii="Trebuchet MS" w:eastAsia="Trebuchet MS" w:hAnsi="Trebuchet MS" w:cs="Arial"/>
      <w:sz w:val="22"/>
      <w:szCs w:val="22"/>
      <w:lang w:eastAsia="en-US"/>
    </w:rPr>
  </w:style>
  <w:style w:type="character" w:customStyle="1" w:styleId="Heading9Char">
    <w:name w:val="Heading 9 Char"/>
    <w:rPr>
      <w:rFonts w:ascii="Trebuchet MS" w:eastAsia="Trebuchet MS" w:hAnsi="Trebuchet MS" w:cs="Arial"/>
      <w:sz w:val="22"/>
      <w:szCs w:val="22"/>
      <w:lang w:eastAsia="en-US"/>
    </w:rPr>
  </w:style>
  <w:style w:type="paragraph" w:customStyle="1" w:styleId="MarginText">
    <w:name w:val="Margin Text"/>
    <w:basedOn w:val="BodyText"/>
    <w:pPr>
      <w:spacing w:after="240"/>
      <w:ind w:left="709"/>
    </w:pPr>
    <w:rPr>
      <w:rFonts w:ascii="Trebuchet MS" w:eastAsia="Trebuchet MS" w:hAnsi="Trebuchet MS"/>
    </w:rPr>
  </w:style>
  <w:style w:type="character" w:customStyle="1" w:styleId="MarginTextChar">
    <w:name w:val="Margin Text Char"/>
    <w:rPr>
      <w:rFonts w:ascii="Trebuchet MS" w:eastAsia="Trebuchet MS" w:hAnsi="Trebuchet MS"/>
      <w:sz w:val="22"/>
      <w:szCs w:val="22"/>
      <w:lang w:eastAsia="en-US"/>
    </w:rPr>
  </w:style>
  <w:style w:type="paragraph" w:styleId="Footer">
    <w:name w:val="footer"/>
    <w:basedOn w:val="Normal"/>
    <w:pPr>
      <w:tabs>
        <w:tab w:val="center" w:pos="4513"/>
        <w:tab w:val="right" w:pos="9026"/>
      </w:tabs>
      <w:spacing w:after="0"/>
    </w:pPr>
  </w:style>
  <w:style w:type="character" w:customStyle="1" w:styleId="FooterChar">
    <w:name w:val="Footer Char"/>
    <w:rPr>
      <w:rFonts w:eastAsia="Times New Roman" w:cs="Arial"/>
      <w:sz w:val="22"/>
      <w:szCs w:val="22"/>
      <w:lang w:eastAsia="en-US"/>
    </w:rPr>
  </w:style>
  <w:style w:type="paragraph" w:styleId="BodyTextIndent">
    <w:name w:val="Body Text Indent"/>
    <w:basedOn w:val="Normal"/>
    <w:pPr>
      <w:ind w:left="720"/>
    </w:pPr>
    <w:rPr>
      <w:rFonts w:ascii="Trebuchet MS" w:eastAsia="Trebuchet MS" w:hAnsi="Trebuchet MS"/>
    </w:rPr>
  </w:style>
  <w:style w:type="character" w:customStyle="1" w:styleId="BodyTextIndentChar">
    <w:name w:val="Body Text Indent Char"/>
    <w:rPr>
      <w:rFonts w:ascii="Trebuchet MS" w:eastAsia="Trebuchet MS" w:hAnsi="Trebuchet MS"/>
      <w:sz w:val="22"/>
      <w:szCs w:val="22"/>
      <w:lang w:eastAsia="en-US"/>
    </w:rPr>
  </w:style>
  <w:style w:type="paragraph" w:styleId="BodyTextIndent2">
    <w:name w:val="Body Text Indent 2"/>
    <w:basedOn w:val="Normal"/>
    <w:pPr>
      <w:ind w:left="1440"/>
    </w:pPr>
    <w:rPr>
      <w:rFonts w:ascii="Trebuchet MS" w:eastAsia="Trebuchet MS" w:hAnsi="Trebuchet MS"/>
    </w:rPr>
  </w:style>
  <w:style w:type="character" w:customStyle="1" w:styleId="BodyTextIndent2Char">
    <w:name w:val="Body Text Indent 2 Char"/>
    <w:rPr>
      <w:rFonts w:ascii="Trebuchet MS" w:eastAsia="Trebuchet MS" w:hAnsi="Trebuchet MS"/>
      <w:sz w:val="22"/>
      <w:szCs w:val="22"/>
      <w:lang w:eastAsia="en-US"/>
    </w:rPr>
  </w:style>
  <w:style w:type="character" w:styleId="PageNumber">
    <w:name w:val="page number"/>
  </w:style>
  <w:style w:type="paragraph" w:styleId="Header">
    <w:name w:val="header"/>
    <w:basedOn w:val="Normal"/>
    <w:pPr>
      <w:tabs>
        <w:tab w:val="center" w:pos="4513"/>
        <w:tab w:val="right" w:pos="9026"/>
      </w:tabs>
      <w:spacing w:after="0"/>
    </w:pPr>
  </w:style>
  <w:style w:type="character" w:customStyle="1" w:styleId="HeaderChar">
    <w:name w:val="Header Char"/>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rPr>
      <w:rFonts w:ascii="Arial" w:eastAsia="STZhongsong" w:hAnsi="Arial"/>
      <w:b/>
      <w:i/>
      <w:color w:val="000000"/>
      <w:sz w:val="20"/>
      <w:szCs w:val="24"/>
      <w:lang w:eastAsia="zh-CN"/>
    </w:rPr>
  </w:style>
  <w:style w:type="character" w:customStyle="1" w:styleId="GuidancenoteparagraphtextChar">
    <w:name w:val="Guidance note paragraph text Char"/>
    <w:rPr>
      <w:rFonts w:ascii="Arial" w:eastAsia="STZhongsong" w:hAnsi="Arial"/>
      <w:b/>
      <w:i/>
      <w:color w:val="000000"/>
      <w:szCs w:val="24"/>
      <w:lang w:eastAsia="zh-CN"/>
    </w:rPr>
  </w:style>
  <w:style w:type="paragraph" w:customStyle="1" w:styleId="PartDes">
    <w:name w:val="PartDes"/>
    <w:basedOn w:val="Normal"/>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pPr>
      <w:spacing w:after="120"/>
    </w:pPr>
  </w:style>
  <w:style w:type="character" w:customStyle="1" w:styleId="BodyTextChar">
    <w:name w:val="Body Text Char"/>
    <w:rPr>
      <w:sz w:val="22"/>
      <w:szCs w:val="22"/>
      <w:lang w:eastAsia="en-US"/>
    </w:rPr>
  </w:style>
  <w:style w:type="paragraph" w:styleId="FootnoteText">
    <w:name w:val="footnote text"/>
    <w:basedOn w:val="Normal"/>
    <w:rPr>
      <w:sz w:val="20"/>
      <w:szCs w:val="20"/>
    </w:rPr>
  </w:style>
  <w:style w:type="character" w:customStyle="1" w:styleId="FootnoteTextChar">
    <w:name w:val="Footnote Text Char"/>
    <w:rPr>
      <w:lang w:eastAsia="en-US"/>
    </w:rPr>
  </w:style>
  <w:style w:type="character" w:styleId="FootnoteReference">
    <w:name w:val="footnote reference"/>
    <w:rPr>
      <w:position w:val="0"/>
      <w:vertAlign w:val="superscript"/>
    </w:rPr>
  </w:style>
  <w:style w:type="paragraph" w:styleId="BalloonText">
    <w:name w:val="Balloon Text"/>
    <w:basedOn w:val="Normal"/>
    <w:pPr>
      <w:spacing w:after="0"/>
    </w:pPr>
    <w:rPr>
      <w:rFonts w:ascii="Tahoma" w:hAnsi="Tahoma" w:cs="Tahoma"/>
      <w:sz w:val="16"/>
      <w:szCs w:val="16"/>
    </w:rPr>
  </w:style>
  <w:style w:type="character" w:customStyle="1" w:styleId="BalloonTextChar">
    <w:name w:val="Balloon Text Char"/>
    <w:rPr>
      <w:rFonts w:ascii="Tahoma" w:eastAsia="Times New Roman" w:hAnsi="Tahoma" w:cs="Tahoma"/>
      <w:sz w:val="16"/>
      <w:szCs w:val="16"/>
      <w:lang w:eastAsia="en-US"/>
    </w:rPr>
  </w:style>
  <w:style w:type="character" w:styleId="CommentReference">
    <w:name w:val="annotation reference"/>
    <w:rPr>
      <w:sz w:val="16"/>
      <w:szCs w:val="16"/>
    </w:rPr>
  </w:style>
  <w:style w:type="paragraph" w:styleId="CommentText">
    <w:name w:val="annotation text"/>
    <w:basedOn w:val="Normal"/>
    <w:rPr>
      <w:sz w:val="20"/>
      <w:szCs w:val="20"/>
    </w:rPr>
  </w:style>
  <w:style w:type="character" w:customStyle="1" w:styleId="CommentTextChar">
    <w:name w:val="Comment Text Char"/>
    <w:rPr>
      <w:rFonts w:eastAsia="Times New Roman" w:cs="Arial"/>
      <w:lang w:eastAsia="en-US"/>
    </w:rPr>
  </w:style>
  <w:style w:type="paragraph" w:styleId="CommentSubject">
    <w:name w:val="annotation subject"/>
    <w:basedOn w:val="CommentText"/>
    <w:next w:val="CommentText"/>
    <w:rPr>
      <w:b/>
      <w:bCs/>
    </w:rPr>
  </w:style>
  <w:style w:type="character" w:customStyle="1" w:styleId="CommentSubjectChar">
    <w:name w:val="Comment Subject Char"/>
    <w:rPr>
      <w:rFonts w:eastAsia="Times New Roman" w:cs="Arial"/>
      <w:b/>
      <w:bCs/>
      <w:lang w:eastAsia="en-US"/>
    </w:rPr>
  </w:style>
  <w:style w:type="character" w:customStyle="1" w:styleId="Heading6Char">
    <w:name w:val="Heading 6 Char"/>
    <w:rPr>
      <w:rFonts w:ascii="Times New Roman" w:eastAsia="Times New Roman" w:hAnsi="Times New Roman"/>
      <w:sz w:val="22"/>
      <w:lang w:eastAsia="en-US"/>
    </w:rPr>
  </w:style>
  <w:style w:type="paragraph" w:styleId="BodyTextIndent3">
    <w:name w:val="Body Text Indent 3"/>
    <w:basedOn w:val="Normal"/>
    <w:pPr>
      <w:spacing w:line="360" w:lineRule="auto"/>
      <w:ind w:left="2160"/>
    </w:pPr>
    <w:rPr>
      <w:rFonts w:ascii="Times New Roman" w:hAnsi="Times New Roman"/>
      <w:szCs w:val="20"/>
    </w:rPr>
  </w:style>
  <w:style w:type="character" w:customStyle="1" w:styleId="BodyTextIndent3Char">
    <w:name w:val="Body Text Indent 3 Char"/>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pPr>
      <w:spacing w:before="120" w:line="360" w:lineRule="auto"/>
    </w:pPr>
    <w:rPr>
      <w:rFonts w:ascii="Times New Roman" w:hAnsi="Times New Roman"/>
      <w:b/>
      <w:szCs w:val="20"/>
    </w:rPr>
  </w:style>
  <w:style w:type="character" w:customStyle="1" w:styleId="TitleChar">
    <w:name w:val="Title Char"/>
    <w:rPr>
      <w:rFonts w:ascii="Arial" w:eastAsia="Times New Roman" w:hAnsi="Arial"/>
      <w:b/>
      <w:kern w:val="3"/>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pPr>
      <w:widowControl w:val="0"/>
      <w:spacing w:after="0"/>
      <w:ind w:left="1440" w:hanging="720"/>
      <w:outlineLvl w:val="1"/>
    </w:pPr>
    <w:rPr>
      <w:rFonts w:ascii="Times New Roman" w:hAnsi="Times New Roman"/>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pPr>
      <w:shd w:val="clear" w:color="auto" w:fill="000080"/>
      <w:spacing w:line="360" w:lineRule="auto"/>
    </w:pPr>
    <w:rPr>
      <w:rFonts w:ascii="Tahoma" w:hAnsi="Tahoma" w:cs="Tahoma"/>
      <w:sz w:val="20"/>
      <w:szCs w:val="20"/>
    </w:rPr>
  </w:style>
  <w:style w:type="character" w:customStyle="1" w:styleId="DocumentMapChar">
    <w:name w:val="Document Map Char"/>
    <w:rPr>
      <w:rFonts w:ascii="Tahoma" w:eastAsia="Times New Roman" w:hAnsi="Tahoma" w:cs="Tahoma"/>
      <w:shd w:val="clear" w:color="auto" w:fill="000080"/>
      <w:lang w:eastAsia="en-US"/>
    </w:rPr>
  </w:style>
  <w:style w:type="paragraph" w:customStyle="1" w:styleId="blueheading">
    <w:name w:val="blueheading"/>
    <w:basedOn w:val="Normal"/>
    <w:pPr>
      <w:spacing w:before="100" w:after="100"/>
    </w:pPr>
    <w:rPr>
      <w:rFonts w:ascii="Times New Roman" w:hAnsi="Times New Roman"/>
      <w:sz w:val="24"/>
      <w:szCs w:val="24"/>
      <w:lang w:eastAsia="en-GB"/>
    </w:rPr>
  </w:style>
  <w:style w:type="paragraph" w:customStyle="1" w:styleId="Default">
    <w:name w:val="Default"/>
    <w:pPr>
      <w:suppressAutoHyphens/>
      <w:autoSpaceDE w:val="0"/>
    </w:pPr>
    <w:rPr>
      <w:rFonts w:ascii="Times New Roman" w:eastAsia="Times New Roman" w:hAnsi="Times New Roman"/>
      <w:color w:val="000000"/>
      <w:sz w:val="24"/>
      <w:szCs w:val="24"/>
      <w:lang w:val="en-US" w:eastAsia="en-US"/>
    </w:rPr>
  </w:style>
  <w:style w:type="paragraph" w:styleId="EndnoteText">
    <w:name w:val="endnote text"/>
    <w:basedOn w:val="Normal"/>
    <w:pPr>
      <w:widowControl w:val="0"/>
      <w:spacing w:after="0"/>
    </w:pPr>
    <w:rPr>
      <w:rFonts w:ascii="Courier" w:hAnsi="Courier"/>
      <w:sz w:val="24"/>
      <w:szCs w:val="20"/>
    </w:rPr>
  </w:style>
  <w:style w:type="character" w:customStyle="1" w:styleId="EndnoteTextChar">
    <w:name w:val="Endnote Text Char"/>
    <w:rPr>
      <w:rFonts w:ascii="Courier" w:eastAsia="Times New Roman" w:hAnsi="Courier"/>
      <w:sz w:val="24"/>
      <w:lang w:eastAsia="en-US"/>
    </w:rPr>
  </w:style>
  <w:style w:type="character" w:styleId="EndnoteReference">
    <w:name w:val="endnote reference"/>
    <w:rPr>
      <w:position w:val="0"/>
      <w:vertAlign w:val="superscript"/>
    </w:rPr>
  </w:style>
  <w:style w:type="paragraph" w:customStyle="1" w:styleId="bullet">
    <w:name w:val="bullet"/>
    <w:basedOn w:val="Normal"/>
    <w:pPr>
      <w:tabs>
        <w:tab w:val="left" w:pos="360"/>
      </w:tabs>
      <w:spacing w:before="120" w:after="0"/>
      <w:ind w:left="360" w:hanging="360"/>
    </w:pPr>
    <w:rPr>
      <w:rFonts w:ascii="Times New Roman" w:hAnsi="Times New Roman"/>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pPr>
      <w:spacing w:before="320" w:after="0" w:line="320" w:lineRule="atLeast"/>
    </w:pPr>
    <w:rPr>
      <w:rFonts w:ascii="Arial" w:hAnsi="Arial"/>
      <w:szCs w:val="20"/>
    </w:rPr>
  </w:style>
  <w:style w:type="character" w:customStyle="1" w:styleId="text0Char">
    <w:name w:val="text 0 Char"/>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uppressAutoHyphens/>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left" w:pos="360"/>
      </w:tabs>
      <w:suppressAutoHyphen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pPr>
      <w:spacing w:after="0"/>
    </w:pPr>
    <w:rPr>
      <w:rFonts w:ascii="Times New Roman" w:hAnsi="Times New Roman"/>
      <w:sz w:val="24"/>
      <w:szCs w:val="24"/>
      <w:lang w:eastAsia="en-GB"/>
    </w:rPr>
  </w:style>
  <w:style w:type="character" w:styleId="Emphasis">
    <w:name w:val="Emphasis"/>
    <w:rPr>
      <w:i/>
      <w:iCs/>
    </w:rPr>
  </w:style>
  <w:style w:type="character" w:styleId="Strong">
    <w:name w:val="Strong"/>
    <w:rPr>
      <w:b/>
      <w:bCs/>
    </w:rPr>
  </w:style>
  <w:style w:type="paragraph" w:customStyle="1" w:styleId="Level2">
    <w:name w:val="Level 2"/>
    <w:basedOn w:val="Normal"/>
    <w:pPr>
      <w:tabs>
        <w:tab w:val="left" w:pos="851"/>
      </w:tabs>
      <w:ind w:left="851" w:hanging="851"/>
      <w:outlineLvl w:val="1"/>
    </w:pPr>
    <w:rPr>
      <w:rFonts w:ascii="Arial" w:hAnsi="Arial"/>
      <w:sz w:val="20"/>
      <w:szCs w:val="20"/>
      <w:lang w:eastAsia="en-GB"/>
    </w:rPr>
  </w:style>
  <w:style w:type="paragraph" w:customStyle="1" w:styleId="Level3">
    <w:name w:val="Level 3"/>
    <w:basedOn w:val="Normal"/>
    <w:pPr>
      <w:tabs>
        <w:tab w:val="left" w:pos="1702"/>
      </w:tabs>
      <w:ind w:left="1702" w:hanging="851"/>
      <w:outlineLvl w:val="2"/>
    </w:pPr>
    <w:rPr>
      <w:rFonts w:ascii="Arial" w:hAnsi="Arial"/>
      <w:sz w:val="20"/>
      <w:szCs w:val="20"/>
      <w:lang w:eastAsia="en-GB"/>
    </w:rPr>
  </w:style>
  <w:style w:type="paragraph" w:customStyle="1" w:styleId="Level4">
    <w:name w:val="Level 4"/>
    <w:basedOn w:val="Normal"/>
    <w:pPr>
      <w:tabs>
        <w:tab w:val="left" w:pos="2553"/>
      </w:tabs>
      <w:ind w:left="2553" w:hanging="851"/>
      <w:outlineLvl w:val="3"/>
    </w:pPr>
    <w:rPr>
      <w:rFonts w:ascii="Arial" w:hAnsi="Arial"/>
      <w:sz w:val="20"/>
      <w:szCs w:val="20"/>
      <w:lang w:eastAsia="en-GB"/>
    </w:rPr>
  </w:style>
  <w:style w:type="paragraph" w:customStyle="1" w:styleId="Level5">
    <w:name w:val="Level 5"/>
    <w:basedOn w:val="Normal"/>
    <w:pPr>
      <w:tabs>
        <w:tab w:val="left" w:pos="3404"/>
      </w:tabs>
      <w:ind w:left="3404" w:hanging="851"/>
      <w:outlineLvl w:val="4"/>
    </w:pPr>
    <w:rPr>
      <w:rFonts w:ascii="Arial" w:hAnsi="Arial"/>
      <w:sz w:val="20"/>
      <w:szCs w:val="20"/>
      <w:lang w:eastAsia="en-GB"/>
    </w:rPr>
  </w:style>
  <w:style w:type="paragraph" w:customStyle="1" w:styleId="Level6">
    <w:name w:val="Level 6"/>
    <w:basedOn w:val="Normal"/>
    <w:pPr>
      <w:tabs>
        <w:tab w:val="left" w:pos="4255"/>
      </w:tabs>
      <w:ind w:left="4255" w:hanging="851"/>
      <w:outlineLvl w:val="5"/>
    </w:pPr>
    <w:rPr>
      <w:rFonts w:ascii="Arial" w:hAnsi="Arial"/>
      <w:sz w:val="20"/>
      <w:szCs w:val="20"/>
      <w:lang w:eastAsia="en-GB"/>
    </w:rPr>
  </w:style>
  <w:style w:type="paragraph" w:customStyle="1" w:styleId="MOJStyle0">
    <w:name w:val="MOJ Style0"/>
    <w:basedOn w:val="Normal"/>
    <w:autoRedefine/>
    <w:pPr>
      <w:spacing w:after="0" w:line="360" w:lineRule="auto"/>
    </w:pPr>
    <w:rPr>
      <w:rFonts w:ascii="Arial" w:eastAsia="MS Mincho" w:hAnsi="Arial"/>
      <w:b/>
      <w:lang w:eastAsia="ja-JP"/>
    </w:rPr>
  </w:style>
  <w:style w:type="paragraph" w:customStyle="1" w:styleId="MOJLevel1">
    <w:name w:val="MOJ Level 1"/>
    <w:basedOn w:val="Normal"/>
    <w:next w:val="MOJLevel2"/>
    <w:autoRedefine/>
    <w:pPr>
      <w:spacing w:before="240" w:after="0" w:line="360" w:lineRule="auto"/>
    </w:pPr>
    <w:rPr>
      <w:rFonts w:ascii="Arial" w:eastAsia="MS Mincho" w:hAnsi="Arial"/>
      <w:b/>
      <w:lang w:eastAsia="ja-JP"/>
    </w:rPr>
  </w:style>
  <w:style w:type="paragraph" w:customStyle="1" w:styleId="MOJLevel2">
    <w:name w:val="MOJ Level 2"/>
    <w:basedOn w:val="Normal"/>
    <w:autoRedefine/>
    <w:pPr>
      <w:spacing w:after="0" w:line="360" w:lineRule="auto"/>
    </w:pPr>
    <w:rPr>
      <w:rFonts w:ascii="Arial" w:eastAsia="MS Mincho" w:hAnsi="Arial"/>
      <w:bCs/>
      <w:lang w:eastAsia="ja-JP"/>
    </w:rPr>
  </w:style>
  <w:style w:type="paragraph" w:customStyle="1" w:styleId="MOJLevel3">
    <w:name w:val="MOJ Level 3"/>
    <w:basedOn w:val="Normal"/>
    <w:autoRedefine/>
    <w:pPr>
      <w:tabs>
        <w:tab w:val="left" w:pos="-761"/>
      </w:tabs>
      <w:spacing w:after="0" w:line="360" w:lineRule="auto"/>
    </w:pPr>
    <w:rPr>
      <w:rFonts w:ascii="Arial" w:eastAsia="MS Mincho" w:hAnsi="Arial"/>
      <w:bCs/>
      <w:lang w:eastAsia="ja-JP"/>
    </w:rPr>
  </w:style>
  <w:style w:type="paragraph" w:customStyle="1" w:styleId="MOJLevel4">
    <w:name w:val="MOJ Level 4"/>
    <w:basedOn w:val="Normal"/>
    <w:autoRedefine/>
    <w:pPr>
      <w:numPr>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left"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left"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left"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left"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left"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left"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left"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pPr>
      <w:keepNext w:val="0"/>
      <w:keepLines w:val="0"/>
      <w:tabs>
        <w:tab w:val="left"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rPr>
      <w:rFonts w:ascii="Arial" w:eastAsia="STZhongsong" w:hAnsi="Arial" w:cs="Arial"/>
      <w:lang w:eastAsia="zh-CN"/>
    </w:rPr>
  </w:style>
  <w:style w:type="paragraph" w:customStyle="1" w:styleId="PartHeadingboldcentered">
    <w:name w:val="Part Heading bold centered"/>
    <w:basedOn w:val="MarginTex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rPr>
      <w:rFonts w:ascii="Arial" w:eastAsia="STZhongsong" w:hAnsi="Arial"/>
      <w:b/>
      <w:lang w:eastAsia="zh-CN"/>
    </w:rPr>
  </w:style>
  <w:style w:type="paragraph" w:customStyle="1" w:styleId="ScheduleL1">
    <w:name w:val="Schedule L1"/>
    <w:basedOn w:val="Normal"/>
    <w:pPr>
      <w:keepNext/>
      <w:overflowPunct/>
      <w:autoSpaceDE/>
      <w:spacing w:before="120"/>
      <w:textAlignment w:val="auto"/>
      <w:outlineLvl w:val="0"/>
    </w:pPr>
    <w:rPr>
      <w:rFonts w:eastAsia="STZhongsong" w:cs="Times New Roman"/>
      <w:b/>
      <w:caps/>
      <w:szCs w:val="20"/>
      <w:lang w:eastAsia="zh-CN"/>
    </w:rPr>
  </w:style>
  <w:style w:type="paragraph" w:customStyle="1" w:styleId="ScheduleL2">
    <w:name w:val="Schedule L2"/>
    <w:basedOn w:val="Normal"/>
    <w:pPr>
      <w:tabs>
        <w:tab w:val="left" w:pos="273"/>
      </w:tabs>
      <w:overflowPunct/>
      <w:autoSpaceDE/>
      <w:spacing w:before="120" w:after="120"/>
      <w:textAlignment w:val="auto"/>
      <w:outlineLvl w:val="1"/>
    </w:pPr>
    <w:rPr>
      <w:rFonts w:eastAsia="STZhongsong" w:cs="Times New Roman"/>
      <w:szCs w:val="20"/>
      <w:lang w:val="en-US" w:eastAsia="zh-CN"/>
    </w:rPr>
  </w:style>
  <w:style w:type="character" w:customStyle="1" w:styleId="ScheduleL2Char">
    <w:name w:val="Schedule L2 Char"/>
    <w:rPr>
      <w:rFonts w:eastAsia="STZhongsong"/>
      <w:sz w:val="22"/>
      <w:lang w:val="en-US" w:eastAsia="zh-CN"/>
    </w:rPr>
  </w:style>
  <w:style w:type="paragraph" w:customStyle="1" w:styleId="ScheduleL3">
    <w:name w:val="Schedule L3"/>
    <w:basedOn w:val="Normal"/>
    <w:pPr>
      <w:overflowPunct/>
      <w:autoSpaceDE/>
      <w:spacing w:before="120" w:after="120"/>
      <w:textAlignment w:val="auto"/>
      <w:outlineLvl w:val="2"/>
    </w:pPr>
    <w:rPr>
      <w:rFonts w:eastAsia="STZhongsong" w:cs="Times New Roman"/>
      <w:szCs w:val="20"/>
      <w:lang w:eastAsia="zh-CN"/>
    </w:rPr>
  </w:style>
  <w:style w:type="paragraph" w:customStyle="1" w:styleId="ScheduleL4">
    <w:name w:val="Schedule L4"/>
    <w:basedOn w:val="Normal"/>
    <w:pPr>
      <w:overflowPunct/>
      <w:autoSpaceDE/>
      <w:spacing w:before="120" w:after="120"/>
      <w:textAlignment w:val="auto"/>
      <w:outlineLvl w:val="3"/>
    </w:pPr>
    <w:rPr>
      <w:rFonts w:eastAsia="STZhongsong" w:cs="Times New Roman"/>
      <w:szCs w:val="20"/>
      <w:lang w:eastAsia="zh-CN"/>
    </w:rPr>
  </w:style>
  <w:style w:type="paragraph" w:customStyle="1" w:styleId="ScheduleL5">
    <w:name w:val="Schedule L5"/>
    <w:basedOn w:val="Normal"/>
    <w:pPr>
      <w:overflowPunct/>
      <w:autoSpaceDE/>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outlineLvl w:val="5"/>
    </w:pPr>
    <w:rPr>
      <w:rFonts w:ascii="Times New Roman" w:eastAsia="STZhongsong" w:hAnsi="Times New Roman"/>
      <w:szCs w:val="20"/>
      <w:lang w:eastAsia="zh-CN"/>
    </w:rPr>
  </w:style>
  <w:style w:type="paragraph" w:customStyle="1" w:styleId="ScheduleL7">
    <w:name w:val="Schedule L7"/>
    <w:basedOn w:val="Normal"/>
    <w:pPr>
      <w:outlineLvl w:val="6"/>
    </w:pPr>
    <w:rPr>
      <w:rFonts w:ascii="Times New Roman" w:eastAsia="STZhongsong" w:hAnsi="Times New Roman"/>
      <w:szCs w:val="20"/>
      <w:lang w:eastAsia="zh-CN"/>
    </w:rPr>
  </w:style>
  <w:style w:type="paragraph" w:customStyle="1" w:styleId="ScheduleL8">
    <w:name w:val="Schedule L8"/>
    <w:basedOn w:val="Normal"/>
    <w:pPr>
      <w:outlineLvl w:val="7"/>
    </w:pPr>
    <w:rPr>
      <w:rFonts w:ascii="Times New Roman" w:eastAsia="STZhongsong" w:hAnsi="Times New Roman"/>
      <w:szCs w:val="20"/>
      <w:lang w:eastAsia="zh-CN"/>
    </w:rPr>
  </w:style>
  <w:style w:type="paragraph" w:customStyle="1" w:styleId="ScheduleL9">
    <w:name w:val="Schedule L9"/>
    <w:basedOn w:val="Normal"/>
    <w:pPr>
      <w:numPr>
        <w:numId w:val="13"/>
      </w:numPr>
      <w:outlineLvl w:val="8"/>
    </w:pPr>
    <w:rPr>
      <w:rFonts w:ascii="Times New Roman" w:eastAsia="STZhongsong" w:hAnsi="Times New Roman"/>
      <w:szCs w:val="20"/>
      <w:lang w:eastAsia="zh-CN"/>
    </w:rPr>
  </w:style>
  <w:style w:type="paragraph" w:customStyle="1" w:styleId="bodystrong">
    <w:name w:val="body strong"/>
    <w:basedOn w:val="Body"/>
    <w:pPr>
      <w:spacing w:after="0"/>
      <w:jc w:val="left"/>
    </w:pPr>
    <w:rPr>
      <w:rFonts w:eastAsia="SimSun" w:cs="Times New Roman"/>
      <w:b/>
      <w:sz w:val="20"/>
      <w:szCs w:val="24"/>
    </w:rPr>
  </w:style>
  <w:style w:type="character" w:customStyle="1" w:styleId="bodystrongChar">
    <w:name w:val="body strong Char"/>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left"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left"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pPr>
      <w:keepLines w:val="0"/>
      <w:tabs>
        <w:tab w:val="left"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rPr>
      <w:rFonts w:ascii="Times New Roman" w:eastAsia="Times New Roman" w:hAnsi="Times New Roman" w:cs="Arial"/>
      <w:sz w:val="22"/>
      <w:lang w:eastAsia="en-US"/>
    </w:rPr>
  </w:style>
  <w:style w:type="character" w:customStyle="1" w:styleId="MediumGrid11">
    <w:name w:val="Medium Grid 11"/>
    <w:rPr>
      <w:color w:val="808080"/>
    </w:rPr>
  </w:style>
  <w:style w:type="paragraph" w:customStyle="1" w:styleId="FFWLevel1">
    <w:name w:val="FFW Level 1"/>
    <w:basedOn w:val="Normal"/>
    <w:next w:val="FFWLevel2"/>
    <w:pPr>
      <w:keepNext/>
      <w:spacing w:before="240" w:after="0" w:line="260" w:lineRule="atLeast"/>
    </w:pPr>
    <w:rPr>
      <w:rFonts w:ascii="Arial" w:hAnsi="Arial"/>
      <w:b/>
      <w:sz w:val="20"/>
      <w:szCs w:val="24"/>
      <w:lang w:eastAsia="fr-FR"/>
    </w:rPr>
  </w:style>
  <w:style w:type="paragraph" w:customStyle="1" w:styleId="FFWLevel2">
    <w:name w:val="FFW Level 2"/>
    <w:basedOn w:val="Normal"/>
    <w:pPr>
      <w:spacing w:before="240" w:after="0" w:line="260" w:lineRule="atLeast"/>
    </w:pPr>
    <w:rPr>
      <w:rFonts w:ascii="Arial" w:hAnsi="Arial"/>
      <w:sz w:val="20"/>
      <w:szCs w:val="24"/>
      <w:lang w:eastAsia="fr-FR"/>
    </w:rPr>
  </w:style>
  <w:style w:type="character" w:customStyle="1" w:styleId="FFWLevel2Char">
    <w:name w:val="FFW Level 2 Char"/>
    <w:rPr>
      <w:rFonts w:ascii="Arial" w:eastAsia="Times New Roman" w:hAnsi="Arial" w:cs="Arial"/>
      <w:szCs w:val="24"/>
      <w:lang w:eastAsia="fr-FR"/>
    </w:rPr>
  </w:style>
  <w:style w:type="paragraph" w:customStyle="1" w:styleId="FFWLevel3">
    <w:name w:val="FFW Level 3"/>
    <w:basedOn w:val="Normal"/>
    <w:pPr>
      <w:spacing w:before="240" w:after="0" w:line="260" w:lineRule="atLeast"/>
    </w:pPr>
    <w:rPr>
      <w:rFonts w:ascii="Arial" w:hAnsi="Arial"/>
      <w:sz w:val="20"/>
      <w:szCs w:val="24"/>
      <w:lang w:eastAsia="fr-FR"/>
    </w:rPr>
  </w:style>
  <w:style w:type="paragraph" w:customStyle="1" w:styleId="FFWLevel4">
    <w:name w:val="FFW Level 4"/>
    <w:basedOn w:val="Normal"/>
    <w:pPr>
      <w:tabs>
        <w:tab w:val="left"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rPr>
      <w:rFonts w:ascii="Arial" w:eastAsia="Times New Roman" w:hAnsi="Arial" w:cs="Arial"/>
      <w:szCs w:val="24"/>
      <w:lang w:eastAsia="fr-FR"/>
    </w:rPr>
  </w:style>
  <w:style w:type="paragraph" w:customStyle="1" w:styleId="FFWLevel5">
    <w:name w:val="FFW Level 5"/>
    <w:basedOn w:val="Normal"/>
    <w:pPr>
      <w:tabs>
        <w:tab w:val="left"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pPr>
      <w:numPr>
        <w:numId w:val="8"/>
      </w:numPr>
      <w:spacing w:before="240" w:after="0" w:line="260" w:lineRule="atLeast"/>
    </w:pPr>
    <w:rPr>
      <w:rFonts w:ascii="Arial" w:hAnsi="Arial"/>
      <w:sz w:val="20"/>
      <w:szCs w:val="24"/>
      <w:lang w:eastAsia="fr-FR"/>
    </w:rPr>
  </w:style>
  <w:style w:type="paragraph" w:customStyle="1" w:styleId="FFWBody1">
    <w:name w:val="FFW Body 1"/>
    <w:basedOn w:val="Normal"/>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p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pPr>
      <w:numPr>
        <w:numId w:val="9"/>
      </w:numPr>
      <w:spacing w:before="240" w:after="0" w:line="260" w:lineRule="atLeast"/>
    </w:pPr>
    <w:rPr>
      <w:rFonts w:ascii="Arial" w:hAnsi="Arial"/>
      <w:sz w:val="20"/>
      <w:szCs w:val="24"/>
      <w:lang w:eastAsia="fr-FR"/>
    </w:rPr>
  </w:style>
  <w:style w:type="paragraph" w:customStyle="1" w:styleId="FFWBody3">
    <w:name w:val="FFW Body 3"/>
    <w:basedOn w:val="Normal"/>
    <w:pPr>
      <w:spacing w:before="240" w:after="0" w:line="260" w:lineRule="atLeast"/>
      <w:ind w:left="794"/>
    </w:pPr>
    <w:rPr>
      <w:rFonts w:ascii="Arial" w:hAnsi="Arial"/>
      <w:sz w:val="20"/>
      <w:szCs w:val="20"/>
    </w:rPr>
  </w:style>
  <w:style w:type="paragraph" w:customStyle="1" w:styleId="FFWDefinitionLevel1">
    <w:name w:val="FFW Definition Level 1"/>
    <w:basedOn w:val="Normal"/>
    <w:pPr>
      <w:numPr>
        <w:numId w:val="10"/>
      </w:numPr>
      <w:spacing w:before="240" w:after="0" w:line="260" w:lineRule="atLeast"/>
    </w:pPr>
    <w:rPr>
      <w:rFonts w:ascii="Arial" w:hAnsi="Arial"/>
      <w:sz w:val="20"/>
      <w:szCs w:val="24"/>
      <w:lang w:eastAsia="en-GB"/>
    </w:rPr>
  </w:style>
  <w:style w:type="paragraph" w:customStyle="1" w:styleId="MediumGrid21">
    <w:name w:val="Medium Grid 21"/>
    <w:pPr>
      <w:suppressAutoHyphens/>
    </w:pPr>
    <w:rPr>
      <w:rFonts w:ascii="Arial" w:eastAsia="Times New Roman" w:hAnsi="Arial" w:cs="Arial"/>
      <w:sz w:val="24"/>
      <w:szCs w:val="24"/>
    </w:rPr>
  </w:style>
  <w:style w:type="paragraph" w:customStyle="1" w:styleId="GPSSchTitleandNumber">
    <w:name w:val="GPS Sch Title and Number"/>
    <w:basedOn w:val="Normal"/>
    <w:pPr>
      <w:keepNext/>
      <w:overflowPunct/>
      <w:autoSpaceDE/>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rPr>
      <w:rFonts w:ascii="Arial Bold" w:eastAsia="STZhongsong" w:hAnsi="Arial Bold"/>
      <w:b/>
      <w:caps/>
      <w:sz w:val="22"/>
      <w:szCs w:val="22"/>
      <w:lang w:eastAsia="zh-CN"/>
    </w:rPr>
  </w:style>
  <w:style w:type="paragraph" w:customStyle="1" w:styleId="FFWDefinitionLevel2">
    <w:name w:val="FFW Definition Level 2"/>
    <w:basedOn w:val="Normal"/>
    <w:pPr>
      <w:tabs>
        <w:tab w:val="left" w:pos="1587"/>
      </w:tabs>
      <w:spacing w:before="240" w:after="0" w:line="260" w:lineRule="atLeast"/>
      <w:ind w:left="1587" w:hanging="794"/>
    </w:pPr>
    <w:rPr>
      <w:rFonts w:ascii="Arial" w:hAnsi="Arial"/>
      <w:sz w:val="20"/>
      <w:szCs w:val="24"/>
      <w:lang w:eastAsia="fr-FR"/>
    </w:rPr>
  </w:style>
  <w:style w:type="paragraph" w:customStyle="1" w:styleId="GPSDefinitionTerm">
    <w:name w:val="GPS Definition Term"/>
    <w:basedOn w:val="Normal"/>
    <w:pPr>
      <w:spacing w:after="120"/>
      <w:ind w:left="-108"/>
      <w:jc w:val="left"/>
    </w:pPr>
    <w:rPr>
      <w:b/>
    </w:rPr>
  </w:style>
  <w:style w:type="paragraph" w:styleId="BodyText2">
    <w:name w:val="Body Text 2"/>
    <w:basedOn w:val="Normal"/>
    <w:pPr>
      <w:spacing w:after="120" w:line="480" w:lineRule="auto"/>
    </w:pPr>
  </w:style>
  <w:style w:type="character" w:customStyle="1" w:styleId="BodyText2Char">
    <w:name w:val="Body Text 2 Char"/>
    <w:rPr>
      <w:sz w:val="22"/>
      <w:szCs w:val="22"/>
      <w:lang w:eastAsia="en-US"/>
    </w:rPr>
  </w:style>
  <w:style w:type="paragraph" w:customStyle="1" w:styleId="GPSL1CLAUSEHEADING">
    <w:name w:val="GPS L1 CLAUSE HEADING"/>
    <w:basedOn w:val="Normal"/>
    <w:next w:val="Normal"/>
    <w:pPr>
      <w:tabs>
        <w:tab w:val="left" w:pos="-578"/>
      </w:tabs>
      <w:overflowPunct/>
      <w:autoSpaceDE/>
      <w:spacing w:before="120"/>
      <w:textAlignment w:val="auto"/>
      <w:outlineLvl w:val="1"/>
    </w:pPr>
    <w:rPr>
      <w:rFonts w:eastAsia="STZhongsong"/>
      <w:b/>
      <w:caps/>
      <w:lang w:eastAsia="zh-CN"/>
    </w:rPr>
  </w:style>
  <w:style w:type="paragraph" w:customStyle="1" w:styleId="GPSL2numberedclause">
    <w:name w:val="GPS L2 numbered clause"/>
    <w:basedOn w:val="Normal"/>
    <w:pPr>
      <w:tabs>
        <w:tab w:val="left" w:pos="1134"/>
      </w:tabs>
      <w:overflowPunct/>
      <w:autoSpaceDE/>
      <w:spacing w:before="120" w:after="120"/>
      <w:ind w:left="1134" w:hanging="567"/>
      <w:textAlignment w:val="auto"/>
    </w:pPr>
    <w:rPr>
      <w:lang w:eastAsia="zh-CN"/>
    </w:rPr>
  </w:style>
  <w:style w:type="paragraph" w:customStyle="1" w:styleId="GPSL3numberedclause">
    <w:name w:val="GPS L3 numbered clause"/>
    <w:basedOn w:val="Normal"/>
    <w:pPr>
      <w:tabs>
        <w:tab w:val="left" w:pos="-175"/>
      </w:tabs>
      <w:overflowPunct/>
      <w:autoSpaceDE/>
      <w:spacing w:before="120" w:after="120"/>
      <w:textAlignment w:val="auto"/>
    </w:pPr>
    <w:rPr>
      <w:lang w:eastAsia="zh-CN"/>
    </w:rPr>
  </w:style>
  <w:style w:type="paragraph" w:customStyle="1" w:styleId="GPSL4numberedclause">
    <w:name w:val="GPS L4 numbered clause"/>
    <w:basedOn w:val="GPSL3numberedclause"/>
    <w:pPr>
      <w:tabs>
        <w:tab w:val="clear" w:pos="-175"/>
      </w:tabs>
    </w:pPr>
  </w:style>
  <w:style w:type="character" w:customStyle="1" w:styleId="GPSL2numberedclauseChar1">
    <w:name w:val="GPS L2 numbered clause Char1"/>
    <w:rPr>
      <w:rFonts w:eastAsia="Times New Roman" w:cs="Arial"/>
      <w:sz w:val="22"/>
      <w:szCs w:val="22"/>
      <w:lang w:eastAsia="zh-CN"/>
    </w:rPr>
  </w:style>
  <w:style w:type="paragraph" w:customStyle="1" w:styleId="GPSL5numberedclause">
    <w:name w:val="GPS L5 numbered clause"/>
    <w:basedOn w:val="GPSL4numberedclause"/>
    <w:pPr>
      <w:tabs>
        <w:tab w:val="left" w:pos="-481"/>
      </w:tabs>
    </w:pPr>
  </w:style>
  <w:style w:type="paragraph" w:customStyle="1" w:styleId="GPSL6numbered">
    <w:name w:val="GPS L6 numbered"/>
    <w:basedOn w:val="GPSL5numberedclause"/>
    <w:pPr>
      <w:tabs>
        <w:tab w:val="clear" w:pos="-481"/>
        <w:tab w:val="left" w:pos="-1201"/>
        <w:tab w:val="left" w:pos="-634"/>
      </w:tabs>
    </w:pPr>
  </w:style>
  <w:style w:type="character" w:customStyle="1" w:styleId="GPSL3numberedclauseChar">
    <w:name w:val="GPS L3 numbered clause Char"/>
    <w:rPr>
      <w:rFonts w:eastAsia="Times New Roman" w:cs="Arial"/>
      <w:sz w:val="22"/>
      <w:szCs w:val="22"/>
      <w:lang w:eastAsia="zh-CN"/>
    </w:rPr>
  </w:style>
  <w:style w:type="paragraph" w:customStyle="1" w:styleId="ColorfulShading-Accent11">
    <w:name w:val="Colorful Shading - Accent 11"/>
    <w:pPr>
      <w:suppressAutoHyphens/>
    </w:pPr>
    <w:rPr>
      <w:lang w:eastAsia="en-US"/>
    </w:rPr>
  </w:style>
  <w:style w:type="paragraph" w:customStyle="1" w:styleId="GPSL2Numbered">
    <w:name w:val="GPS L2 Numbered"/>
    <w:basedOn w:val="GPSL2NumberedBoldHeading"/>
    <w:pPr>
      <w:tabs>
        <w:tab w:val="clear" w:pos="-306"/>
      </w:tabs>
    </w:pPr>
    <w:rPr>
      <w:b w:val="0"/>
    </w:rPr>
  </w:style>
  <w:style w:type="character" w:customStyle="1" w:styleId="GPSL2NumberedChar">
    <w:name w:val="GPS L2 Numbered Char"/>
    <w:rPr>
      <w:rFonts w:eastAsia="Times New Roman" w:cs="Arial"/>
      <w:sz w:val="22"/>
      <w:szCs w:val="22"/>
      <w:lang w:eastAsia="zh-CN"/>
    </w:rPr>
  </w:style>
  <w:style w:type="paragraph" w:customStyle="1" w:styleId="GPSL1SCHEDULEHeading">
    <w:name w:val="GPS L1 SCHEDULE Heading"/>
    <w:basedOn w:val="GPSL1CLAUSEHEADING"/>
  </w:style>
  <w:style w:type="character" w:customStyle="1" w:styleId="GPSL1SCHEDULEHeadingChar">
    <w:name w:val="GPS L1 SCHEDULE Heading Char"/>
    <w:rPr>
      <w:rFonts w:eastAsia="STZhongsong" w:cs="Arial"/>
      <w:b/>
      <w:caps/>
      <w:sz w:val="22"/>
      <w:szCs w:val="22"/>
      <w:lang w:eastAsia="zh-CN"/>
    </w:rPr>
  </w:style>
  <w:style w:type="paragraph" w:customStyle="1" w:styleId="GPSL2NumberedBoldHeading">
    <w:name w:val="GPS L2 Numbered Bold Heading"/>
    <w:basedOn w:val="Normal"/>
    <w:pPr>
      <w:numPr>
        <w:numId w:val="12"/>
      </w:numPr>
      <w:tabs>
        <w:tab w:val="left" w:pos="-306"/>
      </w:tabs>
      <w:overflowPunct/>
      <w:autoSpaceDE/>
      <w:spacing w:before="120" w:after="120"/>
      <w:textAlignment w:val="auto"/>
    </w:pPr>
    <w:rPr>
      <w:b/>
      <w:lang w:eastAsia="zh-CN"/>
    </w:rPr>
  </w:style>
  <w:style w:type="paragraph" w:customStyle="1" w:styleId="GPsDefinition">
    <w:name w:val="GPs Definition"/>
    <w:basedOn w:val="Normal"/>
    <w:pPr>
      <w:tabs>
        <w:tab w:val="left" w:pos="-1412"/>
      </w:tabs>
      <w:spacing w:after="120"/>
    </w:pPr>
  </w:style>
  <w:style w:type="paragraph" w:customStyle="1" w:styleId="GPSDefinitionL2">
    <w:name w:val="GPS Definition L2"/>
    <w:basedOn w:val="GPsDefinition"/>
  </w:style>
  <w:style w:type="paragraph" w:customStyle="1" w:styleId="GPSDefinitionL3">
    <w:name w:val="GPS Definition L3"/>
    <w:basedOn w:val="GPSDefinitionL2"/>
  </w:style>
  <w:style w:type="paragraph" w:customStyle="1" w:styleId="GPSDefinitionL4">
    <w:name w:val="GPS Definition L4"/>
    <w:basedOn w:val="GPSDefinitionL3"/>
    <w:pPr>
      <w:numPr>
        <w:numId w:val="11"/>
      </w:numPr>
    </w:pPr>
  </w:style>
  <w:style w:type="character" w:customStyle="1" w:styleId="GPSL1CLAUSEHEADINGChar">
    <w:name w:val="GPS L1 CLAUSE HEADING Char"/>
    <w:rPr>
      <w:rFonts w:eastAsia="STZhongsong" w:cs="Arial"/>
      <w:b/>
      <w:caps/>
      <w:sz w:val="22"/>
      <w:szCs w:val="22"/>
      <w:lang w:eastAsia="zh-CN"/>
    </w:rPr>
  </w:style>
  <w:style w:type="character" w:customStyle="1" w:styleId="GPSL2NumberedBoldHeadingChar">
    <w:name w:val="GPS L2 Numbered Bold Heading Char"/>
    <w:rPr>
      <w:rFonts w:eastAsia="Times New Roman" w:cs="Arial"/>
      <w:b/>
      <w:sz w:val="22"/>
      <w:szCs w:val="22"/>
      <w:lang w:eastAsia="zh-CN"/>
    </w:rPr>
  </w:style>
  <w:style w:type="character" w:customStyle="1" w:styleId="GPSL4numberedclauseChar">
    <w:name w:val="GPS L4 numbered clause Char"/>
    <w:rPr>
      <w:rFonts w:eastAsia="Times New Roman" w:cs="Arial"/>
      <w:sz w:val="22"/>
      <w:szCs w:val="22"/>
      <w:lang w:eastAsia="zh-CN"/>
    </w:rPr>
  </w:style>
  <w:style w:type="character" w:customStyle="1" w:styleId="GPSL5numberedclauseChar">
    <w:name w:val="GPS L5 numbered clause Char"/>
    <w:rPr>
      <w:rFonts w:eastAsia="Times New Roman" w:cs="Arial"/>
      <w:sz w:val="22"/>
      <w:szCs w:val="22"/>
      <w:lang w:eastAsia="zh-CN"/>
    </w:rPr>
  </w:style>
  <w:style w:type="paragraph" w:customStyle="1" w:styleId="GPSmacrorestart">
    <w:name w:val="GPS macro restart"/>
    <w:basedOn w:val="Normal"/>
    <w:pPr>
      <w:spacing w:after="0"/>
    </w:pPr>
    <w:rPr>
      <w:color w:val="FFFFFF"/>
      <w:sz w:val="16"/>
      <w:szCs w:val="16"/>
    </w:rPr>
  </w:style>
  <w:style w:type="paragraph" w:customStyle="1" w:styleId="Normal1">
    <w:name w:val="Normal1"/>
    <w:pPr>
      <w:widowControl w:val="0"/>
      <w:suppressAutoHyphens/>
      <w:spacing w:after="80"/>
    </w:pPr>
    <w:rPr>
      <w:color w:val="000000"/>
      <w:lang w:eastAsia="en-US"/>
    </w:rPr>
  </w:style>
  <w:style w:type="paragraph" w:styleId="ListParagraph">
    <w:name w:val="List Paragraph"/>
    <w:basedOn w:val="Normal"/>
    <w:pPr>
      <w:overflowPunct/>
      <w:autoSpaceDE/>
      <w:ind w:left="720"/>
      <w:textAlignment w:val="auto"/>
    </w:pPr>
    <w:rPr>
      <w:rFonts w:eastAsia="Calibri" w:cs="Times New Roman"/>
    </w:rPr>
  </w:style>
  <w:style w:type="paragraph" w:customStyle="1" w:styleId="aDefinition">
    <w:name w:val="(a) Definition"/>
    <w:basedOn w:val="Body"/>
    <w:pPr>
      <w:tabs>
        <w:tab w:val="left" w:pos="851"/>
      </w:tabs>
      <w:overflowPunct/>
      <w:autoSpaceDE/>
      <w:ind w:left="851" w:hanging="851"/>
      <w:textAlignment w:val="auto"/>
    </w:pPr>
    <w:rPr>
      <w:rFonts w:ascii="Verdana" w:hAnsi="Verdana" w:cs="Times New Roman"/>
      <w:sz w:val="18"/>
      <w:szCs w:val="18"/>
      <w:lang w:eastAsia="zh-CN"/>
    </w:rPr>
  </w:style>
  <w:style w:type="paragraph" w:customStyle="1" w:styleId="iDefinition">
    <w:name w:val="(i) Definition"/>
    <w:basedOn w:val="Body"/>
    <w:pPr>
      <w:tabs>
        <w:tab w:val="left" w:pos="1843"/>
      </w:tabs>
      <w:overflowPunct/>
      <w:autoSpaceDE/>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numbering" w:customStyle="1" w:styleId="LFO2">
    <w:name w:val="LFO2"/>
    <w:basedOn w:val="NoList"/>
    <w:pPr>
      <w:numPr>
        <w:numId w:val="2"/>
      </w:numPr>
    </w:pPr>
  </w:style>
  <w:style w:type="numbering" w:customStyle="1" w:styleId="LFO3">
    <w:name w:val="LFO3"/>
    <w:basedOn w:val="NoList"/>
    <w:pPr>
      <w:numPr>
        <w:numId w:val="3"/>
      </w:numPr>
    </w:pPr>
  </w:style>
  <w:style w:type="numbering" w:customStyle="1" w:styleId="LFO4">
    <w:name w:val="LFO4"/>
    <w:basedOn w:val="NoList"/>
    <w:pPr>
      <w:numPr>
        <w:numId w:val="4"/>
      </w:numPr>
    </w:pPr>
  </w:style>
  <w:style w:type="numbering" w:customStyle="1" w:styleId="LFO5">
    <w:name w:val="LFO5"/>
    <w:basedOn w:val="NoList"/>
    <w:pPr>
      <w:numPr>
        <w:numId w:val="5"/>
      </w:numPr>
    </w:pPr>
  </w:style>
  <w:style w:type="numbering" w:customStyle="1" w:styleId="LFO6">
    <w:name w:val="LFO6"/>
    <w:basedOn w:val="NoList"/>
    <w:pPr>
      <w:numPr>
        <w:numId w:val="6"/>
      </w:numPr>
    </w:pPr>
  </w:style>
  <w:style w:type="numbering" w:customStyle="1" w:styleId="LFO7">
    <w:name w:val="LFO7"/>
    <w:basedOn w:val="NoList"/>
    <w:pPr>
      <w:numPr>
        <w:numId w:val="7"/>
      </w:numPr>
    </w:pPr>
  </w:style>
  <w:style w:type="numbering" w:customStyle="1" w:styleId="LFO8">
    <w:name w:val="LFO8"/>
    <w:basedOn w:val="NoList"/>
    <w:pPr>
      <w:numPr>
        <w:numId w:val="8"/>
      </w:numPr>
    </w:pPr>
  </w:style>
  <w:style w:type="numbering" w:customStyle="1" w:styleId="LFO9">
    <w:name w:val="LFO9"/>
    <w:basedOn w:val="NoList"/>
    <w:pPr>
      <w:numPr>
        <w:numId w:val="9"/>
      </w:numPr>
    </w:pPr>
  </w:style>
  <w:style w:type="numbering" w:customStyle="1" w:styleId="LFO10">
    <w:name w:val="LFO10"/>
    <w:basedOn w:val="NoList"/>
    <w:pPr>
      <w:numPr>
        <w:numId w:val="10"/>
      </w:numPr>
    </w:pPr>
  </w:style>
  <w:style w:type="numbering" w:customStyle="1" w:styleId="LFO14">
    <w:name w:val="LFO14"/>
    <w:basedOn w:val="NoList"/>
    <w:pPr>
      <w:numPr>
        <w:numId w:val="11"/>
      </w:numPr>
    </w:pPr>
  </w:style>
  <w:style w:type="numbering" w:customStyle="1" w:styleId="LFO15">
    <w:name w:val="LFO15"/>
    <w:basedOn w:val="NoList"/>
    <w:pPr>
      <w:numPr>
        <w:numId w:val="12"/>
      </w:numPr>
    </w:pPr>
  </w:style>
  <w:style w:type="numbering" w:customStyle="1" w:styleId="LFO16">
    <w:name w:val="LFO16"/>
    <w:basedOn w:val="NoList"/>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3</TotalTime>
  <Pages>20</Pages>
  <Words>5521</Words>
  <Characters>31474</Characters>
  <Application>Microsoft Office Word</Application>
  <DocSecurity>0</DocSecurity>
  <Lines>262</Lines>
  <Paragraphs>73</Paragraphs>
  <ScaleCrop>false</ScaleCrop>
  <Company/>
  <LinksUpToDate>false</LinksUpToDate>
  <CharactersWithSpaces>36922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Tasneem Eddoo</dc:creator>
  <cp:lastModifiedBy>Jodene Pritchard - UKSBS</cp:lastModifiedBy>
  <cp:revision>3</cp:revision>
  <dcterms:created xsi:type="dcterms:W3CDTF">2025-05-30T11:09:00Z</dcterms:created>
  <dcterms:modified xsi:type="dcterms:W3CDTF">2025-05-30T11:12:00Z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EDITION">
    <vt:lpwstr>FM</vt:lpwstr>
  </property>
  <property fmtid="{D5CDD505-2E9C-101B-9397-08002B2CF9AE}" pid="5" name="ClassificationContentMarkingHeaderShapeIds">
    <vt:lpwstr>3d069ebb,917cb22,466cbca2</vt:lpwstr>
  </property>
  <property fmtid="{D5CDD505-2E9C-101B-9397-08002B2CF9AE}" pid="6" name="ClassificationContentMarkingHeaderFontProps">
    <vt:lpwstr>#000000,10,Calibri</vt:lpwstr>
  </property>
  <property fmtid="{D5CDD505-2E9C-101B-9397-08002B2CF9AE}" pid="7" name="ClassificationContentMarkingHeaderText">
    <vt:lpwstr>OFFICIAL</vt:lpwstr>
  </property>
  <property fmtid="{D5CDD505-2E9C-101B-9397-08002B2CF9AE}" pid="8" name="ClassificationContentMarkingFooterShapeIds">
    <vt:lpwstr>3df08c82,2520fe1d,3337ad94</vt:lpwstr>
  </property>
  <property fmtid="{D5CDD505-2E9C-101B-9397-08002B2CF9AE}" pid="9" name="ClassificationContentMarkingFooterFontProps">
    <vt:lpwstr>#000000,10,Calibri</vt:lpwstr>
  </property>
  <property fmtid="{D5CDD505-2E9C-101B-9397-08002B2CF9AE}" pid="10" name="ClassificationContentMarkingFooterText">
    <vt:lpwstr>OFFICIAL</vt:lpwstr>
  </property>
</Properties>
</file>