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D9FC9" w14:textId="77777777" w:rsidR="00263188" w:rsidRDefault="00263188" w:rsidP="00263188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0A1E448" wp14:editId="2DBF4FFC">
            <wp:extent cx="2825087" cy="31518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C logo colour June 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023" cy="3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816A" w14:textId="2D5F93E8" w:rsidR="00263188" w:rsidRDefault="00263188" w:rsidP="00263188">
      <w:pPr>
        <w:rPr>
          <w:b/>
          <w:bCs/>
          <w:sz w:val="28"/>
          <w:szCs w:val="28"/>
        </w:rPr>
      </w:pPr>
      <w:r w:rsidRPr="00727249">
        <w:rPr>
          <w:b/>
          <w:bCs/>
          <w:sz w:val="28"/>
          <w:szCs w:val="28"/>
        </w:rPr>
        <w:t xml:space="preserve">Go Digital </w:t>
      </w:r>
      <w:r>
        <w:rPr>
          <w:b/>
          <w:bCs/>
          <w:sz w:val="28"/>
          <w:szCs w:val="28"/>
        </w:rPr>
        <w:t xml:space="preserve">Programme </w:t>
      </w:r>
    </w:p>
    <w:p w14:paraId="20E98788" w14:textId="77777777" w:rsidR="00C90FA6" w:rsidRPr="00C90FA6" w:rsidRDefault="00C90FA6" w:rsidP="00C90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Digital Action Plan </w:t>
      </w:r>
    </w:p>
    <w:p w14:paraId="0CFBD067" w14:textId="3BFA933D" w:rsidR="008F6218" w:rsidRDefault="008F6218" w:rsidP="00C90FA6">
      <w:pPr>
        <w:spacing w:line="252" w:lineRule="auto"/>
        <w:rPr>
          <w:rFonts w:cstheme="minorHAnsi"/>
        </w:rPr>
      </w:pPr>
      <w:r>
        <w:rPr>
          <w:rFonts w:cstheme="minorHAnsi"/>
        </w:rPr>
        <w:t xml:space="preserve">Guidance </w:t>
      </w:r>
      <w:r w:rsidRPr="008F6218">
        <w:rPr>
          <w:rFonts w:cstheme="minorHAnsi"/>
          <w:b/>
          <w:bCs/>
          <w:i/>
          <w:iCs/>
        </w:rPr>
        <w:t>(pls delete when presenting to the client)</w:t>
      </w:r>
      <w:r>
        <w:rPr>
          <w:rFonts w:cstheme="minorHAnsi"/>
        </w:rPr>
        <w:t xml:space="preserve"> </w:t>
      </w:r>
    </w:p>
    <w:p w14:paraId="18A1840F" w14:textId="7736D0F9" w:rsidR="00C90FA6" w:rsidRPr="004C1AC9" w:rsidRDefault="00C90FA6" w:rsidP="00C90FA6">
      <w:pPr>
        <w:spacing w:line="252" w:lineRule="auto"/>
        <w:rPr>
          <w:rFonts w:cstheme="minorHAnsi"/>
        </w:rPr>
      </w:pPr>
      <w:r w:rsidRPr="004C1AC9">
        <w:rPr>
          <w:rFonts w:cstheme="minorHAnsi"/>
        </w:rPr>
        <w:t>The Digital Action Plan should be developed based on the findings from the Digital Audit providing a clear link between the two.   Guidance for writing the report is not overly specific as we recognise that each Plan needs to be bespoke to the client. However</w:t>
      </w:r>
      <w:r>
        <w:rPr>
          <w:rFonts w:cstheme="minorHAnsi"/>
        </w:rPr>
        <w:t>,</w:t>
      </w:r>
      <w:r w:rsidRPr="004C1AC9">
        <w:rPr>
          <w:rFonts w:cstheme="minorHAnsi"/>
        </w:rPr>
        <w:t xml:space="preserve"> it should at the very least: </w:t>
      </w:r>
    </w:p>
    <w:p w14:paraId="670A4372" w14:textId="4159723B" w:rsidR="00C90FA6" w:rsidRPr="00C90FA6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</w:rPr>
      </w:pPr>
      <w:r w:rsidRPr="004C1AC9">
        <w:rPr>
          <w:rFonts w:cstheme="minorHAnsi"/>
        </w:rPr>
        <w:t xml:space="preserve">Identify </w:t>
      </w:r>
      <w:r>
        <w:rPr>
          <w:rFonts w:cstheme="minorHAnsi"/>
        </w:rPr>
        <w:t xml:space="preserve">a range of </w:t>
      </w:r>
      <w:r w:rsidRPr="004C1AC9">
        <w:rPr>
          <w:rFonts w:cstheme="minorHAnsi"/>
        </w:rPr>
        <w:t xml:space="preserve">digital tools and/or training that will benefit the business and why </w:t>
      </w:r>
    </w:p>
    <w:p w14:paraId="37EEADDC" w14:textId="77777777" w:rsidR="00C90FA6" w:rsidRPr="004C1AC9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</w:rPr>
      </w:pPr>
      <w:r w:rsidRPr="004C1AC9">
        <w:rPr>
          <w:rFonts w:cstheme="minorHAnsi"/>
        </w:rPr>
        <w:t xml:space="preserve">Identify the steps the business needs to take to adopt and embed the proposed digital tools/training </w:t>
      </w:r>
    </w:p>
    <w:p w14:paraId="5A90927C" w14:textId="77777777" w:rsidR="00C90FA6" w:rsidRPr="004C1AC9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</w:rPr>
      </w:pPr>
      <w:r>
        <w:rPr>
          <w:rFonts w:cstheme="minorHAnsi"/>
        </w:rPr>
        <w:t>Actions should b</w:t>
      </w:r>
      <w:r w:rsidRPr="004C1AC9">
        <w:rPr>
          <w:rFonts w:cstheme="minorHAnsi"/>
        </w:rPr>
        <w:t xml:space="preserve">e SMART - specific, measurable, achievable, realistic and timely </w:t>
      </w:r>
    </w:p>
    <w:p w14:paraId="77507669" w14:textId="1F800C11" w:rsidR="00C90FA6" w:rsidRPr="00C90FA6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  <w:bCs/>
          <w:color w:val="000000" w:themeColor="text1"/>
        </w:rPr>
      </w:pPr>
      <w:r w:rsidRPr="004C1AC9">
        <w:rPr>
          <w:rFonts w:cstheme="minorHAnsi"/>
        </w:rPr>
        <w:t xml:space="preserve">Give guidance on the type of supplier that could help with taking </w:t>
      </w:r>
      <w:r>
        <w:rPr>
          <w:rFonts w:cstheme="minorHAnsi"/>
        </w:rPr>
        <w:t>these actions</w:t>
      </w:r>
      <w:r w:rsidRPr="004C1AC9">
        <w:rPr>
          <w:rFonts w:cstheme="minorHAnsi"/>
        </w:rPr>
        <w:t xml:space="preserve"> forward and potential costs </w:t>
      </w:r>
    </w:p>
    <w:p w14:paraId="0E5B985C" w14:textId="5B5CEDA6" w:rsidR="00C90FA6" w:rsidRPr="004C1AC9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  <w:bCs/>
          <w:color w:val="000000" w:themeColor="text1"/>
        </w:rPr>
      </w:pPr>
      <w:bookmarkStart w:id="0" w:name="_Hlk53991290"/>
      <w:r>
        <w:rPr>
          <w:rFonts w:cstheme="minorHAnsi"/>
        </w:rPr>
        <w:t>Put forward action/s for prioritisation</w:t>
      </w:r>
      <w:r>
        <w:rPr>
          <w:rFonts w:cstheme="minorHAnsi"/>
        </w:rPr>
        <w:t xml:space="preserve"> noting that these are </w:t>
      </w:r>
      <w:proofErr w:type="gramStart"/>
      <w:r>
        <w:rPr>
          <w:rFonts w:cstheme="minorHAnsi"/>
        </w:rPr>
        <w:t>suggested</w:t>
      </w:r>
      <w:proofErr w:type="gramEnd"/>
      <w:r>
        <w:rPr>
          <w:rFonts w:cstheme="minorHAnsi"/>
        </w:rPr>
        <w:t xml:space="preserve"> and it will ultimately be the client’s decision </w:t>
      </w:r>
    </w:p>
    <w:bookmarkEnd w:id="0"/>
    <w:p w14:paraId="64DB9267" w14:textId="77777777" w:rsidR="00C90FA6" w:rsidRPr="004C1AC9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  <w:bCs/>
          <w:color w:val="000000" w:themeColor="text1"/>
        </w:rPr>
      </w:pPr>
      <w:r w:rsidRPr="004C1AC9">
        <w:rPr>
          <w:rFonts w:cstheme="minorHAnsi"/>
        </w:rPr>
        <w:t>Refer the business to the suppliers’ database to find relevant suppliers</w:t>
      </w:r>
    </w:p>
    <w:p w14:paraId="568C67C9" w14:textId="77777777" w:rsidR="00C90FA6" w:rsidRPr="004C1AC9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  <w:bCs/>
          <w:color w:val="000000" w:themeColor="text1"/>
        </w:rPr>
      </w:pPr>
      <w:r w:rsidRPr="004C1AC9">
        <w:rPr>
          <w:rFonts w:cstheme="minorHAnsi"/>
        </w:rPr>
        <w:t>Where appropriate, refer the business to the Go Digital Business Voucher Sc</w:t>
      </w:r>
      <w:r>
        <w:rPr>
          <w:rFonts w:cstheme="minorHAnsi"/>
        </w:rPr>
        <w:t>h</w:t>
      </w:r>
      <w:r w:rsidRPr="004C1AC9">
        <w:rPr>
          <w:rFonts w:cstheme="minorHAnsi"/>
        </w:rPr>
        <w:t>eme</w:t>
      </w:r>
    </w:p>
    <w:p w14:paraId="63767936" w14:textId="16EF5408" w:rsidR="00C90FA6" w:rsidRPr="008F6218" w:rsidRDefault="00C90FA6" w:rsidP="00C90FA6">
      <w:pPr>
        <w:numPr>
          <w:ilvl w:val="0"/>
          <w:numId w:val="1"/>
        </w:numPr>
        <w:spacing w:after="0" w:line="252" w:lineRule="auto"/>
        <w:ind w:left="714" w:hanging="357"/>
        <w:rPr>
          <w:rFonts w:cstheme="minorHAnsi"/>
          <w:bCs/>
          <w:color w:val="000000" w:themeColor="text1"/>
        </w:rPr>
      </w:pPr>
      <w:r>
        <w:rPr>
          <w:rFonts w:cstheme="minorHAnsi"/>
        </w:rPr>
        <w:t xml:space="preserve">Be sent to the client at least 2 working days in advance of the follow up meeting </w:t>
      </w:r>
    </w:p>
    <w:p w14:paraId="76777000" w14:textId="5F109993" w:rsidR="008F6218" w:rsidRDefault="008F6218" w:rsidP="008F6218">
      <w:pPr>
        <w:spacing w:after="0" w:line="252" w:lineRule="auto"/>
        <w:rPr>
          <w:rFonts w:cstheme="minorHAnsi"/>
        </w:rPr>
      </w:pPr>
    </w:p>
    <w:p w14:paraId="1AE073B2" w14:textId="77777777" w:rsidR="008F6218" w:rsidRPr="008F6218" w:rsidRDefault="008F6218" w:rsidP="008F6218">
      <w:pPr>
        <w:spacing w:after="0" w:line="252" w:lineRule="auto"/>
        <w:rPr>
          <w:rFonts w:cstheme="minorHAnsi"/>
          <w:bCs/>
          <w:color w:val="000000" w:themeColor="text1"/>
        </w:rPr>
      </w:pPr>
      <w:bookmarkStart w:id="1" w:name="_GoBack"/>
      <w:bookmarkEnd w:id="1"/>
    </w:p>
    <w:p w14:paraId="5C0CD6C4" w14:textId="7397F4B7" w:rsidR="008F6218" w:rsidRDefault="008F6218" w:rsidP="008F6218">
      <w:pPr>
        <w:spacing w:after="0" w:line="252" w:lineRule="auto"/>
        <w:rPr>
          <w:rFonts w:cstheme="minorHAnsi"/>
        </w:rPr>
      </w:pPr>
    </w:p>
    <w:p w14:paraId="279416AE" w14:textId="77777777" w:rsidR="008F6218" w:rsidRPr="004C1AC9" w:rsidRDefault="008F6218" w:rsidP="008F6218">
      <w:pPr>
        <w:spacing w:after="0" w:line="252" w:lineRule="auto"/>
        <w:rPr>
          <w:rFonts w:cstheme="minorHAnsi"/>
          <w:bCs/>
          <w:color w:val="000000" w:themeColor="text1"/>
        </w:rPr>
      </w:pPr>
    </w:p>
    <w:p w14:paraId="596D248C" w14:textId="77777777" w:rsidR="00C90FA6" w:rsidRDefault="00C90FA6" w:rsidP="00263188">
      <w:pPr>
        <w:rPr>
          <w:b/>
          <w:bCs/>
          <w:sz w:val="28"/>
          <w:szCs w:val="28"/>
        </w:rPr>
      </w:pPr>
    </w:p>
    <w:p w14:paraId="01452E3C" w14:textId="560B5F08" w:rsidR="00C90FA6" w:rsidRDefault="00C90FA6" w:rsidP="00263188">
      <w:pPr>
        <w:rPr>
          <w:b/>
          <w:bCs/>
          <w:sz w:val="28"/>
          <w:szCs w:val="28"/>
        </w:rPr>
      </w:pPr>
    </w:p>
    <w:p w14:paraId="0D498855" w14:textId="58FFDC53" w:rsidR="00C90FA6" w:rsidRDefault="00C90FA6" w:rsidP="00263188">
      <w:pPr>
        <w:rPr>
          <w:b/>
          <w:bCs/>
          <w:sz w:val="28"/>
          <w:szCs w:val="28"/>
        </w:rPr>
      </w:pPr>
    </w:p>
    <w:p w14:paraId="6AB445E0" w14:textId="77777777" w:rsidR="00C90FA6" w:rsidRDefault="00C90FA6" w:rsidP="00263188">
      <w:pPr>
        <w:rPr>
          <w:b/>
          <w:bCs/>
          <w:sz w:val="28"/>
          <w:szCs w:val="28"/>
        </w:rPr>
      </w:pPr>
    </w:p>
    <w:sectPr w:rsidR="00C90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00283"/>
    <w:multiLevelType w:val="hybridMultilevel"/>
    <w:tmpl w:val="061E1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88"/>
    <w:rsid w:val="00263188"/>
    <w:rsid w:val="005E04EA"/>
    <w:rsid w:val="008F6218"/>
    <w:rsid w:val="00C90FA6"/>
    <w:rsid w:val="00E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FE25"/>
  <w15:chartTrackingRefBased/>
  <w15:docId w15:val="{78153632-4ADB-4C2E-A194-7A6FDBF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Jenn</dc:creator>
  <cp:keywords/>
  <dc:description/>
  <cp:lastModifiedBy>Fuller, Jenn</cp:lastModifiedBy>
  <cp:revision>4</cp:revision>
  <dcterms:created xsi:type="dcterms:W3CDTF">2020-10-19T08:10:00Z</dcterms:created>
  <dcterms:modified xsi:type="dcterms:W3CDTF">2020-10-19T08:15:00Z</dcterms:modified>
</cp:coreProperties>
</file>