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1B0F7" w14:textId="04C05197" w:rsidR="00A81546" w:rsidRPr="00DF392A" w:rsidRDefault="00A81546" w:rsidP="00A3454B">
      <w:pPr>
        <w:spacing w:before="120"/>
        <w:jc w:val="center"/>
        <w:outlineLvl w:val="0"/>
        <w:rPr>
          <w:rFonts w:cs="Arial"/>
          <w:b/>
          <w:color w:val="C00000"/>
          <w:sz w:val="36"/>
          <w:szCs w:val="24"/>
        </w:rPr>
      </w:pPr>
      <w:r w:rsidRPr="00DF392A">
        <w:rPr>
          <w:rFonts w:cs="Arial"/>
          <w:b/>
          <w:color w:val="C00000"/>
          <w:sz w:val="36"/>
          <w:szCs w:val="24"/>
        </w:rPr>
        <w:t>Investor/Company Background Check</w:t>
      </w:r>
      <w:r w:rsidR="009C4C3A" w:rsidRPr="00DF392A">
        <w:rPr>
          <w:rFonts w:cs="Arial"/>
          <w:b/>
          <w:color w:val="C00000"/>
          <w:sz w:val="36"/>
          <w:szCs w:val="24"/>
        </w:rPr>
        <w:t xml:space="preserve"> Service</w:t>
      </w:r>
      <w:r w:rsidR="00553D2A" w:rsidRPr="00DF392A">
        <w:rPr>
          <w:rFonts w:cs="Arial"/>
          <w:b/>
          <w:color w:val="C00000"/>
          <w:sz w:val="36"/>
          <w:szCs w:val="24"/>
        </w:rPr>
        <w:t xml:space="preserve"> (DN433961)</w:t>
      </w:r>
    </w:p>
    <w:p w14:paraId="60126612" w14:textId="6D080701" w:rsidR="00A3454B" w:rsidRPr="00DF392A" w:rsidRDefault="00A3454B" w:rsidP="00A3454B">
      <w:pPr>
        <w:spacing w:before="120"/>
        <w:jc w:val="center"/>
        <w:outlineLvl w:val="0"/>
        <w:rPr>
          <w:rFonts w:cs="Arial"/>
          <w:b/>
          <w:color w:val="C00000"/>
          <w:sz w:val="28"/>
          <w:szCs w:val="20"/>
        </w:rPr>
      </w:pPr>
      <w:r w:rsidRPr="00DF392A">
        <w:rPr>
          <w:rFonts w:cs="Arial"/>
          <w:b/>
          <w:color w:val="C00000"/>
          <w:sz w:val="28"/>
          <w:szCs w:val="20"/>
        </w:rPr>
        <w:t>Draft Specification of Requirements</w:t>
      </w:r>
    </w:p>
    <w:p w14:paraId="190D3255" w14:textId="77777777" w:rsidR="00A81546" w:rsidRPr="00DF392A" w:rsidRDefault="00A81546" w:rsidP="006E0529">
      <w:pPr>
        <w:spacing w:before="0" w:after="0" w:line="259" w:lineRule="auto"/>
        <w:rPr>
          <w:rFonts w:eastAsiaTheme="minorHAnsi" w:cs="Arial"/>
          <w:color w:val="000000"/>
          <w:sz w:val="22"/>
          <w:shd w:val="clear" w:color="auto" w:fill="FFFFFF"/>
        </w:rPr>
      </w:pPr>
    </w:p>
    <w:p w14:paraId="7F8855AA" w14:textId="467CAD9B" w:rsidR="00D07DA2" w:rsidRPr="00DF392A" w:rsidRDefault="00D07DA2" w:rsidP="00D07DA2">
      <w:pPr>
        <w:spacing w:before="0" w:after="160" w:line="259" w:lineRule="auto"/>
        <w:rPr>
          <w:rFonts w:eastAsiaTheme="minorHAnsi" w:cs="Arial"/>
          <w:color w:val="000000" w:themeColor="text1"/>
          <w:sz w:val="22"/>
        </w:rPr>
      </w:pPr>
      <w:r w:rsidRPr="00DF392A">
        <w:rPr>
          <w:rFonts w:eastAsiaTheme="minorHAnsi" w:cs="Arial"/>
          <w:b/>
          <w:bCs/>
          <w:color w:val="C00000"/>
          <w:sz w:val="28"/>
          <w:szCs w:val="28"/>
        </w:rPr>
        <w:t>The Requirement</w:t>
      </w:r>
    </w:p>
    <w:p w14:paraId="4946DB6B" w14:textId="47883AF2" w:rsidR="006E0529" w:rsidRPr="00DF392A" w:rsidRDefault="00825103" w:rsidP="006E0529">
      <w:pPr>
        <w:spacing w:before="0" w:after="0" w:line="259" w:lineRule="auto"/>
        <w:rPr>
          <w:rFonts w:eastAsiaTheme="minorEastAsia" w:cs="Arial"/>
          <w:color w:val="000000" w:themeColor="text1"/>
          <w:sz w:val="22"/>
        </w:rPr>
      </w:pPr>
      <w:r w:rsidRPr="00DF392A">
        <w:rPr>
          <w:rFonts w:eastAsiaTheme="minorHAnsi" w:cs="Arial"/>
          <w:color w:val="000000"/>
          <w:sz w:val="22"/>
          <w:shd w:val="clear" w:color="auto" w:fill="FFFFFF"/>
        </w:rPr>
        <w:t xml:space="preserve">The Growth Capital team requires a supplier to carry out background checks on international investors </w:t>
      </w:r>
      <w:r w:rsidR="004E7EBE">
        <w:rPr>
          <w:rFonts w:eastAsiaTheme="minorHAnsi" w:cs="Arial"/>
          <w:color w:val="000000"/>
          <w:sz w:val="22"/>
          <w:shd w:val="clear" w:color="auto" w:fill="FFFFFF"/>
        </w:rPr>
        <w:t>i</w:t>
      </w:r>
      <w:r w:rsidR="006E0529" w:rsidRPr="00DF392A">
        <w:rPr>
          <w:rFonts w:eastAsiaTheme="minorHAnsi" w:cs="Arial"/>
          <w:color w:val="000000"/>
          <w:sz w:val="22"/>
          <w:shd w:val="clear" w:color="auto" w:fill="FFFFFF"/>
        </w:rPr>
        <w:t>n order to introduce international investors to UK investment opportunities, as well as provide the team’s sector-focused, tailored inward visit programme to investors</w:t>
      </w:r>
      <w:r w:rsidR="0005341B" w:rsidRPr="00DF392A">
        <w:rPr>
          <w:rFonts w:eastAsiaTheme="minorHAnsi" w:cs="Arial"/>
          <w:color w:val="000000"/>
          <w:sz w:val="22"/>
          <w:shd w:val="clear" w:color="auto" w:fill="FFFFFF"/>
        </w:rPr>
        <w:t>.</w:t>
      </w:r>
      <w:r w:rsidR="006E0529" w:rsidRPr="00DF392A">
        <w:rPr>
          <w:rFonts w:eastAsiaTheme="minorHAnsi" w:cs="Arial"/>
          <w:color w:val="000000"/>
          <w:sz w:val="22"/>
          <w:shd w:val="clear" w:color="auto" w:fill="FFFFFF"/>
        </w:rPr>
        <w:t xml:space="preserve"> The</w:t>
      </w:r>
      <w:r w:rsidR="000C2F71" w:rsidRPr="00DF392A">
        <w:rPr>
          <w:rFonts w:eastAsiaTheme="minorHAnsi" w:cs="Arial"/>
          <w:color w:val="000000"/>
          <w:sz w:val="22"/>
          <w:shd w:val="clear" w:color="auto" w:fill="FFFFFF"/>
        </w:rPr>
        <w:t>se</w:t>
      </w:r>
      <w:r w:rsidR="006E0529" w:rsidRPr="00DF392A">
        <w:rPr>
          <w:rFonts w:eastAsiaTheme="minorHAnsi" w:cs="Arial"/>
          <w:color w:val="000000"/>
          <w:sz w:val="22"/>
          <w:shd w:val="clear" w:color="auto" w:fill="FFFFFF"/>
        </w:rPr>
        <w:t xml:space="preserve"> background checks </w:t>
      </w:r>
      <w:r w:rsidR="000C2F71" w:rsidRPr="00DF392A">
        <w:rPr>
          <w:rFonts w:eastAsiaTheme="minorHAnsi" w:cs="Arial"/>
          <w:color w:val="000000"/>
          <w:sz w:val="22"/>
          <w:shd w:val="clear" w:color="auto" w:fill="FFFFFF"/>
        </w:rPr>
        <w:t>will allow us</w:t>
      </w:r>
      <w:r w:rsidR="006E0529" w:rsidRPr="00DF392A">
        <w:rPr>
          <w:rFonts w:eastAsiaTheme="minorHAnsi" w:cs="Arial"/>
          <w:color w:val="000000"/>
          <w:sz w:val="22"/>
          <w:shd w:val="clear" w:color="auto" w:fill="FFFFFF"/>
        </w:rPr>
        <w:t xml:space="preserve"> to continue working with </w:t>
      </w:r>
      <w:r w:rsidR="000C2F71" w:rsidRPr="00DF392A">
        <w:rPr>
          <w:rFonts w:eastAsiaTheme="minorHAnsi" w:cs="Arial"/>
          <w:color w:val="000000"/>
          <w:sz w:val="22"/>
          <w:shd w:val="clear" w:color="auto" w:fill="FFFFFF"/>
        </w:rPr>
        <w:t>these</w:t>
      </w:r>
      <w:r w:rsidR="006E0529" w:rsidRPr="00DF392A">
        <w:rPr>
          <w:rFonts w:eastAsiaTheme="minorHAnsi" w:cs="Arial"/>
          <w:color w:val="000000"/>
          <w:sz w:val="22"/>
          <w:shd w:val="clear" w:color="auto" w:fill="FFFFFF"/>
        </w:rPr>
        <w:t xml:space="preserve"> investors whilst managing risk and upholding Civil Service standards. </w:t>
      </w:r>
      <w:r w:rsidR="0005341B" w:rsidRPr="00DF392A">
        <w:rPr>
          <w:rFonts w:eastAsiaTheme="minorHAnsi" w:cs="Arial"/>
          <w:color w:val="000000"/>
          <w:sz w:val="22"/>
          <w:shd w:val="clear" w:color="auto" w:fill="FFFFFF"/>
        </w:rPr>
        <w:t xml:space="preserve">The objective of this procurement is to support the Growth Capital team in bringing </w:t>
      </w:r>
      <w:r w:rsidR="006E0529" w:rsidRPr="00DF392A">
        <w:rPr>
          <w:rFonts w:eastAsiaTheme="minorEastAsia" w:cs="Arial"/>
          <w:color w:val="000000" w:themeColor="text1"/>
          <w:sz w:val="22"/>
        </w:rPr>
        <w:t xml:space="preserve">investment into the UK whilst ensuring that </w:t>
      </w:r>
      <w:r w:rsidR="0005341B" w:rsidRPr="00DF392A">
        <w:rPr>
          <w:rFonts w:eastAsiaTheme="minorEastAsia" w:cs="Arial"/>
          <w:color w:val="000000" w:themeColor="text1"/>
          <w:sz w:val="22"/>
        </w:rPr>
        <w:t xml:space="preserve">this </w:t>
      </w:r>
      <w:r w:rsidR="006E0529" w:rsidRPr="00DF392A">
        <w:rPr>
          <w:rFonts w:eastAsiaTheme="minorEastAsia" w:cs="Arial"/>
          <w:color w:val="000000" w:themeColor="text1"/>
          <w:sz w:val="22"/>
        </w:rPr>
        <w:t xml:space="preserve">investment is from </w:t>
      </w:r>
      <w:r w:rsidR="0005341B" w:rsidRPr="00DF392A">
        <w:rPr>
          <w:rFonts w:eastAsiaTheme="minorEastAsia" w:cs="Arial"/>
          <w:color w:val="000000" w:themeColor="text1"/>
          <w:sz w:val="22"/>
        </w:rPr>
        <w:t xml:space="preserve">economically and politically </w:t>
      </w:r>
      <w:r w:rsidR="006E0529" w:rsidRPr="00DF392A">
        <w:rPr>
          <w:rFonts w:eastAsiaTheme="minorEastAsia" w:cs="Arial"/>
          <w:color w:val="000000" w:themeColor="text1"/>
          <w:sz w:val="22"/>
        </w:rPr>
        <w:t xml:space="preserve">reputable </w:t>
      </w:r>
      <w:r w:rsidR="0005341B" w:rsidRPr="00DF392A">
        <w:rPr>
          <w:rFonts w:eastAsiaTheme="minorEastAsia" w:cs="Arial"/>
          <w:color w:val="000000" w:themeColor="text1"/>
          <w:sz w:val="22"/>
        </w:rPr>
        <w:t>sources</w:t>
      </w:r>
      <w:r w:rsidR="006E0529" w:rsidRPr="00DF392A">
        <w:rPr>
          <w:rFonts w:eastAsiaTheme="minorEastAsia" w:cs="Arial"/>
          <w:color w:val="000000" w:themeColor="text1"/>
          <w:sz w:val="22"/>
        </w:rPr>
        <w:t xml:space="preserve">. </w:t>
      </w:r>
    </w:p>
    <w:p w14:paraId="4570AEF0" w14:textId="77777777" w:rsidR="000C2F71" w:rsidRPr="00DF392A" w:rsidRDefault="000C2F71" w:rsidP="006E0529">
      <w:pPr>
        <w:spacing w:before="0" w:after="0" w:line="259" w:lineRule="auto"/>
        <w:rPr>
          <w:rFonts w:eastAsiaTheme="minorEastAsia" w:cs="Arial"/>
          <w:color w:val="000000" w:themeColor="text1"/>
          <w:sz w:val="22"/>
        </w:rPr>
      </w:pPr>
    </w:p>
    <w:p w14:paraId="7C664FED" w14:textId="1775E807" w:rsidR="000C2F71" w:rsidRPr="00DF392A" w:rsidRDefault="000C2F71" w:rsidP="006E0529">
      <w:pPr>
        <w:spacing w:before="0" w:after="160" w:line="259" w:lineRule="auto"/>
        <w:rPr>
          <w:rFonts w:eastAsiaTheme="minorHAnsi" w:cs="Arial"/>
          <w:color w:val="000000" w:themeColor="text1"/>
          <w:sz w:val="22"/>
        </w:rPr>
      </w:pPr>
      <w:r w:rsidRPr="00DF392A">
        <w:rPr>
          <w:rFonts w:eastAsiaTheme="minorEastAsia" w:cs="Arial"/>
          <w:color w:val="000000" w:themeColor="text1"/>
          <w:sz w:val="22"/>
        </w:rPr>
        <w:t>The checks should</w:t>
      </w:r>
      <w:r w:rsidR="006E0529" w:rsidRPr="00DF392A">
        <w:rPr>
          <w:rFonts w:eastAsiaTheme="minorEastAsia" w:cs="Arial"/>
          <w:color w:val="000000" w:themeColor="text1"/>
          <w:sz w:val="22"/>
        </w:rPr>
        <w:t xml:space="preserve"> provide an independent assessment of individual investors, ensuring that the programme’s resources are focused on reputable investors who will add value to the UK economy.</w:t>
      </w:r>
      <w:r w:rsidR="0005341B" w:rsidRPr="00DF392A">
        <w:rPr>
          <w:rFonts w:eastAsiaTheme="minorEastAsia" w:cs="Arial"/>
          <w:color w:val="000000" w:themeColor="text1"/>
          <w:sz w:val="22"/>
        </w:rPr>
        <w:t xml:space="preserve"> </w:t>
      </w:r>
      <w:r w:rsidR="006E0529" w:rsidRPr="00DF392A">
        <w:rPr>
          <w:rFonts w:eastAsiaTheme="minorEastAsia" w:cs="Arial"/>
          <w:color w:val="000000" w:themeColor="text1"/>
          <w:sz w:val="22"/>
        </w:rPr>
        <w:t xml:space="preserve">This not only protects HMG’s reputation by significantly reducing the risk of working with questionable investors, </w:t>
      </w:r>
      <w:r w:rsidR="006E0529" w:rsidRPr="00DF392A">
        <w:rPr>
          <w:rFonts w:eastAsiaTheme="minorHAnsi" w:cs="Arial"/>
          <w:color w:val="000000" w:themeColor="text1"/>
          <w:sz w:val="22"/>
        </w:rPr>
        <w:t>but also supports the economic transparency of the UK, ensuring money subject to scrutiny is not brought into the UK by accident through Government-led investment deals.</w:t>
      </w:r>
    </w:p>
    <w:p w14:paraId="1EC09FB7" w14:textId="25A09744" w:rsidR="00DC07FE" w:rsidRPr="00DF392A" w:rsidRDefault="00DC07FE" w:rsidP="00DC07FE">
      <w:pPr>
        <w:spacing w:before="0" w:after="160" w:line="259" w:lineRule="auto"/>
        <w:rPr>
          <w:rFonts w:eastAsiaTheme="minorHAnsi" w:cs="Arial"/>
          <w:color w:val="000000" w:themeColor="text1"/>
          <w:sz w:val="22"/>
        </w:rPr>
      </w:pPr>
      <w:r>
        <w:rPr>
          <w:rFonts w:eastAsiaTheme="minorHAnsi" w:cs="Arial"/>
          <w:color w:val="000000" w:themeColor="text1"/>
          <w:sz w:val="22"/>
        </w:rPr>
        <w:t>We are currently considering a contract term of 8-12 months, with services to be called off as required.</w:t>
      </w:r>
      <w:r>
        <w:rPr>
          <w:rFonts w:eastAsiaTheme="minorHAnsi" w:cs="Arial"/>
          <w:color w:val="000000" w:themeColor="text1"/>
          <w:sz w:val="22"/>
        </w:rPr>
        <w:t xml:space="preserve"> Our estimated budget for this requirement is currently £90k-£100k.</w:t>
      </w:r>
    </w:p>
    <w:p w14:paraId="5666EA27" w14:textId="0D334EFB" w:rsidR="000C2F71" w:rsidRPr="00DF392A" w:rsidRDefault="000C2F71" w:rsidP="006E0529">
      <w:pPr>
        <w:spacing w:before="0" w:after="160" w:line="259" w:lineRule="auto"/>
        <w:rPr>
          <w:rFonts w:eastAsiaTheme="minorHAnsi" w:cs="Arial"/>
          <w:color w:val="000000" w:themeColor="text1"/>
          <w:sz w:val="22"/>
        </w:rPr>
      </w:pPr>
    </w:p>
    <w:p w14:paraId="0469B965" w14:textId="56CEFC77" w:rsidR="00A81546" w:rsidRPr="00DF392A" w:rsidRDefault="00D07DA2" w:rsidP="006E0529">
      <w:pPr>
        <w:spacing w:before="0" w:after="160" w:line="259" w:lineRule="auto"/>
        <w:rPr>
          <w:rFonts w:eastAsiaTheme="minorHAnsi" w:cs="Arial"/>
          <w:color w:val="000000" w:themeColor="text1"/>
          <w:sz w:val="22"/>
        </w:rPr>
      </w:pPr>
      <w:r w:rsidRPr="00DF392A">
        <w:rPr>
          <w:rFonts w:eastAsiaTheme="minorHAnsi" w:cs="Arial"/>
          <w:b/>
          <w:bCs/>
          <w:color w:val="C00000"/>
          <w:sz w:val="28"/>
          <w:szCs w:val="28"/>
        </w:rPr>
        <w:t>Deliverables</w:t>
      </w:r>
    </w:p>
    <w:p w14:paraId="6DEC0921" w14:textId="355BD10D" w:rsidR="00BE5D55" w:rsidRPr="00DF392A" w:rsidRDefault="00BE5D55" w:rsidP="006E0529">
      <w:pPr>
        <w:spacing w:before="0" w:after="160" w:line="259" w:lineRule="auto"/>
        <w:rPr>
          <w:rFonts w:eastAsiaTheme="minorHAnsi" w:cs="Arial"/>
          <w:color w:val="000000" w:themeColor="text1"/>
          <w:sz w:val="22"/>
        </w:rPr>
      </w:pPr>
      <w:r w:rsidRPr="00DF392A">
        <w:rPr>
          <w:rFonts w:eastAsiaTheme="minorHAnsi" w:cs="Arial"/>
          <w:color w:val="000000" w:themeColor="text1"/>
          <w:sz w:val="22"/>
        </w:rPr>
        <w:t xml:space="preserve">There are three main </w:t>
      </w:r>
      <w:r w:rsidR="002D5FF7" w:rsidRPr="00DF392A">
        <w:rPr>
          <w:rFonts w:eastAsiaTheme="minorHAnsi" w:cs="Arial"/>
          <w:color w:val="000000" w:themeColor="text1"/>
          <w:sz w:val="22"/>
        </w:rPr>
        <w:t>deliverables for this requirement</w:t>
      </w:r>
      <w:r w:rsidRPr="00DF392A">
        <w:rPr>
          <w:rFonts w:eastAsiaTheme="minorHAnsi" w:cs="Arial"/>
          <w:color w:val="000000" w:themeColor="text1"/>
          <w:sz w:val="22"/>
        </w:rPr>
        <w:t>:</w:t>
      </w:r>
    </w:p>
    <w:p w14:paraId="495FB443" w14:textId="7767D6E0" w:rsidR="00BE5D55" w:rsidRPr="00DF392A" w:rsidRDefault="00BE5D55" w:rsidP="00BE5D55">
      <w:pPr>
        <w:pStyle w:val="ListParagraph"/>
        <w:numPr>
          <w:ilvl w:val="0"/>
          <w:numId w:val="17"/>
        </w:numPr>
        <w:spacing w:after="160" w:line="259" w:lineRule="auto"/>
        <w:rPr>
          <w:rFonts w:ascii="Arial" w:hAnsi="Arial" w:cs="Arial"/>
          <w:color w:val="000000" w:themeColor="text1"/>
        </w:rPr>
      </w:pPr>
      <w:r w:rsidRPr="00DF392A">
        <w:rPr>
          <w:rFonts w:ascii="Arial" w:hAnsi="Arial" w:cs="Arial"/>
          <w:color w:val="000000" w:themeColor="text1"/>
        </w:rPr>
        <w:t>Investor Reports</w:t>
      </w:r>
    </w:p>
    <w:p w14:paraId="4593A5DE" w14:textId="590D88E9" w:rsidR="00BE5D55" w:rsidRPr="00DF392A" w:rsidRDefault="00BE5D55" w:rsidP="00BE5D55">
      <w:pPr>
        <w:pStyle w:val="ListParagraph"/>
        <w:numPr>
          <w:ilvl w:val="0"/>
          <w:numId w:val="17"/>
        </w:numPr>
        <w:spacing w:after="160" w:line="259" w:lineRule="auto"/>
        <w:rPr>
          <w:rFonts w:ascii="Arial" w:hAnsi="Arial" w:cs="Arial"/>
          <w:color w:val="000000" w:themeColor="text1"/>
        </w:rPr>
      </w:pPr>
      <w:r w:rsidRPr="00DF392A">
        <w:rPr>
          <w:rFonts w:ascii="Arial" w:hAnsi="Arial" w:cs="Arial"/>
          <w:color w:val="000000" w:themeColor="text1"/>
        </w:rPr>
        <w:t>Company Reports</w:t>
      </w:r>
    </w:p>
    <w:p w14:paraId="3755AFEC" w14:textId="75A60EB4" w:rsidR="00A81546" w:rsidRPr="00DF392A" w:rsidRDefault="00BE5D55" w:rsidP="00BE5D55">
      <w:pPr>
        <w:pStyle w:val="ListParagraph"/>
        <w:numPr>
          <w:ilvl w:val="0"/>
          <w:numId w:val="17"/>
        </w:numPr>
        <w:spacing w:after="160" w:line="259" w:lineRule="auto"/>
        <w:rPr>
          <w:rFonts w:ascii="Arial" w:hAnsi="Arial" w:cs="Arial"/>
          <w:color w:val="000000" w:themeColor="text1"/>
        </w:rPr>
      </w:pPr>
      <w:r w:rsidRPr="00DF392A">
        <w:rPr>
          <w:rFonts w:ascii="Arial" w:hAnsi="Arial" w:cs="Arial"/>
          <w:color w:val="000000" w:themeColor="text1"/>
        </w:rPr>
        <w:t>Digital Platform</w:t>
      </w:r>
    </w:p>
    <w:p w14:paraId="182CC413" w14:textId="5756EB50" w:rsidR="00BE5D55" w:rsidRPr="00DF392A" w:rsidRDefault="00BE5D55" w:rsidP="00BE5D55">
      <w:pPr>
        <w:spacing w:after="160" w:line="259" w:lineRule="auto"/>
        <w:rPr>
          <w:rFonts w:cs="Arial"/>
          <w:b/>
          <w:bCs/>
          <w:color w:val="000000" w:themeColor="text1"/>
        </w:rPr>
      </w:pPr>
      <w:r w:rsidRPr="00DF392A">
        <w:rPr>
          <w:rFonts w:cs="Arial"/>
          <w:b/>
          <w:bCs/>
          <w:color w:val="000000" w:themeColor="text1"/>
        </w:rPr>
        <w:t>Investor Reports</w:t>
      </w:r>
    </w:p>
    <w:p w14:paraId="3C8E3B4C" w14:textId="504A27A9" w:rsidR="00BE5D55" w:rsidRPr="00DF392A" w:rsidRDefault="00BE5D55" w:rsidP="00BE5D55">
      <w:pPr>
        <w:spacing w:after="160" w:line="259" w:lineRule="auto"/>
        <w:rPr>
          <w:rFonts w:cs="Arial"/>
          <w:color w:val="000000" w:themeColor="text1"/>
          <w:sz w:val="22"/>
        </w:rPr>
      </w:pPr>
      <w:r w:rsidRPr="00DF392A">
        <w:rPr>
          <w:rFonts w:cs="Arial"/>
          <w:color w:val="000000" w:themeColor="text1"/>
          <w:sz w:val="22"/>
        </w:rPr>
        <w:t xml:space="preserve">Investor reports would be commissioned </w:t>
      </w:r>
      <w:r w:rsidR="00E31809">
        <w:rPr>
          <w:rFonts w:cs="Arial"/>
          <w:color w:val="000000" w:themeColor="text1"/>
          <w:sz w:val="22"/>
        </w:rPr>
        <w:t xml:space="preserve">singularly </w:t>
      </w:r>
      <w:r w:rsidRPr="00DF392A">
        <w:rPr>
          <w:rFonts w:cs="Arial"/>
          <w:color w:val="000000" w:themeColor="text1"/>
          <w:sz w:val="22"/>
        </w:rPr>
        <w:t xml:space="preserve">or in batches as the GREAT Investors team (and DIT colleagues) start working with investors.  </w:t>
      </w:r>
    </w:p>
    <w:p w14:paraId="6C172E17" w14:textId="2B8A6638" w:rsidR="00DC07FE" w:rsidRDefault="00BE5D55" w:rsidP="00BE5D55">
      <w:pPr>
        <w:spacing w:before="0" w:after="160" w:line="259" w:lineRule="auto"/>
        <w:rPr>
          <w:rFonts w:eastAsiaTheme="minorHAnsi" w:cs="Arial"/>
          <w:color w:val="000000" w:themeColor="text1"/>
          <w:sz w:val="22"/>
        </w:rPr>
      </w:pPr>
      <w:r w:rsidRPr="00DF392A">
        <w:rPr>
          <w:rFonts w:eastAsiaTheme="minorHAnsi" w:cs="Arial"/>
          <w:color w:val="000000" w:themeColor="text1"/>
          <w:sz w:val="22"/>
        </w:rPr>
        <w:t>A standard report should include the following, with clear presentation of risks against possible areas of concern:</w:t>
      </w:r>
    </w:p>
    <w:p w14:paraId="778039D3" w14:textId="0D37386F" w:rsidR="00DC07FE" w:rsidRDefault="00DC07FE" w:rsidP="00BE5D55">
      <w:pPr>
        <w:spacing w:before="0" w:after="160" w:line="259" w:lineRule="auto"/>
        <w:rPr>
          <w:rFonts w:eastAsiaTheme="minorHAnsi" w:cs="Arial"/>
          <w:color w:val="000000" w:themeColor="text1"/>
          <w:sz w:val="22"/>
        </w:rPr>
      </w:pPr>
    </w:p>
    <w:p w14:paraId="6A71B68E" w14:textId="77777777" w:rsidR="00DC07FE" w:rsidRPr="00DF392A" w:rsidRDefault="00DC07FE" w:rsidP="00BE5D55">
      <w:pPr>
        <w:spacing w:before="0" w:after="160" w:line="259" w:lineRule="auto"/>
        <w:rPr>
          <w:rFonts w:eastAsiaTheme="minorHAnsi" w:cs="Arial"/>
          <w:color w:val="000000" w:themeColor="text1"/>
          <w:sz w:val="22"/>
        </w:rPr>
      </w:pPr>
    </w:p>
    <w:p w14:paraId="66783026" w14:textId="77777777" w:rsidR="00BE5D55" w:rsidRPr="00DF392A" w:rsidRDefault="00BE5D55" w:rsidP="00BE5D55">
      <w:pPr>
        <w:spacing w:before="0" w:after="160" w:line="259" w:lineRule="auto"/>
        <w:rPr>
          <w:rFonts w:cs="Arial"/>
          <w:color w:val="000000" w:themeColor="text1"/>
        </w:rPr>
      </w:pPr>
    </w:p>
    <w:tbl>
      <w:tblPr>
        <w:tblStyle w:val="TableGrid"/>
        <w:tblW w:w="11057" w:type="dxa"/>
        <w:tblInd w:w="-856" w:type="dxa"/>
        <w:tblLook w:val="04A0" w:firstRow="1" w:lastRow="0" w:firstColumn="1" w:lastColumn="0" w:noHBand="0" w:noVBand="1"/>
      </w:tblPr>
      <w:tblGrid>
        <w:gridCol w:w="5364"/>
        <w:gridCol w:w="5693"/>
      </w:tblGrid>
      <w:tr w:rsidR="00DF392A" w:rsidRPr="00DF392A" w14:paraId="2B068103" w14:textId="77777777" w:rsidTr="00DF392A">
        <w:tc>
          <w:tcPr>
            <w:tcW w:w="5364" w:type="dxa"/>
            <w:shd w:val="clear" w:color="auto" w:fill="C00000"/>
          </w:tcPr>
          <w:p w14:paraId="51E57325" w14:textId="481C2D0D" w:rsidR="00DF392A" w:rsidRPr="00DF392A" w:rsidRDefault="00DF392A" w:rsidP="00DF392A">
            <w:pPr>
              <w:spacing w:before="0" w:after="240" w:line="259" w:lineRule="auto"/>
              <w:rPr>
                <w:rFonts w:cs="Arial"/>
                <w:b/>
                <w:bCs/>
                <w:color w:val="FFFFFF" w:themeColor="background1"/>
                <w:szCs w:val="24"/>
              </w:rPr>
            </w:pPr>
            <w:r w:rsidRPr="00DF392A">
              <w:rPr>
                <w:rFonts w:cs="Arial"/>
                <w:b/>
                <w:bCs/>
                <w:color w:val="FFFFFF" w:themeColor="background1"/>
                <w:szCs w:val="24"/>
              </w:rPr>
              <w:lastRenderedPageBreak/>
              <w:t>Risk</w:t>
            </w:r>
          </w:p>
        </w:tc>
        <w:tc>
          <w:tcPr>
            <w:tcW w:w="5693" w:type="dxa"/>
            <w:shd w:val="clear" w:color="auto" w:fill="C00000"/>
          </w:tcPr>
          <w:p w14:paraId="6A7F26F5" w14:textId="41A36313" w:rsidR="00DF392A" w:rsidRPr="00DF392A" w:rsidRDefault="00DF392A" w:rsidP="00DF392A">
            <w:pPr>
              <w:spacing w:before="0" w:after="240" w:line="259" w:lineRule="auto"/>
              <w:rPr>
                <w:rFonts w:eastAsiaTheme="minorHAnsi" w:cs="Arial"/>
                <w:b/>
                <w:bCs/>
                <w:color w:val="FFFFFF" w:themeColor="background1"/>
                <w:szCs w:val="24"/>
              </w:rPr>
            </w:pPr>
            <w:r w:rsidRPr="00DF392A">
              <w:rPr>
                <w:rFonts w:eastAsiaTheme="minorHAnsi" w:cs="Arial"/>
                <w:b/>
                <w:bCs/>
                <w:color w:val="FFFFFF" w:themeColor="background1"/>
                <w:szCs w:val="24"/>
              </w:rPr>
              <w:t>Details</w:t>
            </w:r>
          </w:p>
        </w:tc>
      </w:tr>
      <w:tr w:rsidR="00BE5D55" w:rsidRPr="00DF392A" w14:paraId="370AAB1F" w14:textId="77777777" w:rsidTr="00BE5D55">
        <w:tc>
          <w:tcPr>
            <w:tcW w:w="5364" w:type="dxa"/>
          </w:tcPr>
          <w:p w14:paraId="7F27D9AE" w14:textId="77777777" w:rsidR="00BE5D55" w:rsidRPr="00DF392A" w:rsidRDefault="00BE5D55" w:rsidP="00BE5D55">
            <w:pPr>
              <w:spacing w:after="160" w:line="259" w:lineRule="auto"/>
              <w:rPr>
                <w:rFonts w:cs="Arial"/>
                <w:color w:val="000000" w:themeColor="text1"/>
                <w:sz w:val="22"/>
              </w:rPr>
            </w:pPr>
            <w:r w:rsidRPr="00DF392A">
              <w:rPr>
                <w:rFonts w:cs="Arial"/>
                <w:color w:val="000000" w:themeColor="text1"/>
                <w:sz w:val="22"/>
              </w:rPr>
              <w:t>High level personal and corporate profile</w:t>
            </w:r>
          </w:p>
          <w:p w14:paraId="7915B257" w14:textId="77777777" w:rsidR="00BE5D55" w:rsidRPr="00DF392A" w:rsidRDefault="00BE5D55" w:rsidP="00BE5D55">
            <w:pPr>
              <w:spacing w:after="160" w:line="259" w:lineRule="auto"/>
              <w:rPr>
                <w:rFonts w:cs="Arial"/>
                <w:color w:val="000000" w:themeColor="text1"/>
                <w:sz w:val="22"/>
              </w:rPr>
            </w:pPr>
          </w:p>
        </w:tc>
        <w:tc>
          <w:tcPr>
            <w:tcW w:w="5693" w:type="dxa"/>
          </w:tcPr>
          <w:p w14:paraId="09FBB628" w14:textId="73A5B38A" w:rsidR="00BE5D55" w:rsidRPr="00DF392A" w:rsidRDefault="00BE5D55" w:rsidP="00BE5D55">
            <w:pPr>
              <w:spacing w:before="0" w:after="160" w:line="259" w:lineRule="auto"/>
              <w:rPr>
                <w:rFonts w:eastAsiaTheme="minorHAnsi" w:cs="Arial"/>
                <w:color w:val="000000" w:themeColor="text1"/>
                <w:sz w:val="22"/>
              </w:rPr>
            </w:pPr>
            <w:r w:rsidRPr="00DF392A">
              <w:rPr>
                <w:rFonts w:eastAsiaTheme="minorHAnsi" w:cs="Arial"/>
                <w:color w:val="000000" w:themeColor="text1"/>
                <w:sz w:val="22"/>
              </w:rPr>
              <w:t>Basic personal background, main corporate interests and potential issues of concern, and whether there are issues with the origin of wealth</w:t>
            </w:r>
            <w:r w:rsidR="00BD5D34">
              <w:rPr>
                <w:rFonts w:eastAsiaTheme="minorHAnsi" w:cs="Arial"/>
                <w:color w:val="000000" w:themeColor="text1"/>
                <w:sz w:val="22"/>
              </w:rPr>
              <w:t>.</w:t>
            </w:r>
            <w:bookmarkStart w:id="0" w:name="_GoBack"/>
            <w:bookmarkEnd w:id="0"/>
          </w:p>
          <w:p w14:paraId="5067BEAC" w14:textId="77777777" w:rsidR="00BE5D55" w:rsidRPr="00DF392A" w:rsidRDefault="00BE5D55" w:rsidP="00BE5D55">
            <w:pPr>
              <w:spacing w:after="160" w:line="259" w:lineRule="auto"/>
              <w:rPr>
                <w:rFonts w:cs="Arial"/>
                <w:color w:val="000000" w:themeColor="text1"/>
                <w:sz w:val="22"/>
              </w:rPr>
            </w:pPr>
          </w:p>
        </w:tc>
      </w:tr>
      <w:tr w:rsidR="00BE5D55" w:rsidRPr="00DF392A" w14:paraId="08D06034" w14:textId="77777777" w:rsidTr="00BE5D55">
        <w:tc>
          <w:tcPr>
            <w:tcW w:w="5364" w:type="dxa"/>
          </w:tcPr>
          <w:p w14:paraId="6F008C6B" w14:textId="77777777" w:rsidR="00BE5D55" w:rsidRPr="00DF392A" w:rsidRDefault="00BE5D55" w:rsidP="00BE5D55">
            <w:pPr>
              <w:spacing w:before="0" w:after="160" w:line="259" w:lineRule="auto"/>
              <w:rPr>
                <w:rFonts w:eastAsiaTheme="minorHAnsi" w:cs="Arial"/>
                <w:color w:val="000000" w:themeColor="text1"/>
                <w:sz w:val="22"/>
              </w:rPr>
            </w:pPr>
            <w:r w:rsidRPr="00DF392A">
              <w:rPr>
                <w:rFonts w:eastAsiaTheme="minorHAnsi" w:cs="Arial"/>
                <w:color w:val="000000" w:themeColor="text1"/>
                <w:sz w:val="22"/>
              </w:rPr>
              <w:t>Issues of concern (integrity focus)</w:t>
            </w:r>
          </w:p>
          <w:p w14:paraId="2F53878C" w14:textId="77777777" w:rsidR="00BE5D55" w:rsidRPr="00DF392A" w:rsidRDefault="00BE5D55" w:rsidP="00BE5D55">
            <w:pPr>
              <w:spacing w:after="160" w:line="259" w:lineRule="auto"/>
              <w:rPr>
                <w:rFonts w:cs="Arial"/>
                <w:color w:val="000000" w:themeColor="text1"/>
                <w:sz w:val="22"/>
              </w:rPr>
            </w:pPr>
          </w:p>
        </w:tc>
        <w:tc>
          <w:tcPr>
            <w:tcW w:w="5693" w:type="dxa"/>
          </w:tcPr>
          <w:p w14:paraId="2CAE3520" w14:textId="2AE1166A" w:rsidR="00BE5D55" w:rsidRPr="00DF392A" w:rsidRDefault="00BE5D55" w:rsidP="00BE5D55">
            <w:pPr>
              <w:spacing w:before="0" w:after="160" w:line="259" w:lineRule="auto"/>
              <w:rPr>
                <w:rFonts w:eastAsiaTheme="minorHAnsi" w:cs="Arial"/>
                <w:color w:val="000000" w:themeColor="text1"/>
                <w:sz w:val="22"/>
              </w:rPr>
            </w:pPr>
            <w:r w:rsidRPr="00DF392A">
              <w:rPr>
                <w:rFonts w:eastAsiaTheme="minorHAnsi" w:cs="Arial"/>
                <w:color w:val="000000" w:themeColor="text1"/>
                <w:sz w:val="22"/>
              </w:rPr>
              <w:t>Targeted desktop searches using a select list of “adverse media research” (focusing on identifying potential issues of concern (such as “involvement in illegal or unethical business practices by the Subject and key business assets, including allegations of terrorism, antitrust or export control violations, money-laundering, fraud or corruption”) - searches conducted in English and one local language</w:t>
            </w:r>
            <w:r w:rsidR="00BD5D34">
              <w:rPr>
                <w:rFonts w:eastAsiaTheme="minorHAnsi" w:cs="Arial"/>
                <w:color w:val="000000" w:themeColor="text1"/>
                <w:sz w:val="22"/>
              </w:rPr>
              <w:t>.</w:t>
            </w:r>
          </w:p>
          <w:p w14:paraId="3283E40C" w14:textId="77777777" w:rsidR="00BE5D55" w:rsidRPr="00DF392A" w:rsidRDefault="00BE5D55" w:rsidP="00BE5D55">
            <w:pPr>
              <w:spacing w:after="160" w:line="259" w:lineRule="auto"/>
              <w:rPr>
                <w:rFonts w:cs="Arial"/>
                <w:color w:val="000000" w:themeColor="text1"/>
                <w:sz w:val="22"/>
              </w:rPr>
            </w:pPr>
          </w:p>
        </w:tc>
      </w:tr>
      <w:tr w:rsidR="00BE5D55" w:rsidRPr="00DF392A" w14:paraId="054FC03D" w14:textId="77777777" w:rsidTr="00BE5D55">
        <w:tc>
          <w:tcPr>
            <w:tcW w:w="5364" w:type="dxa"/>
          </w:tcPr>
          <w:p w14:paraId="4787F28B" w14:textId="77777777" w:rsidR="00BE5D55" w:rsidRPr="00DF392A" w:rsidRDefault="00BE5D55" w:rsidP="00BE5D55">
            <w:pPr>
              <w:spacing w:before="0" w:after="160" w:line="259" w:lineRule="auto"/>
              <w:rPr>
                <w:rFonts w:eastAsiaTheme="minorHAnsi" w:cs="Arial"/>
                <w:color w:val="000000" w:themeColor="text1"/>
                <w:sz w:val="22"/>
              </w:rPr>
            </w:pPr>
            <w:r w:rsidRPr="00DF392A">
              <w:rPr>
                <w:rFonts w:eastAsiaTheme="minorHAnsi" w:cs="Arial"/>
                <w:color w:val="000000" w:themeColor="text1"/>
                <w:sz w:val="22"/>
              </w:rPr>
              <w:t>Blacklists</w:t>
            </w:r>
          </w:p>
          <w:p w14:paraId="3D075513" w14:textId="77777777" w:rsidR="00BE5D55" w:rsidRPr="00DF392A" w:rsidRDefault="00BE5D55" w:rsidP="00BE5D55">
            <w:pPr>
              <w:spacing w:after="160" w:line="259" w:lineRule="auto"/>
              <w:rPr>
                <w:rFonts w:cs="Arial"/>
                <w:color w:val="000000" w:themeColor="text1"/>
                <w:sz w:val="22"/>
              </w:rPr>
            </w:pPr>
          </w:p>
        </w:tc>
        <w:tc>
          <w:tcPr>
            <w:tcW w:w="5693" w:type="dxa"/>
          </w:tcPr>
          <w:p w14:paraId="247A2F25" w14:textId="60D01C78" w:rsidR="00BE5D55" w:rsidRPr="00DF392A" w:rsidRDefault="00BE5D55" w:rsidP="00BE5D55">
            <w:pPr>
              <w:spacing w:before="0" w:after="160" w:line="259" w:lineRule="auto"/>
              <w:rPr>
                <w:rFonts w:eastAsiaTheme="minorHAnsi" w:cs="Arial"/>
                <w:color w:val="000000" w:themeColor="text1"/>
                <w:sz w:val="22"/>
              </w:rPr>
            </w:pPr>
            <w:r w:rsidRPr="00DF392A">
              <w:rPr>
                <w:rFonts w:eastAsiaTheme="minorHAnsi" w:cs="Arial"/>
                <w:color w:val="000000" w:themeColor="text1"/>
                <w:sz w:val="22"/>
              </w:rPr>
              <w:t>Identification of any references to the Subject on internationally maintained blacklists relating to money-laundering, terrorist-financing and political exposure</w:t>
            </w:r>
            <w:r w:rsidR="00BD5D34">
              <w:rPr>
                <w:rFonts w:eastAsiaTheme="minorHAnsi" w:cs="Arial"/>
                <w:color w:val="000000" w:themeColor="text1"/>
                <w:sz w:val="22"/>
              </w:rPr>
              <w:t>.</w:t>
            </w:r>
          </w:p>
          <w:p w14:paraId="7E6F67B8" w14:textId="059FDC39" w:rsidR="00BE5D55" w:rsidRPr="00DF392A" w:rsidRDefault="00BE5D55" w:rsidP="00BE5D55">
            <w:pPr>
              <w:spacing w:before="0" w:after="160" w:line="259" w:lineRule="auto"/>
              <w:rPr>
                <w:rFonts w:eastAsiaTheme="minorHAnsi" w:cs="Arial"/>
                <w:color w:val="000000" w:themeColor="text1"/>
                <w:sz w:val="22"/>
              </w:rPr>
            </w:pPr>
            <w:r w:rsidRPr="00DF392A">
              <w:rPr>
                <w:rFonts w:eastAsiaTheme="minorHAnsi" w:cs="Arial"/>
                <w:color w:val="000000" w:themeColor="text1"/>
                <w:sz w:val="22"/>
              </w:rPr>
              <w:t>The service provider should also offer a light-touch option for use with groups/delegations of investors and those from “safe” markets (c. Top 20 in Transparency International CPI)</w:t>
            </w:r>
            <w:r w:rsidR="00BD5D34">
              <w:rPr>
                <w:rFonts w:eastAsiaTheme="minorHAnsi" w:cs="Arial"/>
                <w:color w:val="000000" w:themeColor="text1"/>
                <w:sz w:val="22"/>
              </w:rPr>
              <w:t>.</w:t>
            </w:r>
          </w:p>
          <w:p w14:paraId="5D579DDB" w14:textId="77777777" w:rsidR="00BE5D55" w:rsidRPr="00DF392A" w:rsidRDefault="00BE5D55" w:rsidP="00BE5D55">
            <w:pPr>
              <w:spacing w:after="160" w:line="259" w:lineRule="auto"/>
              <w:rPr>
                <w:rFonts w:cs="Arial"/>
                <w:color w:val="000000" w:themeColor="text1"/>
                <w:sz w:val="22"/>
              </w:rPr>
            </w:pPr>
          </w:p>
        </w:tc>
      </w:tr>
    </w:tbl>
    <w:p w14:paraId="5434E47A" w14:textId="77777777" w:rsidR="00BE5D55" w:rsidRPr="00DF392A" w:rsidRDefault="00BE5D55" w:rsidP="00BE5D55">
      <w:pPr>
        <w:spacing w:after="160" w:line="259" w:lineRule="auto"/>
        <w:rPr>
          <w:rFonts w:cs="Arial"/>
          <w:color w:val="000000" w:themeColor="text1"/>
        </w:rPr>
      </w:pPr>
    </w:p>
    <w:p w14:paraId="5DB32D40" w14:textId="38FAEC2F" w:rsidR="00BE5D55" w:rsidRPr="00DF392A" w:rsidRDefault="00BE5D55" w:rsidP="00BE5D55">
      <w:pPr>
        <w:spacing w:after="160" w:line="259" w:lineRule="auto"/>
        <w:rPr>
          <w:rFonts w:cs="Arial"/>
          <w:b/>
          <w:bCs/>
          <w:color w:val="000000" w:themeColor="text1"/>
        </w:rPr>
      </w:pPr>
      <w:r w:rsidRPr="00DF392A">
        <w:rPr>
          <w:rFonts w:cs="Arial"/>
          <w:b/>
          <w:bCs/>
          <w:color w:val="000000" w:themeColor="text1"/>
        </w:rPr>
        <w:t>Company Reports</w:t>
      </w:r>
    </w:p>
    <w:p w14:paraId="7C3D7645" w14:textId="3EACB5FC" w:rsidR="00BE5D55" w:rsidRPr="00DF392A" w:rsidRDefault="00BE5D55" w:rsidP="00BE5D55">
      <w:pPr>
        <w:spacing w:after="160" w:line="259" w:lineRule="auto"/>
        <w:rPr>
          <w:rFonts w:cs="Arial"/>
          <w:color w:val="000000" w:themeColor="text1"/>
          <w:sz w:val="22"/>
        </w:rPr>
      </w:pPr>
      <w:r w:rsidRPr="00DF392A">
        <w:rPr>
          <w:rFonts w:cs="Arial"/>
          <w:color w:val="000000" w:themeColor="text1"/>
          <w:sz w:val="22"/>
        </w:rPr>
        <w:t>Sometimes, reports are needed on companies that are associated with/owned by investors and/or their families. Company reports would be commissioned singularly or in batches as DIT starts working with investors.  Standard reports should include the following, with clear presentation of risks against possible areas of concern:</w:t>
      </w:r>
    </w:p>
    <w:p w14:paraId="5CEF2BE7" w14:textId="7AC8D186" w:rsidR="00BE5D55" w:rsidRPr="00DF392A" w:rsidRDefault="00BE5D55" w:rsidP="00BE5D55">
      <w:pPr>
        <w:pStyle w:val="ListParagraph"/>
        <w:numPr>
          <w:ilvl w:val="0"/>
          <w:numId w:val="19"/>
        </w:numPr>
        <w:spacing w:after="160" w:line="259" w:lineRule="auto"/>
        <w:rPr>
          <w:rFonts w:ascii="Arial" w:hAnsi="Arial" w:cs="Arial"/>
          <w:color w:val="000000" w:themeColor="text1"/>
        </w:rPr>
      </w:pPr>
      <w:r w:rsidRPr="00DF392A">
        <w:rPr>
          <w:rFonts w:ascii="Arial" w:hAnsi="Arial" w:cs="Arial"/>
          <w:color w:val="000000" w:themeColor="text1"/>
        </w:rPr>
        <w:t>General company information</w:t>
      </w:r>
    </w:p>
    <w:p w14:paraId="5E741A0D" w14:textId="42F637D5" w:rsidR="00BE5D55" w:rsidRPr="00DF392A" w:rsidRDefault="00BE5D55" w:rsidP="00BE5D55">
      <w:pPr>
        <w:pStyle w:val="ListParagraph"/>
        <w:numPr>
          <w:ilvl w:val="0"/>
          <w:numId w:val="19"/>
        </w:numPr>
        <w:spacing w:after="160" w:line="259" w:lineRule="auto"/>
        <w:rPr>
          <w:rFonts w:ascii="Arial" w:hAnsi="Arial" w:cs="Arial"/>
          <w:color w:val="000000" w:themeColor="text1"/>
        </w:rPr>
      </w:pPr>
      <w:r w:rsidRPr="00DF392A">
        <w:rPr>
          <w:rFonts w:ascii="Arial" w:hAnsi="Arial" w:cs="Arial"/>
          <w:color w:val="000000" w:themeColor="text1"/>
        </w:rPr>
        <w:t>Beneficial ownership</w:t>
      </w:r>
    </w:p>
    <w:p w14:paraId="27185C76" w14:textId="526D377A" w:rsidR="00BE5D55" w:rsidRPr="00DF392A" w:rsidRDefault="00BE5D55" w:rsidP="00BE5D55">
      <w:pPr>
        <w:pStyle w:val="ListParagraph"/>
        <w:numPr>
          <w:ilvl w:val="0"/>
          <w:numId w:val="19"/>
        </w:numPr>
        <w:spacing w:after="160" w:line="259" w:lineRule="auto"/>
        <w:rPr>
          <w:rFonts w:ascii="Arial" w:hAnsi="Arial" w:cs="Arial"/>
          <w:color w:val="000000" w:themeColor="text1"/>
        </w:rPr>
      </w:pPr>
      <w:r w:rsidRPr="00DF392A">
        <w:rPr>
          <w:rFonts w:ascii="Arial" w:hAnsi="Arial" w:cs="Arial"/>
          <w:color w:val="000000" w:themeColor="text1"/>
        </w:rPr>
        <w:t>Track record and reputation</w:t>
      </w:r>
    </w:p>
    <w:p w14:paraId="6C9FD862" w14:textId="72D437CA" w:rsidR="00BE5D55" w:rsidRPr="00DF392A" w:rsidRDefault="00BE5D55" w:rsidP="00BE5D55">
      <w:pPr>
        <w:pStyle w:val="ListParagraph"/>
        <w:numPr>
          <w:ilvl w:val="0"/>
          <w:numId w:val="19"/>
        </w:numPr>
        <w:spacing w:after="160" w:line="259" w:lineRule="auto"/>
        <w:rPr>
          <w:rFonts w:ascii="Arial" w:hAnsi="Arial" w:cs="Arial"/>
          <w:color w:val="000000" w:themeColor="text1"/>
        </w:rPr>
      </w:pPr>
      <w:r w:rsidRPr="00DF392A">
        <w:rPr>
          <w:rFonts w:ascii="Arial" w:hAnsi="Arial" w:cs="Arial"/>
          <w:color w:val="000000" w:themeColor="text1"/>
        </w:rPr>
        <w:t>Financial standing</w:t>
      </w:r>
    </w:p>
    <w:p w14:paraId="4B3D0650" w14:textId="002A538F" w:rsidR="00BE5D55" w:rsidRPr="00DF392A" w:rsidRDefault="00BE5D55" w:rsidP="00BE5D55">
      <w:pPr>
        <w:pStyle w:val="ListParagraph"/>
        <w:numPr>
          <w:ilvl w:val="0"/>
          <w:numId w:val="19"/>
        </w:numPr>
        <w:spacing w:after="160" w:line="259" w:lineRule="auto"/>
        <w:rPr>
          <w:rFonts w:ascii="Arial" w:hAnsi="Arial" w:cs="Arial"/>
          <w:color w:val="000000" w:themeColor="text1"/>
        </w:rPr>
      </w:pPr>
      <w:r w:rsidRPr="00DF392A">
        <w:rPr>
          <w:rFonts w:ascii="Arial" w:hAnsi="Arial" w:cs="Arial"/>
          <w:color w:val="000000" w:themeColor="text1"/>
        </w:rPr>
        <w:t>Regulatory standing and litigation</w:t>
      </w:r>
    </w:p>
    <w:p w14:paraId="7F27F550" w14:textId="009C1DA8" w:rsidR="00BE5D55" w:rsidRPr="00DF392A" w:rsidRDefault="00BE5D55" w:rsidP="00BE5D55">
      <w:pPr>
        <w:pStyle w:val="ListParagraph"/>
        <w:numPr>
          <w:ilvl w:val="0"/>
          <w:numId w:val="19"/>
        </w:numPr>
        <w:spacing w:after="160" w:line="259" w:lineRule="auto"/>
        <w:rPr>
          <w:rFonts w:ascii="Arial" w:hAnsi="Arial" w:cs="Arial"/>
          <w:color w:val="000000" w:themeColor="text1"/>
        </w:rPr>
      </w:pPr>
      <w:r w:rsidRPr="00DF392A">
        <w:rPr>
          <w:rFonts w:ascii="Arial" w:hAnsi="Arial" w:cs="Arial"/>
          <w:color w:val="000000" w:themeColor="text1"/>
        </w:rPr>
        <w:t>Political exposure</w:t>
      </w:r>
    </w:p>
    <w:p w14:paraId="3AFAFE7E" w14:textId="23514A4C" w:rsidR="00BE5D55" w:rsidRPr="00DF392A" w:rsidRDefault="00BE5D55" w:rsidP="00BE5D55">
      <w:pPr>
        <w:pStyle w:val="ListParagraph"/>
        <w:numPr>
          <w:ilvl w:val="0"/>
          <w:numId w:val="19"/>
        </w:numPr>
        <w:spacing w:after="160" w:line="259" w:lineRule="auto"/>
        <w:rPr>
          <w:rFonts w:ascii="Arial" w:hAnsi="Arial" w:cs="Arial"/>
          <w:color w:val="000000" w:themeColor="text1"/>
        </w:rPr>
      </w:pPr>
      <w:r w:rsidRPr="00DF392A">
        <w:rPr>
          <w:rFonts w:ascii="Arial" w:hAnsi="Arial" w:cs="Arial"/>
          <w:color w:val="000000" w:themeColor="text1"/>
        </w:rPr>
        <w:t>Sanctions list</w:t>
      </w:r>
    </w:p>
    <w:p w14:paraId="4A01E823" w14:textId="7156A051" w:rsidR="00BE5D55" w:rsidRPr="00DF392A" w:rsidRDefault="00BE5D55" w:rsidP="00BE5D55">
      <w:pPr>
        <w:pStyle w:val="ListParagraph"/>
        <w:numPr>
          <w:ilvl w:val="0"/>
          <w:numId w:val="19"/>
        </w:numPr>
        <w:spacing w:after="160" w:line="259" w:lineRule="auto"/>
        <w:rPr>
          <w:rFonts w:ascii="Arial" w:hAnsi="Arial" w:cs="Arial"/>
          <w:color w:val="000000" w:themeColor="text1"/>
        </w:rPr>
      </w:pPr>
      <w:r w:rsidRPr="00DF392A">
        <w:rPr>
          <w:rFonts w:ascii="Arial" w:hAnsi="Arial" w:cs="Arial"/>
          <w:color w:val="000000" w:themeColor="text1"/>
        </w:rPr>
        <w:t>Principals</w:t>
      </w:r>
    </w:p>
    <w:p w14:paraId="35CD500B" w14:textId="77777777" w:rsidR="00BE5D55" w:rsidRPr="00DF392A" w:rsidRDefault="00BE5D55" w:rsidP="00BE5D55">
      <w:pPr>
        <w:spacing w:after="160" w:line="259" w:lineRule="auto"/>
        <w:rPr>
          <w:rFonts w:cs="Arial"/>
          <w:color w:val="000000" w:themeColor="text1"/>
        </w:rPr>
      </w:pPr>
    </w:p>
    <w:p w14:paraId="16FC6886" w14:textId="77777777" w:rsidR="00BE5D55" w:rsidRPr="00DF392A" w:rsidRDefault="00BE5D55" w:rsidP="00BE5D55">
      <w:pPr>
        <w:spacing w:after="160" w:line="259" w:lineRule="auto"/>
        <w:rPr>
          <w:rFonts w:cs="Arial"/>
          <w:color w:val="000000" w:themeColor="text1"/>
          <w:sz w:val="22"/>
          <w:szCs w:val="20"/>
        </w:rPr>
      </w:pPr>
    </w:p>
    <w:p w14:paraId="50C95E64" w14:textId="3CD4C4FF" w:rsidR="00BE5D55" w:rsidRPr="00DF392A" w:rsidRDefault="00BE5D55" w:rsidP="00BE5D55">
      <w:pPr>
        <w:spacing w:after="160" w:line="259" w:lineRule="auto"/>
        <w:rPr>
          <w:rFonts w:cs="Arial"/>
          <w:b/>
          <w:bCs/>
          <w:color w:val="000000" w:themeColor="text1"/>
        </w:rPr>
      </w:pPr>
      <w:r w:rsidRPr="00DF392A">
        <w:rPr>
          <w:rFonts w:cs="Arial"/>
          <w:b/>
          <w:bCs/>
          <w:color w:val="000000" w:themeColor="text1"/>
        </w:rPr>
        <w:t>Digital Platform</w:t>
      </w:r>
    </w:p>
    <w:p w14:paraId="21EDEF1A" w14:textId="77777777" w:rsidR="00BE5D55" w:rsidRPr="00DF392A" w:rsidRDefault="00BE5D55" w:rsidP="00BE5D55">
      <w:pPr>
        <w:spacing w:after="160" w:line="259" w:lineRule="auto"/>
        <w:rPr>
          <w:rFonts w:cs="Arial"/>
          <w:sz w:val="22"/>
          <w:lang w:val="en-US"/>
        </w:rPr>
      </w:pPr>
      <w:r w:rsidRPr="00DF392A">
        <w:rPr>
          <w:rFonts w:cs="Arial"/>
          <w:sz w:val="22"/>
          <w:lang w:val="en-US"/>
        </w:rPr>
        <w:t xml:space="preserve">A digital platform is needed to ensure that ‘Stage 1’ of Growth Capital’s due diligence process is completed. Stage 1 covers initial screening of investors before a detailed report is commissioned from the supplier. This digital platform will also be used to cover due diligence on UK opportunities/companies presented by Growth Capital to investors. </w:t>
      </w:r>
    </w:p>
    <w:p w14:paraId="4996314B" w14:textId="0F331DA9" w:rsidR="00BE5D55" w:rsidRDefault="00BE5D55" w:rsidP="00BE5D55">
      <w:pPr>
        <w:spacing w:after="160" w:line="259" w:lineRule="auto"/>
        <w:rPr>
          <w:rFonts w:cs="Arial"/>
          <w:color w:val="000000" w:themeColor="text1"/>
          <w:sz w:val="22"/>
          <w:szCs w:val="20"/>
        </w:rPr>
      </w:pPr>
    </w:p>
    <w:p w14:paraId="3705A5E6" w14:textId="77777777" w:rsidR="00DC07FE" w:rsidRPr="00DF392A" w:rsidRDefault="00DC07FE" w:rsidP="00BE5D55">
      <w:pPr>
        <w:spacing w:after="160" w:line="259" w:lineRule="auto"/>
        <w:rPr>
          <w:rFonts w:cs="Arial"/>
          <w:color w:val="000000" w:themeColor="text1"/>
          <w:sz w:val="22"/>
          <w:szCs w:val="20"/>
        </w:rPr>
      </w:pPr>
    </w:p>
    <w:p w14:paraId="59709A5C" w14:textId="59F364A9" w:rsidR="00DC07FE" w:rsidRPr="00DF392A" w:rsidRDefault="00DC07FE" w:rsidP="00DC07FE">
      <w:pPr>
        <w:spacing w:before="0" w:after="160" w:line="259" w:lineRule="auto"/>
        <w:rPr>
          <w:rFonts w:eastAsiaTheme="minorHAnsi" w:cs="Arial"/>
          <w:color w:val="000000" w:themeColor="text1"/>
          <w:sz w:val="22"/>
        </w:rPr>
      </w:pPr>
      <w:commentRangeStart w:id="1"/>
      <w:commentRangeEnd w:id="1"/>
      <w:r w:rsidRPr="00DC07FE">
        <w:rPr>
          <w:rFonts w:eastAsiaTheme="minorHAnsi" w:cs="Arial"/>
          <w:b/>
          <w:bCs/>
          <w:color w:val="C00000"/>
          <w:sz w:val="28"/>
          <w:szCs w:val="28"/>
        </w:rPr>
        <w:t xml:space="preserve"> </w:t>
      </w:r>
      <w:r>
        <w:rPr>
          <w:rFonts w:eastAsiaTheme="minorHAnsi" w:cs="Arial"/>
          <w:b/>
          <w:bCs/>
          <w:color w:val="C00000"/>
          <w:sz w:val="28"/>
          <w:szCs w:val="28"/>
        </w:rPr>
        <w:t>Indicative KPI</w:t>
      </w:r>
      <w:r w:rsidRPr="00DF392A">
        <w:rPr>
          <w:rFonts w:eastAsiaTheme="minorHAnsi" w:cs="Arial"/>
          <w:b/>
          <w:bCs/>
          <w:color w:val="C00000"/>
          <w:sz w:val="28"/>
          <w:szCs w:val="28"/>
        </w:rPr>
        <w:t>s</w:t>
      </w:r>
    </w:p>
    <w:tbl>
      <w:tblPr>
        <w:tblStyle w:val="Table3"/>
        <w:tblW w:w="11340" w:type="dxa"/>
        <w:tblInd w:w="-1124" w:type="dxa"/>
        <w:tblBorders>
          <w:insideH w:val="single" w:sz="4" w:space="0" w:color="C00000"/>
          <w:insideV w:val="single" w:sz="4" w:space="0" w:color="C00000"/>
        </w:tblBorders>
        <w:tblLook w:val="04A0" w:firstRow="1" w:lastRow="0" w:firstColumn="1" w:lastColumn="0" w:noHBand="0" w:noVBand="1"/>
      </w:tblPr>
      <w:tblGrid>
        <w:gridCol w:w="1325"/>
        <w:gridCol w:w="3129"/>
        <w:gridCol w:w="2619"/>
        <w:gridCol w:w="1779"/>
        <w:gridCol w:w="1232"/>
        <w:gridCol w:w="152"/>
        <w:gridCol w:w="1104"/>
      </w:tblGrid>
      <w:tr w:rsidR="0061736F" w14:paraId="697ED623" w14:textId="77777777" w:rsidTr="00BD5D34">
        <w:trPr>
          <w:cnfStyle w:val="100000000000" w:firstRow="1" w:lastRow="0" w:firstColumn="0" w:lastColumn="0" w:oddVBand="0" w:evenVBand="0" w:oddHBand="0" w:evenHBand="0" w:firstRowFirstColumn="0" w:firstRowLastColumn="0" w:lastRowFirstColumn="0" w:lastRowLastColumn="0"/>
        </w:trPr>
        <w:tc>
          <w:tcPr>
            <w:tcW w:w="1325" w:type="dxa"/>
            <w:tcBorders>
              <w:top w:val="single" w:sz="4" w:space="0" w:color="auto"/>
              <w:left w:val="single" w:sz="4" w:space="0" w:color="auto"/>
              <w:bottom w:val="single" w:sz="4" w:space="0" w:color="auto"/>
              <w:right w:val="single" w:sz="4" w:space="0" w:color="auto"/>
            </w:tcBorders>
          </w:tcPr>
          <w:p w14:paraId="0C17B388" w14:textId="77777777" w:rsidR="0061736F" w:rsidRDefault="0061736F" w:rsidP="00CB2037">
            <w:pPr>
              <w:pStyle w:val="Bulletpoints"/>
              <w:numPr>
                <w:ilvl w:val="0"/>
                <w:numId w:val="0"/>
              </w:numPr>
            </w:pPr>
            <w:r>
              <w:t>Metric</w:t>
            </w:r>
          </w:p>
        </w:tc>
        <w:tc>
          <w:tcPr>
            <w:tcW w:w="3129" w:type="dxa"/>
            <w:tcBorders>
              <w:top w:val="single" w:sz="4" w:space="0" w:color="auto"/>
              <w:left w:val="single" w:sz="4" w:space="0" w:color="auto"/>
              <w:bottom w:val="single" w:sz="4" w:space="0" w:color="auto"/>
              <w:right w:val="single" w:sz="4" w:space="0" w:color="auto"/>
            </w:tcBorders>
          </w:tcPr>
          <w:p w14:paraId="044F1088" w14:textId="77777777" w:rsidR="0061736F" w:rsidRDefault="0061736F" w:rsidP="00CB2037">
            <w:pPr>
              <w:pStyle w:val="Bulletpoints"/>
              <w:numPr>
                <w:ilvl w:val="0"/>
                <w:numId w:val="0"/>
              </w:numPr>
            </w:pPr>
            <w:r>
              <w:t>KPI</w:t>
            </w:r>
          </w:p>
        </w:tc>
        <w:tc>
          <w:tcPr>
            <w:tcW w:w="2619" w:type="dxa"/>
            <w:tcBorders>
              <w:top w:val="single" w:sz="4" w:space="0" w:color="auto"/>
              <w:left w:val="single" w:sz="4" w:space="0" w:color="auto"/>
              <w:bottom w:val="single" w:sz="4" w:space="0" w:color="auto"/>
              <w:right w:val="single" w:sz="4" w:space="0" w:color="auto"/>
            </w:tcBorders>
          </w:tcPr>
          <w:p w14:paraId="7BF107F2" w14:textId="77777777" w:rsidR="0061736F" w:rsidRDefault="0061736F" w:rsidP="00CB2037">
            <w:pPr>
              <w:pStyle w:val="Bulletpoints"/>
              <w:numPr>
                <w:ilvl w:val="0"/>
                <w:numId w:val="0"/>
              </w:numPr>
            </w:pPr>
            <w:r>
              <w:t>What information is required to measure this KPI?</w:t>
            </w:r>
          </w:p>
          <w:p w14:paraId="0D956843" w14:textId="27BF962D" w:rsidR="0061736F" w:rsidRDefault="0061736F" w:rsidP="00CB2037">
            <w:pPr>
              <w:pStyle w:val="Bulletpoints"/>
              <w:numPr>
                <w:ilvl w:val="0"/>
                <w:numId w:val="0"/>
              </w:numPr>
            </w:pPr>
            <w:r>
              <w:t>How will the KPI be measured?</w:t>
            </w:r>
          </w:p>
        </w:tc>
        <w:tc>
          <w:tcPr>
            <w:tcW w:w="1779" w:type="dxa"/>
            <w:tcBorders>
              <w:top w:val="single" w:sz="4" w:space="0" w:color="auto"/>
              <w:left w:val="single" w:sz="4" w:space="0" w:color="auto"/>
              <w:bottom w:val="single" w:sz="4" w:space="0" w:color="auto"/>
              <w:right w:val="single" w:sz="4" w:space="0" w:color="auto"/>
            </w:tcBorders>
          </w:tcPr>
          <w:p w14:paraId="37CD81EC" w14:textId="77777777" w:rsidR="0061736F" w:rsidRDefault="0061736F" w:rsidP="00CB2037">
            <w:pPr>
              <w:pStyle w:val="Bulletpoints"/>
              <w:numPr>
                <w:ilvl w:val="0"/>
                <w:numId w:val="0"/>
              </w:numPr>
            </w:pPr>
            <w:r>
              <w:t>Red</w:t>
            </w:r>
          </w:p>
        </w:tc>
        <w:tc>
          <w:tcPr>
            <w:tcW w:w="1232" w:type="dxa"/>
            <w:tcBorders>
              <w:top w:val="single" w:sz="4" w:space="0" w:color="auto"/>
              <w:left w:val="single" w:sz="4" w:space="0" w:color="auto"/>
              <w:bottom w:val="single" w:sz="4" w:space="0" w:color="auto"/>
              <w:right w:val="single" w:sz="4" w:space="0" w:color="auto"/>
            </w:tcBorders>
          </w:tcPr>
          <w:p w14:paraId="61FDFB52" w14:textId="77777777" w:rsidR="0061736F" w:rsidRDefault="0061736F" w:rsidP="00CB2037">
            <w:pPr>
              <w:pStyle w:val="Bulletpoints"/>
              <w:numPr>
                <w:ilvl w:val="0"/>
                <w:numId w:val="0"/>
              </w:numPr>
            </w:pPr>
            <w:r>
              <w:t xml:space="preserve">Amber </w:t>
            </w:r>
          </w:p>
        </w:tc>
        <w:tc>
          <w:tcPr>
            <w:tcW w:w="1256" w:type="dxa"/>
            <w:gridSpan w:val="2"/>
            <w:tcBorders>
              <w:top w:val="single" w:sz="4" w:space="0" w:color="auto"/>
              <w:left w:val="single" w:sz="4" w:space="0" w:color="auto"/>
              <w:bottom w:val="single" w:sz="4" w:space="0" w:color="auto"/>
              <w:right w:val="single" w:sz="4" w:space="0" w:color="auto"/>
            </w:tcBorders>
          </w:tcPr>
          <w:p w14:paraId="679F68A8" w14:textId="77777777" w:rsidR="0061736F" w:rsidRDefault="0061736F" w:rsidP="00CB2037">
            <w:pPr>
              <w:pStyle w:val="Bulletpoints"/>
              <w:numPr>
                <w:ilvl w:val="0"/>
                <w:numId w:val="0"/>
              </w:numPr>
            </w:pPr>
            <w:r>
              <w:t>Green</w:t>
            </w:r>
          </w:p>
        </w:tc>
      </w:tr>
      <w:tr w:rsidR="0061736F" w14:paraId="40DE5415" w14:textId="77777777" w:rsidTr="00BD5D34">
        <w:trPr>
          <w:trHeight w:val="4706"/>
        </w:trPr>
        <w:tc>
          <w:tcPr>
            <w:tcW w:w="1325" w:type="dxa"/>
            <w:tcBorders>
              <w:top w:val="single" w:sz="4" w:space="0" w:color="auto"/>
            </w:tcBorders>
          </w:tcPr>
          <w:p w14:paraId="045B9A65" w14:textId="77777777" w:rsidR="0061736F" w:rsidRDefault="0061736F" w:rsidP="00CB2037">
            <w:pPr>
              <w:pStyle w:val="Bulletpoints"/>
              <w:numPr>
                <w:ilvl w:val="0"/>
                <w:numId w:val="0"/>
              </w:numPr>
            </w:pPr>
            <w:r>
              <w:t>Delivery</w:t>
            </w:r>
          </w:p>
        </w:tc>
        <w:tc>
          <w:tcPr>
            <w:tcW w:w="3129" w:type="dxa"/>
            <w:tcBorders>
              <w:top w:val="single" w:sz="4" w:space="0" w:color="auto"/>
            </w:tcBorders>
          </w:tcPr>
          <w:p w14:paraId="493EBF2D" w14:textId="77777777" w:rsidR="0061736F" w:rsidRPr="006F17E5" w:rsidRDefault="0061736F" w:rsidP="00CB2037">
            <w:pPr>
              <w:pStyle w:val="Bulletpoints"/>
              <w:numPr>
                <w:ilvl w:val="0"/>
                <w:numId w:val="0"/>
              </w:numPr>
              <w:rPr>
                <w:rFonts w:cs="Arial"/>
              </w:rPr>
            </w:pPr>
            <w:r w:rsidRPr="006F17E5">
              <w:rPr>
                <w:rFonts w:cs="Arial"/>
              </w:rPr>
              <w:t xml:space="preserve">Urgent overview reports to be sent to DIT within five (5) working days of DIT issuing the request. </w:t>
            </w:r>
          </w:p>
          <w:p w14:paraId="0738FAD1" w14:textId="77777777" w:rsidR="0061736F" w:rsidRPr="006F17E5" w:rsidRDefault="0061736F" w:rsidP="00CB2037">
            <w:pPr>
              <w:pStyle w:val="Bulletpoints"/>
              <w:numPr>
                <w:ilvl w:val="0"/>
                <w:numId w:val="0"/>
              </w:numPr>
              <w:rPr>
                <w:rFonts w:cs="Arial"/>
              </w:rPr>
            </w:pPr>
            <w:r w:rsidRPr="006F17E5">
              <w:rPr>
                <w:rFonts w:cs="Arial"/>
              </w:rPr>
              <w:t xml:space="preserve">Non urgent overview reports sent to DIT within ten (10) working days of DIT issuing the request. </w:t>
            </w:r>
          </w:p>
          <w:p w14:paraId="2FFAD2C2" w14:textId="77777777" w:rsidR="0061736F" w:rsidRPr="006F17E5" w:rsidRDefault="0061736F" w:rsidP="00CB2037">
            <w:pPr>
              <w:pStyle w:val="Bulletpoints"/>
              <w:numPr>
                <w:ilvl w:val="0"/>
                <w:numId w:val="0"/>
              </w:numPr>
              <w:rPr>
                <w:rFonts w:cs="Arial"/>
              </w:rPr>
            </w:pPr>
            <w:r w:rsidRPr="006F17E5">
              <w:rPr>
                <w:rFonts w:cs="Arial"/>
              </w:rPr>
              <w:t xml:space="preserve">Following receipt of the overview report DIT may request further detail. This should be completed within five (5) working days of DIT issuing the request. </w:t>
            </w:r>
          </w:p>
          <w:p w14:paraId="4474241C" w14:textId="77777777" w:rsidR="0061736F" w:rsidRPr="006F17E5" w:rsidRDefault="0061736F" w:rsidP="00CB2037">
            <w:pPr>
              <w:pStyle w:val="Bulletpoints"/>
              <w:numPr>
                <w:ilvl w:val="0"/>
                <w:numId w:val="0"/>
              </w:numPr>
              <w:rPr>
                <w:rFonts w:cs="Arial"/>
              </w:rPr>
            </w:pPr>
            <w:r w:rsidRPr="006F17E5">
              <w:rPr>
                <w:rFonts w:cs="Arial"/>
              </w:rPr>
              <w:t xml:space="preserve">Light touch requests to be completed within five (5) working days of receipt, unless part of a bulk group of light touch requests where flexibility will be given according to number of requests. </w:t>
            </w:r>
          </w:p>
          <w:p w14:paraId="369A1286" w14:textId="77777777" w:rsidR="0061736F" w:rsidRPr="006F17E5" w:rsidRDefault="0061736F" w:rsidP="00CB2037">
            <w:pPr>
              <w:pStyle w:val="Bulletpoints"/>
              <w:numPr>
                <w:ilvl w:val="0"/>
                <w:numId w:val="0"/>
              </w:numPr>
              <w:rPr>
                <w:rFonts w:cs="Arial"/>
                <w:u w:val="single"/>
              </w:rPr>
            </w:pPr>
            <w:r w:rsidRPr="006F17E5">
              <w:rPr>
                <w:rFonts w:cs="Arial"/>
                <w:u w:val="single"/>
              </w:rPr>
              <w:t xml:space="preserve">Digital Platform </w:t>
            </w:r>
          </w:p>
          <w:p w14:paraId="4FC57C0A" w14:textId="77777777" w:rsidR="0061736F" w:rsidRPr="006F17E5" w:rsidRDefault="0061736F" w:rsidP="00CB2037">
            <w:pPr>
              <w:pStyle w:val="Bulletpoints"/>
              <w:numPr>
                <w:ilvl w:val="0"/>
                <w:numId w:val="0"/>
              </w:numPr>
              <w:rPr>
                <w:rFonts w:cs="Arial"/>
              </w:rPr>
            </w:pPr>
            <w:r w:rsidRPr="006F17E5">
              <w:rPr>
                <w:rFonts w:cs="Arial"/>
              </w:rPr>
              <w:lastRenderedPageBreak/>
              <w:t xml:space="preserve">Instant reports to be produced based on platform data. </w:t>
            </w:r>
          </w:p>
          <w:p w14:paraId="663471E8" w14:textId="77777777" w:rsidR="0061736F" w:rsidRPr="006F17E5" w:rsidRDefault="0061736F" w:rsidP="00CB2037">
            <w:pPr>
              <w:pStyle w:val="Bulletpoints"/>
              <w:numPr>
                <w:ilvl w:val="0"/>
                <w:numId w:val="0"/>
              </w:numPr>
              <w:rPr>
                <w:rFonts w:cs="Arial"/>
              </w:rPr>
            </w:pPr>
          </w:p>
          <w:p w14:paraId="0502CF2A" w14:textId="77777777" w:rsidR="0061736F" w:rsidRPr="006F17E5" w:rsidRDefault="0061736F" w:rsidP="00CB2037">
            <w:pPr>
              <w:pStyle w:val="Bulletpoints"/>
              <w:numPr>
                <w:ilvl w:val="0"/>
                <w:numId w:val="0"/>
              </w:numPr>
              <w:rPr>
                <w:rFonts w:cs="Arial"/>
              </w:rPr>
            </w:pPr>
            <w:r w:rsidRPr="006F17E5">
              <w:rPr>
                <w:rFonts w:cs="Arial"/>
              </w:rPr>
              <w:t xml:space="preserve">Installation and training of platform to be completed within agreed timeframe between supplier and the department. </w:t>
            </w:r>
          </w:p>
          <w:p w14:paraId="57D237BA" w14:textId="77777777" w:rsidR="0061736F" w:rsidRPr="006F17E5" w:rsidRDefault="0061736F" w:rsidP="00CB2037">
            <w:pPr>
              <w:pStyle w:val="Bulletpoints"/>
              <w:numPr>
                <w:ilvl w:val="0"/>
                <w:numId w:val="0"/>
              </w:numPr>
              <w:rPr>
                <w:rFonts w:cs="Arial"/>
              </w:rPr>
            </w:pPr>
          </w:p>
          <w:p w14:paraId="3136F891" w14:textId="4712D4A9" w:rsidR="0061736F" w:rsidRPr="006F17E5" w:rsidRDefault="0061736F" w:rsidP="00BD5D34">
            <w:pPr>
              <w:pStyle w:val="Bulletpoints"/>
              <w:numPr>
                <w:ilvl w:val="0"/>
                <w:numId w:val="0"/>
              </w:numPr>
              <w:rPr>
                <w:rFonts w:cs="Arial"/>
              </w:rPr>
            </w:pPr>
            <w:r w:rsidRPr="006F17E5">
              <w:rPr>
                <w:rFonts w:cs="Arial"/>
              </w:rPr>
              <w:t xml:space="preserve">Online help and support to be available at least 5 days a week with response times under 24 hours. </w:t>
            </w:r>
          </w:p>
        </w:tc>
        <w:tc>
          <w:tcPr>
            <w:tcW w:w="2619" w:type="dxa"/>
            <w:tcBorders>
              <w:top w:val="single" w:sz="4" w:space="0" w:color="auto"/>
            </w:tcBorders>
          </w:tcPr>
          <w:p w14:paraId="15EE9597" w14:textId="77777777" w:rsidR="0061736F" w:rsidRDefault="0061736F" w:rsidP="00CB2037">
            <w:pPr>
              <w:pStyle w:val="Bulletpoints"/>
              <w:numPr>
                <w:ilvl w:val="0"/>
                <w:numId w:val="0"/>
              </w:numPr>
            </w:pPr>
            <w:r>
              <w:lastRenderedPageBreak/>
              <w:t xml:space="preserve">Report handling statistics to be produced within five (5) working days of the end of each month. </w:t>
            </w:r>
          </w:p>
          <w:p w14:paraId="7CED77F3" w14:textId="77777777" w:rsidR="0061736F" w:rsidRDefault="0061736F" w:rsidP="00CB2037">
            <w:pPr>
              <w:pStyle w:val="Bulletpoints"/>
              <w:numPr>
                <w:ilvl w:val="0"/>
                <w:numId w:val="0"/>
              </w:numPr>
            </w:pPr>
          </w:p>
          <w:p w14:paraId="5A6D4FAD" w14:textId="3D1FAB06" w:rsidR="0061736F" w:rsidRDefault="0061736F" w:rsidP="00CB2037">
            <w:pPr>
              <w:pStyle w:val="Bulletpoints"/>
              <w:numPr>
                <w:ilvl w:val="0"/>
                <w:numId w:val="0"/>
              </w:numPr>
            </w:pPr>
            <w:r>
              <w:t>These statistics</w:t>
            </w:r>
            <w:r>
              <w:t xml:space="preserve"> will be reviewed at the contract management meeting.</w:t>
            </w:r>
          </w:p>
        </w:tc>
        <w:tc>
          <w:tcPr>
            <w:tcW w:w="1779" w:type="dxa"/>
            <w:tcBorders>
              <w:top w:val="single" w:sz="4" w:space="0" w:color="auto"/>
            </w:tcBorders>
          </w:tcPr>
          <w:p w14:paraId="2E967B7D" w14:textId="77777777" w:rsidR="0061736F" w:rsidRDefault="0061736F" w:rsidP="00CB2037">
            <w:pPr>
              <w:pStyle w:val="Bulletpoints"/>
              <w:numPr>
                <w:ilvl w:val="0"/>
                <w:numId w:val="0"/>
              </w:numPr>
            </w:pPr>
            <w:r>
              <w:t xml:space="preserve">80% of light touch requests to be completed within 10 working days of receipt. </w:t>
            </w:r>
          </w:p>
          <w:p w14:paraId="5E0C2381" w14:textId="77777777" w:rsidR="0061736F" w:rsidRDefault="0061736F" w:rsidP="00CB2037">
            <w:pPr>
              <w:pStyle w:val="Bulletpoints"/>
              <w:numPr>
                <w:ilvl w:val="0"/>
                <w:numId w:val="0"/>
              </w:numPr>
              <w:ind w:left="360"/>
            </w:pPr>
          </w:p>
          <w:p w14:paraId="12BAF571" w14:textId="77777777" w:rsidR="0061736F" w:rsidRDefault="0061736F" w:rsidP="00CB2037">
            <w:pPr>
              <w:pStyle w:val="Bulletpoints"/>
              <w:numPr>
                <w:ilvl w:val="0"/>
                <w:numId w:val="0"/>
              </w:numPr>
            </w:pPr>
            <w:r>
              <w:t xml:space="preserve">80% of light touch group requests to be completed within their agreed timescale. </w:t>
            </w:r>
          </w:p>
          <w:p w14:paraId="2966A0E8" w14:textId="1366872F" w:rsidR="0061736F" w:rsidRDefault="0061736F" w:rsidP="00CB2037">
            <w:pPr>
              <w:pStyle w:val="Bulletpoints"/>
              <w:numPr>
                <w:ilvl w:val="0"/>
                <w:numId w:val="0"/>
              </w:numPr>
            </w:pPr>
            <w:r>
              <w:t xml:space="preserve">80% of </w:t>
            </w:r>
            <w:r>
              <w:t>non-urgent</w:t>
            </w:r>
            <w:r>
              <w:t xml:space="preserve"> reports completed within 10 working days of issue. </w:t>
            </w:r>
          </w:p>
          <w:p w14:paraId="6137A83D" w14:textId="77777777" w:rsidR="0061736F" w:rsidRDefault="0061736F" w:rsidP="00CB2037">
            <w:pPr>
              <w:pStyle w:val="Bulletpoints"/>
              <w:numPr>
                <w:ilvl w:val="0"/>
                <w:numId w:val="0"/>
              </w:numPr>
            </w:pPr>
          </w:p>
          <w:p w14:paraId="2F3E22B3" w14:textId="77777777" w:rsidR="0061736F" w:rsidRDefault="0061736F" w:rsidP="00CB2037">
            <w:pPr>
              <w:pStyle w:val="Bulletpoints"/>
              <w:numPr>
                <w:ilvl w:val="0"/>
                <w:numId w:val="0"/>
              </w:numPr>
            </w:pPr>
            <w:r>
              <w:t xml:space="preserve">90% of urgent reports completed </w:t>
            </w:r>
            <w:r>
              <w:lastRenderedPageBreak/>
              <w:t>within 5 working days of issue.</w:t>
            </w:r>
          </w:p>
          <w:p w14:paraId="7DC5EE23" w14:textId="77777777" w:rsidR="0061736F" w:rsidRDefault="0061736F" w:rsidP="00CB2037">
            <w:pPr>
              <w:pStyle w:val="Bulletpoints"/>
              <w:numPr>
                <w:ilvl w:val="0"/>
                <w:numId w:val="0"/>
              </w:numPr>
            </w:pPr>
          </w:p>
        </w:tc>
        <w:tc>
          <w:tcPr>
            <w:tcW w:w="1232" w:type="dxa"/>
            <w:tcBorders>
              <w:top w:val="single" w:sz="4" w:space="0" w:color="auto"/>
            </w:tcBorders>
          </w:tcPr>
          <w:p w14:paraId="2D4DAF00" w14:textId="77777777" w:rsidR="0061736F" w:rsidRDefault="0061736F" w:rsidP="00CB2037">
            <w:pPr>
              <w:pStyle w:val="Bulletpoints"/>
              <w:numPr>
                <w:ilvl w:val="0"/>
                <w:numId w:val="0"/>
              </w:numPr>
            </w:pPr>
            <w:r>
              <w:lastRenderedPageBreak/>
              <w:t xml:space="preserve">90% of light touch requests to be completed within 10 working days of receipt. </w:t>
            </w:r>
          </w:p>
          <w:p w14:paraId="183F5743" w14:textId="77777777" w:rsidR="0061736F" w:rsidRDefault="0061736F" w:rsidP="00CB2037">
            <w:pPr>
              <w:pStyle w:val="Bulletpoints"/>
              <w:numPr>
                <w:ilvl w:val="0"/>
                <w:numId w:val="0"/>
              </w:numPr>
              <w:ind w:left="360"/>
            </w:pPr>
          </w:p>
          <w:p w14:paraId="51036B06" w14:textId="77777777" w:rsidR="0061736F" w:rsidRDefault="0061736F" w:rsidP="00CB2037">
            <w:pPr>
              <w:pStyle w:val="Bulletpoints"/>
              <w:numPr>
                <w:ilvl w:val="0"/>
                <w:numId w:val="0"/>
              </w:numPr>
            </w:pPr>
            <w:r>
              <w:t xml:space="preserve">90% of light touch group requests to be completed within their agreed timescale. </w:t>
            </w:r>
          </w:p>
          <w:p w14:paraId="0B2D9C2D" w14:textId="08FFD19E" w:rsidR="0061736F" w:rsidRDefault="0061736F" w:rsidP="00CB2037">
            <w:pPr>
              <w:pStyle w:val="Bulletpoints"/>
              <w:numPr>
                <w:ilvl w:val="0"/>
                <w:numId w:val="0"/>
              </w:numPr>
            </w:pPr>
            <w:r>
              <w:t xml:space="preserve">90% of </w:t>
            </w:r>
            <w:r>
              <w:t>non-urgent</w:t>
            </w:r>
            <w:r>
              <w:t xml:space="preserve"> reports completed within 10 </w:t>
            </w:r>
            <w:r>
              <w:lastRenderedPageBreak/>
              <w:t xml:space="preserve">working days of issue. </w:t>
            </w:r>
          </w:p>
          <w:p w14:paraId="6FCD1966" w14:textId="77777777" w:rsidR="0061736F" w:rsidRDefault="0061736F" w:rsidP="00CB2037">
            <w:pPr>
              <w:pStyle w:val="Bulletpoints"/>
              <w:numPr>
                <w:ilvl w:val="0"/>
                <w:numId w:val="0"/>
              </w:numPr>
            </w:pPr>
          </w:p>
          <w:p w14:paraId="2A5460F5" w14:textId="77777777" w:rsidR="0061736F" w:rsidRDefault="0061736F" w:rsidP="00CB2037">
            <w:pPr>
              <w:pStyle w:val="Bulletpoints"/>
              <w:numPr>
                <w:ilvl w:val="0"/>
                <w:numId w:val="0"/>
              </w:numPr>
            </w:pPr>
            <w:r>
              <w:t>100% of urgent reports completed within 5 working days of issue.</w:t>
            </w:r>
          </w:p>
          <w:p w14:paraId="02185712" w14:textId="77777777" w:rsidR="0061736F" w:rsidRDefault="0061736F" w:rsidP="00CB2037">
            <w:pPr>
              <w:pStyle w:val="Bulletpoints"/>
              <w:numPr>
                <w:ilvl w:val="0"/>
                <w:numId w:val="0"/>
              </w:numPr>
            </w:pPr>
          </w:p>
        </w:tc>
        <w:tc>
          <w:tcPr>
            <w:tcW w:w="1256" w:type="dxa"/>
            <w:gridSpan w:val="2"/>
            <w:tcBorders>
              <w:top w:val="single" w:sz="4" w:space="0" w:color="auto"/>
            </w:tcBorders>
          </w:tcPr>
          <w:p w14:paraId="7AD10CA0" w14:textId="77777777" w:rsidR="0061736F" w:rsidRDefault="0061736F" w:rsidP="00CB2037">
            <w:pPr>
              <w:pStyle w:val="Bulletpoints"/>
              <w:numPr>
                <w:ilvl w:val="0"/>
                <w:numId w:val="0"/>
              </w:numPr>
            </w:pPr>
            <w:r>
              <w:lastRenderedPageBreak/>
              <w:t>100% of all reports completed within their allocated time frames.</w:t>
            </w:r>
          </w:p>
        </w:tc>
      </w:tr>
      <w:tr w:rsidR="0061736F" w14:paraId="7084AD8E" w14:textId="77777777" w:rsidTr="00BD5D34">
        <w:tc>
          <w:tcPr>
            <w:tcW w:w="1325" w:type="dxa"/>
          </w:tcPr>
          <w:p w14:paraId="2C4C8112" w14:textId="77777777" w:rsidR="0061736F" w:rsidRDefault="0061736F" w:rsidP="00CB2037">
            <w:pPr>
              <w:pStyle w:val="Bulletpoints"/>
              <w:numPr>
                <w:ilvl w:val="0"/>
                <w:numId w:val="0"/>
              </w:numPr>
            </w:pPr>
            <w:r>
              <w:t xml:space="preserve">Quality </w:t>
            </w:r>
          </w:p>
        </w:tc>
        <w:tc>
          <w:tcPr>
            <w:tcW w:w="3129" w:type="dxa"/>
          </w:tcPr>
          <w:p w14:paraId="0E006868" w14:textId="320D6E2B" w:rsidR="0061736F" w:rsidRPr="006F17E5" w:rsidRDefault="0061736F" w:rsidP="00CB2037">
            <w:pPr>
              <w:pStyle w:val="Bulletpoints"/>
              <w:numPr>
                <w:ilvl w:val="0"/>
                <w:numId w:val="0"/>
              </w:numPr>
              <w:jc w:val="left"/>
              <w:rPr>
                <w:rFonts w:cs="Arial"/>
                <w:shd w:val="clear" w:color="auto" w:fill="FFFFFF"/>
              </w:rPr>
            </w:pPr>
            <w:r w:rsidRPr="006F17E5">
              <w:rPr>
                <w:rFonts w:cs="Arial"/>
                <w:shd w:val="clear" w:color="auto" w:fill="FFFFFF"/>
              </w:rPr>
              <w:t>Quantitative</w:t>
            </w:r>
            <w:r w:rsidRPr="006F17E5">
              <w:rPr>
                <w:rFonts w:cs="Arial"/>
                <w:shd w:val="clear" w:color="auto" w:fill="FFFFFF"/>
              </w:rPr>
              <w:t xml:space="preserve"> and qualitative content provided to be obtained from reliable sources. Reports to be structured in a clear and concise manner with good readability. Reports to include detail as set out by the criteria. </w:t>
            </w:r>
          </w:p>
          <w:p w14:paraId="40B22197" w14:textId="77777777" w:rsidR="0061736F" w:rsidRPr="006F17E5" w:rsidRDefault="0061736F" w:rsidP="00CB2037">
            <w:pPr>
              <w:pStyle w:val="Bulletpoints"/>
              <w:numPr>
                <w:ilvl w:val="0"/>
                <w:numId w:val="0"/>
              </w:numPr>
              <w:jc w:val="left"/>
              <w:rPr>
                <w:rFonts w:cs="Arial"/>
                <w:shd w:val="clear" w:color="auto" w:fill="FFFFFF"/>
              </w:rPr>
            </w:pPr>
            <w:r w:rsidRPr="006F17E5">
              <w:rPr>
                <w:rFonts w:cs="Arial"/>
                <w:shd w:val="clear" w:color="auto" w:fill="FFFFFF"/>
              </w:rPr>
              <w:t>Reports should be carried out in English and in the appropriate language for the individual/ company. Online &amp; or manual methods should be used depending on the market and or the individual/corporation.</w:t>
            </w:r>
          </w:p>
          <w:p w14:paraId="0CBF8675" w14:textId="77777777" w:rsidR="0061736F" w:rsidRPr="006F17E5" w:rsidRDefault="0061736F" w:rsidP="00CB2037">
            <w:pPr>
              <w:pStyle w:val="Bulletpoints"/>
              <w:numPr>
                <w:ilvl w:val="0"/>
                <w:numId w:val="0"/>
              </w:numPr>
              <w:jc w:val="left"/>
              <w:rPr>
                <w:rFonts w:cs="Arial"/>
                <w:shd w:val="clear" w:color="auto" w:fill="FFFFFF"/>
              </w:rPr>
            </w:pPr>
          </w:p>
          <w:p w14:paraId="2A95FFDC" w14:textId="77777777" w:rsidR="0061736F" w:rsidRPr="006F17E5" w:rsidRDefault="0061736F" w:rsidP="00CB2037">
            <w:pPr>
              <w:pStyle w:val="NormalWeb"/>
              <w:shd w:val="clear" w:color="auto" w:fill="FFFFFF" w:themeFill="background1"/>
              <w:spacing w:before="0" w:beforeAutospacing="0" w:after="75" w:afterAutospacing="0"/>
              <w:rPr>
                <w:rFonts w:ascii="Arial" w:eastAsiaTheme="minorHAnsi" w:hAnsi="Arial" w:cs="Arial"/>
                <w:sz w:val="22"/>
                <w:szCs w:val="22"/>
                <w:u w:val="single"/>
                <w:shd w:val="clear" w:color="auto" w:fill="FFFFFF"/>
                <w:lang w:eastAsia="en-US"/>
              </w:rPr>
            </w:pPr>
            <w:r w:rsidRPr="006F17E5">
              <w:rPr>
                <w:rFonts w:ascii="Arial" w:eastAsiaTheme="minorHAnsi" w:hAnsi="Arial" w:cs="Arial"/>
                <w:sz w:val="22"/>
                <w:szCs w:val="22"/>
                <w:u w:val="single"/>
                <w:shd w:val="clear" w:color="auto" w:fill="FFFFFF"/>
                <w:lang w:eastAsia="en-US"/>
              </w:rPr>
              <w:t xml:space="preserve">Digital platform </w:t>
            </w:r>
          </w:p>
          <w:p w14:paraId="57856E17" w14:textId="01E33243" w:rsidR="0061736F" w:rsidRPr="006F17E5" w:rsidRDefault="0061736F" w:rsidP="00CB2037">
            <w:pPr>
              <w:pStyle w:val="NormalWeb"/>
              <w:shd w:val="clear" w:color="auto" w:fill="FFFFFF" w:themeFill="background1"/>
              <w:spacing w:before="0" w:beforeAutospacing="0" w:after="75" w:afterAutospacing="0"/>
              <w:rPr>
                <w:rFonts w:ascii="Arial" w:eastAsiaTheme="minorHAnsi" w:hAnsi="Arial" w:cs="Arial"/>
                <w:sz w:val="22"/>
                <w:szCs w:val="22"/>
                <w:shd w:val="clear" w:color="auto" w:fill="FFFFFF"/>
                <w:lang w:eastAsia="en-US"/>
              </w:rPr>
            </w:pPr>
            <w:r w:rsidRPr="006F17E5">
              <w:rPr>
                <w:rFonts w:ascii="Arial" w:eastAsiaTheme="minorHAnsi" w:hAnsi="Arial" w:cs="Arial"/>
                <w:sz w:val="22"/>
                <w:szCs w:val="22"/>
                <w:shd w:val="clear" w:color="auto" w:fill="FFFFFF"/>
                <w:lang w:eastAsia="en-US"/>
              </w:rPr>
              <w:t xml:space="preserve">Platform must contain high level risk information of working with individuals and companies/subsidiaries. Risk data sources must be extensive including </w:t>
            </w:r>
            <w:r w:rsidRPr="006F17E5">
              <w:rPr>
                <w:rFonts w:ascii="Arial" w:eastAsiaTheme="minorHAnsi" w:hAnsi="Arial" w:cs="Arial"/>
                <w:sz w:val="22"/>
                <w:szCs w:val="22"/>
                <w:shd w:val="clear" w:color="auto" w:fill="FFFFFF"/>
                <w:lang w:eastAsia="en-US"/>
              </w:rPr>
              <w:t>the media</w:t>
            </w:r>
            <w:r w:rsidRPr="006F17E5">
              <w:rPr>
                <w:rFonts w:ascii="Arial" w:eastAsiaTheme="minorHAnsi" w:hAnsi="Arial" w:cs="Arial"/>
                <w:sz w:val="22"/>
                <w:szCs w:val="22"/>
                <w:shd w:val="clear" w:color="auto" w:fill="FFFFFF"/>
                <w:lang w:eastAsia="en-US"/>
              </w:rPr>
              <w:t xml:space="preserve">. Risk highlighted must be economic, political, security and integrity/reputational. Database must be extensive </w:t>
            </w:r>
            <w:r w:rsidRPr="006F17E5">
              <w:rPr>
                <w:rFonts w:ascii="Arial" w:eastAsiaTheme="minorHAnsi" w:hAnsi="Arial" w:cs="Arial"/>
                <w:sz w:val="22"/>
                <w:szCs w:val="22"/>
                <w:shd w:val="clear" w:color="auto" w:fill="FFFFFF"/>
                <w:lang w:eastAsia="en-US"/>
              </w:rPr>
              <w:lastRenderedPageBreak/>
              <w:t>covering companies at different stages and from different sectors. This should include SMEs as well as large companies. Data must be regularly updated to reflect changes.</w:t>
            </w:r>
          </w:p>
          <w:p w14:paraId="34DD5A06" w14:textId="77777777" w:rsidR="0061736F" w:rsidRPr="006F17E5" w:rsidRDefault="0061736F" w:rsidP="00CB2037">
            <w:pPr>
              <w:pStyle w:val="NormalWeb"/>
              <w:shd w:val="clear" w:color="auto" w:fill="FFFFFF" w:themeFill="background1"/>
              <w:spacing w:before="0" w:beforeAutospacing="0" w:after="75" w:afterAutospacing="0"/>
              <w:rPr>
                <w:rFonts w:ascii="Arial" w:eastAsiaTheme="minorHAnsi" w:hAnsi="Arial" w:cs="Arial"/>
                <w:sz w:val="22"/>
                <w:szCs w:val="22"/>
                <w:shd w:val="clear" w:color="auto" w:fill="FFFFFF"/>
                <w:lang w:eastAsia="en-US"/>
              </w:rPr>
            </w:pPr>
          </w:p>
          <w:p w14:paraId="2AD360B6" w14:textId="2A459B09" w:rsidR="0061736F" w:rsidRPr="006F17E5" w:rsidRDefault="0061736F" w:rsidP="00CB2037">
            <w:pPr>
              <w:pStyle w:val="NormalWeb"/>
              <w:shd w:val="clear" w:color="auto" w:fill="FFFFFF" w:themeFill="background1"/>
              <w:spacing w:before="0" w:beforeAutospacing="0" w:after="75" w:afterAutospacing="0"/>
              <w:rPr>
                <w:rFonts w:ascii="Arial" w:eastAsiaTheme="minorHAnsi" w:hAnsi="Arial" w:cs="Arial"/>
                <w:sz w:val="22"/>
                <w:szCs w:val="22"/>
                <w:shd w:val="clear" w:color="auto" w:fill="FFFFFF"/>
                <w:lang w:eastAsia="en-US"/>
              </w:rPr>
            </w:pPr>
            <w:r w:rsidRPr="006F17E5">
              <w:rPr>
                <w:rFonts w:ascii="Arial" w:eastAsiaTheme="minorHAnsi" w:hAnsi="Arial" w:cs="Arial"/>
                <w:sz w:val="22"/>
                <w:szCs w:val="22"/>
                <w:shd w:val="clear" w:color="auto" w:fill="FFFFFF"/>
                <w:lang w:eastAsia="en-US"/>
              </w:rPr>
              <w:t xml:space="preserve">Platform must give users the ability to manipulate and sort data to the required search criteria. Data must be extractable. If data has to be extractable via </w:t>
            </w:r>
            <w:r w:rsidRPr="006F17E5">
              <w:rPr>
                <w:rFonts w:ascii="Arial" w:eastAsiaTheme="minorHAnsi" w:hAnsi="Arial" w:cs="Arial"/>
                <w:sz w:val="22"/>
                <w:szCs w:val="22"/>
                <w:shd w:val="clear" w:color="auto" w:fill="FFFFFF"/>
                <w:lang w:eastAsia="en-US"/>
              </w:rPr>
              <w:t>supplier,</w:t>
            </w:r>
            <w:r w:rsidRPr="006F17E5">
              <w:rPr>
                <w:rFonts w:ascii="Arial" w:eastAsiaTheme="minorHAnsi" w:hAnsi="Arial" w:cs="Arial"/>
                <w:sz w:val="22"/>
                <w:szCs w:val="22"/>
                <w:shd w:val="clear" w:color="auto" w:fill="FFFFFF"/>
                <w:lang w:eastAsia="en-US"/>
              </w:rPr>
              <w:t xml:space="preserve"> then it should be done with 3-5 working days.</w:t>
            </w:r>
          </w:p>
          <w:p w14:paraId="0A31F95E" w14:textId="77777777" w:rsidR="0061736F" w:rsidRPr="006F17E5" w:rsidRDefault="0061736F" w:rsidP="00CB2037">
            <w:pPr>
              <w:pStyle w:val="NormalWeb"/>
              <w:shd w:val="clear" w:color="auto" w:fill="FFFFFF" w:themeFill="background1"/>
              <w:spacing w:before="0" w:beforeAutospacing="0" w:after="75" w:afterAutospacing="0"/>
              <w:rPr>
                <w:rFonts w:ascii="Arial" w:eastAsiaTheme="minorHAnsi" w:hAnsi="Arial" w:cs="Arial"/>
                <w:sz w:val="22"/>
                <w:szCs w:val="22"/>
                <w:shd w:val="clear" w:color="auto" w:fill="FFFFFF"/>
                <w:lang w:eastAsia="en-US"/>
              </w:rPr>
            </w:pPr>
          </w:p>
          <w:p w14:paraId="3A38370F" w14:textId="77777777" w:rsidR="0061736F" w:rsidRPr="006F17E5" w:rsidRDefault="0061736F" w:rsidP="00CB2037">
            <w:pPr>
              <w:pStyle w:val="NormalWeb"/>
              <w:shd w:val="clear" w:color="auto" w:fill="FFFFFF" w:themeFill="background1"/>
              <w:spacing w:before="0" w:beforeAutospacing="0" w:after="75" w:afterAutospacing="0"/>
              <w:rPr>
                <w:rFonts w:ascii="Arial" w:hAnsi="Arial" w:cs="Arial"/>
                <w:sz w:val="22"/>
                <w:szCs w:val="22"/>
                <w:lang w:val="en-US"/>
              </w:rPr>
            </w:pPr>
            <w:r w:rsidRPr="006F17E5">
              <w:rPr>
                <w:rFonts w:ascii="Arial" w:eastAsiaTheme="minorHAnsi" w:hAnsi="Arial" w:cs="Arial"/>
                <w:sz w:val="22"/>
                <w:szCs w:val="22"/>
                <w:shd w:val="clear" w:color="auto" w:fill="FFFFFF"/>
                <w:lang w:eastAsia="en-US"/>
              </w:rPr>
              <w:t>User friendly platform to make for an easy, adaptable, straightforward and interactive user experience.</w:t>
            </w:r>
            <w:r w:rsidRPr="006F17E5">
              <w:rPr>
                <w:rFonts w:ascii="Arial" w:hAnsi="Arial" w:cs="Arial"/>
                <w:sz w:val="22"/>
                <w:szCs w:val="22"/>
                <w:lang w:val="en-US"/>
              </w:rPr>
              <w:t xml:space="preserve"> </w:t>
            </w:r>
          </w:p>
        </w:tc>
        <w:tc>
          <w:tcPr>
            <w:tcW w:w="2619" w:type="dxa"/>
          </w:tcPr>
          <w:p w14:paraId="5D6B229E" w14:textId="77777777" w:rsidR="0061736F" w:rsidRDefault="0061736F" w:rsidP="00CB2037">
            <w:pPr>
              <w:pStyle w:val="Bulletpoints"/>
              <w:numPr>
                <w:ilvl w:val="0"/>
                <w:numId w:val="0"/>
              </w:numPr>
            </w:pPr>
            <w:r>
              <w:lastRenderedPageBreak/>
              <w:t>Feedback from the DIT team receiving the reports</w:t>
            </w:r>
            <w:r>
              <w:t xml:space="preserve"> </w:t>
            </w:r>
            <w:r>
              <w:t xml:space="preserve">should be recorded and produced for the </w:t>
            </w:r>
            <w:r>
              <w:t>m</w:t>
            </w:r>
            <w:r>
              <w:t>onthly contract management meeting.</w:t>
            </w:r>
          </w:p>
          <w:p w14:paraId="721BEC06" w14:textId="77777777" w:rsidR="0061736F" w:rsidRDefault="0061736F" w:rsidP="00CB2037">
            <w:pPr>
              <w:pStyle w:val="Bulletpoints"/>
              <w:numPr>
                <w:ilvl w:val="0"/>
                <w:numId w:val="0"/>
              </w:numPr>
            </w:pPr>
          </w:p>
          <w:p w14:paraId="69D2118A" w14:textId="73D3E4FF" w:rsidR="0061736F" w:rsidRDefault="0061736F" w:rsidP="00CB2037">
            <w:pPr>
              <w:pStyle w:val="Bulletpoints"/>
              <w:numPr>
                <w:ilvl w:val="0"/>
                <w:numId w:val="0"/>
              </w:numPr>
            </w:pPr>
          </w:p>
        </w:tc>
        <w:tc>
          <w:tcPr>
            <w:tcW w:w="1779" w:type="dxa"/>
          </w:tcPr>
          <w:p w14:paraId="3AF7D03F" w14:textId="77777777" w:rsidR="0061736F" w:rsidRDefault="0061736F" w:rsidP="00BD5D34">
            <w:pPr>
              <w:pStyle w:val="Bulletpoints"/>
              <w:numPr>
                <w:ilvl w:val="0"/>
                <w:numId w:val="0"/>
              </w:numPr>
              <w:jc w:val="left"/>
            </w:pPr>
            <w:r>
              <w:t xml:space="preserve">Reports meet only 50% of criteria. </w:t>
            </w:r>
          </w:p>
          <w:p w14:paraId="4FFCD70E" w14:textId="77777777" w:rsidR="0061736F" w:rsidRDefault="0061736F" w:rsidP="00BD5D34">
            <w:pPr>
              <w:pStyle w:val="Bulletpoints"/>
              <w:numPr>
                <w:ilvl w:val="0"/>
                <w:numId w:val="0"/>
              </w:numPr>
              <w:jc w:val="left"/>
            </w:pPr>
          </w:p>
          <w:p w14:paraId="31D30995" w14:textId="77777777" w:rsidR="0061736F" w:rsidRDefault="0061736F" w:rsidP="00BD5D34">
            <w:pPr>
              <w:pStyle w:val="Bulletpoints"/>
              <w:numPr>
                <w:ilvl w:val="0"/>
                <w:numId w:val="0"/>
              </w:numPr>
              <w:jc w:val="left"/>
            </w:pPr>
            <w:r>
              <w:t xml:space="preserve">And/or </w:t>
            </w:r>
          </w:p>
          <w:p w14:paraId="08235646" w14:textId="77777777" w:rsidR="0061736F" w:rsidRDefault="0061736F" w:rsidP="00BD5D34">
            <w:pPr>
              <w:pStyle w:val="Bulletpoints"/>
              <w:numPr>
                <w:ilvl w:val="0"/>
                <w:numId w:val="0"/>
              </w:numPr>
              <w:jc w:val="left"/>
            </w:pPr>
          </w:p>
          <w:p w14:paraId="4EB1774C" w14:textId="0208A6D2" w:rsidR="0061736F" w:rsidRDefault="0061736F" w:rsidP="00BD5D34">
            <w:pPr>
              <w:pStyle w:val="Bulletpoints"/>
              <w:numPr>
                <w:ilvl w:val="0"/>
                <w:numId w:val="0"/>
              </w:numPr>
              <w:jc w:val="left"/>
            </w:pPr>
            <w:r>
              <w:t xml:space="preserve">Reports are </w:t>
            </w:r>
            <w:r>
              <w:t>unclear</w:t>
            </w:r>
            <w:r>
              <w:t xml:space="preserve"> </w:t>
            </w:r>
          </w:p>
          <w:p w14:paraId="093A7D79" w14:textId="77777777" w:rsidR="0061736F" w:rsidRDefault="0061736F" w:rsidP="00BD5D34">
            <w:pPr>
              <w:pStyle w:val="Bulletpoints"/>
              <w:numPr>
                <w:ilvl w:val="0"/>
                <w:numId w:val="0"/>
              </w:numPr>
              <w:jc w:val="left"/>
            </w:pPr>
          </w:p>
          <w:p w14:paraId="23EC3CC9" w14:textId="77777777" w:rsidR="0061736F" w:rsidRDefault="0061736F" w:rsidP="00BD5D34">
            <w:pPr>
              <w:pStyle w:val="Bulletpoints"/>
              <w:numPr>
                <w:ilvl w:val="0"/>
                <w:numId w:val="0"/>
              </w:numPr>
              <w:jc w:val="left"/>
            </w:pPr>
            <w:r>
              <w:t xml:space="preserve">And/or </w:t>
            </w:r>
          </w:p>
          <w:p w14:paraId="38E4BCD8" w14:textId="77777777" w:rsidR="0061736F" w:rsidRDefault="0061736F" w:rsidP="00BD5D34">
            <w:pPr>
              <w:pStyle w:val="Bulletpoints"/>
              <w:numPr>
                <w:ilvl w:val="0"/>
                <w:numId w:val="0"/>
              </w:numPr>
              <w:jc w:val="left"/>
            </w:pPr>
            <w:r>
              <w:t xml:space="preserve">Report has not been produced using the appropriate language </w:t>
            </w:r>
          </w:p>
        </w:tc>
        <w:tc>
          <w:tcPr>
            <w:tcW w:w="1384" w:type="dxa"/>
            <w:gridSpan w:val="2"/>
          </w:tcPr>
          <w:p w14:paraId="3A2D6B6F" w14:textId="77777777" w:rsidR="0061736F" w:rsidRDefault="0061736F" w:rsidP="00CB2037">
            <w:pPr>
              <w:pStyle w:val="Bulletpoints"/>
              <w:numPr>
                <w:ilvl w:val="0"/>
                <w:numId w:val="0"/>
              </w:numPr>
            </w:pPr>
            <w:r>
              <w:t xml:space="preserve">Quality of light touch reports fall partially below standard. </w:t>
            </w:r>
          </w:p>
          <w:p w14:paraId="7B7F474E" w14:textId="77777777" w:rsidR="0061736F" w:rsidRDefault="0061736F" w:rsidP="00CB2037">
            <w:pPr>
              <w:pStyle w:val="Bulletpoints"/>
              <w:numPr>
                <w:ilvl w:val="0"/>
                <w:numId w:val="0"/>
              </w:numPr>
            </w:pPr>
          </w:p>
          <w:p w14:paraId="5CDF6E33" w14:textId="77777777" w:rsidR="0061736F" w:rsidRDefault="0061736F" w:rsidP="00CB2037">
            <w:pPr>
              <w:pStyle w:val="Bulletpoints"/>
              <w:numPr>
                <w:ilvl w:val="0"/>
                <w:numId w:val="0"/>
              </w:numPr>
            </w:pPr>
            <w:r>
              <w:t xml:space="preserve">Quality of detailed reports and overview reports are in line with KPIs types of report </w:t>
            </w:r>
          </w:p>
        </w:tc>
        <w:tc>
          <w:tcPr>
            <w:tcW w:w="1104" w:type="dxa"/>
          </w:tcPr>
          <w:p w14:paraId="029385E7" w14:textId="77777777" w:rsidR="0061736F" w:rsidRDefault="0061736F" w:rsidP="00CB2037">
            <w:pPr>
              <w:pStyle w:val="Bulletpoints"/>
              <w:numPr>
                <w:ilvl w:val="0"/>
                <w:numId w:val="0"/>
              </w:numPr>
            </w:pPr>
            <w:r>
              <w:t xml:space="preserve">Quality of all reports are in line with KPIs. </w:t>
            </w:r>
          </w:p>
        </w:tc>
      </w:tr>
    </w:tbl>
    <w:p w14:paraId="2D031B19" w14:textId="77777777" w:rsidR="0061736F" w:rsidRDefault="0061736F" w:rsidP="0061736F">
      <w:pPr>
        <w:pStyle w:val="Bulletpoints"/>
        <w:numPr>
          <w:ilvl w:val="0"/>
          <w:numId w:val="0"/>
        </w:numPr>
        <w:jc w:val="left"/>
      </w:pPr>
    </w:p>
    <w:p w14:paraId="03CB9222" w14:textId="77777777" w:rsidR="0061736F" w:rsidRPr="00DF392A" w:rsidRDefault="0061736F" w:rsidP="00D07DA2">
      <w:pPr>
        <w:rPr>
          <w:rFonts w:cs="Arial"/>
        </w:rPr>
      </w:pPr>
    </w:p>
    <w:sectPr w:rsidR="0061736F" w:rsidRPr="00DF392A">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35585" w14:textId="77777777" w:rsidR="00404FE5" w:rsidRDefault="00404FE5" w:rsidP="0035719C">
      <w:pPr>
        <w:spacing w:after="0"/>
      </w:pPr>
      <w:r>
        <w:separator/>
      </w:r>
    </w:p>
  </w:endnote>
  <w:endnote w:type="continuationSeparator" w:id="0">
    <w:p w14:paraId="189C62C9" w14:textId="77777777" w:rsidR="00404FE5" w:rsidRDefault="00404FE5" w:rsidP="003571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744E1" w14:textId="77777777" w:rsidR="00404FE5" w:rsidRDefault="00404FE5" w:rsidP="0035719C">
      <w:pPr>
        <w:spacing w:after="0"/>
      </w:pPr>
      <w:r>
        <w:separator/>
      </w:r>
    </w:p>
  </w:footnote>
  <w:footnote w:type="continuationSeparator" w:id="0">
    <w:p w14:paraId="1F089315" w14:textId="77777777" w:rsidR="00404FE5" w:rsidRDefault="00404FE5" w:rsidP="003571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2BD53" w14:textId="52F4A80E" w:rsidR="00A3454B" w:rsidRDefault="00404FE5">
    <w:pPr>
      <w:pStyle w:val="Header"/>
    </w:pPr>
    <w:r>
      <w:rPr>
        <w:noProof/>
      </w:rPr>
      <w:pict w14:anchorId="47423B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margin-left:0;margin-top:0;width:424.2pt;height:212.1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8E33C" w14:textId="47E05EC1" w:rsidR="00271157" w:rsidRDefault="00404FE5" w:rsidP="00271157">
    <w:pPr>
      <w:pStyle w:val="Header"/>
    </w:pPr>
    <w:r>
      <w:rPr>
        <w:noProof/>
      </w:rPr>
      <w:pict w14:anchorId="2BCAD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24.2pt;height:212.1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271157">
      <w:rPr>
        <w:noProof/>
      </w:rPr>
      <w:drawing>
        <wp:inline distT="0" distB="0" distL="0" distR="0" wp14:anchorId="03292B9D" wp14:editId="5D7AC6DA">
          <wp:extent cx="1428750" cy="676275"/>
          <wp:effectExtent l="0" t="0" r="0" b="9525"/>
          <wp:docPr id="1" name="Picture 1" descr="DIT logo"/>
          <wp:cNvGraphicFramePr/>
          <a:graphic xmlns:a="http://schemas.openxmlformats.org/drawingml/2006/main">
            <a:graphicData uri="http://schemas.openxmlformats.org/drawingml/2006/picture">
              <pic:pic xmlns:pic="http://schemas.openxmlformats.org/drawingml/2006/picture">
                <pic:nvPicPr>
                  <pic:cNvPr id="1" name="Picture 1" descr="DIT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676275"/>
                  </a:xfrm>
                  <a:prstGeom prst="rect">
                    <a:avLst/>
                  </a:prstGeom>
                  <a:noFill/>
                  <a:ln>
                    <a:noFill/>
                  </a:ln>
                </pic:spPr>
              </pic:pic>
            </a:graphicData>
          </a:graphic>
        </wp:inline>
      </w:drawing>
    </w:r>
    <w:r w:rsidR="006A1F13">
      <w:tab/>
    </w:r>
    <w:r w:rsidR="006A1F13">
      <w:tab/>
    </w:r>
    <w:r w:rsidR="00A81546">
      <w:t>0</w:t>
    </w:r>
    <w:r w:rsidR="00DC07FE">
      <w:t>6</w:t>
    </w:r>
    <w:r w:rsidR="00A81546">
      <w:t>/09</w:t>
    </w:r>
    <w:r w:rsidR="006A1F13">
      <w:t>/</w:t>
    </w:r>
    <w:r w:rsidR="00A3454B">
      <w:t>2019</w:t>
    </w:r>
  </w:p>
  <w:p w14:paraId="5F7DC8BA" w14:textId="77777777" w:rsidR="00271157" w:rsidRDefault="00271157" w:rsidP="0027115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D6CB1" w14:textId="1348887A" w:rsidR="00A3454B" w:rsidRDefault="00404FE5">
    <w:pPr>
      <w:pStyle w:val="Header"/>
    </w:pPr>
    <w:r>
      <w:rPr>
        <w:noProof/>
      </w:rPr>
      <w:pict w14:anchorId="44D3F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alt="" style="position:absolute;margin-left:0;margin-top:0;width:424.2pt;height:212.1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194"/>
    <w:multiLevelType w:val="hybridMultilevel"/>
    <w:tmpl w:val="0AD01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C2F3C"/>
    <w:multiLevelType w:val="hybridMultilevel"/>
    <w:tmpl w:val="ACD60B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074068"/>
    <w:multiLevelType w:val="hybridMultilevel"/>
    <w:tmpl w:val="3E42F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DC91211"/>
    <w:multiLevelType w:val="hybridMultilevel"/>
    <w:tmpl w:val="73168002"/>
    <w:lvl w:ilvl="0" w:tplc="08090001">
      <w:start w:val="1"/>
      <w:numFmt w:val="bullet"/>
      <w:lvlText w:val=""/>
      <w:lvlJc w:val="left"/>
      <w:pPr>
        <w:ind w:left="762" w:hanging="360"/>
      </w:pPr>
      <w:rPr>
        <w:rFonts w:ascii="Symbol" w:hAnsi="Symbol" w:hint="default"/>
      </w:rPr>
    </w:lvl>
    <w:lvl w:ilvl="1" w:tplc="08090003" w:tentative="1">
      <w:start w:val="1"/>
      <w:numFmt w:val="bullet"/>
      <w:lvlText w:val="o"/>
      <w:lvlJc w:val="left"/>
      <w:pPr>
        <w:ind w:left="1482" w:hanging="360"/>
      </w:pPr>
      <w:rPr>
        <w:rFonts w:ascii="Courier New" w:hAnsi="Courier New" w:cs="Courier New" w:hint="default"/>
      </w:rPr>
    </w:lvl>
    <w:lvl w:ilvl="2" w:tplc="08090005" w:tentative="1">
      <w:start w:val="1"/>
      <w:numFmt w:val="bullet"/>
      <w:lvlText w:val=""/>
      <w:lvlJc w:val="left"/>
      <w:pPr>
        <w:ind w:left="2202" w:hanging="360"/>
      </w:pPr>
      <w:rPr>
        <w:rFonts w:ascii="Wingdings" w:hAnsi="Wingdings" w:hint="default"/>
      </w:rPr>
    </w:lvl>
    <w:lvl w:ilvl="3" w:tplc="08090001" w:tentative="1">
      <w:start w:val="1"/>
      <w:numFmt w:val="bullet"/>
      <w:lvlText w:val=""/>
      <w:lvlJc w:val="left"/>
      <w:pPr>
        <w:ind w:left="2922" w:hanging="360"/>
      </w:pPr>
      <w:rPr>
        <w:rFonts w:ascii="Symbol" w:hAnsi="Symbol" w:hint="default"/>
      </w:rPr>
    </w:lvl>
    <w:lvl w:ilvl="4" w:tplc="08090003" w:tentative="1">
      <w:start w:val="1"/>
      <w:numFmt w:val="bullet"/>
      <w:lvlText w:val="o"/>
      <w:lvlJc w:val="left"/>
      <w:pPr>
        <w:ind w:left="3642" w:hanging="360"/>
      </w:pPr>
      <w:rPr>
        <w:rFonts w:ascii="Courier New" w:hAnsi="Courier New" w:cs="Courier New" w:hint="default"/>
      </w:rPr>
    </w:lvl>
    <w:lvl w:ilvl="5" w:tplc="08090005" w:tentative="1">
      <w:start w:val="1"/>
      <w:numFmt w:val="bullet"/>
      <w:lvlText w:val=""/>
      <w:lvlJc w:val="left"/>
      <w:pPr>
        <w:ind w:left="4362" w:hanging="360"/>
      </w:pPr>
      <w:rPr>
        <w:rFonts w:ascii="Wingdings" w:hAnsi="Wingdings" w:hint="default"/>
      </w:rPr>
    </w:lvl>
    <w:lvl w:ilvl="6" w:tplc="08090001" w:tentative="1">
      <w:start w:val="1"/>
      <w:numFmt w:val="bullet"/>
      <w:lvlText w:val=""/>
      <w:lvlJc w:val="left"/>
      <w:pPr>
        <w:ind w:left="5082" w:hanging="360"/>
      </w:pPr>
      <w:rPr>
        <w:rFonts w:ascii="Symbol" w:hAnsi="Symbol" w:hint="default"/>
      </w:rPr>
    </w:lvl>
    <w:lvl w:ilvl="7" w:tplc="08090003" w:tentative="1">
      <w:start w:val="1"/>
      <w:numFmt w:val="bullet"/>
      <w:lvlText w:val="o"/>
      <w:lvlJc w:val="left"/>
      <w:pPr>
        <w:ind w:left="5802" w:hanging="360"/>
      </w:pPr>
      <w:rPr>
        <w:rFonts w:ascii="Courier New" w:hAnsi="Courier New" w:cs="Courier New" w:hint="default"/>
      </w:rPr>
    </w:lvl>
    <w:lvl w:ilvl="8" w:tplc="08090005" w:tentative="1">
      <w:start w:val="1"/>
      <w:numFmt w:val="bullet"/>
      <w:lvlText w:val=""/>
      <w:lvlJc w:val="left"/>
      <w:pPr>
        <w:ind w:left="6522" w:hanging="360"/>
      </w:pPr>
      <w:rPr>
        <w:rFonts w:ascii="Wingdings" w:hAnsi="Wingdings" w:hint="default"/>
      </w:rPr>
    </w:lvl>
  </w:abstractNum>
  <w:abstractNum w:abstractNumId="4" w15:restartNumberingAfterBreak="0">
    <w:nsid w:val="0F2540C9"/>
    <w:multiLevelType w:val="hybridMultilevel"/>
    <w:tmpl w:val="233E8598"/>
    <w:lvl w:ilvl="0" w:tplc="84A40724">
      <w:start w:val="1"/>
      <w:numFmt w:val="decimal"/>
      <w:lvlText w:val="%1."/>
      <w:lvlJc w:val="left"/>
      <w:pPr>
        <w:ind w:left="720" w:hanging="360"/>
      </w:pPr>
    </w:lvl>
    <w:lvl w:ilvl="1" w:tplc="5EF07DA4">
      <w:start w:val="1"/>
      <w:numFmt w:val="lowerLetter"/>
      <w:lvlText w:val="%2."/>
      <w:lvlJc w:val="left"/>
      <w:pPr>
        <w:ind w:left="1440" w:hanging="360"/>
      </w:pPr>
    </w:lvl>
    <w:lvl w:ilvl="2" w:tplc="66C65552">
      <w:start w:val="1"/>
      <w:numFmt w:val="lowerRoman"/>
      <w:lvlText w:val="%3."/>
      <w:lvlJc w:val="right"/>
      <w:pPr>
        <w:ind w:left="2160" w:hanging="180"/>
      </w:pPr>
    </w:lvl>
    <w:lvl w:ilvl="3" w:tplc="88F8360C">
      <w:start w:val="1"/>
      <w:numFmt w:val="decimal"/>
      <w:lvlText w:val="%4."/>
      <w:lvlJc w:val="left"/>
      <w:pPr>
        <w:ind w:left="2880" w:hanging="360"/>
      </w:pPr>
    </w:lvl>
    <w:lvl w:ilvl="4" w:tplc="D324A244">
      <w:start w:val="1"/>
      <w:numFmt w:val="lowerLetter"/>
      <w:lvlText w:val="%5."/>
      <w:lvlJc w:val="left"/>
      <w:pPr>
        <w:ind w:left="3600" w:hanging="360"/>
      </w:pPr>
    </w:lvl>
    <w:lvl w:ilvl="5" w:tplc="B74C95A8">
      <w:start w:val="1"/>
      <w:numFmt w:val="lowerRoman"/>
      <w:lvlText w:val="%6."/>
      <w:lvlJc w:val="right"/>
      <w:pPr>
        <w:ind w:left="4320" w:hanging="180"/>
      </w:pPr>
    </w:lvl>
    <w:lvl w:ilvl="6" w:tplc="CA6AC5B8">
      <w:start w:val="1"/>
      <w:numFmt w:val="decimal"/>
      <w:lvlText w:val="%7."/>
      <w:lvlJc w:val="left"/>
      <w:pPr>
        <w:ind w:left="5040" w:hanging="360"/>
      </w:pPr>
    </w:lvl>
    <w:lvl w:ilvl="7" w:tplc="A63855FE">
      <w:start w:val="1"/>
      <w:numFmt w:val="lowerLetter"/>
      <w:lvlText w:val="%8."/>
      <w:lvlJc w:val="left"/>
      <w:pPr>
        <w:ind w:left="5760" w:hanging="360"/>
      </w:pPr>
    </w:lvl>
    <w:lvl w:ilvl="8" w:tplc="7E283480">
      <w:start w:val="1"/>
      <w:numFmt w:val="lowerRoman"/>
      <w:lvlText w:val="%9."/>
      <w:lvlJc w:val="right"/>
      <w:pPr>
        <w:ind w:left="6480" w:hanging="180"/>
      </w:pPr>
    </w:lvl>
  </w:abstractNum>
  <w:abstractNum w:abstractNumId="5" w15:restartNumberingAfterBreak="0">
    <w:nsid w:val="13265F96"/>
    <w:multiLevelType w:val="hybridMultilevel"/>
    <w:tmpl w:val="A5F07B9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1F2331B5"/>
    <w:multiLevelType w:val="hybridMultilevel"/>
    <w:tmpl w:val="3ABA5452"/>
    <w:lvl w:ilvl="0" w:tplc="84A40724">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2891078A"/>
    <w:multiLevelType w:val="hybridMultilevel"/>
    <w:tmpl w:val="E37A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B45CE"/>
    <w:multiLevelType w:val="hybridMultilevel"/>
    <w:tmpl w:val="69C29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D70B96"/>
    <w:multiLevelType w:val="hybridMultilevel"/>
    <w:tmpl w:val="5E3A6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3E3586"/>
    <w:multiLevelType w:val="hybridMultilevel"/>
    <w:tmpl w:val="22C2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C339E3"/>
    <w:multiLevelType w:val="hybridMultilevel"/>
    <w:tmpl w:val="10B8E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E13C0"/>
    <w:multiLevelType w:val="hybridMultilevel"/>
    <w:tmpl w:val="E8127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45F2E"/>
    <w:multiLevelType w:val="hybridMultilevel"/>
    <w:tmpl w:val="720A63F6"/>
    <w:lvl w:ilvl="0" w:tplc="08AAD9EA">
      <w:start w:val="17"/>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13F47"/>
    <w:multiLevelType w:val="hybridMultilevel"/>
    <w:tmpl w:val="840E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F16C6"/>
    <w:multiLevelType w:val="hybridMultilevel"/>
    <w:tmpl w:val="BE52E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511F3"/>
    <w:multiLevelType w:val="hybridMultilevel"/>
    <w:tmpl w:val="9644351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D7724E4"/>
    <w:multiLevelType w:val="hybridMultilevel"/>
    <w:tmpl w:val="0ED8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323A6"/>
    <w:multiLevelType w:val="hybridMultilevel"/>
    <w:tmpl w:val="ADF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734136"/>
    <w:multiLevelType w:val="hybridMultilevel"/>
    <w:tmpl w:val="057E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DB2357"/>
    <w:multiLevelType w:val="hybridMultilevel"/>
    <w:tmpl w:val="FC38B2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E533CEF"/>
    <w:multiLevelType w:val="hybridMultilevel"/>
    <w:tmpl w:val="030E7D80"/>
    <w:lvl w:ilvl="0" w:tplc="A1D87DE2">
      <w:start w:val="1"/>
      <w:numFmt w:val="bullet"/>
      <w:pStyle w:val="Bulletpoints"/>
      <w:lvlText w:val=""/>
      <w:lvlJc w:val="left"/>
      <w:pPr>
        <w:ind w:left="720" w:hanging="360"/>
      </w:pPr>
      <w:rPr>
        <w:rFonts w:ascii="Wingdings" w:hAnsi="Wingdings"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A96191"/>
    <w:multiLevelType w:val="hybridMultilevel"/>
    <w:tmpl w:val="A484F662"/>
    <w:lvl w:ilvl="0" w:tplc="7FB4B376">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6A6035"/>
    <w:multiLevelType w:val="hybridMultilevel"/>
    <w:tmpl w:val="2862B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3"/>
  </w:num>
  <w:num w:numId="4">
    <w:abstractNumId w:val="14"/>
  </w:num>
  <w:num w:numId="5">
    <w:abstractNumId w:val="10"/>
  </w:num>
  <w:num w:numId="6">
    <w:abstractNumId w:val="12"/>
  </w:num>
  <w:num w:numId="7">
    <w:abstractNumId w:val="4"/>
  </w:num>
  <w:num w:numId="8">
    <w:abstractNumId w:val="16"/>
  </w:num>
  <w:num w:numId="9">
    <w:abstractNumId w:val="19"/>
  </w:num>
  <w:num w:numId="10">
    <w:abstractNumId w:val="15"/>
  </w:num>
  <w:num w:numId="11">
    <w:abstractNumId w:val="2"/>
  </w:num>
  <w:num w:numId="12">
    <w:abstractNumId w:val="11"/>
  </w:num>
  <w:num w:numId="13">
    <w:abstractNumId w:val="3"/>
  </w:num>
  <w:num w:numId="14">
    <w:abstractNumId w:val="20"/>
  </w:num>
  <w:num w:numId="15">
    <w:abstractNumId w:val="1"/>
  </w:num>
  <w:num w:numId="16">
    <w:abstractNumId w:val="5"/>
  </w:num>
  <w:num w:numId="17">
    <w:abstractNumId w:val="6"/>
  </w:num>
  <w:num w:numId="18">
    <w:abstractNumId w:val="17"/>
  </w:num>
  <w:num w:numId="19">
    <w:abstractNumId w:val="0"/>
  </w:num>
  <w:num w:numId="20">
    <w:abstractNumId w:val="22"/>
  </w:num>
  <w:num w:numId="21">
    <w:abstractNumId w:val="7"/>
  </w:num>
  <w:num w:numId="22">
    <w:abstractNumId w:val="18"/>
  </w:num>
  <w:num w:numId="23">
    <w:abstractNumId w:val="1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54B"/>
    <w:rsid w:val="0005341B"/>
    <w:rsid w:val="0006711C"/>
    <w:rsid w:val="000716C4"/>
    <w:rsid w:val="000969AE"/>
    <w:rsid w:val="000A6F16"/>
    <w:rsid w:val="000C2F71"/>
    <w:rsid w:val="000D3375"/>
    <w:rsid w:val="000E0E55"/>
    <w:rsid w:val="00115D23"/>
    <w:rsid w:val="0014170F"/>
    <w:rsid w:val="00215152"/>
    <w:rsid w:val="002662B6"/>
    <w:rsid w:val="00271157"/>
    <w:rsid w:val="002D5FF7"/>
    <w:rsid w:val="002E0F6B"/>
    <w:rsid w:val="00313D14"/>
    <w:rsid w:val="0035719C"/>
    <w:rsid w:val="00404FE5"/>
    <w:rsid w:val="004E4179"/>
    <w:rsid w:val="004E7EBE"/>
    <w:rsid w:val="00553D2A"/>
    <w:rsid w:val="005A16FA"/>
    <w:rsid w:val="0061736F"/>
    <w:rsid w:val="006454CA"/>
    <w:rsid w:val="006A1F13"/>
    <w:rsid w:val="006E0529"/>
    <w:rsid w:val="00751AED"/>
    <w:rsid w:val="007601E4"/>
    <w:rsid w:val="007A1B2D"/>
    <w:rsid w:val="007B596A"/>
    <w:rsid w:val="007F384E"/>
    <w:rsid w:val="00825103"/>
    <w:rsid w:val="00875A97"/>
    <w:rsid w:val="008A0660"/>
    <w:rsid w:val="008A081A"/>
    <w:rsid w:val="008D1D40"/>
    <w:rsid w:val="00901E19"/>
    <w:rsid w:val="009A7570"/>
    <w:rsid w:val="009C4C3A"/>
    <w:rsid w:val="00A3454B"/>
    <w:rsid w:val="00A72E6A"/>
    <w:rsid w:val="00A81546"/>
    <w:rsid w:val="00B365C6"/>
    <w:rsid w:val="00B42450"/>
    <w:rsid w:val="00B44F7C"/>
    <w:rsid w:val="00BD5D34"/>
    <w:rsid w:val="00BE5D55"/>
    <w:rsid w:val="00BE60DB"/>
    <w:rsid w:val="00D07DA2"/>
    <w:rsid w:val="00D36651"/>
    <w:rsid w:val="00DC07FE"/>
    <w:rsid w:val="00DC3149"/>
    <w:rsid w:val="00DF392A"/>
    <w:rsid w:val="00E31809"/>
    <w:rsid w:val="00E77604"/>
    <w:rsid w:val="00EF3FCB"/>
    <w:rsid w:val="00F12DD8"/>
    <w:rsid w:val="00F4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1F23F6"/>
  <w15:chartTrackingRefBased/>
  <w15:docId w15:val="{C4B65E4B-0F58-4E45-99ED-0B06289EF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454B"/>
    <w:pPr>
      <w:spacing w:before="240" w:after="12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4179"/>
    <w:pPr>
      <w:spacing w:before="0" w:after="200" w:line="240" w:lineRule="auto"/>
      <w:ind w:left="720"/>
      <w:contextualSpacing/>
    </w:pPr>
    <w:rPr>
      <w:rFonts w:asciiTheme="minorHAnsi" w:eastAsiaTheme="minorHAnsi" w:hAnsiTheme="minorHAnsi" w:cstheme="minorBidi"/>
      <w:sz w:val="22"/>
    </w:rPr>
  </w:style>
  <w:style w:type="paragraph" w:styleId="BalloonText">
    <w:name w:val="Balloon Text"/>
    <w:basedOn w:val="Normal"/>
    <w:link w:val="BalloonTextChar"/>
    <w:uiPriority w:val="99"/>
    <w:semiHidden/>
    <w:unhideWhenUsed/>
    <w:rsid w:val="005A16FA"/>
    <w:pPr>
      <w:spacing w:before="0"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A16FA"/>
    <w:rPr>
      <w:rFonts w:ascii="Segoe UI" w:hAnsi="Segoe UI" w:cs="Segoe UI"/>
      <w:sz w:val="18"/>
      <w:szCs w:val="18"/>
    </w:rPr>
  </w:style>
  <w:style w:type="paragraph" w:styleId="Header">
    <w:name w:val="header"/>
    <w:basedOn w:val="Normal"/>
    <w:link w:val="HeaderChar"/>
    <w:uiPriority w:val="99"/>
    <w:unhideWhenUsed/>
    <w:rsid w:val="0035719C"/>
    <w:pPr>
      <w:tabs>
        <w:tab w:val="center" w:pos="4513"/>
        <w:tab w:val="right" w:pos="9026"/>
      </w:tabs>
      <w:spacing w:before="0" w:after="0"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35719C"/>
  </w:style>
  <w:style w:type="paragraph" w:styleId="Footer">
    <w:name w:val="footer"/>
    <w:basedOn w:val="Normal"/>
    <w:link w:val="FooterChar"/>
    <w:uiPriority w:val="99"/>
    <w:unhideWhenUsed/>
    <w:rsid w:val="0035719C"/>
    <w:pPr>
      <w:tabs>
        <w:tab w:val="center" w:pos="4513"/>
        <w:tab w:val="right" w:pos="9026"/>
      </w:tabs>
      <w:spacing w:before="0" w:after="0"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35719C"/>
  </w:style>
  <w:style w:type="character" w:styleId="CommentReference">
    <w:name w:val="annotation reference"/>
    <w:basedOn w:val="DefaultParagraphFont"/>
    <w:uiPriority w:val="99"/>
    <w:semiHidden/>
    <w:unhideWhenUsed/>
    <w:rsid w:val="0035719C"/>
    <w:rPr>
      <w:sz w:val="16"/>
      <w:szCs w:val="16"/>
    </w:rPr>
  </w:style>
  <w:style w:type="paragraph" w:styleId="CommentText">
    <w:name w:val="annotation text"/>
    <w:basedOn w:val="Normal"/>
    <w:link w:val="CommentTextChar"/>
    <w:uiPriority w:val="99"/>
    <w:semiHidden/>
    <w:unhideWhenUsed/>
    <w:rsid w:val="0035719C"/>
    <w:pPr>
      <w:spacing w:before="0" w:after="200"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35719C"/>
    <w:rPr>
      <w:sz w:val="20"/>
      <w:szCs w:val="20"/>
    </w:rPr>
  </w:style>
  <w:style w:type="paragraph" w:styleId="CommentSubject">
    <w:name w:val="annotation subject"/>
    <w:basedOn w:val="CommentText"/>
    <w:next w:val="CommentText"/>
    <w:link w:val="CommentSubjectChar"/>
    <w:uiPriority w:val="99"/>
    <w:semiHidden/>
    <w:unhideWhenUsed/>
    <w:rsid w:val="0035719C"/>
    <w:rPr>
      <w:b/>
      <w:bCs/>
    </w:rPr>
  </w:style>
  <w:style w:type="character" w:customStyle="1" w:styleId="CommentSubjectChar">
    <w:name w:val="Comment Subject Char"/>
    <w:basedOn w:val="CommentTextChar"/>
    <w:link w:val="CommentSubject"/>
    <w:uiPriority w:val="99"/>
    <w:semiHidden/>
    <w:rsid w:val="0035719C"/>
    <w:rPr>
      <w:b/>
      <w:bCs/>
      <w:sz w:val="20"/>
      <w:szCs w:val="20"/>
    </w:rPr>
  </w:style>
  <w:style w:type="character" w:customStyle="1" w:styleId="eop">
    <w:name w:val="eop"/>
    <w:basedOn w:val="DefaultParagraphFont"/>
    <w:rsid w:val="00A81546"/>
  </w:style>
  <w:style w:type="table" w:styleId="TableGrid">
    <w:name w:val="Table Grid"/>
    <w:basedOn w:val="TableNormal"/>
    <w:uiPriority w:val="39"/>
    <w:rsid w:val="00BE5D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BE5D55"/>
  </w:style>
  <w:style w:type="paragraph" w:customStyle="1" w:styleId="Bulletpoints">
    <w:name w:val="Bullet points"/>
    <w:basedOn w:val="Normal"/>
    <w:link w:val="BulletpointsChar"/>
    <w:qFormat/>
    <w:rsid w:val="0061736F"/>
    <w:pPr>
      <w:numPr>
        <w:numId w:val="24"/>
      </w:numPr>
      <w:spacing w:before="0" w:after="160" w:line="259" w:lineRule="auto"/>
      <w:jc w:val="both"/>
    </w:pPr>
    <w:rPr>
      <w:rFonts w:eastAsiaTheme="minorHAnsi" w:cstheme="minorBidi"/>
      <w:sz w:val="22"/>
    </w:rPr>
  </w:style>
  <w:style w:type="character" w:customStyle="1" w:styleId="BulletpointsChar">
    <w:name w:val="Bullet points Char"/>
    <w:basedOn w:val="DefaultParagraphFont"/>
    <w:link w:val="Bulletpoints"/>
    <w:rsid w:val="0061736F"/>
    <w:rPr>
      <w:rFonts w:ascii="Arial" w:hAnsi="Arial"/>
    </w:rPr>
  </w:style>
  <w:style w:type="table" w:customStyle="1" w:styleId="Table3">
    <w:name w:val="Table 3"/>
    <w:basedOn w:val="TableNormal"/>
    <w:uiPriority w:val="99"/>
    <w:rsid w:val="0061736F"/>
    <w:pPr>
      <w:spacing w:before="120" w:after="120" w:line="259" w:lineRule="auto"/>
    </w:pPr>
    <w:tblPr>
      <w:tblBorders>
        <w:top w:val="single" w:sz="4" w:space="0" w:color="C00000"/>
        <w:left w:val="single" w:sz="4" w:space="0" w:color="C00000"/>
        <w:bottom w:val="single" w:sz="4" w:space="0" w:color="C00000"/>
        <w:right w:val="single" w:sz="4" w:space="0" w:color="C00000"/>
      </w:tblBorders>
    </w:tblPr>
    <w:tcPr>
      <w:shd w:val="clear" w:color="auto" w:fill="FFFFFF" w:themeFill="background1"/>
    </w:tcPr>
    <w:tblStylePr w:type="firstRow">
      <w:rPr>
        <w:b/>
      </w:rPr>
      <w:tblPr/>
      <w:tcPr>
        <w:tcBorders>
          <w:top w:val="nil"/>
          <w:left w:val="nil"/>
          <w:bottom w:val="nil"/>
          <w:right w:val="nil"/>
        </w:tcBorders>
        <w:shd w:val="clear" w:color="auto" w:fill="C00000"/>
      </w:tcPr>
    </w:tblStylePr>
  </w:style>
  <w:style w:type="paragraph" w:styleId="NormalWeb">
    <w:name w:val="Normal (Web)"/>
    <w:basedOn w:val="Normal"/>
    <w:uiPriority w:val="99"/>
    <w:unhideWhenUsed/>
    <w:rsid w:val="0061736F"/>
    <w:pPr>
      <w:spacing w:before="100" w:beforeAutospacing="1" w:after="100" w:afterAutospacing="1" w:line="240" w:lineRule="auto"/>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ldspinkA\Documents\Custom%20Office%20Templates\OFF-SE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OFF-SEN Template</Template>
  <TotalTime>25</TotalTime>
  <Pages>5</Pages>
  <Words>1067</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Goldspink, Alistair (Trade)</dc:creator>
  <cp:keywords/>
  <dc:description/>
  <cp:lastModifiedBy>Goldspink, Alistair (Trade)</cp:lastModifiedBy>
  <cp:revision>6</cp:revision>
  <cp:lastPrinted>2019-03-18T14:24:00Z</cp:lastPrinted>
  <dcterms:created xsi:type="dcterms:W3CDTF">2019-09-06T13:00:00Z</dcterms:created>
  <dcterms:modified xsi:type="dcterms:W3CDTF">2019-09-06T13:14:00Z</dcterms:modified>
</cp:coreProperties>
</file>