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72BA" w14:textId="77777777" w:rsidR="00B025E5" w:rsidRDefault="00B025E5" w:rsidP="00B025E5">
      <w:pPr>
        <w:rPr>
          <w:b/>
          <w:bCs/>
        </w:rPr>
      </w:pPr>
      <w:r w:rsidRPr="00B025E5">
        <w:rPr>
          <w:b/>
          <w:bCs/>
        </w:rPr>
        <w:t>Expression of Interest: Syringe Driver Tracking Solution</w:t>
      </w:r>
    </w:p>
    <w:p w14:paraId="59B4D14A" w14:textId="51B15292" w:rsidR="00B025E5" w:rsidRPr="00B025E5" w:rsidRDefault="00B025E5" w:rsidP="00B025E5">
      <w:r w:rsidRPr="00B025E5">
        <w:rPr>
          <w:b/>
          <w:bCs/>
        </w:rPr>
        <w:t>Issued by:</w:t>
      </w:r>
      <w:r w:rsidRPr="00B025E5">
        <w:t xml:space="preserve"> Norfolk and Norwich University Hospitals NHS Foundation Trust (NNUH)</w:t>
      </w:r>
      <w:r w:rsidRPr="00B025E5">
        <w:br/>
      </w:r>
      <w:r w:rsidRPr="00B025E5">
        <w:rPr>
          <w:b/>
          <w:bCs/>
        </w:rPr>
        <w:t>Date:</w:t>
      </w:r>
      <w:r w:rsidRPr="00B025E5">
        <w:t xml:space="preserve"> </w:t>
      </w:r>
      <w:r w:rsidRPr="00B025E5">
        <w:br/>
      </w:r>
      <w:r w:rsidRPr="00B025E5">
        <w:rPr>
          <w:b/>
          <w:bCs/>
        </w:rPr>
        <w:t>Closing Date for Submissions:</w:t>
      </w:r>
      <w:r w:rsidRPr="00B025E5">
        <w:t xml:space="preserve"> </w:t>
      </w:r>
    </w:p>
    <w:p w14:paraId="4737103A" w14:textId="77777777" w:rsidR="00B025E5" w:rsidRPr="00B025E5" w:rsidRDefault="00B025E5" w:rsidP="00B025E5">
      <w:pPr>
        <w:rPr>
          <w:b/>
          <w:bCs/>
        </w:rPr>
      </w:pPr>
      <w:r w:rsidRPr="00B025E5">
        <w:rPr>
          <w:b/>
          <w:bCs/>
        </w:rPr>
        <w:t>1. Introduction</w:t>
      </w:r>
    </w:p>
    <w:p w14:paraId="267665ED" w14:textId="6F43AE69" w:rsidR="00B025E5" w:rsidRDefault="00B025E5" w:rsidP="00B025E5">
      <w:r w:rsidRPr="00B025E5">
        <w:t xml:space="preserve">Norfolk and Norwich University Hospitals NHS Foundation Trust (NNUH), </w:t>
      </w:r>
      <w:r w:rsidR="00413B5A">
        <w:t>in collaboration</w:t>
      </w:r>
      <w:r w:rsidRPr="00B025E5">
        <w:t xml:space="preserve"> with Queen Elizabeth Hospital (QEH) and James Paget University Hospital (JPUH), are seeking expressions of interest from suppliers who can provide a comprehensive tracking solution for syringe drivers. </w:t>
      </w:r>
    </w:p>
    <w:p w14:paraId="0E884F0A" w14:textId="78AF3A91" w:rsidR="00B025E5" w:rsidRDefault="00B025E5" w:rsidP="00B025E5">
      <w:r w:rsidRPr="00B025E5">
        <w:t xml:space="preserve">Syringe drivers are critical medical devices used across both hospital and community settings. Currently, significant challenges exist in tracking these devices, leading to loss, delayed patient care, and financial strain. To address these issues, we are exploring innovative tracking solutions </w:t>
      </w:r>
      <w:r>
        <w:t>which</w:t>
      </w:r>
      <w:r w:rsidRPr="00B025E5">
        <w:t xml:space="preserve"> can provide real-time monitoring of syringe drivers both inside hospital premises and when deployed in community car</w:t>
      </w:r>
      <w:r>
        <w:t xml:space="preserve">e with the aim to </w:t>
      </w:r>
      <w:r w:rsidRPr="00B025E5">
        <w:t>improve device visibility, reduce loss, and enhance operational efficiency</w:t>
      </w:r>
      <w:r>
        <w:t>.</w:t>
      </w:r>
    </w:p>
    <w:p w14:paraId="51BA06D3" w14:textId="77777777" w:rsidR="00EA1317" w:rsidRPr="00EA1317" w:rsidRDefault="00EA1317" w:rsidP="00EA1317">
      <w:pPr>
        <w:rPr>
          <w:b/>
          <w:bCs/>
        </w:rPr>
      </w:pPr>
      <w:r w:rsidRPr="00EA1317">
        <w:rPr>
          <w:b/>
          <w:bCs/>
        </w:rPr>
        <w:t>2. Scope of Requirement</w:t>
      </w:r>
    </w:p>
    <w:p w14:paraId="68A4A8BD" w14:textId="77777777" w:rsidR="00EA1317" w:rsidRPr="00EA1317" w:rsidRDefault="00EA1317" w:rsidP="00EA1317">
      <w:r w:rsidRPr="00EA1317">
        <w:t xml:space="preserve">The Trust is seeking suppliers who can provide a </w:t>
      </w:r>
      <w:r w:rsidRPr="00EA1317">
        <w:rPr>
          <w:b/>
          <w:bCs/>
        </w:rPr>
        <w:t>comprehensive tracking system</w:t>
      </w:r>
      <w:r w:rsidRPr="00EA1317">
        <w:t xml:space="preserve"> for syringe drivers, meeting the following key requirements:</w:t>
      </w:r>
    </w:p>
    <w:p w14:paraId="0FEA3D92" w14:textId="77777777" w:rsidR="00EA1317" w:rsidRPr="00EA1317" w:rsidRDefault="00EA1317" w:rsidP="00EA1317">
      <w:pPr>
        <w:rPr>
          <w:b/>
          <w:bCs/>
        </w:rPr>
      </w:pPr>
      <w:r w:rsidRPr="00EA1317">
        <w:rPr>
          <w:b/>
          <w:bCs/>
        </w:rPr>
        <w:t>2.1 Core Functionality</w:t>
      </w:r>
    </w:p>
    <w:p w14:paraId="2848B486" w14:textId="77777777" w:rsidR="00EA1317" w:rsidRPr="00EA1317" w:rsidRDefault="00EA1317" w:rsidP="00EA1317">
      <w:pPr>
        <w:numPr>
          <w:ilvl w:val="0"/>
          <w:numId w:val="3"/>
        </w:numPr>
      </w:pPr>
      <w:r w:rsidRPr="00EA1317">
        <w:rPr>
          <w:b/>
          <w:bCs/>
        </w:rPr>
        <w:t>Real-Time Location Tracking</w:t>
      </w:r>
      <w:r w:rsidRPr="00EA1317">
        <w:t>: The ability to track syringe drivers both within hospital premises (using Wi-Fi, RFID, or other location services) and externally in the community (GPS or equivalent technology).</w:t>
      </w:r>
    </w:p>
    <w:p w14:paraId="73562AA2" w14:textId="77777777" w:rsidR="00EA1317" w:rsidRPr="00EA1317" w:rsidRDefault="00EA1317" w:rsidP="00EA1317">
      <w:pPr>
        <w:numPr>
          <w:ilvl w:val="0"/>
          <w:numId w:val="3"/>
        </w:numPr>
      </w:pPr>
      <w:r w:rsidRPr="00EA1317">
        <w:rPr>
          <w:b/>
          <w:bCs/>
        </w:rPr>
        <w:t>User-Friendly Interface</w:t>
      </w:r>
      <w:r w:rsidRPr="00EA1317">
        <w:t>: An intuitive dashboard for real-time device tracking, history logs, and reporting.</w:t>
      </w:r>
    </w:p>
    <w:p w14:paraId="4BAE76D9" w14:textId="77777777" w:rsidR="00EA1317" w:rsidRPr="00EA1317" w:rsidRDefault="00EA1317" w:rsidP="00EA1317">
      <w:pPr>
        <w:numPr>
          <w:ilvl w:val="0"/>
          <w:numId w:val="3"/>
        </w:numPr>
      </w:pPr>
      <w:r w:rsidRPr="00EA1317">
        <w:rPr>
          <w:b/>
          <w:bCs/>
        </w:rPr>
        <w:t>Geo-Fencing and Alerts</w:t>
      </w:r>
      <w:r w:rsidRPr="00EA1317">
        <w:t>: Ability to set alerts for devices leaving designated areas.</w:t>
      </w:r>
    </w:p>
    <w:p w14:paraId="7F122F2E" w14:textId="77777777" w:rsidR="00EA1317" w:rsidRDefault="00EA1317" w:rsidP="00EA1317">
      <w:pPr>
        <w:numPr>
          <w:ilvl w:val="0"/>
          <w:numId w:val="3"/>
        </w:numPr>
      </w:pPr>
      <w:r w:rsidRPr="00EA1317">
        <w:rPr>
          <w:b/>
          <w:bCs/>
        </w:rPr>
        <w:t>Tamper Protection</w:t>
      </w:r>
      <w:r w:rsidRPr="00EA1317">
        <w:t>: Secure enclosures or mechanisms to ensure device integrity.</w:t>
      </w:r>
    </w:p>
    <w:p w14:paraId="5AFB5575" w14:textId="20C1CF85" w:rsidR="00413B5A" w:rsidRPr="00EA1317" w:rsidRDefault="00413B5A" w:rsidP="00EA1317">
      <w:pPr>
        <w:numPr>
          <w:ilvl w:val="0"/>
          <w:numId w:val="3"/>
        </w:numPr>
      </w:pPr>
      <w:r w:rsidRPr="00413B5A">
        <w:t xml:space="preserve">Can be cleaned with </w:t>
      </w:r>
      <w:proofErr w:type="spellStart"/>
      <w:r w:rsidRPr="00413B5A">
        <w:rPr>
          <w:b/>
          <w:bCs/>
        </w:rPr>
        <w:t>Chlorsan</w:t>
      </w:r>
      <w:proofErr w:type="spellEnd"/>
      <w:r>
        <w:rPr>
          <w:b/>
          <w:bCs/>
        </w:rPr>
        <w:t>/</w:t>
      </w:r>
      <w:proofErr w:type="spellStart"/>
      <w:r w:rsidRPr="00413B5A">
        <w:rPr>
          <w:b/>
          <w:bCs/>
        </w:rPr>
        <w:t>Actichlor</w:t>
      </w:r>
      <w:proofErr w:type="spellEnd"/>
      <w:r>
        <w:rPr>
          <w:b/>
          <w:bCs/>
        </w:rPr>
        <w:t xml:space="preserve"> </w:t>
      </w:r>
      <w:r w:rsidRPr="00413B5A">
        <w:rPr>
          <w:b/>
          <w:bCs/>
        </w:rPr>
        <w:t xml:space="preserve">and </w:t>
      </w:r>
      <w:proofErr w:type="spellStart"/>
      <w:r w:rsidRPr="00413B5A">
        <w:rPr>
          <w:b/>
          <w:bCs/>
        </w:rPr>
        <w:t>Clinell</w:t>
      </w:r>
      <w:proofErr w:type="spellEnd"/>
      <w:r w:rsidRPr="00413B5A">
        <w:rPr>
          <w:b/>
          <w:bCs/>
        </w:rPr>
        <w:t xml:space="preserve"> wipes</w:t>
      </w:r>
      <w:r w:rsidRPr="00413B5A">
        <w:t>, ensuring compliance with acute hospital infection control and cleaning policies.</w:t>
      </w:r>
    </w:p>
    <w:p w14:paraId="77A8FB6F" w14:textId="77777777" w:rsidR="00EA1317" w:rsidRPr="00EA1317" w:rsidRDefault="00EA1317" w:rsidP="00EA1317">
      <w:pPr>
        <w:rPr>
          <w:b/>
          <w:bCs/>
        </w:rPr>
      </w:pPr>
      <w:r w:rsidRPr="00EA1317">
        <w:rPr>
          <w:b/>
          <w:bCs/>
        </w:rPr>
        <w:t>2.2 Compliance &amp; Data Security</w:t>
      </w:r>
    </w:p>
    <w:p w14:paraId="28C2B7C1" w14:textId="77777777" w:rsidR="00EA1317" w:rsidRPr="00EA1317" w:rsidRDefault="00EA1317" w:rsidP="00EA1317">
      <w:pPr>
        <w:numPr>
          <w:ilvl w:val="0"/>
          <w:numId w:val="4"/>
        </w:numPr>
      </w:pPr>
      <w:r w:rsidRPr="00EA1317">
        <w:t xml:space="preserve">Compliance with </w:t>
      </w:r>
      <w:r w:rsidRPr="00EA1317">
        <w:rPr>
          <w:b/>
          <w:bCs/>
        </w:rPr>
        <w:t>UK GDPR and NHS Data Protection policies</w:t>
      </w:r>
      <w:r w:rsidRPr="00EA1317">
        <w:t>.</w:t>
      </w:r>
    </w:p>
    <w:p w14:paraId="7399505A" w14:textId="77777777" w:rsidR="00EA1317" w:rsidRPr="00EA1317" w:rsidRDefault="00EA1317" w:rsidP="00EA1317">
      <w:pPr>
        <w:numPr>
          <w:ilvl w:val="0"/>
          <w:numId w:val="4"/>
        </w:numPr>
      </w:pPr>
      <w:r w:rsidRPr="00EA1317">
        <w:t>Compatibility with NHS Digital security requirements and Cyber Essentials Plus standards.</w:t>
      </w:r>
    </w:p>
    <w:p w14:paraId="5BAC6F60" w14:textId="77777777" w:rsidR="00EA1317" w:rsidRPr="00EA1317" w:rsidRDefault="00EA1317" w:rsidP="00EA1317">
      <w:pPr>
        <w:numPr>
          <w:ilvl w:val="0"/>
          <w:numId w:val="4"/>
        </w:numPr>
      </w:pPr>
      <w:r w:rsidRPr="00EA1317">
        <w:t>Ability to work with NHS IT infrastructure, including network security and firewall considerations.</w:t>
      </w:r>
    </w:p>
    <w:p w14:paraId="01399843" w14:textId="77777777" w:rsidR="00EA1317" w:rsidRPr="00EA1317" w:rsidRDefault="00EA1317" w:rsidP="00EA1317">
      <w:pPr>
        <w:rPr>
          <w:b/>
          <w:bCs/>
        </w:rPr>
      </w:pPr>
      <w:r w:rsidRPr="00EA1317">
        <w:rPr>
          <w:b/>
          <w:bCs/>
        </w:rPr>
        <w:t>2.3 Implementation and Support</w:t>
      </w:r>
    </w:p>
    <w:p w14:paraId="1992E269" w14:textId="77777777" w:rsidR="00EA1317" w:rsidRPr="00EA1317" w:rsidRDefault="00EA1317" w:rsidP="00EA1317">
      <w:pPr>
        <w:numPr>
          <w:ilvl w:val="0"/>
          <w:numId w:val="5"/>
        </w:numPr>
      </w:pPr>
      <w:r w:rsidRPr="00EA1317">
        <w:t>Proven deployment within NHS or healthcare settings is preferred.</w:t>
      </w:r>
    </w:p>
    <w:p w14:paraId="3304A618" w14:textId="77777777" w:rsidR="00EA1317" w:rsidRPr="00EA1317" w:rsidRDefault="00EA1317" w:rsidP="00EA1317">
      <w:pPr>
        <w:numPr>
          <w:ilvl w:val="0"/>
          <w:numId w:val="5"/>
        </w:numPr>
      </w:pPr>
      <w:r w:rsidRPr="00EA1317">
        <w:t xml:space="preserve">Supplier support for </w:t>
      </w:r>
      <w:r w:rsidRPr="00EA1317">
        <w:rPr>
          <w:b/>
          <w:bCs/>
        </w:rPr>
        <w:t>installation, training, and ongoing maintenance</w:t>
      </w:r>
      <w:r w:rsidRPr="00EA1317">
        <w:t>.</w:t>
      </w:r>
    </w:p>
    <w:p w14:paraId="5464C4CA" w14:textId="77777777" w:rsidR="00EA1317" w:rsidRPr="00EA1317" w:rsidRDefault="00EA1317" w:rsidP="00EA1317">
      <w:pPr>
        <w:numPr>
          <w:ilvl w:val="0"/>
          <w:numId w:val="5"/>
        </w:numPr>
      </w:pPr>
      <w:r w:rsidRPr="00EA1317">
        <w:lastRenderedPageBreak/>
        <w:t>Scalability to support multiple NHS Trusts within the Integrated Care System (ICS).</w:t>
      </w:r>
    </w:p>
    <w:p w14:paraId="38DE6851" w14:textId="77777777" w:rsidR="00EA1317" w:rsidRPr="00EA1317" w:rsidRDefault="00EA1317" w:rsidP="00EA1317">
      <w:pPr>
        <w:rPr>
          <w:b/>
          <w:bCs/>
        </w:rPr>
      </w:pPr>
      <w:r w:rsidRPr="00EA1317">
        <w:rPr>
          <w:b/>
          <w:bCs/>
        </w:rPr>
        <w:t>3. Expression of Interest Submission Requirements</w:t>
      </w:r>
    </w:p>
    <w:p w14:paraId="4754AF03" w14:textId="77777777" w:rsidR="00EA1317" w:rsidRPr="00EA1317" w:rsidRDefault="00EA1317" w:rsidP="00EA1317">
      <w:r w:rsidRPr="00EA1317">
        <w:t>Interested suppliers should submit a response including the following information:</w:t>
      </w:r>
    </w:p>
    <w:p w14:paraId="16CAD9CA" w14:textId="77777777" w:rsidR="00EA1317" w:rsidRPr="00EA1317" w:rsidRDefault="00EA1317" w:rsidP="00EA1317">
      <w:pPr>
        <w:numPr>
          <w:ilvl w:val="0"/>
          <w:numId w:val="6"/>
        </w:numPr>
      </w:pPr>
      <w:r w:rsidRPr="00EA1317">
        <w:rPr>
          <w:b/>
          <w:bCs/>
        </w:rPr>
        <w:t>Company Information</w:t>
      </w:r>
      <w:r w:rsidRPr="00EA1317">
        <w:t>: Name, address, contact details, and relevant experience in healthcare tracking solutions.</w:t>
      </w:r>
    </w:p>
    <w:p w14:paraId="7F11C9BC" w14:textId="77777777" w:rsidR="00EA1317" w:rsidRPr="00EA1317" w:rsidRDefault="00EA1317" w:rsidP="00EA1317">
      <w:pPr>
        <w:numPr>
          <w:ilvl w:val="0"/>
          <w:numId w:val="6"/>
        </w:numPr>
      </w:pPr>
      <w:r w:rsidRPr="00EA1317">
        <w:rPr>
          <w:b/>
          <w:bCs/>
        </w:rPr>
        <w:t>Proposed Solution</w:t>
      </w:r>
      <w:r w:rsidRPr="00EA1317">
        <w:t>: Overview of the tracking system, including key features, technologies used, and compatibility with NHS systems.</w:t>
      </w:r>
    </w:p>
    <w:p w14:paraId="687529B4" w14:textId="77777777" w:rsidR="00EA1317" w:rsidRPr="00EA1317" w:rsidRDefault="00EA1317" w:rsidP="00EA1317">
      <w:pPr>
        <w:numPr>
          <w:ilvl w:val="0"/>
          <w:numId w:val="6"/>
        </w:numPr>
      </w:pPr>
      <w:r w:rsidRPr="00EA1317">
        <w:rPr>
          <w:b/>
          <w:bCs/>
        </w:rPr>
        <w:t>Implementation Plan</w:t>
      </w:r>
      <w:r w:rsidRPr="00EA1317">
        <w:t>: High-level timeline for deployment, onboarding process, and support provisions.</w:t>
      </w:r>
    </w:p>
    <w:p w14:paraId="71CDDAB2" w14:textId="77777777" w:rsidR="00EA1317" w:rsidRPr="00EA1317" w:rsidRDefault="00EA1317" w:rsidP="00EA1317">
      <w:pPr>
        <w:numPr>
          <w:ilvl w:val="0"/>
          <w:numId w:val="6"/>
        </w:numPr>
      </w:pPr>
      <w:r w:rsidRPr="00EA1317">
        <w:rPr>
          <w:b/>
          <w:bCs/>
        </w:rPr>
        <w:t>Case Studies</w:t>
      </w:r>
      <w:r w:rsidRPr="00EA1317">
        <w:t>: Evidence of previous successful implementations within NHS or healthcare settings.</w:t>
      </w:r>
    </w:p>
    <w:p w14:paraId="014BC59F" w14:textId="77777777" w:rsidR="00EA1317" w:rsidRPr="00EA1317" w:rsidRDefault="00EA1317" w:rsidP="00EA1317">
      <w:pPr>
        <w:numPr>
          <w:ilvl w:val="0"/>
          <w:numId w:val="6"/>
        </w:numPr>
      </w:pPr>
      <w:r w:rsidRPr="00EA1317">
        <w:rPr>
          <w:b/>
          <w:bCs/>
        </w:rPr>
        <w:t>Indicative Pricing Model</w:t>
      </w:r>
      <w:r w:rsidRPr="00EA1317">
        <w:t>: Cost structure for hardware, software, licensing, and ongoing support.</w:t>
      </w:r>
    </w:p>
    <w:p w14:paraId="52E9080D" w14:textId="77777777" w:rsidR="00EA1317" w:rsidRPr="00EA1317" w:rsidRDefault="00EA1317" w:rsidP="00EA1317">
      <w:pPr>
        <w:numPr>
          <w:ilvl w:val="0"/>
          <w:numId w:val="6"/>
        </w:numPr>
      </w:pPr>
      <w:r w:rsidRPr="00EA1317">
        <w:rPr>
          <w:b/>
          <w:bCs/>
        </w:rPr>
        <w:t>Compliance &amp; Security</w:t>
      </w:r>
      <w:r w:rsidRPr="00EA1317">
        <w:t>: Statement on compliance with NHS digital and cyber security standards.</w:t>
      </w:r>
    </w:p>
    <w:p w14:paraId="5323F179" w14:textId="77777777" w:rsidR="00EA1317" w:rsidRDefault="00EA1317" w:rsidP="00B025E5"/>
    <w:p w14:paraId="562F31A6" w14:textId="6F921B08" w:rsidR="00B025E5" w:rsidRPr="00B025E5" w:rsidRDefault="00B025E5" w:rsidP="00B025E5">
      <w:pPr>
        <w:rPr>
          <w:b/>
          <w:bCs/>
        </w:rPr>
      </w:pPr>
      <w:r w:rsidRPr="00B025E5">
        <w:rPr>
          <w:b/>
          <w:bCs/>
        </w:rPr>
        <w:t>4. Submission of Interest</w:t>
      </w:r>
    </w:p>
    <w:p w14:paraId="6B909980" w14:textId="35540DE3" w:rsidR="00B025E5" w:rsidRPr="00B025E5" w:rsidRDefault="00B025E5" w:rsidP="00B025E5">
      <w:r w:rsidRPr="00B025E5">
        <w:t xml:space="preserve">Interested suppliers should submit their expression of interest, including a detailed response to the requirements outlined above, by </w:t>
      </w:r>
      <w:r w:rsidR="001F4369">
        <w:t>28/02/2025</w:t>
      </w:r>
      <w:r w:rsidRPr="00B025E5">
        <w:t xml:space="preserve">. Responses should be sent to </w:t>
      </w:r>
      <w:r>
        <w:t>emily.binks@nnuh.nhs.uk.</w:t>
      </w:r>
    </w:p>
    <w:p w14:paraId="09DD91C1" w14:textId="77777777" w:rsidR="00B025E5" w:rsidRPr="00B025E5" w:rsidRDefault="00B025E5" w:rsidP="00B025E5">
      <w:r w:rsidRPr="00B025E5">
        <w:t xml:space="preserve">For further information or queries, please contact </w:t>
      </w:r>
      <w:r>
        <w:t>emily.binks@nnuh.nhs.uk.</w:t>
      </w:r>
    </w:p>
    <w:p w14:paraId="15135137" w14:textId="2A613D33" w:rsidR="00B025E5" w:rsidRPr="00B025E5" w:rsidRDefault="00B025E5" w:rsidP="00B025E5">
      <w:r w:rsidRPr="00B025E5">
        <w:t>We look forward to receiving your proposals and exploring potential solutions to enhance syringe driver management across our Trusts.</w:t>
      </w:r>
    </w:p>
    <w:p w14:paraId="0DDD2316" w14:textId="77777777" w:rsidR="00E77722" w:rsidRDefault="00E77722"/>
    <w:sectPr w:rsidR="00E77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795"/>
    <w:multiLevelType w:val="multilevel"/>
    <w:tmpl w:val="AD0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44249"/>
    <w:multiLevelType w:val="multilevel"/>
    <w:tmpl w:val="3E6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4249C"/>
    <w:multiLevelType w:val="multilevel"/>
    <w:tmpl w:val="358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46FFE"/>
    <w:multiLevelType w:val="multilevel"/>
    <w:tmpl w:val="742C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31969"/>
    <w:multiLevelType w:val="multilevel"/>
    <w:tmpl w:val="1F0E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3D46CE"/>
    <w:multiLevelType w:val="multilevel"/>
    <w:tmpl w:val="06A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423619">
    <w:abstractNumId w:val="5"/>
  </w:num>
  <w:num w:numId="2" w16cid:durableId="217788243">
    <w:abstractNumId w:val="2"/>
  </w:num>
  <w:num w:numId="3" w16cid:durableId="412437102">
    <w:abstractNumId w:val="3"/>
  </w:num>
  <w:num w:numId="4" w16cid:durableId="2141728667">
    <w:abstractNumId w:val="1"/>
  </w:num>
  <w:num w:numId="5" w16cid:durableId="787048130">
    <w:abstractNumId w:val="0"/>
  </w:num>
  <w:num w:numId="6" w16cid:durableId="1087339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E5"/>
    <w:rsid w:val="00051598"/>
    <w:rsid w:val="001F4369"/>
    <w:rsid w:val="00274DBE"/>
    <w:rsid w:val="00413B5A"/>
    <w:rsid w:val="00533E4F"/>
    <w:rsid w:val="006232AB"/>
    <w:rsid w:val="00845D96"/>
    <w:rsid w:val="009100CC"/>
    <w:rsid w:val="009B15A7"/>
    <w:rsid w:val="00B025E5"/>
    <w:rsid w:val="00E77722"/>
    <w:rsid w:val="00EA1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ADDE"/>
  <w15:chartTrackingRefBased/>
  <w15:docId w15:val="{63C0E90C-2866-491A-B326-1AC8347E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5E5"/>
    <w:rPr>
      <w:rFonts w:eastAsiaTheme="majorEastAsia" w:cstheme="majorBidi"/>
      <w:color w:val="272727" w:themeColor="text1" w:themeTint="D8"/>
    </w:rPr>
  </w:style>
  <w:style w:type="paragraph" w:styleId="Title">
    <w:name w:val="Title"/>
    <w:basedOn w:val="Normal"/>
    <w:next w:val="Normal"/>
    <w:link w:val="TitleChar"/>
    <w:uiPriority w:val="10"/>
    <w:qFormat/>
    <w:rsid w:val="00B02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5E5"/>
    <w:pPr>
      <w:spacing w:before="160"/>
      <w:jc w:val="center"/>
    </w:pPr>
    <w:rPr>
      <w:i/>
      <w:iCs/>
      <w:color w:val="404040" w:themeColor="text1" w:themeTint="BF"/>
    </w:rPr>
  </w:style>
  <w:style w:type="character" w:customStyle="1" w:styleId="QuoteChar">
    <w:name w:val="Quote Char"/>
    <w:basedOn w:val="DefaultParagraphFont"/>
    <w:link w:val="Quote"/>
    <w:uiPriority w:val="29"/>
    <w:rsid w:val="00B025E5"/>
    <w:rPr>
      <w:i/>
      <w:iCs/>
      <w:color w:val="404040" w:themeColor="text1" w:themeTint="BF"/>
    </w:rPr>
  </w:style>
  <w:style w:type="paragraph" w:styleId="ListParagraph">
    <w:name w:val="List Paragraph"/>
    <w:basedOn w:val="Normal"/>
    <w:uiPriority w:val="34"/>
    <w:qFormat/>
    <w:rsid w:val="00B025E5"/>
    <w:pPr>
      <w:ind w:left="720"/>
      <w:contextualSpacing/>
    </w:pPr>
  </w:style>
  <w:style w:type="character" w:styleId="IntenseEmphasis">
    <w:name w:val="Intense Emphasis"/>
    <w:basedOn w:val="DefaultParagraphFont"/>
    <w:uiPriority w:val="21"/>
    <w:qFormat/>
    <w:rsid w:val="00B025E5"/>
    <w:rPr>
      <w:i/>
      <w:iCs/>
      <w:color w:val="0F4761" w:themeColor="accent1" w:themeShade="BF"/>
    </w:rPr>
  </w:style>
  <w:style w:type="paragraph" w:styleId="IntenseQuote">
    <w:name w:val="Intense Quote"/>
    <w:basedOn w:val="Normal"/>
    <w:next w:val="Normal"/>
    <w:link w:val="IntenseQuoteChar"/>
    <w:uiPriority w:val="30"/>
    <w:qFormat/>
    <w:rsid w:val="00B02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5E5"/>
    <w:rPr>
      <w:i/>
      <w:iCs/>
      <w:color w:val="0F4761" w:themeColor="accent1" w:themeShade="BF"/>
    </w:rPr>
  </w:style>
  <w:style w:type="character" w:styleId="IntenseReference">
    <w:name w:val="Intense Reference"/>
    <w:basedOn w:val="DefaultParagraphFont"/>
    <w:uiPriority w:val="32"/>
    <w:qFormat/>
    <w:rsid w:val="00B025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966">
      <w:bodyDiv w:val="1"/>
      <w:marLeft w:val="0"/>
      <w:marRight w:val="0"/>
      <w:marTop w:val="0"/>
      <w:marBottom w:val="0"/>
      <w:divBdr>
        <w:top w:val="none" w:sz="0" w:space="0" w:color="auto"/>
        <w:left w:val="none" w:sz="0" w:space="0" w:color="auto"/>
        <w:bottom w:val="none" w:sz="0" w:space="0" w:color="auto"/>
        <w:right w:val="none" w:sz="0" w:space="0" w:color="auto"/>
      </w:divBdr>
    </w:div>
    <w:div w:id="251865749">
      <w:bodyDiv w:val="1"/>
      <w:marLeft w:val="0"/>
      <w:marRight w:val="0"/>
      <w:marTop w:val="0"/>
      <w:marBottom w:val="0"/>
      <w:divBdr>
        <w:top w:val="none" w:sz="0" w:space="0" w:color="auto"/>
        <w:left w:val="none" w:sz="0" w:space="0" w:color="auto"/>
        <w:bottom w:val="none" w:sz="0" w:space="0" w:color="auto"/>
        <w:right w:val="none" w:sz="0" w:space="0" w:color="auto"/>
      </w:divBdr>
    </w:div>
    <w:div w:id="959654595">
      <w:bodyDiv w:val="1"/>
      <w:marLeft w:val="0"/>
      <w:marRight w:val="0"/>
      <w:marTop w:val="0"/>
      <w:marBottom w:val="0"/>
      <w:divBdr>
        <w:top w:val="none" w:sz="0" w:space="0" w:color="auto"/>
        <w:left w:val="none" w:sz="0" w:space="0" w:color="auto"/>
        <w:bottom w:val="none" w:sz="0" w:space="0" w:color="auto"/>
        <w:right w:val="none" w:sz="0" w:space="0" w:color="auto"/>
      </w:divBdr>
    </w:div>
    <w:div w:id="1018897679">
      <w:bodyDiv w:val="1"/>
      <w:marLeft w:val="0"/>
      <w:marRight w:val="0"/>
      <w:marTop w:val="0"/>
      <w:marBottom w:val="0"/>
      <w:divBdr>
        <w:top w:val="none" w:sz="0" w:space="0" w:color="auto"/>
        <w:left w:val="none" w:sz="0" w:space="0" w:color="auto"/>
        <w:bottom w:val="none" w:sz="0" w:space="0" w:color="auto"/>
        <w:right w:val="none" w:sz="0" w:space="0" w:color="auto"/>
      </w:divBdr>
    </w:div>
    <w:div w:id="1353992185">
      <w:bodyDiv w:val="1"/>
      <w:marLeft w:val="0"/>
      <w:marRight w:val="0"/>
      <w:marTop w:val="0"/>
      <w:marBottom w:val="0"/>
      <w:divBdr>
        <w:top w:val="none" w:sz="0" w:space="0" w:color="auto"/>
        <w:left w:val="none" w:sz="0" w:space="0" w:color="auto"/>
        <w:bottom w:val="none" w:sz="0" w:space="0" w:color="auto"/>
        <w:right w:val="none" w:sz="0" w:space="0" w:color="auto"/>
      </w:divBdr>
    </w:div>
    <w:div w:id="1430202439">
      <w:bodyDiv w:val="1"/>
      <w:marLeft w:val="0"/>
      <w:marRight w:val="0"/>
      <w:marTop w:val="0"/>
      <w:marBottom w:val="0"/>
      <w:divBdr>
        <w:top w:val="none" w:sz="0" w:space="0" w:color="auto"/>
        <w:left w:val="none" w:sz="0" w:space="0" w:color="auto"/>
        <w:bottom w:val="none" w:sz="0" w:space="0" w:color="auto"/>
        <w:right w:val="none" w:sz="0" w:space="0" w:color="auto"/>
      </w:divBdr>
    </w:div>
    <w:div w:id="1468737148">
      <w:bodyDiv w:val="1"/>
      <w:marLeft w:val="0"/>
      <w:marRight w:val="0"/>
      <w:marTop w:val="0"/>
      <w:marBottom w:val="0"/>
      <w:divBdr>
        <w:top w:val="none" w:sz="0" w:space="0" w:color="auto"/>
        <w:left w:val="none" w:sz="0" w:space="0" w:color="auto"/>
        <w:bottom w:val="none" w:sz="0" w:space="0" w:color="auto"/>
        <w:right w:val="none" w:sz="0" w:space="0" w:color="auto"/>
      </w:divBdr>
    </w:div>
    <w:div w:id="1842618030">
      <w:bodyDiv w:val="1"/>
      <w:marLeft w:val="0"/>
      <w:marRight w:val="0"/>
      <w:marTop w:val="0"/>
      <w:marBottom w:val="0"/>
      <w:divBdr>
        <w:top w:val="none" w:sz="0" w:space="0" w:color="auto"/>
        <w:left w:val="none" w:sz="0" w:space="0" w:color="auto"/>
        <w:bottom w:val="none" w:sz="0" w:space="0" w:color="auto"/>
        <w:right w:val="none" w:sz="0" w:space="0" w:color="auto"/>
      </w:divBdr>
    </w:div>
    <w:div w:id="200377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Binks, Emily (NNUHFT)</dc:creator>
  <cp:keywords/>
  <dc:description/>
  <cp:lastModifiedBy>Binks, Emily (NNUHFT)</cp:lastModifiedBy>
  <cp:revision>5</cp:revision>
  <dcterms:created xsi:type="dcterms:W3CDTF">2025-02-12T12:33:00Z</dcterms:created>
  <dcterms:modified xsi:type="dcterms:W3CDTF">2025-02-18T07:44:00Z</dcterms:modified>
</cp:coreProperties>
</file>