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94A27" w14:textId="5DDECE3D" w:rsidR="003A05B7" w:rsidRPr="003A05B7" w:rsidRDefault="003A05B7" w:rsidP="4125DC50">
      <w:pPr>
        <w:pStyle w:val="Norma"/>
        <w:jc w:val="center"/>
        <w:rPr>
          <w:rFonts w:ascii="Century Gothic" w:hAnsi="Century Gothic" w:cs="Arial"/>
          <w:sz w:val="20"/>
          <w:szCs w:val="20"/>
        </w:rPr>
      </w:pPr>
      <w:r w:rsidRPr="4125DC50">
        <w:rPr>
          <w:rFonts w:ascii="Century Gothic" w:hAnsi="Century Gothic" w:cs="Arial"/>
          <w:b/>
          <w:bCs/>
          <w:sz w:val="20"/>
          <w:szCs w:val="20"/>
        </w:rPr>
        <w:t>Specification for</w:t>
      </w:r>
      <w:r w:rsidR="00F9080B">
        <w:rPr>
          <w:rFonts w:ascii="Century Gothic" w:hAnsi="Century Gothic" w:cs="Arial"/>
          <w:b/>
          <w:bCs/>
          <w:sz w:val="20"/>
          <w:szCs w:val="20"/>
        </w:rPr>
        <w:t>:</w:t>
      </w:r>
      <w:r w:rsidRPr="4125DC50">
        <w:rPr>
          <w:rFonts w:ascii="Century Gothic" w:hAnsi="Century Gothic" w:cs="Arial"/>
          <w:b/>
          <w:bCs/>
          <w:sz w:val="20"/>
          <w:szCs w:val="20"/>
        </w:rPr>
        <w:t xml:space="preserve"> </w:t>
      </w:r>
      <w:r w:rsidR="00AB09FF">
        <w:rPr>
          <w:rFonts w:ascii="Century Gothic" w:hAnsi="Century Gothic" w:cs="Arial"/>
          <w:b/>
          <w:bCs/>
          <w:sz w:val="20"/>
          <w:szCs w:val="20"/>
        </w:rPr>
        <w:t>Delivering Net Zero and climate resilience through the local planning system: barriers and opportunities</w:t>
      </w:r>
    </w:p>
    <w:p w14:paraId="621E9AD3" w14:textId="77777777" w:rsidR="003A05B7" w:rsidRPr="003A05B7" w:rsidRDefault="003A05B7" w:rsidP="22E435CD">
      <w:pPr>
        <w:pStyle w:val="Norma"/>
        <w:rPr>
          <w:rFonts w:ascii="Century Gothic" w:hAnsi="Century Gothic" w:cs="Arial"/>
          <w:b/>
          <w:bCs/>
          <w:sz w:val="20"/>
          <w:szCs w:val="20"/>
        </w:rPr>
      </w:pPr>
    </w:p>
    <w:p w14:paraId="4B2676A1" w14:textId="77777777" w:rsidR="003A05B7" w:rsidRPr="003A05B7" w:rsidRDefault="003A05B7" w:rsidP="22E435CD">
      <w:pPr>
        <w:pStyle w:val="Norma"/>
        <w:rPr>
          <w:rFonts w:ascii="Century Gothic" w:hAnsi="Century Gothic" w:cs="Arial"/>
          <w:sz w:val="20"/>
          <w:szCs w:val="20"/>
        </w:rPr>
      </w:pPr>
    </w:p>
    <w:p w14:paraId="1DA1E07F" w14:textId="77777777" w:rsidR="003A05B7" w:rsidRPr="003A05B7" w:rsidRDefault="003A05B7" w:rsidP="22E435CD">
      <w:pPr>
        <w:pStyle w:val="Norma"/>
        <w:rPr>
          <w:rFonts w:ascii="Century Gothic" w:hAnsi="Century Gothic" w:cs="Arial"/>
          <w:sz w:val="20"/>
          <w:szCs w:val="20"/>
        </w:rPr>
      </w:pPr>
    </w:p>
    <w:p w14:paraId="662E3217" w14:textId="7C4DDACA" w:rsidR="003A05B7" w:rsidRPr="003A05B7" w:rsidRDefault="003A05B7" w:rsidP="22E435CD">
      <w:pPr>
        <w:pStyle w:val="Norma"/>
        <w:jc w:val="center"/>
        <w:rPr>
          <w:rFonts w:ascii="Century Gothic" w:hAnsi="Century Gothic" w:cs="Arial"/>
          <w:sz w:val="20"/>
          <w:szCs w:val="20"/>
        </w:rPr>
      </w:pPr>
      <w:r w:rsidRPr="22E435CD">
        <w:rPr>
          <w:rFonts w:ascii="Century Gothic" w:hAnsi="Century Gothic" w:cs="Arial"/>
          <w:sz w:val="20"/>
          <w:szCs w:val="20"/>
        </w:rPr>
        <w:t xml:space="preserve">Tender Reference Number: </w:t>
      </w:r>
      <w:r w:rsidR="00A57514">
        <w:rPr>
          <w:rStyle w:val="normaltextrun"/>
          <w:rFonts w:ascii="Century Gothic" w:hAnsi="Century Gothic"/>
          <w:color w:val="FF0000"/>
          <w:sz w:val="20"/>
          <w:szCs w:val="20"/>
          <w:shd w:val="clear" w:color="auto" w:fill="FFFFFF"/>
        </w:rPr>
        <w:t>OS-1222</w:t>
      </w:r>
      <w:r w:rsidR="00F82EEE">
        <w:rPr>
          <w:rStyle w:val="eop"/>
          <w:rFonts w:ascii="Century Gothic" w:hAnsi="Century Gothic"/>
          <w:color w:val="FF0000"/>
          <w:sz w:val="20"/>
          <w:szCs w:val="20"/>
          <w:shd w:val="clear" w:color="auto" w:fill="FFFFFF"/>
        </w:rPr>
        <w:t> </w:t>
      </w:r>
    </w:p>
    <w:p w14:paraId="154480EA" w14:textId="77777777" w:rsidR="004E6806" w:rsidRDefault="004E6806" w:rsidP="22E435CD">
      <w:pPr>
        <w:pStyle w:val="BodyText"/>
        <w:rPr>
          <w:color w:val="auto"/>
        </w:rPr>
      </w:pPr>
    </w:p>
    <w:p w14:paraId="00123B59" w14:textId="77777777" w:rsidR="004E6806" w:rsidRDefault="004E6806" w:rsidP="22E435CD">
      <w:pPr>
        <w:pStyle w:val="BodyText"/>
        <w:rPr>
          <w:color w:val="auto"/>
        </w:rPr>
      </w:pPr>
    </w:p>
    <w:p w14:paraId="567B6A7F" w14:textId="77777777" w:rsidR="003C0907" w:rsidRDefault="003C0907" w:rsidP="22E435CD">
      <w:pPr>
        <w:pStyle w:val="BodyText"/>
        <w:rPr>
          <w:color w:val="auto"/>
        </w:rPr>
      </w:pPr>
    </w:p>
    <w:p w14:paraId="57B16793" w14:textId="77777777" w:rsidR="003A05B7" w:rsidRDefault="003A05B7" w:rsidP="22E435CD">
      <w:pPr>
        <w:pStyle w:val="BodyText"/>
        <w:rPr>
          <w:color w:val="auto"/>
        </w:rPr>
      </w:pPr>
    </w:p>
    <w:p w14:paraId="4BDF46EC" w14:textId="77777777" w:rsidR="003A05B7" w:rsidRDefault="003A05B7" w:rsidP="22E435CD">
      <w:pPr>
        <w:pStyle w:val="BodyText"/>
        <w:rPr>
          <w:color w:val="auto"/>
        </w:rPr>
      </w:pPr>
    </w:p>
    <w:p w14:paraId="4FB0A160" w14:textId="77777777" w:rsidR="003A05B7" w:rsidRDefault="003A05B7" w:rsidP="22E435CD">
      <w:pPr>
        <w:pStyle w:val="BodyText"/>
        <w:rPr>
          <w:color w:val="auto"/>
        </w:rPr>
      </w:pPr>
    </w:p>
    <w:p w14:paraId="462BD151" w14:textId="77777777" w:rsidR="003A05B7" w:rsidRDefault="003A05B7" w:rsidP="22E435CD">
      <w:pPr>
        <w:pStyle w:val="BodyText"/>
        <w:rPr>
          <w:color w:val="auto"/>
        </w:rPr>
      </w:pPr>
    </w:p>
    <w:p w14:paraId="1A09EA6B" w14:textId="77777777" w:rsidR="003A05B7" w:rsidRDefault="003A05B7" w:rsidP="22E435CD">
      <w:pPr>
        <w:pStyle w:val="BodyText"/>
        <w:rPr>
          <w:color w:val="auto"/>
        </w:rPr>
      </w:pPr>
    </w:p>
    <w:p w14:paraId="0972C41F" w14:textId="77777777" w:rsidR="003A05B7" w:rsidRDefault="003A05B7" w:rsidP="22E435CD">
      <w:pPr>
        <w:pStyle w:val="BodyText"/>
        <w:rPr>
          <w:color w:val="auto"/>
        </w:rPr>
      </w:pPr>
    </w:p>
    <w:p w14:paraId="12DA840D" w14:textId="77777777" w:rsidR="003A05B7" w:rsidRDefault="003A05B7" w:rsidP="22E435CD">
      <w:pPr>
        <w:pStyle w:val="BodyText"/>
        <w:rPr>
          <w:color w:val="auto"/>
        </w:rPr>
      </w:pPr>
    </w:p>
    <w:p w14:paraId="64088F55" w14:textId="77777777" w:rsidR="003A05B7" w:rsidRDefault="003A05B7" w:rsidP="22E435CD">
      <w:pPr>
        <w:pStyle w:val="BodyText"/>
        <w:rPr>
          <w:color w:val="auto"/>
        </w:rPr>
      </w:pPr>
    </w:p>
    <w:p w14:paraId="376F9AF4" w14:textId="77777777" w:rsidR="003A05B7" w:rsidRDefault="003A05B7" w:rsidP="22E435CD">
      <w:pPr>
        <w:pStyle w:val="BodyText"/>
        <w:rPr>
          <w:color w:val="auto"/>
        </w:rPr>
      </w:pPr>
    </w:p>
    <w:p w14:paraId="4F984BC5" w14:textId="77777777" w:rsidR="003A05B7" w:rsidRDefault="003A05B7" w:rsidP="22E435CD">
      <w:pPr>
        <w:pStyle w:val="BodyText"/>
        <w:rPr>
          <w:color w:val="auto"/>
        </w:rPr>
      </w:pPr>
    </w:p>
    <w:p w14:paraId="209FA933" w14:textId="77777777" w:rsidR="003A05B7" w:rsidRDefault="003A05B7" w:rsidP="22E435CD">
      <w:pPr>
        <w:pStyle w:val="BodyText"/>
        <w:rPr>
          <w:color w:val="auto"/>
        </w:rPr>
      </w:pPr>
    </w:p>
    <w:p w14:paraId="282ABAD5" w14:textId="77777777" w:rsidR="003A05B7" w:rsidRDefault="003A05B7" w:rsidP="22E435CD">
      <w:pPr>
        <w:pStyle w:val="BodyText"/>
        <w:rPr>
          <w:color w:val="auto"/>
        </w:rPr>
      </w:pPr>
    </w:p>
    <w:p w14:paraId="0A4E44CA" w14:textId="77777777" w:rsidR="003A05B7" w:rsidRDefault="003A05B7" w:rsidP="22E435CD">
      <w:pPr>
        <w:pStyle w:val="BodyText"/>
        <w:rPr>
          <w:color w:val="auto"/>
        </w:rPr>
      </w:pPr>
    </w:p>
    <w:p w14:paraId="77B1B0D4" w14:textId="77777777" w:rsidR="003A05B7" w:rsidRDefault="003A05B7" w:rsidP="22E435CD">
      <w:pPr>
        <w:pStyle w:val="BodyText"/>
        <w:rPr>
          <w:color w:val="auto"/>
        </w:rPr>
      </w:pPr>
    </w:p>
    <w:p w14:paraId="76D99EBD" w14:textId="77777777" w:rsidR="003A05B7" w:rsidRDefault="003A05B7" w:rsidP="22E435CD">
      <w:pPr>
        <w:pStyle w:val="BodyText"/>
        <w:rPr>
          <w:color w:val="auto"/>
        </w:rPr>
      </w:pPr>
    </w:p>
    <w:p w14:paraId="15AB9DE4" w14:textId="77777777" w:rsidR="003A05B7" w:rsidRDefault="003A05B7" w:rsidP="22E435CD">
      <w:pPr>
        <w:pStyle w:val="BodyText"/>
        <w:rPr>
          <w:color w:val="auto"/>
        </w:rPr>
      </w:pPr>
    </w:p>
    <w:p w14:paraId="73D4F696" w14:textId="77777777" w:rsidR="003A05B7" w:rsidRDefault="003A05B7" w:rsidP="22E435CD">
      <w:pPr>
        <w:pStyle w:val="BodyText"/>
        <w:rPr>
          <w:color w:val="auto"/>
        </w:rPr>
      </w:pPr>
    </w:p>
    <w:p w14:paraId="4C04D2A0" w14:textId="77777777" w:rsidR="003A05B7" w:rsidRDefault="003A05B7" w:rsidP="22E435CD">
      <w:pPr>
        <w:pStyle w:val="BodyText"/>
        <w:rPr>
          <w:color w:val="auto"/>
        </w:rPr>
      </w:pPr>
    </w:p>
    <w:p w14:paraId="701120F5" w14:textId="77777777" w:rsidR="003A05B7" w:rsidRDefault="003A05B7" w:rsidP="22E435CD">
      <w:pPr>
        <w:pStyle w:val="BodyText"/>
        <w:rPr>
          <w:color w:val="auto"/>
        </w:rPr>
      </w:pPr>
    </w:p>
    <w:p w14:paraId="5C2A593A" w14:textId="77777777" w:rsidR="003A05B7" w:rsidRDefault="003A05B7" w:rsidP="22E435CD">
      <w:pPr>
        <w:pStyle w:val="BodyText"/>
        <w:rPr>
          <w:color w:val="auto"/>
        </w:rPr>
      </w:pPr>
    </w:p>
    <w:p w14:paraId="5FADFA95" w14:textId="77777777" w:rsidR="003A05B7" w:rsidRDefault="003A05B7" w:rsidP="22E435CD">
      <w:pPr>
        <w:pStyle w:val="BodyText"/>
        <w:rPr>
          <w:color w:val="auto"/>
        </w:rPr>
      </w:pPr>
    </w:p>
    <w:p w14:paraId="30731147" w14:textId="77777777" w:rsidR="003A05B7" w:rsidRDefault="003A05B7" w:rsidP="22E435CD">
      <w:pPr>
        <w:pStyle w:val="BodyText"/>
        <w:rPr>
          <w:color w:val="auto"/>
        </w:rPr>
      </w:pPr>
    </w:p>
    <w:p w14:paraId="496AA0E4" w14:textId="77777777" w:rsidR="003A05B7" w:rsidRDefault="003A05B7" w:rsidP="22E435CD">
      <w:pPr>
        <w:pStyle w:val="BodyText"/>
        <w:rPr>
          <w:color w:val="auto"/>
        </w:rPr>
      </w:pPr>
    </w:p>
    <w:p w14:paraId="1AAB2B57" w14:textId="77777777" w:rsidR="003A05B7" w:rsidRDefault="003A05B7" w:rsidP="22E435CD">
      <w:pPr>
        <w:pStyle w:val="BodyText"/>
        <w:rPr>
          <w:color w:val="auto"/>
        </w:rPr>
      </w:pPr>
    </w:p>
    <w:p w14:paraId="33AA5A49" w14:textId="77777777" w:rsidR="003A05B7" w:rsidRDefault="003A05B7" w:rsidP="22E435CD">
      <w:pPr>
        <w:pStyle w:val="BodyText"/>
        <w:rPr>
          <w:color w:val="auto"/>
        </w:rPr>
      </w:pPr>
    </w:p>
    <w:p w14:paraId="29566668" w14:textId="77777777" w:rsidR="003A05B7" w:rsidRDefault="003A05B7" w:rsidP="22E435CD">
      <w:pPr>
        <w:pStyle w:val="BodyText"/>
        <w:rPr>
          <w:color w:val="auto"/>
        </w:rPr>
      </w:pPr>
    </w:p>
    <w:p w14:paraId="72A36CFC" w14:textId="77777777" w:rsidR="003A05B7" w:rsidRDefault="003A05B7" w:rsidP="22E435CD">
      <w:pPr>
        <w:pStyle w:val="BodyText"/>
        <w:rPr>
          <w:color w:val="auto"/>
        </w:rPr>
      </w:pPr>
    </w:p>
    <w:p w14:paraId="0298EB26" w14:textId="77777777" w:rsidR="003A05B7" w:rsidRDefault="003A05B7" w:rsidP="22E435CD">
      <w:pPr>
        <w:pStyle w:val="BodyText"/>
        <w:rPr>
          <w:color w:val="auto"/>
        </w:rPr>
      </w:pPr>
    </w:p>
    <w:p w14:paraId="3F81BDFD" w14:textId="77777777" w:rsidR="003A05B7" w:rsidRDefault="003A05B7" w:rsidP="22E435CD">
      <w:pPr>
        <w:pStyle w:val="BodyText"/>
        <w:rPr>
          <w:color w:val="auto"/>
        </w:rPr>
      </w:pPr>
    </w:p>
    <w:p w14:paraId="6F625AB1" w14:textId="77777777" w:rsidR="003A05B7" w:rsidRDefault="003A05B7" w:rsidP="22E435CD">
      <w:pPr>
        <w:pStyle w:val="BodyText"/>
        <w:rPr>
          <w:color w:val="auto"/>
        </w:rPr>
      </w:pPr>
    </w:p>
    <w:p w14:paraId="2B3E2998" w14:textId="77777777" w:rsidR="003A05B7" w:rsidRDefault="003A05B7" w:rsidP="22E435CD">
      <w:pPr>
        <w:pStyle w:val="BodyText"/>
        <w:rPr>
          <w:color w:val="auto"/>
        </w:rPr>
      </w:pPr>
    </w:p>
    <w:p w14:paraId="0ACE7846" w14:textId="77777777" w:rsidR="003A05B7" w:rsidRDefault="003A05B7" w:rsidP="22E435CD">
      <w:pPr>
        <w:pStyle w:val="BodyText"/>
        <w:rPr>
          <w:color w:val="auto"/>
        </w:rPr>
      </w:pPr>
    </w:p>
    <w:p w14:paraId="2DE8D6EB" w14:textId="77777777" w:rsidR="003A05B7" w:rsidRDefault="003A05B7" w:rsidP="22E435CD">
      <w:pPr>
        <w:pStyle w:val="BodyText"/>
        <w:rPr>
          <w:color w:val="auto"/>
        </w:rPr>
      </w:pPr>
    </w:p>
    <w:p w14:paraId="5889C5C5" w14:textId="77777777" w:rsidR="003A05B7" w:rsidRDefault="003A05B7" w:rsidP="22E435CD">
      <w:pPr>
        <w:pStyle w:val="BodyText"/>
        <w:rPr>
          <w:color w:val="auto"/>
        </w:rPr>
      </w:pPr>
    </w:p>
    <w:p w14:paraId="3874EC96" w14:textId="77777777" w:rsidR="003A05B7" w:rsidRDefault="003A05B7" w:rsidP="22E435CD">
      <w:pPr>
        <w:pStyle w:val="BodyText"/>
        <w:rPr>
          <w:color w:val="auto"/>
        </w:rPr>
      </w:pPr>
    </w:p>
    <w:p w14:paraId="78A4FE0C" w14:textId="77777777" w:rsidR="003A05B7" w:rsidRDefault="003A05B7" w:rsidP="22E435CD">
      <w:pPr>
        <w:pStyle w:val="BodyText"/>
        <w:rPr>
          <w:color w:val="auto"/>
        </w:rPr>
      </w:pPr>
    </w:p>
    <w:p w14:paraId="6CB2FE1B" w14:textId="77777777" w:rsidR="003A05B7" w:rsidRDefault="003A05B7" w:rsidP="22E435CD">
      <w:pPr>
        <w:pStyle w:val="BodyText"/>
        <w:rPr>
          <w:color w:val="auto"/>
        </w:rPr>
      </w:pPr>
    </w:p>
    <w:p w14:paraId="29CB3371" w14:textId="77777777" w:rsidR="003A05B7" w:rsidRDefault="003A05B7" w:rsidP="22E435CD">
      <w:pPr>
        <w:pStyle w:val="BodyText"/>
        <w:rPr>
          <w:color w:val="auto"/>
        </w:rPr>
      </w:pPr>
    </w:p>
    <w:p w14:paraId="73814399" w14:textId="77777777" w:rsidR="003A05B7" w:rsidRDefault="003A05B7" w:rsidP="22E435CD">
      <w:pPr>
        <w:pStyle w:val="BodyText"/>
        <w:rPr>
          <w:color w:val="auto"/>
        </w:rPr>
      </w:pPr>
    </w:p>
    <w:p w14:paraId="410B44B6" w14:textId="77777777" w:rsidR="003A05B7" w:rsidRDefault="003A05B7" w:rsidP="22E435CD">
      <w:pPr>
        <w:pStyle w:val="BodyText"/>
        <w:rPr>
          <w:color w:val="auto"/>
        </w:rPr>
      </w:pPr>
    </w:p>
    <w:p w14:paraId="6857C4F8" w14:textId="77777777" w:rsidR="003A05B7" w:rsidRDefault="003A05B7" w:rsidP="22E435CD">
      <w:pPr>
        <w:pStyle w:val="BodyText"/>
        <w:rPr>
          <w:color w:val="auto"/>
        </w:rPr>
      </w:pPr>
    </w:p>
    <w:p w14:paraId="0A2C498B" w14:textId="77777777" w:rsidR="003A05B7" w:rsidRPr="003A05B7" w:rsidRDefault="003A05B7" w:rsidP="22E435CD">
      <w:pPr>
        <w:pStyle w:val="Norma"/>
        <w:jc w:val="center"/>
        <w:rPr>
          <w:rFonts w:ascii="Century Gothic" w:hAnsi="Century Gothic" w:cs="Arial"/>
          <w:b/>
          <w:bCs/>
          <w:sz w:val="20"/>
          <w:szCs w:val="20"/>
        </w:rPr>
      </w:pPr>
      <w:r w:rsidRPr="22E435CD">
        <w:rPr>
          <w:rFonts w:ascii="Century Gothic" w:hAnsi="Century Gothic"/>
          <w:b/>
          <w:bCs/>
          <w:sz w:val="20"/>
          <w:szCs w:val="20"/>
        </w:rPr>
        <w:t>Specification of Requirements</w:t>
      </w:r>
    </w:p>
    <w:p w14:paraId="600E1F1A" w14:textId="77777777" w:rsidR="003A05B7" w:rsidRPr="003A05B7" w:rsidRDefault="003A05B7" w:rsidP="22E435CD">
      <w:pPr>
        <w:pStyle w:val="Norma"/>
        <w:rPr>
          <w:rFonts w:ascii="Century Gothic" w:hAnsi="Century Gothic"/>
          <w:sz w:val="20"/>
          <w:szCs w:val="20"/>
        </w:rPr>
      </w:pPr>
    </w:p>
    <w:p w14:paraId="18CC1ED6" w14:textId="77777777" w:rsidR="003A05B7" w:rsidRPr="003A05B7" w:rsidRDefault="003A05B7" w:rsidP="22E435CD">
      <w:pPr>
        <w:pStyle w:val="Norma"/>
        <w:rPr>
          <w:rFonts w:ascii="Century Gothic" w:hAnsi="Century Gothic"/>
          <w:sz w:val="20"/>
          <w:szCs w:val="20"/>
        </w:rPr>
      </w:pPr>
    </w:p>
    <w:p w14:paraId="5D769E5A" w14:textId="77777777" w:rsidR="00AB09FF" w:rsidRDefault="003A05B7" w:rsidP="22E435CD">
      <w:pPr>
        <w:pStyle w:val="Norma"/>
        <w:ind w:left="720" w:firstLine="720"/>
        <w:jc w:val="both"/>
        <w:rPr>
          <w:rFonts w:ascii="Century Gothic" w:hAnsi="Century Gothic" w:cs="Arial"/>
          <w:sz w:val="20"/>
          <w:szCs w:val="20"/>
        </w:rPr>
      </w:pPr>
      <w:r w:rsidRPr="4125DC50">
        <w:rPr>
          <w:rFonts w:ascii="Century Gothic" w:hAnsi="Century Gothic" w:cs="Arial"/>
          <w:sz w:val="20"/>
          <w:szCs w:val="20"/>
        </w:rPr>
        <w:t xml:space="preserve">Invitation to Tender for </w:t>
      </w:r>
      <w:r w:rsidR="00AB09FF">
        <w:rPr>
          <w:rFonts w:ascii="Century Gothic" w:hAnsi="Century Gothic" w:cs="Arial"/>
          <w:b/>
          <w:bCs/>
          <w:sz w:val="20"/>
          <w:szCs w:val="20"/>
        </w:rPr>
        <w:t>Delivering Net Zero and climate resilience through the local planning system: barriers and opportunities</w:t>
      </w:r>
      <w:r w:rsidR="00AB09FF" w:rsidRPr="4125DC50">
        <w:rPr>
          <w:rFonts w:ascii="Century Gothic" w:hAnsi="Century Gothic" w:cs="Arial"/>
          <w:sz w:val="20"/>
          <w:szCs w:val="20"/>
        </w:rPr>
        <w:t xml:space="preserve"> </w:t>
      </w:r>
    </w:p>
    <w:p w14:paraId="2BF4D589" w14:textId="4E74448C" w:rsidR="003A05B7" w:rsidRPr="003A05B7" w:rsidRDefault="003A05B7" w:rsidP="22E435CD">
      <w:pPr>
        <w:pStyle w:val="Norma"/>
        <w:ind w:left="720" w:firstLine="720"/>
        <w:jc w:val="both"/>
        <w:rPr>
          <w:rFonts w:ascii="Century Gothic" w:hAnsi="Century Gothic" w:cs="Arial"/>
          <w:sz w:val="20"/>
          <w:szCs w:val="20"/>
        </w:rPr>
      </w:pPr>
      <w:r w:rsidRPr="4125DC50">
        <w:rPr>
          <w:rFonts w:ascii="Century Gothic" w:hAnsi="Century Gothic" w:cs="Arial"/>
          <w:sz w:val="20"/>
          <w:szCs w:val="20"/>
        </w:rPr>
        <w:t>Tender Reference Number:</w:t>
      </w:r>
      <w:r w:rsidR="007618E8">
        <w:rPr>
          <w:rFonts w:ascii="Century Gothic" w:hAnsi="Century Gothic" w:cs="Arial"/>
          <w:sz w:val="20"/>
          <w:szCs w:val="20"/>
        </w:rPr>
        <w:t xml:space="preserve"> </w:t>
      </w:r>
      <w:r w:rsidR="00BC440F">
        <w:rPr>
          <w:rFonts w:ascii="Century Gothic" w:hAnsi="Century Gothic" w:cs="Arial"/>
          <w:sz w:val="20"/>
          <w:szCs w:val="20"/>
        </w:rPr>
        <w:t>[]</w:t>
      </w:r>
    </w:p>
    <w:p w14:paraId="6AB0AC47" w14:textId="1DEBDD06" w:rsidR="003A05B7" w:rsidRPr="00F97858" w:rsidRDefault="003A05B7" w:rsidP="22E435CD">
      <w:pPr>
        <w:pStyle w:val="Norma"/>
        <w:ind w:left="720" w:firstLine="720"/>
        <w:jc w:val="both"/>
        <w:rPr>
          <w:rFonts w:ascii="Century Gothic" w:hAnsi="Century Gothic" w:cs="Arial"/>
          <w:sz w:val="20"/>
          <w:szCs w:val="20"/>
        </w:rPr>
      </w:pPr>
      <w:r w:rsidRPr="2A0983F6">
        <w:rPr>
          <w:rFonts w:ascii="Century Gothic" w:hAnsi="Century Gothic" w:cs="Arial"/>
          <w:sz w:val="20"/>
          <w:szCs w:val="20"/>
        </w:rPr>
        <w:t xml:space="preserve">Deadline for Tender Responses: </w:t>
      </w:r>
      <w:r w:rsidR="000A69E4">
        <w:rPr>
          <w:rFonts w:ascii="Century Gothic" w:hAnsi="Century Gothic" w:cs="Arial"/>
          <w:b/>
          <w:bCs/>
          <w:sz w:val="20"/>
          <w:szCs w:val="20"/>
        </w:rPr>
        <w:t>1</w:t>
      </w:r>
      <w:r w:rsidR="009B27CF">
        <w:rPr>
          <w:rFonts w:ascii="Century Gothic" w:hAnsi="Century Gothic" w:cs="Arial"/>
          <w:b/>
          <w:bCs/>
          <w:sz w:val="20"/>
          <w:szCs w:val="20"/>
        </w:rPr>
        <w:t>2</w:t>
      </w:r>
      <w:r w:rsidR="00F82EEE">
        <w:rPr>
          <w:rFonts w:ascii="Century Gothic" w:hAnsi="Century Gothic" w:cs="Arial"/>
          <w:b/>
          <w:bCs/>
          <w:sz w:val="20"/>
          <w:szCs w:val="20"/>
        </w:rPr>
        <w:t>/01/202</w:t>
      </w:r>
      <w:r w:rsidR="00CD6EB7">
        <w:rPr>
          <w:rFonts w:ascii="Century Gothic" w:hAnsi="Century Gothic" w:cs="Arial"/>
          <w:b/>
          <w:bCs/>
          <w:sz w:val="20"/>
          <w:szCs w:val="20"/>
        </w:rPr>
        <w:t>3</w:t>
      </w:r>
    </w:p>
    <w:p w14:paraId="16CE12E3" w14:textId="77777777" w:rsidR="003A05B7" w:rsidRDefault="003A05B7" w:rsidP="22E435CD">
      <w:pPr>
        <w:pStyle w:val="BodyText"/>
        <w:jc w:val="both"/>
        <w:rPr>
          <w:color w:val="auto"/>
        </w:rPr>
      </w:pPr>
    </w:p>
    <w:p w14:paraId="7AB741F0" w14:textId="77777777" w:rsidR="003A05B7" w:rsidRDefault="003A05B7" w:rsidP="22E435CD">
      <w:pPr>
        <w:pStyle w:val="BodyText"/>
        <w:jc w:val="both"/>
        <w:rPr>
          <w:color w:val="auto"/>
        </w:rPr>
      </w:pPr>
    </w:p>
    <w:p w14:paraId="63698C39" w14:textId="77777777" w:rsidR="003A05B7" w:rsidRDefault="003A05B7" w:rsidP="22E435CD">
      <w:pPr>
        <w:pStyle w:val="BodyText"/>
        <w:rPr>
          <w:color w:val="auto"/>
        </w:rPr>
      </w:pPr>
    </w:p>
    <w:p w14:paraId="6335403F" w14:textId="77777777" w:rsidR="003A05B7" w:rsidRPr="003A05B7" w:rsidRDefault="003A05B7" w:rsidP="22E435CD">
      <w:pPr>
        <w:pStyle w:val="Numbered"/>
        <w:widowControl/>
        <w:ind w:left="720" w:firstLine="720"/>
        <w:rPr>
          <w:rFonts w:asciiTheme="minorHAnsi" w:hAnsiTheme="minorHAnsi"/>
          <w:b/>
          <w:bCs/>
          <w:sz w:val="20"/>
          <w:szCs w:val="20"/>
        </w:rPr>
      </w:pPr>
      <w:r w:rsidRPr="22E435CD">
        <w:rPr>
          <w:rFonts w:asciiTheme="minorHAnsi" w:hAnsiTheme="minorHAnsi"/>
          <w:b/>
          <w:bCs/>
          <w:sz w:val="20"/>
          <w:szCs w:val="20"/>
        </w:rPr>
        <w:t>Contents</w:t>
      </w:r>
    </w:p>
    <w:p w14:paraId="36A5EF3C" w14:textId="77777777" w:rsidR="003A05B7" w:rsidRPr="003A05B7" w:rsidRDefault="003A05B7" w:rsidP="22E435CD">
      <w:pPr>
        <w:pStyle w:val="Norma"/>
        <w:rPr>
          <w:rFonts w:asciiTheme="minorHAnsi" w:hAnsiTheme="minorHAnsi"/>
          <w:sz w:val="20"/>
          <w:szCs w:val="20"/>
          <w:lang w:val="en-US" w:eastAsia="ja-JP"/>
        </w:rPr>
      </w:pPr>
    </w:p>
    <w:p w14:paraId="321B910C" w14:textId="16CCA9B1" w:rsidR="00F82EEE" w:rsidRDefault="003A05B7" w:rsidP="00F82EEE">
      <w:pPr>
        <w:pStyle w:val="TOC1"/>
        <w:ind w:left="1980"/>
        <w:rPr>
          <w:rFonts w:asciiTheme="minorHAnsi" w:hAnsiTheme="minorHAnsi" w:cs="Arial"/>
          <w:noProof/>
          <w:sz w:val="20"/>
          <w:szCs w:val="20"/>
        </w:rPr>
      </w:pPr>
      <w:r w:rsidRPr="22E435CD">
        <w:rPr>
          <w:rFonts w:asciiTheme="minorHAnsi" w:hAnsiTheme="minorHAnsi" w:cs="Mangal"/>
          <w:color w:val="000000"/>
          <w:sz w:val="20"/>
          <w:szCs w:val="20"/>
        </w:rPr>
        <w:fldChar w:fldCharType="begin"/>
      </w:r>
      <w:r w:rsidRPr="22E435CD">
        <w:rPr>
          <w:rFonts w:asciiTheme="minorHAnsi" w:hAnsiTheme="minorHAnsi"/>
          <w:color w:val="000000"/>
          <w:sz w:val="20"/>
          <w:szCs w:val="20"/>
        </w:rPr>
        <w:instrText xml:space="preserve"> TOC \b SectionTwo \* MERGEFORMAT </w:instrText>
      </w:r>
      <w:r w:rsidRPr="22E435CD">
        <w:rPr>
          <w:rFonts w:asciiTheme="minorHAnsi" w:hAnsiTheme="minorHAnsi" w:cs="Mangal"/>
          <w:color w:val="000000"/>
          <w:sz w:val="20"/>
          <w:szCs w:val="20"/>
        </w:rPr>
        <w:fldChar w:fldCharType="separate"/>
      </w:r>
      <w:r w:rsidR="006724AE" w:rsidRPr="22E435CD">
        <w:rPr>
          <w:rFonts w:asciiTheme="minorHAnsi" w:hAnsiTheme="minorHAnsi" w:cs="Arial"/>
          <w:noProof/>
          <w:sz w:val="20"/>
          <w:szCs w:val="20"/>
        </w:rPr>
        <w:t>1</w:t>
      </w:r>
      <w:r w:rsidRPr="22E435CD">
        <w:rPr>
          <w:rFonts w:asciiTheme="minorHAnsi" w:hAnsiTheme="minorHAnsi" w:cs="Arial"/>
          <w:noProof/>
          <w:sz w:val="20"/>
          <w:szCs w:val="20"/>
        </w:rPr>
        <w:t>.</w:t>
      </w:r>
      <w:r>
        <w:tab/>
      </w:r>
      <w:r w:rsidR="00F82EEE">
        <w:rPr>
          <w:rFonts w:asciiTheme="minorHAnsi" w:hAnsiTheme="minorHAnsi" w:cs="Arial"/>
          <w:noProof/>
          <w:sz w:val="20"/>
          <w:szCs w:val="20"/>
        </w:rPr>
        <w:t>Preamble</w:t>
      </w:r>
    </w:p>
    <w:p w14:paraId="68C2F784" w14:textId="626A2133" w:rsidR="003A05B7" w:rsidRPr="003A05B7" w:rsidRDefault="00F82EEE" w:rsidP="00F82EEE">
      <w:pPr>
        <w:pStyle w:val="TOC1"/>
        <w:ind w:left="1980"/>
        <w:rPr>
          <w:rFonts w:asciiTheme="minorHAnsi" w:hAnsiTheme="minorHAnsi"/>
          <w:noProof/>
          <w:sz w:val="20"/>
          <w:szCs w:val="20"/>
        </w:rPr>
      </w:pPr>
      <w:r>
        <w:rPr>
          <w:rFonts w:asciiTheme="minorHAnsi" w:hAnsiTheme="minorHAnsi" w:cs="Arial"/>
          <w:noProof/>
          <w:sz w:val="20"/>
          <w:szCs w:val="20"/>
        </w:rPr>
        <w:t>2. Background</w:t>
      </w:r>
      <w:r w:rsidR="003A05B7">
        <w:tab/>
      </w:r>
    </w:p>
    <w:p w14:paraId="1A9E7AFE" w14:textId="1F050AFB" w:rsidR="003A05B7" w:rsidRPr="003A05B7" w:rsidRDefault="00F82EEE" w:rsidP="00F82EEE">
      <w:pPr>
        <w:pStyle w:val="TOC1"/>
        <w:ind w:left="1980"/>
        <w:rPr>
          <w:rFonts w:asciiTheme="minorHAnsi" w:hAnsiTheme="minorHAnsi"/>
          <w:noProof/>
          <w:sz w:val="20"/>
          <w:szCs w:val="20"/>
        </w:rPr>
      </w:pPr>
      <w:r>
        <w:rPr>
          <w:rFonts w:asciiTheme="minorHAnsi" w:hAnsiTheme="minorHAnsi" w:cs="Arial"/>
          <w:noProof/>
          <w:sz w:val="20"/>
          <w:szCs w:val="20"/>
        </w:rPr>
        <w:t>3</w:t>
      </w:r>
      <w:r w:rsidR="003A05B7" w:rsidRPr="22E435CD">
        <w:rPr>
          <w:rFonts w:asciiTheme="minorHAnsi" w:hAnsiTheme="minorHAnsi" w:cs="Arial"/>
          <w:noProof/>
          <w:sz w:val="20"/>
          <w:szCs w:val="20"/>
        </w:rPr>
        <w:t>.</w:t>
      </w:r>
      <w:r w:rsidR="006724AE">
        <w:tab/>
      </w:r>
      <w:r w:rsidR="003A05B7" w:rsidRPr="22E435CD">
        <w:rPr>
          <w:rFonts w:asciiTheme="minorHAnsi" w:hAnsiTheme="minorHAnsi" w:cs="Arial"/>
          <w:noProof/>
          <w:sz w:val="20"/>
          <w:szCs w:val="20"/>
        </w:rPr>
        <w:t>Aims and Objectives</w:t>
      </w:r>
      <w:r w:rsidR="006724AE">
        <w:tab/>
      </w:r>
    </w:p>
    <w:p w14:paraId="4CE1154D" w14:textId="7E5926EA" w:rsidR="003A05B7" w:rsidRPr="003A05B7" w:rsidRDefault="00F82EEE" w:rsidP="00F82EEE">
      <w:pPr>
        <w:pStyle w:val="TOC1"/>
        <w:ind w:left="1980"/>
        <w:rPr>
          <w:rFonts w:asciiTheme="minorHAnsi" w:hAnsiTheme="minorHAnsi"/>
          <w:noProof/>
          <w:sz w:val="20"/>
          <w:szCs w:val="20"/>
        </w:rPr>
      </w:pPr>
      <w:r>
        <w:rPr>
          <w:rFonts w:asciiTheme="minorHAnsi" w:hAnsiTheme="minorHAnsi" w:cs="Arial"/>
          <w:noProof/>
          <w:sz w:val="20"/>
          <w:szCs w:val="20"/>
        </w:rPr>
        <w:t>4</w:t>
      </w:r>
      <w:r w:rsidR="003A05B7" w:rsidRPr="22E435CD">
        <w:rPr>
          <w:rFonts w:asciiTheme="minorHAnsi" w:hAnsiTheme="minorHAnsi" w:cs="Arial"/>
          <w:noProof/>
          <w:sz w:val="20"/>
          <w:szCs w:val="20"/>
        </w:rPr>
        <w:t>.</w:t>
      </w:r>
      <w:r w:rsidR="006724AE">
        <w:tab/>
      </w:r>
      <w:r w:rsidR="003A05B7" w:rsidRPr="22E435CD">
        <w:rPr>
          <w:rFonts w:asciiTheme="minorHAnsi" w:hAnsiTheme="minorHAnsi" w:cs="Arial"/>
          <w:noProof/>
          <w:sz w:val="20"/>
          <w:szCs w:val="20"/>
        </w:rPr>
        <w:t>Methodology</w:t>
      </w:r>
      <w:r w:rsidR="006724AE">
        <w:tab/>
      </w:r>
    </w:p>
    <w:p w14:paraId="71FAF932" w14:textId="7E62BDAC" w:rsidR="003A05B7" w:rsidRPr="003A05B7" w:rsidRDefault="00F82EEE" w:rsidP="00F82EEE">
      <w:pPr>
        <w:pStyle w:val="TOC1"/>
        <w:ind w:left="1980"/>
        <w:rPr>
          <w:rFonts w:asciiTheme="minorHAnsi" w:hAnsiTheme="minorHAnsi"/>
          <w:noProof/>
          <w:sz w:val="20"/>
          <w:szCs w:val="20"/>
        </w:rPr>
      </w:pPr>
      <w:r>
        <w:rPr>
          <w:rFonts w:asciiTheme="minorHAnsi" w:hAnsiTheme="minorHAnsi" w:cs="Arial"/>
          <w:noProof/>
          <w:sz w:val="20"/>
          <w:szCs w:val="20"/>
        </w:rPr>
        <w:t>5</w:t>
      </w:r>
      <w:r w:rsidR="003A05B7" w:rsidRPr="22E435CD">
        <w:rPr>
          <w:rFonts w:asciiTheme="minorHAnsi" w:hAnsiTheme="minorHAnsi" w:cs="Arial"/>
          <w:noProof/>
          <w:sz w:val="20"/>
          <w:szCs w:val="20"/>
        </w:rPr>
        <w:t>.</w:t>
      </w:r>
      <w:r w:rsidR="006724AE">
        <w:tab/>
      </w:r>
      <w:r w:rsidR="003A05B7" w:rsidRPr="22E435CD">
        <w:rPr>
          <w:rFonts w:asciiTheme="minorHAnsi" w:hAnsiTheme="minorHAnsi" w:cs="Arial"/>
          <w:noProof/>
          <w:sz w:val="20"/>
          <w:szCs w:val="20"/>
        </w:rPr>
        <w:t>Outputs Required</w:t>
      </w:r>
      <w:r w:rsidR="006724AE">
        <w:tab/>
      </w:r>
    </w:p>
    <w:p w14:paraId="4436E548" w14:textId="5CD32EB7" w:rsidR="003A05B7" w:rsidRPr="003A05B7" w:rsidRDefault="00F82EEE" w:rsidP="00F82EEE">
      <w:pPr>
        <w:pStyle w:val="TOC1"/>
        <w:ind w:left="1980"/>
        <w:rPr>
          <w:rFonts w:asciiTheme="minorHAnsi" w:hAnsiTheme="minorHAnsi"/>
          <w:noProof/>
          <w:sz w:val="20"/>
          <w:szCs w:val="20"/>
        </w:rPr>
      </w:pPr>
      <w:r>
        <w:rPr>
          <w:rFonts w:asciiTheme="minorHAnsi" w:hAnsiTheme="minorHAnsi" w:cs="Arial"/>
          <w:noProof/>
          <w:sz w:val="20"/>
          <w:szCs w:val="20"/>
        </w:rPr>
        <w:t>6</w:t>
      </w:r>
      <w:r w:rsidR="003A05B7" w:rsidRPr="22E435CD">
        <w:rPr>
          <w:rFonts w:asciiTheme="minorHAnsi" w:hAnsiTheme="minorHAnsi" w:cs="Arial"/>
          <w:noProof/>
          <w:sz w:val="20"/>
          <w:szCs w:val="20"/>
        </w:rPr>
        <w:t>.</w:t>
      </w:r>
      <w:r w:rsidR="006724AE">
        <w:tab/>
      </w:r>
      <w:r w:rsidR="003A05B7" w:rsidRPr="22E435CD">
        <w:rPr>
          <w:rFonts w:asciiTheme="minorHAnsi" w:hAnsiTheme="minorHAnsi" w:cs="Arial"/>
          <w:noProof/>
          <w:sz w:val="20"/>
          <w:szCs w:val="20"/>
        </w:rPr>
        <w:t>Ownership and Publication</w:t>
      </w:r>
      <w:r w:rsidR="006724AE">
        <w:tab/>
      </w:r>
    </w:p>
    <w:p w14:paraId="0906C736" w14:textId="13789E36" w:rsidR="003A05B7" w:rsidRPr="003A05B7" w:rsidRDefault="00F82EEE" w:rsidP="00F82EEE">
      <w:pPr>
        <w:pStyle w:val="TOC1"/>
        <w:ind w:left="1980"/>
        <w:rPr>
          <w:rFonts w:asciiTheme="minorHAnsi" w:hAnsiTheme="minorHAnsi"/>
          <w:noProof/>
          <w:sz w:val="20"/>
          <w:szCs w:val="20"/>
        </w:rPr>
      </w:pPr>
      <w:r>
        <w:rPr>
          <w:rFonts w:asciiTheme="minorHAnsi" w:hAnsiTheme="minorHAnsi" w:cs="Arial"/>
          <w:noProof/>
          <w:sz w:val="20"/>
          <w:szCs w:val="20"/>
        </w:rPr>
        <w:t>7</w:t>
      </w:r>
      <w:r w:rsidR="003A05B7" w:rsidRPr="22E435CD">
        <w:rPr>
          <w:rFonts w:asciiTheme="minorHAnsi" w:hAnsiTheme="minorHAnsi" w:cs="Arial"/>
          <w:noProof/>
          <w:sz w:val="20"/>
          <w:szCs w:val="20"/>
        </w:rPr>
        <w:t>.</w:t>
      </w:r>
      <w:r w:rsidR="006724AE">
        <w:tab/>
      </w:r>
      <w:r w:rsidR="003A05B7" w:rsidRPr="22E435CD">
        <w:rPr>
          <w:rFonts w:asciiTheme="minorHAnsi" w:hAnsiTheme="minorHAnsi" w:cs="Arial"/>
          <w:noProof/>
          <w:sz w:val="20"/>
          <w:szCs w:val="20"/>
        </w:rPr>
        <w:t>Quality Assurance</w:t>
      </w:r>
      <w:r w:rsidR="006724AE">
        <w:tab/>
      </w:r>
    </w:p>
    <w:p w14:paraId="6415241A" w14:textId="3E7F29E2" w:rsidR="003A05B7" w:rsidRPr="003A05B7" w:rsidRDefault="00F82EEE" w:rsidP="00F82EEE">
      <w:pPr>
        <w:pStyle w:val="TOC1"/>
        <w:ind w:left="1980"/>
        <w:rPr>
          <w:rFonts w:asciiTheme="minorHAnsi" w:hAnsiTheme="minorHAnsi"/>
          <w:noProof/>
          <w:sz w:val="20"/>
          <w:szCs w:val="20"/>
        </w:rPr>
      </w:pPr>
      <w:r>
        <w:rPr>
          <w:rFonts w:asciiTheme="minorHAnsi" w:hAnsiTheme="minorHAnsi" w:cs="Arial"/>
          <w:noProof/>
          <w:sz w:val="20"/>
          <w:szCs w:val="20"/>
        </w:rPr>
        <w:t>8</w:t>
      </w:r>
      <w:r w:rsidR="003A05B7" w:rsidRPr="22E435CD">
        <w:rPr>
          <w:rFonts w:asciiTheme="minorHAnsi" w:hAnsiTheme="minorHAnsi" w:cs="Arial"/>
          <w:noProof/>
          <w:sz w:val="20"/>
          <w:szCs w:val="20"/>
        </w:rPr>
        <w:t>.</w:t>
      </w:r>
      <w:r w:rsidR="006724AE">
        <w:tab/>
      </w:r>
      <w:r w:rsidR="003A05B7" w:rsidRPr="22E435CD">
        <w:rPr>
          <w:rFonts w:asciiTheme="minorHAnsi" w:hAnsiTheme="minorHAnsi" w:cs="Arial"/>
          <w:noProof/>
          <w:sz w:val="20"/>
          <w:szCs w:val="20"/>
        </w:rPr>
        <w:t>Timetable</w:t>
      </w:r>
      <w:r w:rsidR="006724AE">
        <w:tab/>
      </w:r>
    </w:p>
    <w:p w14:paraId="1A16F036" w14:textId="76722412" w:rsidR="003A05B7" w:rsidRPr="003A05B7" w:rsidRDefault="00F82EEE" w:rsidP="00F82EEE">
      <w:pPr>
        <w:pStyle w:val="TOC1"/>
        <w:ind w:left="1980"/>
        <w:rPr>
          <w:rFonts w:asciiTheme="minorHAnsi" w:hAnsiTheme="minorHAnsi"/>
          <w:noProof/>
          <w:sz w:val="20"/>
          <w:szCs w:val="20"/>
        </w:rPr>
      </w:pPr>
      <w:r>
        <w:rPr>
          <w:rFonts w:asciiTheme="minorHAnsi" w:hAnsiTheme="minorHAnsi" w:cs="Arial"/>
          <w:noProof/>
          <w:sz w:val="20"/>
          <w:szCs w:val="20"/>
        </w:rPr>
        <w:t>9</w:t>
      </w:r>
      <w:r w:rsidR="003A05B7" w:rsidRPr="22E435CD">
        <w:rPr>
          <w:rFonts w:asciiTheme="minorHAnsi" w:hAnsiTheme="minorHAnsi" w:cs="Arial"/>
          <w:noProof/>
          <w:sz w:val="20"/>
          <w:szCs w:val="20"/>
        </w:rPr>
        <w:t>.</w:t>
      </w:r>
      <w:r w:rsidR="006724AE">
        <w:tab/>
      </w:r>
      <w:r w:rsidR="003A05B7" w:rsidRPr="22E435CD">
        <w:rPr>
          <w:rFonts w:asciiTheme="minorHAnsi" w:hAnsiTheme="minorHAnsi" w:cs="Arial"/>
          <w:noProof/>
          <w:sz w:val="20"/>
          <w:szCs w:val="20"/>
        </w:rPr>
        <w:t>Challenges</w:t>
      </w:r>
      <w:r w:rsidR="006724AE">
        <w:tab/>
      </w:r>
    </w:p>
    <w:p w14:paraId="7D09F745" w14:textId="2CC3B4FD" w:rsidR="003A05B7" w:rsidRPr="003A05B7" w:rsidRDefault="00F82EEE" w:rsidP="00F82EEE">
      <w:pPr>
        <w:pStyle w:val="TOC1"/>
        <w:ind w:left="1980"/>
        <w:rPr>
          <w:rFonts w:asciiTheme="minorHAnsi" w:hAnsiTheme="minorHAnsi"/>
          <w:noProof/>
          <w:sz w:val="20"/>
          <w:szCs w:val="20"/>
        </w:rPr>
      </w:pPr>
      <w:r>
        <w:rPr>
          <w:rFonts w:asciiTheme="minorHAnsi" w:hAnsiTheme="minorHAnsi" w:cs="Arial"/>
          <w:noProof/>
          <w:sz w:val="20"/>
          <w:szCs w:val="20"/>
        </w:rPr>
        <w:t>10</w:t>
      </w:r>
      <w:r w:rsidR="003A05B7" w:rsidRPr="22E435CD">
        <w:rPr>
          <w:rFonts w:asciiTheme="minorHAnsi" w:hAnsiTheme="minorHAnsi" w:cs="Arial"/>
          <w:noProof/>
          <w:sz w:val="20"/>
          <w:szCs w:val="20"/>
        </w:rPr>
        <w:t>.</w:t>
      </w:r>
      <w:r>
        <w:t xml:space="preserve"> </w:t>
      </w:r>
      <w:r w:rsidR="003A05B7" w:rsidRPr="22E435CD">
        <w:rPr>
          <w:rFonts w:asciiTheme="minorHAnsi" w:hAnsiTheme="minorHAnsi" w:cs="Arial"/>
          <w:noProof/>
          <w:sz w:val="20"/>
          <w:szCs w:val="20"/>
        </w:rPr>
        <w:t>Ethics</w:t>
      </w:r>
      <w:r w:rsidR="006724AE">
        <w:tab/>
      </w:r>
    </w:p>
    <w:p w14:paraId="025FFFFE" w14:textId="6EEE5266" w:rsidR="003A05B7" w:rsidRPr="003A05B7" w:rsidRDefault="003A05B7" w:rsidP="00F82EEE">
      <w:pPr>
        <w:pStyle w:val="TOC1"/>
        <w:ind w:left="1980"/>
        <w:rPr>
          <w:rFonts w:asciiTheme="minorHAnsi" w:hAnsiTheme="minorHAnsi"/>
          <w:noProof/>
          <w:sz w:val="20"/>
          <w:szCs w:val="20"/>
        </w:rPr>
      </w:pPr>
      <w:r w:rsidRPr="22E435CD">
        <w:rPr>
          <w:rFonts w:asciiTheme="minorHAnsi" w:hAnsiTheme="minorHAnsi" w:cs="Arial"/>
          <w:noProof/>
          <w:sz w:val="20"/>
          <w:szCs w:val="20"/>
        </w:rPr>
        <w:t>1</w:t>
      </w:r>
      <w:r w:rsidR="00F82EEE">
        <w:rPr>
          <w:rFonts w:asciiTheme="minorHAnsi" w:hAnsiTheme="minorHAnsi" w:cs="Arial"/>
          <w:noProof/>
          <w:sz w:val="20"/>
          <w:szCs w:val="20"/>
        </w:rPr>
        <w:t>1</w:t>
      </w:r>
      <w:r w:rsidRPr="22E435CD">
        <w:rPr>
          <w:rFonts w:asciiTheme="minorHAnsi" w:hAnsiTheme="minorHAnsi" w:cs="Arial"/>
          <w:noProof/>
          <w:sz w:val="20"/>
          <w:szCs w:val="20"/>
        </w:rPr>
        <w:t>.</w:t>
      </w:r>
      <w:r w:rsidR="00F82EEE">
        <w:t xml:space="preserve"> </w:t>
      </w:r>
      <w:r w:rsidRPr="22E435CD">
        <w:rPr>
          <w:rFonts w:asciiTheme="minorHAnsi" w:hAnsiTheme="minorHAnsi" w:cs="Arial"/>
          <w:noProof/>
          <w:sz w:val="20"/>
          <w:szCs w:val="20"/>
        </w:rPr>
        <w:t>Working Arrangements</w:t>
      </w:r>
      <w:r>
        <w:tab/>
      </w:r>
    </w:p>
    <w:p w14:paraId="37EC525F" w14:textId="0A588590" w:rsidR="003A05B7" w:rsidRPr="003A05B7" w:rsidRDefault="003A05B7" w:rsidP="00F82EEE">
      <w:pPr>
        <w:pStyle w:val="TOC1"/>
        <w:ind w:left="1980"/>
        <w:rPr>
          <w:rFonts w:asciiTheme="minorHAnsi" w:hAnsiTheme="minorHAnsi"/>
          <w:noProof/>
          <w:sz w:val="20"/>
          <w:szCs w:val="20"/>
        </w:rPr>
      </w:pPr>
      <w:r w:rsidRPr="22E435CD">
        <w:rPr>
          <w:rFonts w:asciiTheme="minorHAnsi" w:hAnsiTheme="minorHAnsi" w:cs="Arial"/>
          <w:noProof/>
          <w:sz w:val="20"/>
          <w:szCs w:val="20"/>
        </w:rPr>
        <w:t>1</w:t>
      </w:r>
      <w:r w:rsidR="00F82EEE">
        <w:rPr>
          <w:rFonts w:asciiTheme="minorHAnsi" w:hAnsiTheme="minorHAnsi" w:cs="Arial"/>
          <w:noProof/>
          <w:sz w:val="20"/>
          <w:szCs w:val="20"/>
        </w:rPr>
        <w:t>2</w:t>
      </w:r>
      <w:r w:rsidRPr="22E435CD">
        <w:rPr>
          <w:rFonts w:asciiTheme="minorHAnsi" w:hAnsiTheme="minorHAnsi" w:cs="Arial"/>
          <w:noProof/>
          <w:sz w:val="20"/>
          <w:szCs w:val="20"/>
        </w:rPr>
        <w:t>.</w:t>
      </w:r>
      <w:r w:rsidR="00F82EEE">
        <w:t xml:space="preserve"> </w:t>
      </w:r>
      <w:r w:rsidRPr="22E435CD">
        <w:rPr>
          <w:rFonts w:asciiTheme="minorHAnsi" w:hAnsiTheme="minorHAnsi" w:cs="Arial"/>
          <w:noProof/>
          <w:sz w:val="20"/>
          <w:szCs w:val="20"/>
        </w:rPr>
        <w:t>Required Skills</w:t>
      </w:r>
      <w:r>
        <w:tab/>
      </w:r>
    </w:p>
    <w:p w14:paraId="0020C89B" w14:textId="41C90FD5" w:rsidR="003A05B7" w:rsidRPr="003A05B7" w:rsidRDefault="003A05B7" w:rsidP="00F82EEE">
      <w:pPr>
        <w:pStyle w:val="TOC1"/>
        <w:ind w:left="1980"/>
        <w:rPr>
          <w:rFonts w:asciiTheme="minorHAnsi" w:hAnsiTheme="minorHAnsi"/>
          <w:noProof/>
          <w:sz w:val="20"/>
          <w:szCs w:val="20"/>
        </w:rPr>
      </w:pPr>
      <w:r w:rsidRPr="22E435CD">
        <w:rPr>
          <w:rFonts w:asciiTheme="minorHAnsi" w:hAnsiTheme="minorHAnsi" w:cs="Arial"/>
          <w:noProof/>
          <w:sz w:val="20"/>
          <w:szCs w:val="20"/>
        </w:rPr>
        <w:t>1</w:t>
      </w:r>
      <w:r w:rsidR="00F82EEE">
        <w:rPr>
          <w:rFonts w:asciiTheme="minorHAnsi" w:hAnsiTheme="minorHAnsi" w:cs="Arial"/>
          <w:noProof/>
          <w:sz w:val="20"/>
          <w:szCs w:val="20"/>
        </w:rPr>
        <w:t>3</w:t>
      </w:r>
      <w:r w:rsidRPr="22E435CD">
        <w:rPr>
          <w:rFonts w:asciiTheme="minorHAnsi" w:hAnsiTheme="minorHAnsi" w:cs="Arial"/>
          <w:noProof/>
          <w:sz w:val="20"/>
          <w:szCs w:val="20"/>
        </w:rPr>
        <w:t>.</w:t>
      </w:r>
      <w:r w:rsidR="00F82EEE">
        <w:t xml:space="preserve"> </w:t>
      </w:r>
      <w:r w:rsidRPr="22E435CD">
        <w:rPr>
          <w:rFonts w:asciiTheme="minorHAnsi" w:hAnsiTheme="minorHAnsi" w:cs="Arial"/>
          <w:noProof/>
          <w:sz w:val="20"/>
          <w:szCs w:val="20"/>
        </w:rPr>
        <w:t>Consortium Bids</w:t>
      </w:r>
      <w:r>
        <w:tab/>
      </w:r>
    </w:p>
    <w:p w14:paraId="3583EE72" w14:textId="656A31CA" w:rsidR="00F82EEE" w:rsidRDefault="003A05B7" w:rsidP="00F82EEE">
      <w:pPr>
        <w:pStyle w:val="TOC1"/>
        <w:ind w:left="1980"/>
        <w:rPr>
          <w:rFonts w:asciiTheme="minorHAnsi" w:hAnsiTheme="minorHAnsi"/>
          <w:noProof/>
          <w:sz w:val="20"/>
          <w:szCs w:val="20"/>
        </w:rPr>
      </w:pPr>
      <w:r w:rsidRPr="22E435CD">
        <w:rPr>
          <w:rFonts w:asciiTheme="minorHAnsi" w:hAnsiTheme="minorHAnsi" w:cs="Arial"/>
          <w:noProof/>
          <w:sz w:val="20"/>
          <w:szCs w:val="20"/>
        </w:rPr>
        <w:t>1</w:t>
      </w:r>
      <w:r w:rsidR="00F82EEE">
        <w:rPr>
          <w:rFonts w:asciiTheme="minorHAnsi" w:hAnsiTheme="minorHAnsi" w:cs="Arial"/>
          <w:noProof/>
          <w:sz w:val="20"/>
          <w:szCs w:val="20"/>
        </w:rPr>
        <w:t>4</w:t>
      </w:r>
      <w:r w:rsidRPr="22E435CD">
        <w:rPr>
          <w:rFonts w:asciiTheme="minorHAnsi" w:hAnsiTheme="minorHAnsi" w:cs="Arial"/>
          <w:noProof/>
          <w:sz w:val="20"/>
          <w:szCs w:val="20"/>
        </w:rPr>
        <w:t>.</w:t>
      </w:r>
      <w:r w:rsidR="00F82EEE">
        <w:t xml:space="preserve"> </w:t>
      </w:r>
      <w:r w:rsidRPr="22E435CD">
        <w:rPr>
          <w:rFonts w:asciiTheme="minorHAnsi" w:hAnsiTheme="minorHAnsi" w:cs="Arial"/>
          <w:noProof/>
          <w:sz w:val="20"/>
          <w:szCs w:val="20"/>
        </w:rPr>
        <w:t>Budget</w:t>
      </w:r>
      <w:r>
        <w:tab/>
      </w:r>
    </w:p>
    <w:p w14:paraId="50AE7E7F" w14:textId="726C180A" w:rsidR="003A05B7" w:rsidRPr="003A05B7" w:rsidRDefault="00F82EEE" w:rsidP="00F82EEE">
      <w:pPr>
        <w:pStyle w:val="TOC1"/>
        <w:ind w:left="1980"/>
        <w:rPr>
          <w:rFonts w:asciiTheme="minorHAnsi" w:hAnsiTheme="minorHAnsi"/>
          <w:noProof/>
          <w:sz w:val="20"/>
          <w:szCs w:val="20"/>
        </w:rPr>
      </w:pPr>
      <w:r>
        <w:rPr>
          <w:rFonts w:asciiTheme="minorHAnsi" w:hAnsiTheme="minorHAnsi"/>
          <w:noProof/>
          <w:sz w:val="20"/>
          <w:szCs w:val="20"/>
        </w:rPr>
        <w:t xml:space="preserve">14. </w:t>
      </w:r>
      <w:r w:rsidR="003A05B7" w:rsidRPr="22E435CD">
        <w:rPr>
          <w:rFonts w:asciiTheme="minorHAnsi" w:hAnsiTheme="minorHAnsi" w:cs="Arial"/>
          <w:noProof/>
          <w:sz w:val="20"/>
          <w:szCs w:val="20"/>
        </w:rPr>
        <w:t>Evaluation of Tenders</w:t>
      </w:r>
      <w:r w:rsidR="003A05B7">
        <w:tab/>
      </w:r>
    </w:p>
    <w:p w14:paraId="5137A7E3" w14:textId="77777777" w:rsidR="003A05B7" w:rsidRDefault="003A05B7" w:rsidP="22E435CD">
      <w:pPr>
        <w:pStyle w:val="BodyText"/>
        <w:rPr>
          <w:rFonts w:cs="Arial"/>
          <w:color w:val="auto"/>
        </w:rPr>
      </w:pPr>
      <w:r w:rsidRPr="22E435CD">
        <w:rPr>
          <w:rFonts w:cs="Arial"/>
          <w:color w:val="000000"/>
        </w:rPr>
        <w:fldChar w:fldCharType="end"/>
      </w:r>
    </w:p>
    <w:p w14:paraId="5F3089AD" w14:textId="77777777" w:rsidR="003A05B7" w:rsidRDefault="003A05B7" w:rsidP="22E435CD">
      <w:pPr>
        <w:pStyle w:val="BodyText"/>
        <w:rPr>
          <w:rFonts w:cs="Arial"/>
          <w:color w:val="auto"/>
        </w:rPr>
      </w:pPr>
    </w:p>
    <w:p w14:paraId="641EA65C" w14:textId="77777777" w:rsidR="003A05B7" w:rsidRDefault="003A05B7" w:rsidP="22E435CD">
      <w:pPr>
        <w:pStyle w:val="BodyText"/>
        <w:rPr>
          <w:rFonts w:cs="Arial"/>
          <w:color w:val="auto"/>
        </w:rPr>
      </w:pPr>
    </w:p>
    <w:p w14:paraId="06E10293" w14:textId="77777777" w:rsidR="003A05B7" w:rsidRDefault="003A05B7" w:rsidP="22E435CD">
      <w:pPr>
        <w:pStyle w:val="BodyText"/>
        <w:rPr>
          <w:rFonts w:cs="Arial"/>
          <w:color w:val="auto"/>
        </w:rPr>
      </w:pPr>
    </w:p>
    <w:p w14:paraId="012C6B24" w14:textId="77777777" w:rsidR="003A05B7" w:rsidRDefault="003A05B7" w:rsidP="22E435CD">
      <w:pPr>
        <w:pStyle w:val="BodyText"/>
        <w:rPr>
          <w:rFonts w:cs="Arial"/>
          <w:color w:val="auto"/>
        </w:rPr>
      </w:pPr>
    </w:p>
    <w:p w14:paraId="2016FE3A" w14:textId="77777777" w:rsidR="003A05B7" w:rsidRDefault="003A05B7" w:rsidP="22E435CD">
      <w:pPr>
        <w:pStyle w:val="BodyText"/>
        <w:rPr>
          <w:rFonts w:cs="Arial"/>
          <w:color w:val="auto"/>
        </w:rPr>
      </w:pPr>
    </w:p>
    <w:p w14:paraId="2D23A8C0" w14:textId="77777777" w:rsidR="003A05B7" w:rsidRDefault="003A05B7" w:rsidP="22E435CD">
      <w:pPr>
        <w:pStyle w:val="BodyText"/>
        <w:rPr>
          <w:rFonts w:cs="Arial"/>
          <w:color w:val="auto"/>
        </w:rPr>
      </w:pPr>
    </w:p>
    <w:p w14:paraId="4C0D9D23" w14:textId="77777777" w:rsidR="003A05B7" w:rsidRDefault="003A05B7" w:rsidP="22E435CD">
      <w:pPr>
        <w:pStyle w:val="BodyText"/>
        <w:rPr>
          <w:rFonts w:cs="Arial"/>
          <w:color w:val="auto"/>
        </w:rPr>
      </w:pPr>
    </w:p>
    <w:p w14:paraId="41521F92" w14:textId="77777777" w:rsidR="003A05B7" w:rsidRDefault="003A05B7" w:rsidP="22E435CD">
      <w:pPr>
        <w:pStyle w:val="BodyText"/>
        <w:rPr>
          <w:rFonts w:cs="Arial"/>
          <w:color w:val="auto"/>
        </w:rPr>
      </w:pPr>
    </w:p>
    <w:p w14:paraId="0691E9BA" w14:textId="77777777" w:rsidR="003A05B7" w:rsidRDefault="003A05B7" w:rsidP="22E435CD">
      <w:pPr>
        <w:pStyle w:val="BodyText"/>
        <w:rPr>
          <w:rFonts w:cs="Arial"/>
          <w:color w:val="auto"/>
        </w:rPr>
      </w:pPr>
    </w:p>
    <w:p w14:paraId="26C03533" w14:textId="77777777" w:rsidR="003A05B7" w:rsidRDefault="003A05B7" w:rsidP="22E435CD">
      <w:pPr>
        <w:pStyle w:val="BodyText"/>
        <w:rPr>
          <w:rFonts w:cs="Arial"/>
          <w:color w:val="auto"/>
        </w:rPr>
      </w:pPr>
    </w:p>
    <w:p w14:paraId="36C5BAF2" w14:textId="77777777" w:rsidR="003A05B7" w:rsidRDefault="003A05B7" w:rsidP="22E435CD">
      <w:pPr>
        <w:pStyle w:val="BodyText"/>
        <w:rPr>
          <w:rFonts w:cs="Arial"/>
          <w:color w:val="auto"/>
        </w:rPr>
      </w:pPr>
    </w:p>
    <w:p w14:paraId="5AA1B273" w14:textId="77777777" w:rsidR="003A05B7" w:rsidRDefault="003A05B7" w:rsidP="22E435CD">
      <w:pPr>
        <w:pStyle w:val="BodyText"/>
        <w:rPr>
          <w:rFonts w:cs="Arial"/>
          <w:color w:val="auto"/>
        </w:rPr>
      </w:pPr>
    </w:p>
    <w:p w14:paraId="0847CC22" w14:textId="77777777" w:rsidR="003A05B7" w:rsidRDefault="003A05B7" w:rsidP="22E435CD">
      <w:pPr>
        <w:pStyle w:val="BodyText"/>
        <w:rPr>
          <w:rFonts w:cs="Arial"/>
          <w:color w:val="auto"/>
        </w:rPr>
      </w:pPr>
    </w:p>
    <w:p w14:paraId="456EEC79" w14:textId="77777777" w:rsidR="003A05B7" w:rsidRDefault="003A05B7" w:rsidP="22E435CD">
      <w:pPr>
        <w:pStyle w:val="BodyText"/>
        <w:rPr>
          <w:rFonts w:cs="Arial"/>
          <w:color w:val="auto"/>
        </w:rPr>
      </w:pPr>
    </w:p>
    <w:p w14:paraId="4B72B9AB" w14:textId="77777777" w:rsidR="003A05B7" w:rsidRDefault="003A05B7" w:rsidP="22E435CD">
      <w:pPr>
        <w:pStyle w:val="BodyText"/>
        <w:rPr>
          <w:rFonts w:cs="Arial"/>
          <w:color w:val="auto"/>
        </w:rPr>
      </w:pPr>
    </w:p>
    <w:p w14:paraId="0B49BB8D" w14:textId="77777777" w:rsidR="003A05B7" w:rsidRDefault="003A05B7" w:rsidP="22E435CD">
      <w:pPr>
        <w:pStyle w:val="BodyText"/>
        <w:rPr>
          <w:rFonts w:cs="Arial"/>
          <w:color w:val="auto"/>
        </w:rPr>
      </w:pPr>
    </w:p>
    <w:p w14:paraId="26ACCF50" w14:textId="77777777" w:rsidR="003A05B7" w:rsidRDefault="003A05B7" w:rsidP="22E435CD">
      <w:pPr>
        <w:pStyle w:val="BodyText"/>
        <w:rPr>
          <w:rFonts w:cs="Arial"/>
          <w:color w:val="auto"/>
        </w:rPr>
      </w:pPr>
    </w:p>
    <w:p w14:paraId="4E9A07A7" w14:textId="77777777" w:rsidR="003A05B7" w:rsidRDefault="003A05B7" w:rsidP="22E435CD">
      <w:pPr>
        <w:pStyle w:val="BodyText"/>
        <w:rPr>
          <w:rFonts w:cs="Arial"/>
          <w:color w:val="auto"/>
        </w:rPr>
      </w:pPr>
    </w:p>
    <w:p w14:paraId="06247879" w14:textId="77777777" w:rsidR="003A05B7" w:rsidRDefault="003A05B7" w:rsidP="22E435CD">
      <w:pPr>
        <w:pStyle w:val="BodyText"/>
        <w:rPr>
          <w:rFonts w:cs="Arial"/>
          <w:color w:val="auto"/>
        </w:rPr>
      </w:pPr>
    </w:p>
    <w:p w14:paraId="402E7586" w14:textId="77777777" w:rsidR="003A05B7" w:rsidRDefault="003A05B7" w:rsidP="22E435CD">
      <w:pPr>
        <w:pStyle w:val="BodyText"/>
        <w:rPr>
          <w:rFonts w:cs="Arial"/>
          <w:color w:val="auto"/>
        </w:rPr>
      </w:pPr>
    </w:p>
    <w:p w14:paraId="515F7F07" w14:textId="77777777" w:rsidR="003A05B7" w:rsidRDefault="003A05B7" w:rsidP="22E435CD">
      <w:pPr>
        <w:pStyle w:val="BodyText"/>
        <w:rPr>
          <w:rFonts w:cs="Arial"/>
          <w:color w:val="auto"/>
        </w:rPr>
      </w:pPr>
    </w:p>
    <w:p w14:paraId="57991837" w14:textId="77777777" w:rsidR="003A05B7" w:rsidRDefault="003A05B7" w:rsidP="22E435CD">
      <w:pPr>
        <w:pStyle w:val="BodyText"/>
        <w:rPr>
          <w:rFonts w:cs="Arial"/>
          <w:color w:val="auto"/>
        </w:rPr>
      </w:pPr>
    </w:p>
    <w:p w14:paraId="2742ECAB" w14:textId="77777777" w:rsidR="003A05B7" w:rsidRDefault="003A05B7" w:rsidP="22E435CD">
      <w:pPr>
        <w:pStyle w:val="BodyText"/>
        <w:rPr>
          <w:rFonts w:cs="Arial"/>
          <w:color w:val="auto"/>
        </w:rPr>
      </w:pPr>
    </w:p>
    <w:p w14:paraId="4D7E2B2C" w14:textId="77777777" w:rsidR="003A05B7" w:rsidRDefault="003A05B7" w:rsidP="22E435CD">
      <w:pPr>
        <w:pStyle w:val="BodyText"/>
        <w:rPr>
          <w:rFonts w:cs="Arial"/>
          <w:color w:val="auto"/>
        </w:rPr>
      </w:pPr>
    </w:p>
    <w:p w14:paraId="7C4B02A9" w14:textId="77777777" w:rsidR="003A05B7" w:rsidRDefault="003A05B7" w:rsidP="22E435CD">
      <w:pPr>
        <w:pStyle w:val="BodyText"/>
        <w:rPr>
          <w:rFonts w:cs="Arial"/>
          <w:color w:val="auto"/>
        </w:rPr>
      </w:pPr>
    </w:p>
    <w:p w14:paraId="64B1F8C4" w14:textId="77777777" w:rsidR="003A05B7" w:rsidRDefault="003A05B7" w:rsidP="22E435CD">
      <w:pPr>
        <w:pStyle w:val="BodyText"/>
        <w:rPr>
          <w:rFonts w:cs="Arial"/>
          <w:color w:val="auto"/>
        </w:rPr>
      </w:pPr>
    </w:p>
    <w:p w14:paraId="1AA15C49" w14:textId="77777777" w:rsidR="003A05B7" w:rsidRDefault="003A05B7" w:rsidP="22E435CD">
      <w:pPr>
        <w:pStyle w:val="BodyText"/>
        <w:rPr>
          <w:rFonts w:cs="Arial"/>
          <w:color w:val="auto"/>
        </w:rPr>
      </w:pPr>
    </w:p>
    <w:p w14:paraId="3B5E1145" w14:textId="77777777" w:rsidR="003A05B7" w:rsidRDefault="003A05B7" w:rsidP="22E435CD">
      <w:pPr>
        <w:pStyle w:val="BodyText"/>
        <w:rPr>
          <w:rFonts w:cs="Arial"/>
          <w:color w:val="auto"/>
        </w:rPr>
      </w:pPr>
    </w:p>
    <w:p w14:paraId="56C11707" w14:textId="77777777" w:rsidR="003A05B7" w:rsidRPr="0038388A" w:rsidRDefault="003A05B7" w:rsidP="22E435CD">
      <w:pPr>
        <w:pStyle w:val="Norma"/>
        <w:ind w:left="720"/>
        <w:rPr>
          <w:rFonts w:asciiTheme="minorHAnsi" w:hAnsiTheme="minorHAnsi"/>
          <w:b/>
          <w:bCs/>
          <w:sz w:val="20"/>
          <w:szCs w:val="20"/>
        </w:rPr>
      </w:pPr>
    </w:p>
    <w:p w14:paraId="64724624" w14:textId="4F71E490" w:rsidR="00F82EEE" w:rsidRDefault="00F82EEE" w:rsidP="00D278DE">
      <w:pPr>
        <w:pStyle w:val="Heading1"/>
        <w:widowControl w:val="0"/>
        <w:numPr>
          <w:ilvl w:val="0"/>
          <w:numId w:val="6"/>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0" w:name="_Ref357535668"/>
      <w:bookmarkStart w:id="1" w:name="_Toc381969507"/>
      <w:bookmarkStart w:id="2" w:name="_Toc405888456"/>
      <w:r>
        <w:rPr>
          <w:rFonts w:asciiTheme="minorHAnsi" w:hAnsiTheme="minorHAnsi" w:cs="Arial"/>
          <w:color w:val="auto"/>
          <w:sz w:val="20"/>
          <w:szCs w:val="20"/>
        </w:rPr>
        <w:t>Preamble</w:t>
      </w:r>
    </w:p>
    <w:p w14:paraId="70CFE59F" w14:textId="77777777" w:rsidR="00F82EEE" w:rsidRDefault="00F82EEE" w:rsidP="00F82EEE">
      <w:pPr>
        <w:pStyle w:val="paragraph0"/>
        <w:spacing w:before="0" w:beforeAutospacing="0" w:after="0" w:afterAutospacing="0"/>
        <w:ind w:left="1080"/>
        <w:textAlignment w:val="baseline"/>
        <w:rPr>
          <w:rFonts w:ascii="Segoe UI" w:hAnsi="Segoe UI" w:cs="Segoe UI"/>
          <w:sz w:val="18"/>
          <w:szCs w:val="18"/>
        </w:rPr>
      </w:pPr>
      <w:r w:rsidRPr="22E435CD">
        <w:rPr>
          <w:rStyle w:val="normaltextrun"/>
          <w:rFonts w:ascii="Century Gothic" w:hAnsi="Century Gothic" w:cs="Segoe UI"/>
          <w:b/>
          <w:bCs/>
          <w:sz w:val="20"/>
          <w:szCs w:val="20"/>
        </w:rPr>
        <w:t>The Climate Change Committee</w:t>
      </w:r>
      <w:r w:rsidRPr="22E435CD">
        <w:rPr>
          <w:rStyle w:val="normaltextrun"/>
          <w:rFonts w:ascii="Arial" w:hAnsi="Arial" w:cs="Arial"/>
          <w:b/>
          <w:bCs/>
          <w:sz w:val="20"/>
          <w:szCs w:val="20"/>
        </w:rPr>
        <w:t> </w:t>
      </w:r>
      <w:r w:rsidRPr="22E435CD">
        <w:rPr>
          <w:rStyle w:val="eop"/>
          <w:rFonts w:ascii="Century Gothic" w:hAnsi="Century Gothic" w:cs="Segoe UI"/>
          <w:sz w:val="20"/>
          <w:szCs w:val="20"/>
        </w:rPr>
        <w:t> </w:t>
      </w:r>
    </w:p>
    <w:p w14:paraId="1BE82F44" w14:textId="77777777" w:rsidR="00F82EEE" w:rsidRDefault="00F82EEE" w:rsidP="00F82EEE">
      <w:pPr>
        <w:pStyle w:val="paragraph0"/>
        <w:spacing w:before="0" w:beforeAutospacing="0" w:after="0" w:afterAutospacing="0"/>
        <w:ind w:left="1080"/>
        <w:textAlignment w:val="baseline"/>
        <w:rPr>
          <w:rFonts w:ascii="Segoe UI" w:hAnsi="Segoe UI" w:cs="Segoe UI"/>
          <w:sz w:val="18"/>
          <w:szCs w:val="18"/>
        </w:rPr>
      </w:pPr>
      <w:r w:rsidRPr="22E435CD">
        <w:rPr>
          <w:rStyle w:val="normaltextrun"/>
          <w:rFonts w:ascii="Century Gothic" w:hAnsi="Century Gothic" w:cs="Segoe UI"/>
          <w:sz w:val="20"/>
          <w:szCs w:val="20"/>
        </w:rPr>
        <w:t>The Climate Change Committee (CCC) was set up as part of the Climate Change Act. The CCC is an independent body that advises both on reducing emissions in the UK and adapting to the climate changes in the UK.</w:t>
      </w:r>
      <w:r w:rsidRPr="22E435CD">
        <w:rPr>
          <w:rStyle w:val="normaltextrun"/>
          <w:rFonts w:ascii="Arial" w:hAnsi="Arial" w:cs="Arial"/>
          <w:sz w:val="20"/>
          <w:szCs w:val="20"/>
        </w:rPr>
        <w:t>  </w:t>
      </w:r>
      <w:r w:rsidRPr="22E435CD">
        <w:rPr>
          <w:rStyle w:val="eop"/>
          <w:rFonts w:ascii="Century Gothic" w:hAnsi="Century Gothic" w:cs="Segoe UI"/>
          <w:sz w:val="20"/>
          <w:szCs w:val="20"/>
        </w:rPr>
        <w:t>  </w:t>
      </w:r>
    </w:p>
    <w:p w14:paraId="421079C6" w14:textId="77777777" w:rsidR="00F82EEE" w:rsidRDefault="00F82EEE" w:rsidP="00F82EEE">
      <w:pPr>
        <w:pStyle w:val="paragraph0"/>
        <w:spacing w:before="0" w:beforeAutospacing="0" w:after="0" w:afterAutospacing="0"/>
        <w:ind w:left="1080"/>
        <w:textAlignment w:val="baseline"/>
        <w:rPr>
          <w:rFonts w:ascii="Segoe UI" w:hAnsi="Segoe UI" w:cs="Segoe UI"/>
          <w:sz w:val="18"/>
          <w:szCs w:val="18"/>
        </w:rPr>
      </w:pPr>
    </w:p>
    <w:p w14:paraId="5949E9DA" w14:textId="124A9D53" w:rsidR="00F82EEE" w:rsidRPr="00F82EEE" w:rsidRDefault="00F82EEE" w:rsidP="00F82EEE">
      <w:pPr>
        <w:pStyle w:val="paragraph0"/>
        <w:spacing w:before="0" w:beforeAutospacing="0" w:after="0" w:afterAutospacing="0"/>
        <w:ind w:left="1080"/>
        <w:textAlignment w:val="baseline"/>
        <w:rPr>
          <w:rFonts w:ascii="Segoe UI" w:hAnsi="Segoe UI" w:cs="Segoe UI"/>
          <w:sz w:val="18"/>
          <w:szCs w:val="18"/>
        </w:rPr>
      </w:pPr>
      <w:r w:rsidRPr="22E435CD">
        <w:rPr>
          <w:rStyle w:val="normaltextrun"/>
          <w:rFonts w:ascii="Century Gothic" w:hAnsi="Century Gothic" w:cs="Segoe UI"/>
          <w:sz w:val="20"/>
          <w:szCs w:val="20"/>
        </w:rPr>
        <w:t>The CCC’s full range of past reports are available</w:t>
      </w:r>
      <w:r>
        <w:rPr>
          <w:rStyle w:val="normaltextrun"/>
          <w:rFonts w:ascii="Century Gothic" w:hAnsi="Century Gothic" w:cs="Segoe UI"/>
          <w:sz w:val="20"/>
          <w:szCs w:val="20"/>
        </w:rPr>
        <w:t xml:space="preserve"> </w:t>
      </w:r>
      <w:r w:rsidRPr="22E435CD">
        <w:rPr>
          <w:rStyle w:val="normaltextrun"/>
          <w:rFonts w:ascii="Century Gothic" w:hAnsi="Century Gothic" w:cs="Segoe UI"/>
          <w:sz w:val="20"/>
          <w:szCs w:val="20"/>
        </w:rPr>
        <w:t xml:space="preserve">here: </w:t>
      </w:r>
      <w:r w:rsidRPr="22E435CD">
        <w:rPr>
          <w:rStyle w:val="eop"/>
          <w:rFonts w:ascii="Century Gothic" w:hAnsi="Century Gothic" w:cs="Segoe UI"/>
          <w:sz w:val="20"/>
          <w:szCs w:val="20"/>
        </w:rPr>
        <w:t> </w:t>
      </w:r>
      <w:hyperlink r:id="rId12" w:history="1">
        <w:r w:rsidR="006E4E97" w:rsidRPr="006E4E97">
          <w:rPr>
            <w:rFonts w:asciiTheme="minorHAnsi" w:eastAsiaTheme="minorHAnsi" w:hAnsiTheme="minorHAnsi" w:cstheme="minorBidi"/>
            <w:color w:val="0000FF"/>
            <w:sz w:val="20"/>
            <w:szCs w:val="20"/>
            <w:u w:val="single"/>
            <w:lang w:eastAsia="en-US"/>
          </w:rPr>
          <w:t>Publications - Climate Change Committee (theccc.org.uk)</w:t>
        </w:r>
      </w:hyperlink>
    </w:p>
    <w:p w14:paraId="3A1E3A8D" w14:textId="2ED73D35" w:rsidR="006724AE" w:rsidRPr="00F82EEE" w:rsidRDefault="003A05B7" w:rsidP="00D278DE">
      <w:pPr>
        <w:pStyle w:val="Heading1"/>
        <w:widowControl w:val="0"/>
        <w:numPr>
          <w:ilvl w:val="0"/>
          <w:numId w:val="6"/>
        </w:numPr>
        <w:overflowPunct w:val="0"/>
        <w:autoSpaceDE w:val="0"/>
        <w:autoSpaceDN w:val="0"/>
        <w:adjustRightInd w:val="0"/>
        <w:spacing w:before="240" w:after="60"/>
        <w:textAlignment w:val="baseline"/>
        <w:rPr>
          <w:rFonts w:asciiTheme="minorHAnsi" w:hAnsiTheme="minorHAnsi" w:cs="Arial"/>
          <w:color w:val="auto"/>
          <w:sz w:val="20"/>
          <w:szCs w:val="20"/>
        </w:rPr>
      </w:pPr>
      <w:r w:rsidRPr="22E435CD">
        <w:rPr>
          <w:rFonts w:asciiTheme="minorHAnsi" w:hAnsiTheme="minorHAnsi" w:cs="Arial"/>
          <w:color w:val="auto"/>
          <w:sz w:val="20"/>
          <w:szCs w:val="20"/>
        </w:rPr>
        <w:t>Background</w:t>
      </w:r>
      <w:bookmarkEnd w:id="0"/>
      <w:bookmarkEnd w:id="1"/>
      <w:bookmarkEnd w:id="2"/>
    </w:p>
    <w:p w14:paraId="2BF156A7" w14:textId="5F6845BB" w:rsidR="006724AE" w:rsidRDefault="006724AE" w:rsidP="22E435CD">
      <w:pPr>
        <w:pStyle w:val="paragraph0"/>
        <w:spacing w:before="0" w:beforeAutospacing="0" w:after="0" w:afterAutospacing="0"/>
        <w:textAlignment w:val="baseline"/>
        <w:rPr>
          <w:rFonts w:ascii="Segoe UI" w:hAnsi="Segoe UI" w:cs="Segoe UI"/>
          <w:sz w:val="18"/>
          <w:szCs w:val="18"/>
        </w:rPr>
      </w:pPr>
    </w:p>
    <w:p w14:paraId="64961716" w14:textId="7D28E2D1" w:rsidR="006724AE" w:rsidRDefault="00BC440F" w:rsidP="22E435CD">
      <w:pPr>
        <w:pStyle w:val="paragraph0"/>
        <w:spacing w:before="0" w:beforeAutospacing="0" w:after="0" w:afterAutospacing="0"/>
        <w:ind w:left="1080"/>
        <w:textAlignment w:val="baseline"/>
        <w:rPr>
          <w:rFonts w:ascii="Segoe UI" w:hAnsi="Segoe UI" w:cs="Segoe UI"/>
          <w:sz w:val="18"/>
          <w:szCs w:val="18"/>
        </w:rPr>
      </w:pPr>
      <w:r>
        <w:rPr>
          <w:rStyle w:val="normaltextrun"/>
          <w:rFonts w:ascii="Century Gothic" w:hAnsi="Century Gothic" w:cs="Segoe UI"/>
          <w:b/>
          <w:bCs/>
          <w:sz w:val="20"/>
          <w:szCs w:val="20"/>
        </w:rPr>
        <w:t>Local authorities</w:t>
      </w:r>
      <w:r w:rsidR="00106B38">
        <w:rPr>
          <w:rStyle w:val="normaltextrun"/>
          <w:rFonts w:ascii="Century Gothic" w:hAnsi="Century Gothic" w:cs="Segoe UI"/>
          <w:b/>
          <w:bCs/>
          <w:sz w:val="20"/>
          <w:szCs w:val="20"/>
        </w:rPr>
        <w:t xml:space="preserve"> </w:t>
      </w:r>
      <w:r w:rsidR="00180597">
        <w:rPr>
          <w:rStyle w:val="normaltextrun"/>
          <w:rFonts w:ascii="Century Gothic" w:hAnsi="Century Gothic" w:cs="Segoe UI"/>
          <w:b/>
          <w:bCs/>
          <w:sz w:val="20"/>
          <w:szCs w:val="20"/>
        </w:rPr>
        <w:t>-</w:t>
      </w:r>
      <w:r w:rsidR="00106B38">
        <w:rPr>
          <w:rStyle w:val="normaltextrun"/>
          <w:rFonts w:ascii="Century Gothic" w:hAnsi="Century Gothic" w:cs="Segoe UI"/>
          <w:b/>
          <w:bCs/>
          <w:sz w:val="20"/>
          <w:szCs w:val="20"/>
        </w:rPr>
        <w:t xml:space="preserve"> delivering Net Zero and climate resilience</w:t>
      </w:r>
    </w:p>
    <w:p w14:paraId="0EE84929" w14:textId="77777777" w:rsidR="00BC440F" w:rsidRDefault="00BC440F" w:rsidP="00BC440F">
      <w:pPr>
        <w:pStyle w:val="paragraph0"/>
        <w:spacing w:before="0" w:beforeAutospacing="0" w:after="0" w:afterAutospacing="0"/>
        <w:ind w:left="1080"/>
        <w:textAlignment w:val="baseline"/>
        <w:rPr>
          <w:rStyle w:val="normaltextrun"/>
          <w:rFonts w:ascii="Arial" w:hAnsi="Arial" w:cs="Arial"/>
          <w:sz w:val="20"/>
          <w:szCs w:val="20"/>
        </w:rPr>
      </w:pPr>
    </w:p>
    <w:p w14:paraId="3A25D415" w14:textId="552A98AE" w:rsidR="00675FFE" w:rsidRDefault="00BC440F" w:rsidP="00BC440F">
      <w:pPr>
        <w:pStyle w:val="paragraph0"/>
        <w:spacing w:before="0" w:beforeAutospacing="0" w:after="0" w:afterAutospacing="0"/>
        <w:ind w:left="1080"/>
        <w:textAlignment w:val="baseline"/>
        <w:rPr>
          <w:rStyle w:val="normaltextrun"/>
          <w:rFonts w:ascii="Century Gothic" w:hAnsi="Century Gothic" w:cs="Segoe UI"/>
          <w:sz w:val="20"/>
          <w:szCs w:val="20"/>
        </w:rPr>
      </w:pPr>
      <w:r w:rsidRPr="00BC440F">
        <w:rPr>
          <w:rStyle w:val="normaltextrun"/>
          <w:rFonts w:ascii="Century Gothic" w:hAnsi="Century Gothic" w:cs="Segoe UI"/>
          <w:sz w:val="20"/>
          <w:szCs w:val="20"/>
        </w:rPr>
        <w:t xml:space="preserve">The planning system is the key lever that local authorities hold to shape developments in their </w:t>
      </w:r>
      <w:r w:rsidR="006E4E97">
        <w:rPr>
          <w:rStyle w:val="normaltextrun"/>
          <w:rFonts w:ascii="Century Gothic" w:hAnsi="Century Gothic" w:cs="Segoe UI"/>
          <w:sz w:val="20"/>
          <w:szCs w:val="20"/>
        </w:rPr>
        <w:t>regions</w:t>
      </w:r>
      <w:r w:rsidRPr="00BC440F">
        <w:rPr>
          <w:rStyle w:val="normaltextrun"/>
          <w:rFonts w:ascii="Century Gothic" w:hAnsi="Century Gothic" w:cs="Segoe UI"/>
          <w:sz w:val="20"/>
          <w:szCs w:val="20"/>
        </w:rPr>
        <w:t>. This can impact the design of communities, in particular the extent to which their buildings, transport systems, and land align to the pathways required to meet Net Zero</w:t>
      </w:r>
      <w:r w:rsidR="006E4E97">
        <w:rPr>
          <w:rStyle w:val="normaltextrun"/>
          <w:rFonts w:ascii="Century Gothic" w:hAnsi="Century Gothic" w:cs="Segoe UI"/>
          <w:sz w:val="20"/>
          <w:szCs w:val="20"/>
        </w:rPr>
        <w:t xml:space="preserve"> </w:t>
      </w:r>
      <w:r w:rsidRPr="00BC440F">
        <w:rPr>
          <w:rStyle w:val="normaltextrun"/>
          <w:rFonts w:ascii="Century Gothic" w:hAnsi="Century Gothic" w:cs="Segoe UI"/>
          <w:sz w:val="20"/>
          <w:szCs w:val="20"/>
        </w:rPr>
        <w:t xml:space="preserve">and adapt to the changing climate. </w:t>
      </w:r>
    </w:p>
    <w:p w14:paraId="10EBC52D" w14:textId="77777777" w:rsidR="00675FFE" w:rsidRDefault="00675FFE" w:rsidP="00BC440F">
      <w:pPr>
        <w:pStyle w:val="paragraph0"/>
        <w:spacing w:before="0" w:beforeAutospacing="0" w:after="0" w:afterAutospacing="0"/>
        <w:ind w:left="1080"/>
        <w:textAlignment w:val="baseline"/>
        <w:rPr>
          <w:rStyle w:val="normaltextrun"/>
          <w:rFonts w:ascii="Century Gothic" w:hAnsi="Century Gothic" w:cs="Segoe UI"/>
          <w:sz w:val="20"/>
          <w:szCs w:val="20"/>
        </w:rPr>
      </w:pPr>
    </w:p>
    <w:p w14:paraId="1CD6FB3C" w14:textId="66A7507A" w:rsidR="00BC440F" w:rsidRDefault="343614B3" w:rsidP="729BCB8D">
      <w:pPr>
        <w:pStyle w:val="paragraph0"/>
        <w:spacing w:before="0" w:beforeAutospacing="0" w:after="0" w:afterAutospacing="0"/>
        <w:ind w:left="1080"/>
        <w:textAlignment w:val="baseline"/>
        <w:rPr>
          <w:rStyle w:val="normaltextrun"/>
          <w:rFonts w:ascii="Century Gothic" w:hAnsi="Century Gothic" w:cs="Segoe UI"/>
          <w:sz w:val="20"/>
          <w:szCs w:val="20"/>
        </w:rPr>
      </w:pPr>
      <w:r w:rsidRPr="729BCB8D">
        <w:rPr>
          <w:rStyle w:val="normaltextrun"/>
          <w:rFonts w:ascii="Century Gothic" w:hAnsi="Century Gothic" w:cs="Segoe UI"/>
          <w:sz w:val="20"/>
          <w:szCs w:val="20"/>
        </w:rPr>
        <w:t xml:space="preserve">The present National Planning Policy Framework (NPPF) does include objectives </w:t>
      </w:r>
      <w:r w:rsidR="40C158A6" w:rsidRPr="729BCB8D">
        <w:rPr>
          <w:rStyle w:val="normaltextrun"/>
          <w:rFonts w:ascii="Century Gothic" w:hAnsi="Century Gothic" w:cs="Segoe UI"/>
          <w:sz w:val="20"/>
          <w:szCs w:val="20"/>
        </w:rPr>
        <w:t xml:space="preserve">which </w:t>
      </w:r>
      <w:r w:rsidRPr="729BCB8D">
        <w:rPr>
          <w:rStyle w:val="normaltextrun"/>
          <w:rFonts w:ascii="Century Gothic" w:hAnsi="Century Gothic" w:cs="Segoe UI"/>
          <w:sz w:val="20"/>
          <w:szCs w:val="20"/>
        </w:rPr>
        <w:t>emphasis</w:t>
      </w:r>
      <w:r w:rsidR="40C158A6" w:rsidRPr="729BCB8D">
        <w:rPr>
          <w:rStyle w:val="normaltextrun"/>
          <w:rFonts w:ascii="Century Gothic" w:hAnsi="Century Gothic" w:cs="Segoe UI"/>
          <w:sz w:val="20"/>
          <w:szCs w:val="20"/>
        </w:rPr>
        <w:t>e</w:t>
      </w:r>
      <w:r w:rsidRPr="729BCB8D">
        <w:rPr>
          <w:rStyle w:val="normaltextrun"/>
          <w:rFonts w:ascii="Century Gothic" w:hAnsi="Century Gothic" w:cs="Segoe UI"/>
          <w:sz w:val="20"/>
          <w:szCs w:val="20"/>
        </w:rPr>
        <w:t xml:space="preserve"> that local plans should </w:t>
      </w:r>
      <w:r w:rsidR="40C158A6" w:rsidRPr="729BCB8D">
        <w:rPr>
          <w:rStyle w:val="normaltextrun"/>
          <w:rFonts w:ascii="Century Gothic" w:hAnsi="Century Gothic" w:cs="Segoe UI"/>
          <w:sz w:val="20"/>
          <w:szCs w:val="20"/>
        </w:rPr>
        <w:t>consider</w:t>
      </w:r>
      <w:r w:rsidRPr="729BCB8D">
        <w:rPr>
          <w:rStyle w:val="normaltextrun"/>
          <w:rFonts w:ascii="Century Gothic" w:hAnsi="Century Gothic" w:cs="Segoe UI"/>
          <w:sz w:val="20"/>
          <w:szCs w:val="20"/>
        </w:rPr>
        <w:t xml:space="preserve"> sustainability and climate impacts. However, these are ill-defined in comparison to other objectives (</w:t>
      </w:r>
      <w:proofErr w:type="gramStart"/>
      <w:r w:rsidR="0F7FBE53" w:rsidRPr="729BCB8D">
        <w:rPr>
          <w:rStyle w:val="normaltextrun"/>
          <w:rFonts w:ascii="Century Gothic" w:hAnsi="Century Gothic" w:cs="Segoe UI"/>
          <w:sz w:val="20"/>
          <w:szCs w:val="20"/>
        </w:rPr>
        <w:t>e.g.</w:t>
      </w:r>
      <w:proofErr w:type="gramEnd"/>
      <w:r w:rsidRPr="729BCB8D">
        <w:rPr>
          <w:rStyle w:val="normaltextrun"/>
          <w:rFonts w:ascii="Century Gothic" w:hAnsi="Century Gothic" w:cs="Segoe UI"/>
          <w:sz w:val="20"/>
          <w:szCs w:val="20"/>
        </w:rPr>
        <w:t xml:space="preserve"> hous</w:t>
      </w:r>
      <w:r w:rsidR="20F862BB" w:rsidRPr="729BCB8D">
        <w:rPr>
          <w:rStyle w:val="normaltextrun"/>
          <w:rFonts w:ascii="Century Gothic" w:hAnsi="Century Gothic" w:cs="Segoe UI"/>
          <w:sz w:val="20"/>
          <w:szCs w:val="20"/>
        </w:rPr>
        <w:t>ing</w:t>
      </w:r>
      <w:r w:rsidRPr="729BCB8D">
        <w:rPr>
          <w:rStyle w:val="normaltextrun"/>
          <w:rFonts w:ascii="Century Gothic" w:hAnsi="Century Gothic" w:cs="Segoe UI"/>
          <w:sz w:val="20"/>
          <w:szCs w:val="20"/>
        </w:rPr>
        <w:t>) and there is currently significant variation between local authorities in how they are being implemented.</w:t>
      </w:r>
    </w:p>
    <w:p w14:paraId="53D30721" w14:textId="77777777" w:rsidR="00BC440F" w:rsidRDefault="00BC440F" w:rsidP="007F2CC0">
      <w:pPr>
        <w:pStyle w:val="paragraph0"/>
        <w:spacing w:before="0" w:beforeAutospacing="0" w:after="0" w:afterAutospacing="0"/>
        <w:textAlignment w:val="baseline"/>
        <w:rPr>
          <w:rStyle w:val="normaltextrun"/>
          <w:rFonts w:ascii="Century Gothic" w:hAnsi="Century Gothic" w:cs="Segoe UI"/>
          <w:sz w:val="20"/>
          <w:szCs w:val="20"/>
        </w:rPr>
      </w:pPr>
    </w:p>
    <w:p w14:paraId="47A2CB13" w14:textId="67F3E8F7" w:rsidR="00BC440F" w:rsidRDefault="00BC440F" w:rsidP="006E4E97">
      <w:pPr>
        <w:pStyle w:val="paragraph0"/>
        <w:spacing w:before="0" w:beforeAutospacing="0" w:after="0" w:afterAutospacing="0"/>
        <w:ind w:left="1080"/>
        <w:textAlignment w:val="baseline"/>
        <w:rPr>
          <w:rStyle w:val="normaltextrun"/>
          <w:rFonts w:ascii="Century Gothic" w:hAnsi="Century Gothic" w:cs="Segoe UI"/>
          <w:sz w:val="20"/>
          <w:szCs w:val="20"/>
        </w:rPr>
      </w:pPr>
      <w:r w:rsidRPr="00BC440F">
        <w:rPr>
          <w:rStyle w:val="normaltextrun"/>
          <w:rFonts w:ascii="Century Gothic" w:hAnsi="Century Gothic" w:cs="Segoe UI"/>
          <w:sz w:val="20"/>
          <w:szCs w:val="20"/>
        </w:rPr>
        <w:t xml:space="preserve">The CPRE </w:t>
      </w:r>
      <w:r w:rsidR="000F239F">
        <w:rPr>
          <w:rStyle w:val="normaltextrun"/>
          <w:rFonts w:ascii="Century Gothic" w:hAnsi="Century Gothic" w:cs="Segoe UI"/>
          <w:sz w:val="20"/>
          <w:szCs w:val="20"/>
        </w:rPr>
        <w:t xml:space="preserve">(Campaign to Protect Rural England) </w:t>
      </w:r>
      <w:r w:rsidRPr="00BC440F">
        <w:rPr>
          <w:rStyle w:val="normaltextrun"/>
          <w:rFonts w:ascii="Century Gothic" w:hAnsi="Century Gothic" w:cs="Segoe UI"/>
          <w:sz w:val="20"/>
          <w:szCs w:val="20"/>
        </w:rPr>
        <w:t xml:space="preserve">recently undertook a piece of </w:t>
      </w:r>
      <w:hyperlink r:id="rId13" w:history="1">
        <w:r w:rsidRPr="00C97852">
          <w:rPr>
            <w:rStyle w:val="Hyperlink"/>
            <w:rFonts w:ascii="Century Gothic" w:hAnsi="Century Gothic" w:cs="Segoe UI"/>
            <w:sz w:val="20"/>
            <w:szCs w:val="20"/>
          </w:rPr>
          <w:t>research</w:t>
        </w:r>
      </w:hyperlink>
      <w:r w:rsidRPr="00BC440F">
        <w:rPr>
          <w:rStyle w:val="normaltextrun"/>
          <w:rFonts w:ascii="Century Gothic" w:hAnsi="Century Gothic" w:cs="Segoe UI"/>
          <w:sz w:val="20"/>
          <w:szCs w:val="20"/>
        </w:rPr>
        <w:t xml:space="preserve"> that explored 24 local plans outside Greater London, concluding that climate is not generally being considered as a central priority in the vast majority, and that changes to the NPPF are needed to make clear what local authorities are expected to do to ensure that their plans are compliant with the wider Net Zero strategy. Our project should seek to build upon this work by trying to understand what specific barriers hinder better alignment between local plans and sustainability objectives, and how these should be overcome.</w:t>
      </w:r>
    </w:p>
    <w:p w14:paraId="29AB642B" w14:textId="77777777" w:rsidR="00BC440F" w:rsidRDefault="00BC440F" w:rsidP="00BC440F">
      <w:pPr>
        <w:pStyle w:val="paragraph0"/>
        <w:spacing w:before="0" w:beforeAutospacing="0" w:after="0" w:afterAutospacing="0"/>
        <w:ind w:left="1080"/>
        <w:textAlignment w:val="baseline"/>
        <w:rPr>
          <w:rStyle w:val="normaltextrun"/>
          <w:rFonts w:ascii="Century Gothic" w:hAnsi="Century Gothic" w:cs="Segoe UI"/>
          <w:sz w:val="20"/>
          <w:szCs w:val="20"/>
        </w:rPr>
      </w:pPr>
    </w:p>
    <w:p w14:paraId="50830880" w14:textId="77777777" w:rsidR="00BC440F" w:rsidRDefault="00BC440F" w:rsidP="00BC440F">
      <w:pPr>
        <w:pStyle w:val="paragraph0"/>
        <w:spacing w:before="0" w:beforeAutospacing="0" w:after="0" w:afterAutospacing="0"/>
        <w:ind w:left="1080"/>
        <w:textAlignment w:val="baseline"/>
        <w:rPr>
          <w:rFonts w:ascii="Century Gothic" w:hAnsi="Century Gothic"/>
          <w:sz w:val="20"/>
          <w:szCs w:val="20"/>
        </w:rPr>
      </w:pPr>
      <w:r>
        <w:rPr>
          <w:rFonts w:ascii="Century Gothic" w:hAnsi="Century Gothic"/>
          <w:sz w:val="20"/>
          <w:szCs w:val="20"/>
        </w:rPr>
        <w:t>Several other recent studies explore how the planning system can play a key role in delivering Net Zero:</w:t>
      </w:r>
    </w:p>
    <w:p w14:paraId="23656364" w14:textId="77777777" w:rsidR="00BC440F" w:rsidRDefault="00BC440F" w:rsidP="00BC440F">
      <w:pPr>
        <w:pStyle w:val="paragraph0"/>
        <w:spacing w:before="0" w:beforeAutospacing="0" w:after="0" w:afterAutospacing="0"/>
        <w:ind w:left="1080"/>
        <w:textAlignment w:val="baseline"/>
        <w:rPr>
          <w:rFonts w:ascii="Century Gothic" w:hAnsi="Century Gothic"/>
          <w:sz w:val="20"/>
          <w:szCs w:val="20"/>
        </w:rPr>
      </w:pPr>
    </w:p>
    <w:p w14:paraId="7520CAE3" w14:textId="0CC897F8" w:rsidR="00BC440F" w:rsidRPr="00BC440F" w:rsidRDefault="00BC440F" w:rsidP="00D278DE">
      <w:pPr>
        <w:pStyle w:val="paragraph0"/>
        <w:numPr>
          <w:ilvl w:val="0"/>
          <w:numId w:val="12"/>
        </w:numPr>
        <w:spacing w:before="0" w:beforeAutospacing="0" w:after="0" w:afterAutospacing="0"/>
        <w:textAlignment w:val="baseline"/>
        <w:rPr>
          <w:rFonts w:ascii="Century Gothic" w:hAnsi="Century Gothic" w:cs="Segoe UI"/>
          <w:sz w:val="20"/>
          <w:szCs w:val="20"/>
        </w:rPr>
      </w:pPr>
      <w:r w:rsidRPr="00BC440F">
        <w:rPr>
          <w:rFonts w:ascii="Century Gothic" w:hAnsi="Century Gothic"/>
          <w:sz w:val="20"/>
          <w:szCs w:val="20"/>
        </w:rPr>
        <w:t xml:space="preserve">Green Alliance’s 2020 </w:t>
      </w:r>
      <w:hyperlink r:id="rId14" w:history="1">
        <w:r w:rsidRPr="00BC440F">
          <w:rPr>
            <w:rStyle w:val="Hyperlink"/>
            <w:rFonts w:ascii="Century Gothic" w:hAnsi="Century Gothic"/>
            <w:color w:val="000000"/>
            <w:sz w:val="20"/>
            <w:szCs w:val="20"/>
          </w:rPr>
          <w:t>paper</w:t>
        </w:r>
      </w:hyperlink>
      <w:r w:rsidRPr="00BC440F">
        <w:rPr>
          <w:rFonts w:ascii="Century Gothic" w:hAnsi="Century Gothic"/>
          <w:sz w:val="20"/>
          <w:szCs w:val="20"/>
        </w:rPr>
        <w:t xml:space="preserve"> on the local climate challenge highlighted a misalignment of priorities in the planning system, as well as practical difficulties around the appraisal tools used and the powers available to local authorities.</w:t>
      </w:r>
    </w:p>
    <w:p w14:paraId="066A767A" w14:textId="067AABFC" w:rsidR="00BC440F" w:rsidRPr="00BC440F" w:rsidRDefault="00BC440F" w:rsidP="00D278DE">
      <w:pPr>
        <w:pStyle w:val="paragraph0"/>
        <w:numPr>
          <w:ilvl w:val="0"/>
          <w:numId w:val="12"/>
        </w:numPr>
        <w:spacing w:before="0" w:beforeAutospacing="0" w:after="0" w:afterAutospacing="0"/>
        <w:textAlignment w:val="baseline"/>
        <w:rPr>
          <w:rFonts w:ascii="Century Gothic" w:hAnsi="Century Gothic" w:cs="Segoe UI"/>
          <w:sz w:val="20"/>
          <w:szCs w:val="20"/>
        </w:rPr>
      </w:pPr>
      <w:r w:rsidRPr="00BC440F">
        <w:rPr>
          <w:rFonts w:ascii="Century Gothic" w:hAnsi="Century Gothic"/>
          <w:sz w:val="20"/>
          <w:szCs w:val="20"/>
        </w:rPr>
        <w:t xml:space="preserve">The use of these tools was explored in more detail in UK100’s 2021 </w:t>
      </w:r>
      <w:hyperlink r:id="rId15" w:history="1">
        <w:r w:rsidRPr="00BC440F">
          <w:rPr>
            <w:rStyle w:val="Hyperlink"/>
            <w:rFonts w:ascii="Century Gothic" w:hAnsi="Century Gothic"/>
            <w:color w:val="000000"/>
            <w:sz w:val="20"/>
            <w:szCs w:val="20"/>
          </w:rPr>
          <w:t>report</w:t>
        </w:r>
      </w:hyperlink>
      <w:r w:rsidRPr="00BC440F">
        <w:rPr>
          <w:rFonts w:ascii="Century Gothic" w:hAnsi="Century Gothic"/>
          <w:sz w:val="20"/>
          <w:szCs w:val="20"/>
        </w:rPr>
        <w:t xml:space="preserve"> on local authority powers.</w:t>
      </w:r>
    </w:p>
    <w:p w14:paraId="53D9B6B9" w14:textId="2B24A070" w:rsidR="00BC440F" w:rsidRPr="00BC440F" w:rsidRDefault="00BC440F" w:rsidP="00D278DE">
      <w:pPr>
        <w:pStyle w:val="paragraph0"/>
        <w:numPr>
          <w:ilvl w:val="0"/>
          <w:numId w:val="12"/>
        </w:numPr>
        <w:spacing w:before="0" w:beforeAutospacing="0" w:after="0" w:afterAutospacing="0"/>
        <w:textAlignment w:val="baseline"/>
        <w:rPr>
          <w:rFonts w:ascii="Century Gothic" w:hAnsi="Century Gothic" w:cs="Segoe UI"/>
          <w:sz w:val="20"/>
          <w:szCs w:val="20"/>
        </w:rPr>
      </w:pPr>
      <w:r w:rsidRPr="00BC440F">
        <w:rPr>
          <w:rFonts w:ascii="Century Gothic" w:hAnsi="Century Gothic"/>
          <w:sz w:val="20"/>
          <w:szCs w:val="20"/>
        </w:rPr>
        <w:t xml:space="preserve">The Centre for Cities set out a vision for improved spatial planning to enable lower carbon community development in its 2021 </w:t>
      </w:r>
      <w:hyperlink r:id="rId16" w:history="1">
        <w:r w:rsidRPr="00BC440F">
          <w:rPr>
            <w:rStyle w:val="Hyperlink"/>
            <w:rFonts w:ascii="Century Gothic" w:hAnsi="Century Gothic"/>
            <w:color w:val="000000"/>
            <w:sz w:val="20"/>
            <w:szCs w:val="20"/>
          </w:rPr>
          <w:t>work</w:t>
        </w:r>
      </w:hyperlink>
    </w:p>
    <w:p w14:paraId="59C0CCF8" w14:textId="77777777" w:rsidR="00BC440F" w:rsidRPr="00BC440F" w:rsidRDefault="00BC440F" w:rsidP="00BC440F">
      <w:pPr>
        <w:pStyle w:val="paragraph0"/>
        <w:spacing w:before="0" w:beforeAutospacing="0" w:after="0" w:afterAutospacing="0"/>
        <w:ind w:left="1800"/>
        <w:textAlignment w:val="baseline"/>
        <w:rPr>
          <w:rFonts w:ascii="Century Gothic" w:hAnsi="Century Gothic" w:cs="Segoe UI"/>
          <w:sz w:val="20"/>
          <w:szCs w:val="20"/>
        </w:rPr>
      </w:pPr>
    </w:p>
    <w:p w14:paraId="5C4A6D1E" w14:textId="06BA10E5" w:rsidR="00BC440F" w:rsidRDefault="00BC440F" w:rsidP="00BC440F">
      <w:pPr>
        <w:pStyle w:val="paragraph0"/>
        <w:spacing w:before="0" w:beforeAutospacing="0" w:after="0" w:afterAutospacing="0"/>
        <w:ind w:left="1080"/>
        <w:textAlignment w:val="baseline"/>
        <w:rPr>
          <w:rFonts w:ascii="Century Gothic" w:hAnsi="Century Gothic"/>
          <w:sz w:val="20"/>
          <w:szCs w:val="20"/>
        </w:rPr>
      </w:pPr>
      <w:r w:rsidRPr="00BC440F">
        <w:rPr>
          <w:rFonts w:ascii="Century Gothic" w:hAnsi="Century Gothic"/>
          <w:sz w:val="20"/>
          <w:szCs w:val="20"/>
        </w:rPr>
        <w:t>Other recent reports have produced adaptation guidance based on the NPPF and</w:t>
      </w:r>
      <w:r w:rsidR="0034203C">
        <w:rPr>
          <w:rFonts w:ascii="Century Gothic" w:hAnsi="Century Gothic"/>
          <w:sz w:val="20"/>
          <w:szCs w:val="20"/>
        </w:rPr>
        <w:t xml:space="preserve"> National Adaptation Programme</w:t>
      </w:r>
      <w:r w:rsidRPr="00BC440F">
        <w:rPr>
          <w:rFonts w:ascii="Century Gothic" w:hAnsi="Century Gothic"/>
          <w:sz w:val="20"/>
          <w:szCs w:val="20"/>
        </w:rPr>
        <w:t xml:space="preserve"> </w:t>
      </w:r>
      <w:r w:rsidR="0034203C">
        <w:rPr>
          <w:rFonts w:ascii="Century Gothic" w:hAnsi="Century Gothic"/>
          <w:sz w:val="20"/>
          <w:szCs w:val="20"/>
        </w:rPr>
        <w:t>(</w:t>
      </w:r>
      <w:r w:rsidRPr="00BC440F">
        <w:rPr>
          <w:rFonts w:ascii="Century Gothic" w:hAnsi="Century Gothic"/>
          <w:sz w:val="20"/>
          <w:szCs w:val="20"/>
        </w:rPr>
        <w:t>NAP</w:t>
      </w:r>
      <w:r w:rsidR="0034203C">
        <w:rPr>
          <w:rFonts w:ascii="Century Gothic" w:hAnsi="Century Gothic"/>
          <w:sz w:val="20"/>
          <w:szCs w:val="20"/>
        </w:rPr>
        <w:t xml:space="preserve">) </w:t>
      </w:r>
      <w:r w:rsidRPr="00BC440F">
        <w:rPr>
          <w:rFonts w:ascii="Century Gothic" w:hAnsi="Century Gothic"/>
          <w:sz w:val="20"/>
          <w:szCs w:val="20"/>
        </w:rPr>
        <w:t>for local authorities.</w:t>
      </w:r>
      <w:r w:rsidR="006E4E97">
        <w:rPr>
          <w:rFonts w:ascii="Century Gothic" w:hAnsi="Century Gothic"/>
          <w:sz w:val="20"/>
          <w:szCs w:val="20"/>
        </w:rPr>
        <w:t xml:space="preserve"> However, there is currently no mandatory requirement for local authorities to report on adaptation, and a lack of</w:t>
      </w:r>
      <w:r w:rsidRPr="00BC440F">
        <w:rPr>
          <w:rFonts w:ascii="Century Gothic" w:hAnsi="Century Gothic"/>
          <w:sz w:val="20"/>
          <w:szCs w:val="20"/>
        </w:rPr>
        <w:t xml:space="preserve"> research combining the practical and structural barriers for delivering this guidance and recommendations for aligning adaptation/mitigation:</w:t>
      </w:r>
    </w:p>
    <w:p w14:paraId="0D2C94A1" w14:textId="372BC3E0" w:rsidR="00BC440F" w:rsidRPr="00BC440F" w:rsidRDefault="00BC440F" w:rsidP="00D278DE">
      <w:pPr>
        <w:pStyle w:val="paragraph0"/>
        <w:numPr>
          <w:ilvl w:val="0"/>
          <w:numId w:val="13"/>
        </w:numPr>
        <w:spacing w:before="0" w:beforeAutospacing="0" w:after="0" w:afterAutospacing="0"/>
        <w:textAlignment w:val="baseline"/>
        <w:rPr>
          <w:rStyle w:val="Hyperlink"/>
          <w:rFonts w:ascii="Century Gothic" w:hAnsi="Century Gothic" w:cs="Segoe UI"/>
          <w:color w:val="auto"/>
          <w:sz w:val="20"/>
          <w:szCs w:val="20"/>
          <w:u w:val="none"/>
        </w:rPr>
      </w:pPr>
      <w:r w:rsidRPr="00BC440F">
        <w:rPr>
          <w:rFonts w:ascii="Century Gothic" w:hAnsi="Century Gothic"/>
          <w:sz w:val="20"/>
          <w:szCs w:val="20"/>
        </w:rPr>
        <w:t xml:space="preserve">ADEPT, </w:t>
      </w:r>
      <w:hyperlink r:id="rId17" w:history="1">
        <w:r w:rsidRPr="00BC440F">
          <w:rPr>
            <w:rStyle w:val="Hyperlink"/>
            <w:rFonts w:ascii="Century Gothic" w:hAnsi="Century Gothic"/>
            <w:color w:val="000000"/>
            <w:sz w:val="20"/>
            <w:szCs w:val="20"/>
          </w:rPr>
          <w:t>Defra and Local Adaptation Advisory Panel Guide</w:t>
        </w:r>
      </w:hyperlink>
    </w:p>
    <w:p w14:paraId="14ECA649" w14:textId="25064464" w:rsidR="00BC440F" w:rsidRPr="00BC440F" w:rsidRDefault="00943904" w:rsidP="00D278DE">
      <w:pPr>
        <w:pStyle w:val="paragraph0"/>
        <w:numPr>
          <w:ilvl w:val="0"/>
          <w:numId w:val="13"/>
        </w:numPr>
        <w:spacing w:before="0" w:beforeAutospacing="0" w:after="0" w:afterAutospacing="0"/>
        <w:textAlignment w:val="baseline"/>
        <w:rPr>
          <w:rStyle w:val="Hyperlink"/>
          <w:rFonts w:ascii="Century Gothic" w:hAnsi="Century Gothic" w:cs="Segoe UI"/>
          <w:color w:val="auto"/>
          <w:sz w:val="20"/>
          <w:szCs w:val="20"/>
          <w:u w:val="none"/>
        </w:rPr>
      </w:pPr>
      <w:hyperlink r:id="rId18" w:history="1">
        <w:r w:rsidR="00BC440F" w:rsidRPr="00BC440F">
          <w:rPr>
            <w:rStyle w:val="Hyperlink"/>
            <w:rFonts w:ascii="Century Gothic" w:hAnsi="Century Gothic"/>
            <w:color w:val="000000"/>
            <w:sz w:val="20"/>
            <w:szCs w:val="20"/>
          </w:rPr>
          <w:t>Town and Coastal Planning Association Adaptation guide</w:t>
        </w:r>
      </w:hyperlink>
    </w:p>
    <w:p w14:paraId="06DC9B6D" w14:textId="6BC0BFF2" w:rsidR="006724AE" w:rsidRDefault="00BC440F" w:rsidP="00D278DE">
      <w:pPr>
        <w:pStyle w:val="paragraph0"/>
        <w:numPr>
          <w:ilvl w:val="0"/>
          <w:numId w:val="13"/>
        </w:numPr>
        <w:spacing w:before="0" w:beforeAutospacing="0" w:after="0" w:afterAutospacing="0"/>
        <w:textAlignment w:val="baseline"/>
        <w:rPr>
          <w:rStyle w:val="eop"/>
          <w:rFonts w:ascii="Century Gothic" w:hAnsi="Century Gothic" w:cs="Segoe UI"/>
          <w:sz w:val="20"/>
          <w:szCs w:val="20"/>
        </w:rPr>
      </w:pPr>
      <w:r w:rsidRPr="00BC440F">
        <w:rPr>
          <w:rFonts w:ascii="Century Gothic" w:hAnsi="Century Gothic"/>
          <w:sz w:val="20"/>
          <w:szCs w:val="20"/>
        </w:rPr>
        <w:t xml:space="preserve">Local Partnerships Climate Adaptation </w:t>
      </w:r>
      <w:hyperlink r:id="rId19" w:history="1">
        <w:r w:rsidRPr="00BC440F">
          <w:rPr>
            <w:rStyle w:val="Hyperlink"/>
            <w:rFonts w:ascii="Century Gothic" w:hAnsi="Century Gothic"/>
            <w:color w:val="000000"/>
            <w:sz w:val="20"/>
            <w:szCs w:val="20"/>
          </w:rPr>
          <w:t>Toolkit</w:t>
        </w:r>
      </w:hyperlink>
      <w:r w:rsidR="00DE372F">
        <w:rPr>
          <w:rFonts w:ascii="Century Gothic" w:hAnsi="Century Gothic"/>
          <w:sz w:val="20"/>
          <w:szCs w:val="20"/>
        </w:rPr>
        <w:t>, which summarises the risks highlighted by the 3</w:t>
      </w:r>
      <w:r w:rsidR="00DE372F" w:rsidRPr="00DE372F">
        <w:rPr>
          <w:rFonts w:ascii="Century Gothic" w:hAnsi="Century Gothic"/>
          <w:sz w:val="20"/>
          <w:szCs w:val="20"/>
          <w:vertAlign w:val="superscript"/>
        </w:rPr>
        <w:t>rd</w:t>
      </w:r>
      <w:r w:rsidR="00DE372F">
        <w:rPr>
          <w:rFonts w:ascii="Century Gothic" w:hAnsi="Century Gothic"/>
          <w:sz w:val="20"/>
          <w:szCs w:val="20"/>
        </w:rPr>
        <w:t xml:space="preserve"> Climate Change Risk Assessment for local authorities.</w:t>
      </w:r>
    </w:p>
    <w:p w14:paraId="73F08B05" w14:textId="4490C43B" w:rsidR="00DF2F37" w:rsidRDefault="00DF2F37" w:rsidP="00DF2F37">
      <w:pPr>
        <w:pStyle w:val="paragraph0"/>
        <w:spacing w:before="0" w:beforeAutospacing="0" w:after="0" w:afterAutospacing="0"/>
        <w:textAlignment w:val="baseline"/>
        <w:rPr>
          <w:rStyle w:val="eop"/>
          <w:rFonts w:ascii="Century Gothic" w:hAnsi="Century Gothic" w:cs="Segoe UI"/>
          <w:sz w:val="20"/>
          <w:szCs w:val="20"/>
        </w:rPr>
      </w:pPr>
    </w:p>
    <w:p w14:paraId="14DD8AC7" w14:textId="782ECE61" w:rsidR="003A05B7" w:rsidRPr="000F239F" w:rsidRDefault="00DF2F37" w:rsidP="000F239F">
      <w:pPr>
        <w:ind w:left="1080"/>
        <w:rPr>
          <w:rFonts w:ascii="Century Gothic" w:hAnsi="Century Gothic"/>
          <w:sz w:val="20"/>
          <w:szCs w:val="20"/>
        </w:rPr>
      </w:pPr>
      <w:r>
        <w:rPr>
          <w:rFonts w:ascii="Century Gothic" w:hAnsi="Century Gothic"/>
          <w:sz w:val="20"/>
          <w:szCs w:val="20"/>
        </w:rPr>
        <w:t xml:space="preserve">Planning reforms are expected to be considered within the upcoming Levelling Up and Regeneration Bill – a good summary of what is expected can be found </w:t>
      </w:r>
      <w:hyperlink r:id="rId20" w:history="1">
        <w:r>
          <w:rPr>
            <w:rStyle w:val="Hyperlink"/>
            <w:rFonts w:ascii="Century Gothic" w:hAnsi="Century Gothic"/>
            <w:color w:val="000000"/>
            <w:sz w:val="20"/>
            <w:szCs w:val="20"/>
          </w:rPr>
          <w:t>here</w:t>
        </w:r>
      </w:hyperlink>
      <w:r>
        <w:rPr>
          <w:rFonts w:ascii="Century Gothic" w:hAnsi="Century Gothic"/>
          <w:sz w:val="20"/>
          <w:szCs w:val="20"/>
        </w:rPr>
        <w:t>. This is likely to include a new national framework to guide local decision-making as well as new environmental appraisal requirements. This research would be important in helping build our understanding of the challenges that these changes will need to address and shape our influence of</w:t>
      </w:r>
      <w:r w:rsidR="006E4E97">
        <w:rPr>
          <w:rFonts w:ascii="Century Gothic" w:hAnsi="Century Gothic"/>
          <w:sz w:val="20"/>
          <w:szCs w:val="20"/>
        </w:rPr>
        <w:t xml:space="preserve"> and </w:t>
      </w:r>
      <w:r>
        <w:rPr>
          <w:rFonts w:ascii="Century Gothic" w:hAnsi="Century Gothic"/>
          <w:sz w:val="20"/>
          <w:szCs w:val="20"/>
        </w:rPr>
        <w:t>response to any proposals as they emerge.</w:t>
      </w:r>
    </w:p>
    <w:p w14:paraId="1221AA05" w14:textId="527AC7DD" w:rsidR="003A05B7" w:rsidRPr="006724AE" w:rsidRDefault="003A05B7" w:rsidP="00D278DE">
      <w:pPr>
        <w:pStyle w:val="Heading1"/>
        <w:widowControl w:val="0"/>
        <w:numPr>
          <w:ilvl w:val="0"/>
          <w:numId w:val="6"/>
        </w:numPr>
        <w:overflowPunct w:val="0"/>
        <w:autoSpaceDE w:val="0"/>
        <w:autoSpaceDN w:val="0"/>
        <w:adjustRightInd w:val="0"/>
        <w:spacing w:before="240" w:after="60"/>
        <w:jc w:val="both"/>
        <w:textAlignment w:val="baseline"/>
        <w:rPr>
          <w:rFonts w:asciiTheme="minorHAnsi" w:hAnsiTheme="minorHAnsi" w:cs="Arial"/>
          <w:color w:val="auto"/>
          <w:sz w:val="20"/>
          <w:szCs w:val="20"/>
        </w:rPr>
      </w:pPr>
      <w:bookmarkStart w:id="3" w:name="_Ref357535689"/>
      <w:bookmarkStart w:id="4" w:name="_Toc381969508"/>
      <w:bookmarkStart w:id="5" w:name="_Toc405888457"/>
      <w:r w:rsidRPr="22E435CD">
        <w:rPr>
          <w:rFonts w:asciiTheme="minorHAnsi" w:hAnsiTheme="minorHAnsi" w:cs="Arial"/>
          <w:color w:val="auto"/>
          <w:sz w:val="20"/>
          <w:szCs w:val="20"/>
        </w:rPr>
        <w:t>Aims and Objectives</w:t>
      </w:r>
      <w:bookmarkEnd w:id="3"/>
      <w:bookmarkEnd w:id="4"/>
      <w:bookmarkEnd w:id="5"/>
    </w:p>
    <w:p w14:paraId="0C428D2F" w14:textId="5D3F949E" w:rsidR="00BC440F" w:rsidRPr="00BC440F" w:rsidRDefault="27B425B3" w:rsidP="24F8B6BE">
      <w:pPr>
        <w:ind w:left="1080"/>
        <w:rPr>
          <w:rFonts w:ascii="Century Gothic" w:eastAsia="Century Gothic" w:hAnsi="Century Gothic" w:cs="Century Gothic"/>
          <w:sz w:val="20"/>
          <w:szCs w:val="20"/>
        </w:rPr>
      </w:pPr>
      <w:r w:rsidRPr="24F8B6BE">
        <w:rPr>
          <w:rFonts w:ascii="Century Gothic" w:eastAsia="Century Gothic" w:hAnsi="Century Gothic" w:cs="Century Gothic"/>
          <w:sz w:val="20"/>
          <w:szCs w:val="20"/>
        </w:rPr>
        <w:t xml:space="preserve">We are seeking to commission a project to examine the barriers to incorporating climate mitigation and adaptation measures in spatial planning at the local authority level. </w:t>
      </w:r>
    </w:p>
    <w:p w14:paraId="3C2F20B5" w14:textId="38B7A7A6" w:rsidR="00BC440F" w:rsidRPr="00BC440F" w:rsidRDefault="00BC440F" w:rsidP="24F8B6BE">
      <w:pPr>
        <w:ind w:left="1080"/>
        <w:rPr>
          <w:rFonts w:ascii="Century Gothic" w:eastAsia="Century Gothic" w:hAnsi="Century Gothic" w:cs="Century Gothic"/>
          <w:sz w:val="20"/>
          <w:szCs w:val="20"/>
        </w:rPr>
      </w:pPr>
    </w:p>
    <w:p w14:paraId="50194C44" w14:textId="3F0AA97C" w:rsidR="00BC440F" w:rsidRPr="00BC440F" w:rsidRDefault="1E8646A9" w:rsidP="24F8B6BE">
      <w:pPr>
        <w:ind w:left="1080"/>
        <w:rPr>
          <w:rFonts w:ascii="Century Gothic" w:eastAsia="Century Gothic" w:hAnsi="Century Gothic" w:cs="Century Gothic"/>
          <w:sz w:val="20"/>
          <w:szCs w:val="20"/>
        </w:rPr>
      </w:pPr>
      <w:r w:rsidRPr="24F8B6BE">
        <w:rPr>
          <w:rFonts w:ascii="Century Gothic" w:eastAsia="Century Gothic" w:hAnsi="Century Gothic" w:cs="Century Gothic"/>
          <w:sz w:val="20"/>
          <w:szCs w:val="20"/>
        </w:rPr>
        <w:t xml:space="preserve">These measures include </w:t>
      </w:r>
      <w:r w:rsidR="00106B38">
        <w:rPr>
          <w:rFonts w:ascii="Century Gothic" w:eastAsia="Century Gothic" w:hAnsi="Century Gothic" w:cs="Century Gothic"/>
          <w:sz w:val="20"/>
          <w:szCs w:val="20"/>
        </w:rPr>
        <w:t xml:space="preserve">climate resilience </w:t>
      </w:r>
      <w:r w:rsidRPr="24F8B6BE">
        <w:rPr>
          <w:rFonts w:ascii="Century Gothic" w:eastAsia="Century Gothic" w:hAnsi="Century Gothic" w:cs="Century Gothic"/>
          <w:sz w:val="20"/>
          <w:szCs w:val="20"/>
        </w:rPr>
        <w:t>and Net Zero-aligned design</w:t>
      </w:r>
      <w:r w:rsidR="6C88C579" w:rsidRPr="24F8B6BE">
        <w:rPr>
          <w:rFonts w:ascii="Century Gothic" w:eastAsia="Century Gothic" w:hAnsi="Century Gothic" w:cs="Century Gothic"/>
          <w:sz w:val="20"/>
          <w:szCs w:val="20"/>
        </w:rPr>
        <w:t xml:space="preserve"> and planning</w:t>
      </w:r>
      <w:r w:rsidR="006E4E97">
        <w:rPr>
          <w:rFonts w:ascii="Century Gothic" w:eastAsia="Century Gothic" w:hAnsi="Century Gothic" w:cs="Century Gothic"/>
          <w:sz w:val="20"/>
          <w:szCs w:val="20"/>
        </w:rPr>
        <w:t xml:space="preserve"> aspects</w:t>
      </w:r>
      <w:r w:rsidRPr="24F8B6BE">
        <w:rPr>
          <w:rFonts w:ascii="Century Gothic" w:eastAsia="Century Gothic" w:hAnsi="Century Gothic" w:cs="Century Gothic"/>
          <w:sz w:val="20"/>
          <w:szCs w:val="20"/>
        </w:rPr>
        <w:t xml:space="preserve"> </w:t>
      </w:r>
      <w:r w:rsidR="59278CD2" w:rsidRPr="24F8B6BE">
        <w:rPr>
          <w:rFonts w:ascii="Century Gothic" w:eastAsia="Century Gothic" w:hAnsi="Century Gothic" w:cs="Century Gothic"/>
          <w:sz w:val="20"/>
          <w:szCs w:val="20"/>
        </w:rPr>
        <w:t xml:space="preserve">which </w:t>
      </w:r>
      <w:r w:rsidR="7FBEAED9" w:rsidRPr="24F8B6BE">
        <w:rPr>
          <w:rFonts w:ascii="Century Gothic" w:eastAsia="Century Gothic" w:hAnsi="Century Gothic" w:cs="Century Gothic"/>
          <w:sz w:val="20"/>
          <w:szCs w:val="20"/>
        </w:rPr>
        <w:t>reduce</w:t>
      </w:r>
      <w:r w:rsidR="59278CD2" w:rsidRPr="24F8B6BE">
        <w:rPr>
          <w:rFonts w:ascii="Century Gothic" w:eastAsia="Century Gothic" w:hAnsi="Century Gothic" w:cs="Century Gothic"/>
          <w:sz w:val="20"/>
          <w:szCs w:val="20"/>
        </w:rPr>
        <w:t xml:space="preserve"> carbon emissions and increase preparedness for future climate hazards. </w:t>
      </w:r>
    </w:p>
    <w:p w14:paraId="6D40B5EA" w14:textId="7BF64659" w:rsidR="00BC440F" w:rsidRPr="00BC440F" w:rsidRDefault="00BC440F" w:rsidP="24F8B6BE">
      <w:pPr>
        <w:ind w:left="1080"/>
        <w:rPr>
          <w:rFonts w:ascii="Century Gothic" w:eastAsia="Century Gothic" w:hAnsi="Century Gothic" w:cs="Century Gothic"/>
          <w:sz w:val="20"/>
          <w:szCs w:val="20"/>
        </w:rPr>
      </w:pPr>
    </w:p>
    <w:p w14:paraId="3F1BF4AA" w14:textId="70A23E5B" w:rsidR="00576C1B" w:rsidRDefault="00576C1B" w:rsidP="00576C1B">
      <w:pPr>
        <w:ind w:left="108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CCC would like this work to consider low-carbon and climate-resilient spatial planning measures which are </w:t>
      </w:r>
      <w:r w:rsidR="006D35DA">
        <w:rPr>
          <w:rFonts w:ascii="Century Gothic" w:eastAsia="Century Gothic" w:hAnsi="Century Gothic" w:cs="Century Gothic"/>
          <w:sz w:val="20"/>
          <w:szCs w:val="20"/>
        </w:rPr>
        <w:t>in line</w:t>
      </w:r>
      <w:r>
        <w:rPr>
          <w:rFonts w:ascii="Century Gothic" w:eastAsia="Century Gothic" w:hAnsi="Century Gothic" w:cs="Century Gothic"/>
          <w:sz w:val="20"/>
          <w:szCs w:val="20"/>
        </w:rPr>
        <w:t xml:space="preserve"> with the ambitions for local-</w:t>
      </w:r>
      <w:r w:rsidR="0034203C">
        <w:rPr>
          <w:rFonts w:ascii="Century Gothic" w:eastAsia="Century Gothic" w:hAnsi="Century Gothic" w:cs="Century Gothic"/>
          <w:sz w:val="20"/>
          <w:szCs w:val="20"/>
        </w:rPr>
        <w:t>scale</w:t>
      </w:r>
      <w:r>
        <w:rPr>
          <w:rFonts w:ascii="Century Gothic" w:eastAsia="Century Gothic" w:hAnsi="Century Gothic" w:cs="Century Gothic"/>
          <w:sz w:val="20"/>
          <w:szCs w:val="20"/>
        </w:rPr>
        <w:t xml:space="preserve"> </w:t>
      </w:r>
      <w:r w:rsidR="00570F0D">
        <w:rPr>
          <w:rFonts w:ascii="Century Gothic" w:eastAsia="Century Gothic" w:hAnsi="Century Gothic" w:cs="Century Gothic"/>
          <w:sz w:val="20"/>
          <w:szCs w:val="20"/>
        </w:rPr>
        <w:t>mitigati</w:t>
      </w:r>
      <w:r w:rsidR="006D35DA">
        <w:rPr>
          <w:rFonts w:ascii="Century Gothic" w:eastAsia="Century Gothic" w:hAnsi="Century Gothic" w:cs="Century Gothic"/>
          <w:sz w:val="20"/>
          <w:szCs w:val="20"/>
        </w:rPr>
        <w:t>on</w:t>
      </w:r>
      <w:r w:rsidR="0034203C">
        <w:rPr>
          <w:rFonts w:ascii="Century Gothic" w:eastAsia="Century Gothic" w:hAnsi="Century Gothic" w:cs="Century Gothic"/>
          <w:sz w:val="20"/>
          <w:szCs w:val="20"/>
        </w:rPr>
        <w:t xml:space="preserve"> </w:t>
      </w:r>
      <w:r w:rsidR="006D35DA">
        <w:rPr>
          <w:rFonts w:ascii="Century Gothic" w:eastAsia="Century Gothic" w:hAnsi="Century Gothic" w:cs="Century Gothic"/>
          <w:sz w:val="20"/>
          <w:szCs w:val="20"/>
        </w:rPr>
        <w:t>in the CCC’s Sixth Carbon Budget advice</w:t>
      </w:r>
      <w:r w:rsidR="008E4BB5">
        <w:rPr>
          <w:rFonts w:ascii="Century Gothic" w:eastAsia="Century Gothic" w:hAnsi="Century Gothic" w:cs="Century Gothic"/>
          <w:sz w:val="20"/>
          <w:szCs w:val="20"/>
        </w:rPr>
        <w:t xml:space="preserve"> (see </w:t>
      </w:r>
      <w:hyperlink r:id="rId21" w:history="1">
        <w:r w:rsidR="008E4BB5" w:rsidRPr="008E4BB5">
          <w:rPr>
            <w:rStyle w:val="Hyperlink"/>
            <w:rFonts w:ascii="Century Gothic" w:eastAsia="Century Gothic" w:hAnsi="Century Gothic" w:cs="Century Gothic"/>
            <w:sz w:val="20"/>
            <w:szCs w:val="20"/>
          </w:rPr>
          <w:t>Local Authorities and the Sixth Carbon Budget</w:t>
        </w:r>
      </w:hyperlink>
      <w:r w:rsidR="008E4BB5">
        <w:rPr>
          <w:rFonts w:ascii="Century Gothic" w:eastAsia="Century Gothic" w:hAnsi="Century Gothic" w:cs="Century Gothic"/>
          <w:sz w:val="20"/>
          <w:szCs w:val="20"/>
        </w:rPr>
        <w:t>)</w:t>
      </w:r>
      <w:r w:rsidR="006D35DA">
        <w:rPr>
          <w:rFonts w:ascii="Century Gothic" w:eastAsia="Century Gothic" w:hAnsi="Century Gothic" w:cs="Century Gothic"/>
          <w:sz w:val="20"/>
          <w:szCs w:val="20"/>
        </w:rPr>
        <w:t xml:space="preserve">.  The work should consider </w:t>
      </w:r>
      <w:r w:rsidR="00F82EEE">
        <w:rPr>
          <w:rFonts w:ascii="Century Gothic" w:eastAsia="Century Gothic" w:hAnsi="Century Gothic" w:cs="Century Gothic"/>
          <w:sz w:val="20"/>
          <w:szCs w:val="20"/>
        </w:rPr>
        <w:t xml:space="preserve">how </w:t>
      </w:r>
      <w:r w:rsidR="00DE372F">
        <w:rPr>
          <w:rFonts w:ascii="Century Gothic" w:eastAsia="Century Gothic" w:hAnsi="Century Gothic" w:cs="Century Gothic"/>
          <w:sz w:val="20"/>
          <w:szCs w:val="20"/>
        </w:rPr>
        <w:t xml:space="preserve">buildings and development design can incorporate these measures alongside </w:t>
      </w:r>
      <w:r w:rsidR="00570F0D">
        <w:rPr>
          <w:rFonts w:ascii="Century Gothic" w:eastAsia="Century Gothic" w:hAnsi="Century Gothic" w:cs="Century Gothic"/>
          <w:sz w:val="20"/>
          <w:szCs w:val="20"/>
        </w:rPr>
        <w:t>adaptation</w:t>
      </w:r>
      <w:r w:rsidR="006D35DA">
        <w:rPr>
          <w:rFonts w:ascii="Century Gothic" w:eastAsia="Century Gothic" w:hAnsi="Century Gothic" w:cs="Century Gothic"/>
          <w:sz w:val="20"/>
          <w:szCs w:val="20"/>
        </w:rPr>
        <w:t xml:space="preserve"> actions </w:t>
      </w:r>
      <w:r w:rsidR="00570F0D">
        <w:rPr>
          <w:rFonts w:ascii="Century Gothic" w:eastAsia="Century Gothic" w:hAnsi="Century Gothic" w:cs="Century Gothic"/>
          <w:sz w:val="20"/>
          <w:szCs w:val="20"/>
        </w:rPr>
        <w:t>which address the priority future climate risks identified in the 3</w:t>
      </w:r>
      <w:r w:rsidR="00570F0D" w:rsidRPr="00570F0D">
        <w:rPr>
          <w:rFonts w:ascii="Century Gothic" w:eastAsia="Century Gothic" w:hAnsi="Century Gothic" w:cs="Century Gothic"/>
          <w:sz w:val="20"/>
          <w:szCs w:val="20"/>
          <w:vertAlign w:val="superscript"/>
        </w:rPr>
        <w:t>rd</w:t>
      </w:r>
      <w:r w:rsidR="00570F0D">
        <w:rPr>
          <w:rFonts w:ascii="Century Gothic" w:eastAsia="Century Gothic" w:hAnsi="Century Gothic" w:cs="Century Gothic"/>
          <w:sz w:val="20"/>
          <w:szCs w:val="20"/>
        </w:rPr>
        <w:t xml:space="preserve"> Climate Change Risk Assessment (CCRA3) and the 2021 Progress in Adapting to Climate Change Report.</w:t>
      </w:r>
    </w:p>
    <w:p w14:paraId="6245139A" w14:textId="77777777" w:rsidR="00576C1B" w:rsidRDefault="00576C1B" w:rsidP="00576C1B">
      <w:pPr>
        <w:ind w:left="1080"/>
        <w:rPr>
          <w:rFonts w:ascii="Century Gothic" w:eastAsia="Century Gothic" w:hAnsi="Century Gothic" w:cs="Century Gothic"/>
          <w:sz w:val="20"/>
          <w:szCs w:val="20"/>
        </w:rPr>
      </w:pPr>
    </w:p>
    <w:p w14:paraId="262720C2" w14:textId="0454C67C" w:rsidR="00BC440F" w:rsidRPr="00BC440F" w:rsidRDefault="006D35DA" w:rsidP="24F8B6BE">
      <w:pPr>
        <w:ind w:left="108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work should </w:t>
      </w:r>
      <w:r w:rsidR="00570F0D" w:rsidRPr="025C137A">
        <w:rPr>
          <w:rFonts w:ascii="Century Gothic" w:eastAsia="Century Gothic" w:hAnsi="Century Gothic" w:cs="Century Gothic"/>
          <w:sz w:val="20"/>
          <w:szCs w:val="20"/>
        </w:rPr>
        <w:t>consider the location</w:t>
      </w:r>
      <w:r>
        <w:rPr>
          <w:rFonts w:ascii="Century Gothic" w:eastAsia="Century Gothic" w:hAnsi="Century Gothic" w:cs="Century Gothic"/>
          <w:sz w:val="20"/>
          <w:szCs w:val="20"/>
        </w:rPr>
        <w:t xml:space="preserve"> and design</w:t>
      </w:r>
      <w:r w:rsidR="5703F693" w:rsidRPr="025C137A">
        <w:rPr>
          <w:rFonts w:ascii="Century Gothic" w:eastAsia="Century Gothic" w:hAnsi="Century Gothic" w:cs="Century Gothic"/>
          <w:sz w:val="20"/>
          <w:szCs w:val="20"/>
        </w:rPr>
        <w:t xml:space="preserve"> of</w:t>
      </w:r>
      <w:r w:rsidR="00570F0D" w:rsidRPr="025C137A">
        <w:rPr>
          <w:rFonts w:ascii="Century Gothic" w:eastAsia="Century Gothic" w:hAnsi="Century Gothic" w:cs="Century Gothic"/>
          <w:sz w:val="20"/>
          <w:szCs w:val="20"/>
        </w:rPr>
        <w:t xml:space="preserve"> new developments, as well as </w:t>
      </w:r>
      <w:r w:rsidR="0DF43281" w:rsidRPr="025C137A">
        <w:rPr>
          <w:rFonts w:ascii="Century Gothic" w:eastAsia="Century Gothic" w:hAnsi="Century Gothic" w:cs="Century Gothic"/>
          <w:sz w:val="20"/>
          <w:szCs w:val="20"/>
        </w:rPr>
        <w:t>spatial</w:t>
      </w:r>
      <w:r w:rsidR="05324A72" w:rsidRPr="025C137A">
        <w:rPr>
          <w:rFonts w:ascii="Century Gothic" w:eastAsia="Century Gothic" w:hAnsi="Century Gothic" w:cs="Century Gothic"/>
          <w:sz w:val="20"/>
          <w:szCs w:val="20"/>
        </w:rPr>
        <w:t xml:space="preserve"> planning </w:t>
      </w:r>
      <w:r w:rsidR="00570F0D" w:rsidRPr="025C137A">
        <w:rPr>
          <w:rFonts w:ascii="Century Gothic" w:eastAsia="Century Gothic" w:hAnsi="Century Gothic" w:cs="Century Gothic"/>
          <w:sz w:val="20"/>
          <w:szCs w:val="20"/>
        </w:rPr>
        <w:t>and linked opportunities</w:t>
      </w:r>
      <w:r w:rsidR="3620449C" w:rsidRPr="025C137A">
        <w:rPr>
          <w:rFonts w:ascii="Century Gothic" w:eastAsia="Century Gothic" w:hAnsi="Century Gothic" w:cs="Century Gothic"/>
          <w:sz w:val="20"/>
          <w:szCs w:val="20"/>
        </w:rPr>
        <w:t xml:space="preserve"> for</w:t>
      </w:r>
      <w:r w:rsidR="00570F0D" w:rsidRPr="025C137A">
        <w:rPr>
          <w:rFonts w:ascii="Century Gothic" w:eastAsia="Century Gothic" w:hAnsi="Century Gothic" w:cs="Century Gothic"/>
          <w:sz w:val="20"/>
          <w:szCs w:val="20"/>
        </w:rPr>
        <w:t xml:space="preserve"> retrofitting </w:t>
      </w:r>
      <w:r>
        <w:rPr>
          <w:rFonts w:ascii="Century Gothic" w:eastAsia="Century Gothic" w:hAnsi="Century Gothic" w:cs="Century Gothic"/>
          <w:sz w:val="20"/>
          <w:szCs w:val="20"/>
        </w:rPr>
        <w:t>measures.  This includes spatial planning which:</w:t>
      </w:r>
    </w:p>
    <w:p w14:paraId="1D4677A6" w14:textId="4123C44F" w:rsidR="00BC440F" w:rsidRPr="00BC440F" w:rsidRDefault="1E8646A9" w:rsidP="24F8B6BE">
      <w:pPr>
        <w:pStyle w:val="ListParagraph"/>
        <w:numPr>
          <w:ilvl w:val="1"/>
          <w:numId w:val="2"/>
        </w:numPr>
        <w:rPr>
          <w:rFonts w:ascii="Century Gothic" w:eastAsia="Century Gothic" w:hAnsi="Century Gothic" w:cs="Century Gothic"/>
          <w:sz w:val="20"/>
          <w:szCs w:val="20"/>
        </w:rPr>
      </w:pPr>
      <w:r w:rsidRPr="6D1486BA">
        <w:rPr>
          <w:rFonts w:ascii="Century Gothic" w:eastAsia="Century Gothic" w:hAnsi="Century Gothic" w:cs="Century Gothic"/>
          <w:sz w:val="20"/>
          <w:szCs w:val="20"/>
        </w:rPr>
        <w:t>minimis</w:t>
      </w:r>
      <w:r w:rsidR="74C00680" w:rsidRPr="6D1486BA">
        <w:rPr>
          <w:rFonts w:ascii="Century Gothic" w:eastAsia="Century Gothic" w:hAnsi="Century Gothic" w:cs="Century Gothic"/>
          <w:sz w:val="20"/>
          <w:szCs w:val="20"/>
        </w:rPr>
        <w:t>e</w:t>
      </w:r>
      <w:r w:rsidR="006D35DA">
        <w:rPr>
          <w:rFonts w:ascii="Century Gothic" w:eastAsia="Century Gothic" w:hAnsi="Century Gothic" w:cs="Century Gothic"/>
          <w:sz w:val="20"/>
          <w:szCs w:val="20"/>
        </w:rPr>
        <w:t>s</w:t>
      </w:r>
      <w:r w:rsidRPr="6D1486BA">
        <w:rPr>
          <w:rFonts w:ascii="Century Gothic" w:eastAsia="Century Gothic" w:hAnsi="Century Gothic" w:cs="Century Gothic"/>
          <w:sz w:val="20"/>
          <w:szCs w:val="20"/>
        </w:rPr>
        <w:t xml:space="preserve"> embodied carbon, us</w:t>
      </w:r>
      <w:r w:rsidR="75DDF76A" w:rsidRPr="6D1486BA">
        <w:rPr>
          <w:rFonts w:ascii="Century Gothic" w:eastAsia="Century Gothic" w:hAnsi="Century Gothic" w:cs="Century Gothic"/>
          <w:sz w:val="20"/>
          <w:szCs w:val="20"/>
        </w:rPr>
        <w:t>es</w:t>
      </w:r>
      <w:r w:rsidRPr="6D1486BA">
        <w:rPr>
          <w:rFonts w:ascii="Century Gothic" w:eastAsia="Century Gothic" w:hAnsi="Century Gothic" w:cs="Century Gothic"/>
          <w:sz w:val="20"/>
          <w:szCs w:val="20"/>
        </w:rPr>
        <w:t xml:space="preserve"> </w:t>
      </w:r>
      <w:r w:rsidR="3C747E78" w:rsidRPr="6D1486BA">
        <w:rPr>
          <w:rFonts w:ascii="Century Gothic" w:eastAsia="Century Gothic" w:hAnsi="Century Gothic" w:cs="Century Gothic"/>
          <w:sz w:val="20"/>
          <w:szCs w:val="20"/>
        </w:rPr>
        <w:t>low-carbon heat sources</w:t>
      </w:r>
      <w:r w:rsidR="006D35DA">
        <w:rPr>
          <w:rFonts w:ascii="Century Gothic" w:eastAsia="Century Gothic" w:hAnsi="Century Gothic" w:cs="Century Gothic"/>
          <w:sz w:val="20"/>
          <w:szCs w:val="20"/>
        </w:rPr>
        <w:t>,</w:t>
      </w:r>
      <w:r w:rsidR="3C747E78" w:rsidRPr="6D1486BA">
        <w:rPr>
          <w:rFonts w:ascii="Century Gothic" w:eastAsia="Century Gothic" w:hAnsi="Century Gothic" w:cs="Century Gothic"/>
          <w:sz w:val="20"/>
          <w:szCs w:val="20"/>
        </w:rPr>
        <w:t xml:space="preserve"> </w:t>
      </w:r>
      <w:r w:rsidR="28BC757C" w:rsidRPr="6D1486BA">
        <w:rPr>
          <w:rFonts w:ascii="Century Gothic" w:eastAsia="Century Gothic" w:hAnsi="Century Gothic" w:cs="Century Gothic"/>
          <w:sz w:val="20"/>
          <w:szCs w:val="20"/>
        </w:rPr>
        <w:t>and encourages low emission transport</w:t>
      </w:r>
      <w:r w:rsidR="7C94655B" w:rsidRPr="6D1486BA">
        <w:rPr>
          <w:rFonts w:ascii="Century Gothic" w:eastAsia="Century Gothic" w:hAnsi="Century Gothic" w:cs="Century Gothic"/>
          <w:sz w:val="20"/>
          <w:szCs w:val="20"/>
        </w:rPr>
        <w:t xml:space="preserve"> and</w:t>
      </w:r>
      <w:r w:rsidR="006D35DA">
        <w:rPr>
          <w:rFonts w:ascii="Century Gothic" w:eastAsia="Century Gothic" w:hAnsi="Century Gothic" w:cs="Century Gothic"/>
          <w:sz w:val="20"/>
          <w:szCs w:val="20"/>
        </w:rPr>
        <w:t xml:space="preserve"> a</w:t>
      </w:r>
      <w:r w:rsidR="7C94655B" w:rsidRPr="6D1486BA">
        <w:rPr>
          <w:rFonts w:ascii="Century Gothic" w:eastAsia="Century Gothic" w:hAnsi="Century Gothic" w:cs="Century Gothic"/>
          <w:sz w:val="20"/>
          <w:szCs w:val="20"/>
        </w:rPr>
        <w:t xml:space="preserve"> modal shift away from cars to alternative modes of transport</w:t>
      </w:r>
    </w:p>
    <w:p w14:paraId="0E65F02F" w14:textId="28F854DD" w:rsidR="000F239F" w:rsidRPr="00576C1B" w:rsidRDefault="37FCFDA7" w:rsidP="00576C1B">
      <w:pPr>
        <w:pStyle w:val="ListParagraph"/>
        <w:numPr>
          <w:ilvl w:val="1"/>
          <w:numId w:val="2"/>
        </w:numPr>
        <w:rPr>
          <w:rFonts w:ascii="Century Gothic" w:eastAsia="Century Gothic" w:hAnsi="Century Gothic" w:cs="Century Gothic"/>
          <w:sz w:val="20"/>
          <w:szCs w:val="20"/>
        </w:rPr>
      </w:pPr>
      <w:r w:rsidRPr="24F8B6BE">
        <w:rPr>
          <w:rFonts w:ascii="Century Gothic" w:eastAsia="Century Gothic" w:hAnsi="Century Gothic" w:cs="Century Gothic"/>
          <w:sz w:val="20"/>
          <w:szCs w:val="20"/>
        </w:rPr>
        <w:t xml:space="preserve">considers sustainable urban drainage, </w:t>
      </w:r>
      <w:r w:rsidR="008775CF">
        <w:rPr>
          <w:rFonts w:ascii="Century Gothic" w:eastAsia="Century Gothic" w:hAnsi="Century Gothic" w:cs="Century Gothic"/>
          <w:sz w:val="20"/>
          <w:szCs w:val="20"/>
        </w:rPr>
        <w:t>blue-</w:t>
      </w:r>
      <w:r w:rsidRPr="24F8B6BE">
        <w:rPr>
          <w:rFonts w:ascii="Century Gothic" w:eastAsia="Century Gothic" w:hAnsi="Century Gothic" w:cs="Century Gothic"/>
          <w:sz w:val="20"/>
          <w:szCs w:val="20"/>
        </w:rPr>
        <w:t>green</w:t>
      </w:r>
      <w:r w:rsidR="008775CF">
        <w:rPr>
          <w:rFonts w:ascii="Century Gothic" w:eastAsia="Century Gothic" w:hAnsi="Century Gothic" w:cs="Century Gothic"/>
          <w:sz w:val="20"/>
          <w:szCs w:val="20"/>
        </w:rPr>
        <w:t xml:space="preserve"> </w:t>
      </w:r>
      <w:r w:rsidRPr="24F8B6BE">
        <w:rPr>
          <w:rFonts w:ascii="Century Gothic" w:eastAsia="Century Gothic" w:hAnsi="Century Gothic" w:cs="Century Gothic"/>
          <w:sz w:val="20"/>
          <w:szCs w:val="20"/>
        </w:rPr>
        <w:t xml:space="preserve">infrastructure and </w:t>
      </w:r>
      <w:r w:rsidR="0095067B">
        <w:rPr>
          <w:rFonts w:ascii="Century Gothic" w:eastAsia="Century Gothic" w:hAnsi="Century Gothic" w:cs="Century Gothic"/>
          <w:sz w:val="20"/>
          <w:szCs w:val="20"/>
        </w:rPr>
        <w:t xml:space="preserve">urban design which minimises </w:t>
      </w:r>
      <w:r w:rsidRPr="24F8B6BE">
        <w:rPr>
          <w:rFonts w:ascii="Century Gothic" w:eastAsia="Century Gothic" w:hAnsi="Century Gothic" w:cs="Century Gothic"/>
          <w:sz w:val="20"/>
          <w:szCs w:val="20"/>
        </w:rPr>
        <w:t>overheating</w:t>
      </w:r>
      <w:r w:rsidR="0095067B">
        <w:rPr>
          <w:rFonts w:ascii="Century Gothic" w:eastAsia="Century Gothic" w:hAnsi="Century Gothic" w:cs="Century Gothic"/>
          <w:sz w:val="20"/>
          <w:szCs w:val="20"/>
        </w:rPr>
        <w:t xml:space="preserve"> and flood risks</w:t>
      </w:r>
    </w:p>
    <w:p w14:paraId="7F92E9CB" w14:textId="22FB652A" w:rsidR="00BC440F" w:rsidRPr="00BC440F" w:rsidRDefault="000F239F" w:rsidP="00BC440F">
      <w:pPr>
        <w:ind w:left="1080"/>
        <w:rPr>
          <w:rFonts w:ascii="Century Gothic" w:eastAsia="Century Gothic" w:hAnsi="Century Gothic" w:cs="Century Gothic"/>
          <w:sz w:val="20"/>
          <w:szCs w:val="20"/>
        </w:rPr>
      </w:pPr>
      <w:r>
        <w:rPr>
          <w:rFonts w:ascii="Century Gothic" w:eastAsia="Century Gothic" w:hAnsi="Century Gothic" w:cs="Century Gothic"/>
          <w:sz w:val="20"/>
          <w:szCs w:val="20"/>
        </w:rPr>
        <w:t>I</w:t>
      </w:r>
      <w:r w:rsidR="41ABCA5C" w:rsidRPr="24F8B6BE">
        <w:rPr>
          <w:rFonts w:ascii="Century Gothic" w:eastAsia="Century Gothic" w:hAnsi="Century Gothic" w:cs="Century Gothic"/>
          <w:sz w:val="20"/>
          <w:szCs w:val="20"/>
        </w:rPr>
        <w:t xml:space="preserve">n this work, we would like to focus on engaging with local authorities and planning stakeholders to understand how </w:t>
      </w:r>
      <w:r w:rsidR="590E19FA" w:rsidRPr="24F8B6BE">
        <w:rPr>
          <w:rFonts w:ascii="Century Gothic" w:eastAsia="Century Gothic" w:hAnsi="Century Gothic" w:cs="Century Gothic"/>
          <w:sz w:val="20"/>
          <w:szCs w:val="20"/>
        </w:rPr>
        <w:t>polic</w:t>
      </w:r>
      <w:r w:rsidR="65DB46C2" w:rsidRPr="24F8B6BE">
        <w:rPr>
          <w:rFonts w:ascii="Century Gothic" w:eastAsia="Century Gothic" w:hAnsi="Century Gothic" w:cs="Century Gothic"/>
          <w:sz w:val="20"/>
          <w:szCs w:val="20"/>
        </w:rPr>
        <w:t>y design and different enabling factors can unlock ambition</w:t>
      </w:r>
      <w:r w:rsidR="5657E45D" w:rsidRPr="24F8B6BE">
        <w:rPr>
          <w:rFonts w:ascii="Century Gothic" w:eastAsia="Century Gothic" w:hAnsi="Century Gothic" w:cs="Century Gothic"/>
          <w:sz w:val="20"/>
          <w:szCs w:val="20"/>
        </w:rPr>
        <w:t xml:space="preserve"> at the local authority level.</w:t>
      </w:r>
      <w:r w:rsidR="41ABCA5C" w:rsidRPr="24F8B6BE">
        <w:rPr>
          <w:rFonts w:ascii="Century Gothic" w:eastAsia="Century Gothic" w:hAnsi="Century Gothic" w:cs="Century Gothic"/>
          <w:sz w:val="20"/>
          <w:szCs w:val="20"/>
        </w:rPr>
        <w:t xml:space="preserve"> </w:t>
      </w:r>
      <w:r w:rsidR="58B566C4" w:rsidRPr="24F8B6BE">
        <w:rPr>
          <w:rFonts w:ascii="Century Gothic" w:eastAsia="Century Gothic" w:hAnsi="Century Gothic" w:cs="Century Gothic"/>
          <w:sz w:val="20"/>
          <w:szCs w:val="20"/>
        </w:rPr>
        <w:t xml:space="preserve">We suggest that the </w:t>
      </w:r>
      <w:r w:rsidR="27B425B3" w:rsidRPr="24F8B6BE">
        <w:rPr>
          <w:rFonts w:ascii="Century Gothic" w:eastAsia="Century Gothic" w:hAnsi="Century Gothic" w:cs="Century Gothic"/>
          <w:sz w:val="20"/>
          <w:szCs w:val="20"/>
        </w:rPr>
        <w:t>project will involve stakeholder engagement via workshops,</w:t>
      </w:r>
      <w:r w:rsidR="096D7B8F" w:rsidRPr="24F8B6BE">
        <w:rPr>
          <w:rFonts w:ascii="Century Gothic" w:eastAsia="Century Gothic" w:hAnsi="Century Gothic" w:cs="Century Gothic"/>
          <w:sz w:val="20"/>
          <w:szCs w:val="20"/>
        </w:rPr>
        <w:t xml:space="preserve"> focus-groups,</w:t>
      </w:r>
      <w:r w:rsidR="27B425B3" w:rsidRPr="24F8B6BE">
        <w:rPr>
          <w:rFonts w:ascii="Century Gothic" w:eastAsia="Century Gothic" w:hAnsi="Century Gothic" w:cs="Century Gothic"/>
          <w:sz w:val="20"/>
          <w:szCs w:val="20"/>
        </w:rPr>
        <w:t xml:space="preserve"> interviews</w:t>
      </w:r>
      <w:r w:rsidR="0076047B">
        <w:rPr>
          <w:rFonts w:ascii="Century Gothic" w:eastAsia="Century Gothic" w:hAnsi="Century Gothic" w:cs="Century Gothic"/>
          <w:sz w:val="20"/>
          <w:szCs w:val="20"/>
        </w:rPr>
        <w:t>,</w:t>
      </w:r>
      <w:r w:rsidR="27B425B3" w:rsidRPr="24F8B6BE">
        <w:rPr>
          <w:rFonts w:ascii="Century Gothic" w:eastAsia="Century Gothic" w:hAnsi="Century Gothic" w:cs="Century Gothic"/>
          <w:sz w:val="20"/>
          <w:szCs w:val="20"/>
        </w:rPr>
        <w:t xml:space="preserve"> and surveys.</w:t>
      </w:r>
    </w:p>
    <w:p w14:paraId="778C593C" w14:textId="76C5489F" w:rsidR="24F8B6BE" w:rsidRDefault="24F8B6BE" w:rsidP="24F8B6BE">
      <w:pPr>
        <w:ind w:left="1080"/>
        <w:rPr>
          <w:rFonts w:ascii="Century Gothic" w:eastAsia="Century Gothic" w:hAnsi="Century Gothic" w:cs="Century Gothic"/>
          <w:sz w:val="20"/>
          <w:szCs w:val="20"/>
        </w:rPr>
      </w:pPr>
    </w:p>
    <w:p w14:paraId="42201FC9" w14:textId="77777777" w:rsidR="00BC440F" w:rsidRPr="00BC440F" w:rsidRDefault="27B425B3" w:rsidP="00BC440F">
      <w:pPr>
        <w:ind w:left="1080"/>
        <w:rPr>
          <w:rFonts w:ascii="Century Gothic" w:eastAsia="Century Gothic" w:hAnsi="Century Gothic" w:cs="Century Gothic"/>
          <w:sz w:val="20"/>
          <w:szCs w:val="20"/>
        </w:rPr>
      </w:pPr>
      <w:r w:rsidRPr="24F8B6BE">
        <w:rPr>
          <w:rFonts w:ascii="Century Gothic" w:eastAsia="Century Gothic" w:hAnsi="Century Gothic" w:cs="Century Gothic"/>
          <w:sz w:val="20"/>
          <w:szCs w:val="20"/>
        </w:rPr>
        <w:t xml:space="preserve">The key tasks in this project will </w:t>
      </w:r>
      <w:proofErr w:type="gramStart"/>
      <w:r w:rsidRPr="24F8B6BE">
        <w:rPr>
          <w:rFonts w:ascii="Century Gothic" w:eastAsia="Century Gothic" w:hAnsi="Century Gothic" w:cs="Century Gothic"/>
          <w:sz w:val="20"/>
          <w:szCs w:val="20"/>
        </w:rPr>
        <w:t>be;</w:t>
      </w:r>
      <w:proofErr w:type="gramEnd"/>
    </w:p>
    <w:p w14:paraId="1BF2C327" w14:textId="3E3F7D22" w:rsidR="24F8B6BE" w:rsidRDefault="24F8B6BE" w:rsidP="24F8B6BE">
      <w:pPr>
        <w:ind w:left="1080"/>
        <w:rPr>
          <w:rFonts w:ascii="Century Gothic" w:eastAsia="Century Gothic" w:hAnsi="Century Gothic" w:cs="Century Gothic"/>
          <w:sz w:val="20"/>
          <w:szCs w:val="20"/>
        </w:rPr>
      </w:pPr>
    </w:p>
    <w:p w14:paraId="1B6C0178" w14:textId="77079D49" w:rsidR="00BC440F" w:rsidRDefault="27B425B3" w:rsidP="00D278DE">
      <w:pPr>
        <w:pStyle w:val="ListParagraph"/>
        <w:numPr>
          <w:ilvl w:val="0"/>
          <w:numId w:val="14"/>
        </w:numPr>
        <w:rPr>
          <w:rFonts w:ascii="Century Gothic" w:eastAsia="Century Gothic" w:hAnsi="Century Gothic" w:cs="Century Gothic"/>
          <w:sz w:val="20"/>
          <w:szCs w:val="20"/>
        </w:rPr>
      </w:pPr>
      <w:r w:rsidRPr="20FFE40B">
        <w:rPr>
          <w:rFonts w:ascii="Century Gothic" w:eastAsia="Century Gothic" w:hAnsi="Century Gothic" w:cs="Century Gothic"/>
          <w:sz w:val="20"/>
          <w:szCs w:val="20"/>
        </w:rPr>
        <w:t xml:space="preserve">Identification of the barriers to </w:t>
      </w:r>
      <w:r w:rsidR="006D35DA">
        <w:rPr>
          <w:rFonts w:ascii="Century Gothic" w:eastAsia="Century Gothic" w:hAnsi="Century Gothic" w:cs="Century Gothic"/>
          <w:sz w:val="20"/>
          <w:szCs w:val="20"/>
        </w:rPr>
        <w:t>resilient</w:t>
      </w:r>
      <w:r w:rsidRPr="20FFE40B">
        <w:rPr>
          <w:rFonts w:ascii="Century Gothic" w:eastAsia="Century Gothic" w:hAnsi="Century Gothic" w:cs="Century Gothic"/>
          <w:sz w:val="20"/>
          <w:szCs w:val="20"/>
        </w:rPr>
        <w:t xml:space="preserve"> and Net Zero-aligned spatial planning for local authorities in Englan</w:t>
      </w:r>
      <w:r w:rsidR="006D35DA">
        <w:rPr>
          <w:rFonts w:ascii="Century Gothic" w:eastAsia="Century Gothic" w:hAnsi="Century Gothic" w:cs="Century Gothic"/>
          <w:sz w:val="20"/>
          <w:szCs w:val="20"/>
        </w:rPr>
        <w:t>d, and the opportunities for the planning system to better support these objectives</w:t>
      </w:r>
    </w:p>
    <w:p w14:paraId="0317D672" w14:textId="77777777" w:rsidR="00BC440F" w:rsidRPr="00BC440F" w:rsidRDefault="00BC440F" w:rsidP="00BC440F">
      <w:pPr>
        <w:pStyle w:val="ListParagraph"/>
        <w:ind w:left="1440"/>
        <w:rPr>
          <w:rFonts w:ascii="Century Gothic" w:eastAsia="Century Gothic" w:hAnsi="Century Gothic" w:cs="Century Gothic"/>
          <w:sz w:val="20"/>
          <w:szCs w:val="20"/>
        </w:rPr>
      </w:pPr>
    </w:p>
    <w:p w14:paraId="765D2CFA" w14:textId="10DB001C" w:rsidR="00BC440F" w:rsidRDefault="00BC440F" w:rsidP="00D278DE">
      <w:pPr>
        <w:pStyle w:val="ListParagraph"/>
        <w:numPr>
          <w:ilvl w:val="0"/>
          <w:numId w:val="14"/>
        </w:numPr>
        <w:rPr>
          <w:rFonts w:ascii="Century Gothic" w:eastAsia="Century Gothic" w:hAnsi="Century Gothic" w:cs="Century Gothic"/>
          <w:sz w:val="20"/>
          <w:szCs w:val="20"/>
        </w:rPr>
      </w:pPr>
      <w:r w:rsidRPr="00BC440F">
        <w:rPr>
          <w:rFonts w:ascii="Century Gothic" w:eastAsia="Century Gothic" w:hAnsi="Century Gothic" w:cs="Century Gothic"/>
          <w:sz w:val="20"/>
          <w:szCs w:val="20"/>
        </w:rPr>
        <w:t>Evaluation of the objectives in the NPPF and other policy levers for sustainable spatial planning</w:t>
      </w:r>
    </w:p>
    <w:p w14:paraId="3C9FE161" w14:textId="77777777" w:rsidR="00BC440F" w:rsidRPr="00BC440F" w:rsidRDefault="00BC440F" w:rsidP="00BC440F">
      <w:pPr>
        <w:pStyle w:val="ListParagraph"/>
        <w:ind w:left="1440"/>
        <w:rPr>
          <w:rFonts w:ascii="Century Gothic" w:eastAsia="Century Gothic" w:hAnsi="Century Gothic" w:cs="Century Gothic"/>
          <w:sz w:val="20"/>
          <w:szCs w:val="20"/>
        </w:rPr>
      </w:pPr>
    </w:p>
    <w:p w14:paraId="2ACE1E61" w14:textId="30BB7EFF" w:rsidR="00BC440F" w:rsidRPr="00BC440F" w:rsidRDefault="00BC440F" w:rsidP="00D278DE">
      <w:pPr>
        <w:pStyle w:val="ListParagraph"/>
        <w:numPr>
          <w:ilvl w:val="0"/>
          <w:numId w:val="14"/>
        </w:numPr>
        <w:rPr>
          <w:rFonts w:ascii="Century Gothic" w:eastAsia="Century Gothic" w:hAnsi="Century Gothic" w:cs="Century Gothic"/>
          <w:sz w:val="20"/>
          <w:szCs w:val="20"/>
        </w:rPr>
      </w:pPr>
      <w:r w:rsidRPr="00BC440F">
        <w:rPr>
          <w:rFonts w:ascii="Century Gothic" w:eastAsia="Century Gothic" w:hAnsi="Century Gothic" w:cs="Century Gothic"/>
          <w:sz w:val="20"/>
          <w:szCs w:val="20"/>
        </w:rPr>
        <w:t xml:space="preserve">Recommendations </w:t>
      </w:r>
      <w:r w:rsidR="0084618B">
        <w:rPr>
          <w:rFonts w:ascii="Century Gothic" w:eastAsia="Century Gothic" w:hAnsi="Century Gothic" w:cs="Century Gothic"/>
          <w:sz w:val="20"/>
          <w:szCs w:val="20"/>
        </w:rPr>
        <w:t xml:space="preserve">for central and local government </w:t>
      </w:r>
      <w:r w:rsidRPr="00BC440F">
        <w:rPr>
          <w:rFonts w:ascii="Century Gothic" w:eastAsia="Century Gothic" w:hAnsi="Century Gothic" w:cs="Century Gothic"/>
          <w:sz w:val="20"/>
          <w:szCs w:val="20"/>
        </w:rPr>
        <w:t xml:space="preserve">on enabling local authority actors to incorporate </w:t>
      </w:r>
      <w:r w:rsidR="004C0DDD">
        <w:rPr>
          <w:rFonts w:ascii="Century Gothic" w:eastAsia="Century Gothic" w:hAnsi="Century Gothic" w:cs="Century Gothic"/>
          <w:sz w:val="20"/>
          <w:szCs w:val="20"/>
        </w:rPr>
        <w:t xml:space="preserve">climate change </w:t>
      </w:r>
      <w:r w:rsidRPr="00BC440F">
        <w:rPr>
          <w:rFonts w:ascii="Century Gothic" w:eastAsia="Century Gothic" w:hAnsi="Century Gothic" w:cs="Century Gothic"/>
          <w:sz w:val="20"/>
          <w:szCs w:val="20"/>
        </w:rPr>
        <w:t>adaptation and mitigation in spatial planning</w:t>
      </w:r>
    </w:p>
    <w:p w14:paraId="4F89CDDA" w14:textId="56150E12" w:rsidR="00DF2F37" w:rsidRPr="00BC440F" w:rsidRDefault="00BC440F" w:rsidP="00DF2F37">
      <w:pPr>
        <w:ind w:left="1080"/>
        <w:rPr>
          <w:rFonts w:ascii="Century Gothic" w:eastAsia="Century Gothic" w:hAnsi="Century Gothic" w:cs="Century Gothic"/>
          <w:sz w:val="20"/>
          <w:szCs w:val="20"/>
        </w:rPr>
      </w:pPr>
      <w:r w:rsidRPr="00BC440F">
        <w:rPr>
          <w:rFonts w:ascii="Century Gothic" w:eastAsia="Century Gothic" w:hAnsi="Century Gothic" w:cs="Century Gothic"/>
          <w:sz w:val="20"/>
          <w:szCs w:val="20"/>
        </w:rPr>
        <w:t>Many of the barriers to sustainable planning are known. This work would have specific value in bringing these together to allow for a clear set of recommendations, which highlight tangible practical innovations</w:t>
      </w:r>
      <w:r w:rsidR="008775CF">
        <w:rPr>
          <w:rFonts w:ascii="Century Gothic" w:eastAsia="Century Gothic" w:hAnsi="Century Gothic" w:cs="Century Gothic"/>
          <w:sz w:val="20"/>
          <w:szCs w:val="20"/>
        </w:rPr>
        <w:t xml:space="preserve"> and levers within the planning system</w:t>
      </w:r>
      <w:r w:rsidRPr="00BC440F">
        <w:rPr>
          <w:rFonts w:ascii="Century Gothic" w:eastAsia="Century Gothic" w:hAnsi="Century Gothic" w:cs="Century Gothic"/>
          <w:sz w:val="20"/>
          <w:szCs w:val="20"/>
        </w:rPr>
        <w:t xml:space="preserve"> in the near-term.</w:t>
      </w:r>
    </w:p>
    <w:p w14:paraId="370ED5E7" w14:textId="77777777" w:rsidR="00DF2F37" w:rsidRDefault="003A05B7" w:rsidP="00D278DE">
      <w:pPr>
        <w:pStyle w:val="Heading1"/>
        <w:widowControl w:val="0"/>
        <w:numPr>
          <w:ilvl w:val="0"/>
          <w:numId w:val="5"/>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6" w:name="_Toc381969509"/>
      <w:bookmarkStart w:id="7" w:name="_Toc405888458"/>
      <w:r w:rsidRPr="4125DC50">
        <w:rPr>
          <w:rFonts w:asciiTheme="minorHAnsi" w:hAnsiTheme="minorHAnsi" w:cs="Arial"/>
          <w:color w:val="auto"/>
          <w:sz w:val="20"/>
          <w:szCs w:val="20"/>
        </w:rPr>
        <w:lastRenderedPageBreak/>
        <w:t>Methodology</w:t>
      </w:r>
      <w:bookmarkEnd w:id="6"/>
      <w:bookmarkEnd w:id="7"/>
    </w:p>
    <w:p w14:paraId="7F26D381" w14:textId="77777777" w:rsidR="00DF2F37" w:rsidRDefault="00DF2F37" w:rsidP="00DF2F37">
      <w:pPr>
        <w:ind w:left="1080"/>
        <w:rPr>
          <w:sz w:val="20"/>
          <w:szCs w:val="20"/>
        </w:rPr>
      </w:pPr>
    </w:p>
    <w:p w14:paraId="4381ABE8" w14:textId="235D35EB" w:rsidR="00DF2F37" w:rsidRDefault="00BC440F" w:rsidP="00DF2F37">
      <w:pPr>
        <w:ind w:left="1080"/>
        <w:rPr>
          <w:sz w:val="20"/>
          <w:szCs w:val="20"/>
        </w:rPr>
      </w:pPr>
      <w:r w:rsidRPr="00DF2F37">
        <w:rPr>
          <w:sz w:val="20"/>
          <w:szCs w:val="20"/>
        </w:rPr>
        <w:t>The value in this work would lie in speaking to a range of people involved in local planning across the country</w:t>
      </w:r>
      <w:r w:rsidR="0084618B">
        <w:rPr>
          <w:sz w:val="20"/>
          <w:szCs w:val="20"/>
        </w:rPr>
        <w:t xml:space="preserve"> </w:t>
      </w:r>
      <w:r w:rsidRPr="00DF2F37">
        <w:rPr>
          <w:sz w:val="20"/>
          <w:szCs w:val="20"/>
        </w:rPr>
        <w:t>and trying to draw overarching conclusions. This could be achieved through a (series of) workshop(s) or interviews with people involved with local planning and key local government contacts and a wider survey with more participants.</w:t>
      </w:r>
    </w:p>
    <w:p w14:paraId="5D3F272D" w14:textId="77777777" w:rsidR="00DF2F37" w:rsidRDefault="00DF2F37" w:rsidP="00DF2F37">
      <w:pPr>
        <w:ind w:left="1080"/>
        <w:rPr>
          <w:sz w:val="20"/>
          <w:szCs w:val="20"/>
        </w:rPr>
      </w:pPr>
    </w:p>
    <w:p w14:paraId="6DF80AED" w14:textId="2B9CBEB6" w:rsidR="00DF2F37" w:rsidRDefault="64826EEE" w:rsidP="00DF2F37">
      <w:pPr>
        <w:ind w:left="1080"/>
        <w:rPr>
          <w:rFonts w:ascii="Century Gothic" w:hAnsi="Century Gothic"/>
          <w:i/>
          <w:iCs/>
          <w:sz w:val="20"/>
          <w:szCs w:val="20"/>
        </w:rPr>
      </w:pPr>
      <w:r w:rsidRPr="4125DC50">
        <w:rPr>
          <w:rFonts w:ascii="Century Gothic" w:eastAsia="Century Gothic" w:hAnsi="Century Gothic" w:cs="Century Gothic"/>
          <w:i/>
          <w:iCs/>
          <w:sz w:val="20"/>
          <w:szCs w:val="20"/>
        </w:rPr>
        <w:t xml:space="preserve">Task 1: </w:t>
      </w:r>
      <w:r w:rsidR="00BC440F">
        <w:rPr>
          <w:rFonts w:ascii="Century Gothic" w:hAnsi="Century Gothic"/>
          <w:i/>
          <w:iCs/>
          <w:sz w:val="20"/>
          <w:szCs w:val="20"/>
        </w:rPr>
        <w:t>Identification of the barriers and enablers to climate-</w:t>
      </w:r>
      <w:r w:rsidR="0084618B">
        <w:rPr>
          <w:rFonts w:ascii="Century Gothic" w:hAnsi="Century Gothic"/>
          <w:i/>
          <w:iCs/>
          <w:sz w:val="20"/>
          <w:szCs w:val="20"/>
        </w:rPr>
        <w:t>resilient</w:t>
      </w:r>
      <w:r w:rsidR="00BC440F">
        <w:rPr>
          <w:rFonts w:ascii="Century Gothic" w:hAnsi="Century Gothic"/>
          <w:i/>
          <w:iCs/>
          <w:sz w:val="20"/>
          <w:szCs w:val="20"/>
        </w:rPr>
        <w:t xml:space="preserve"> and Net Zero-aligned spatial planning at local authority level</w:t>
      </w:r>
      <w:r w:rsidR="008775CF">
        <w:rPr>
          <w:rFonts w:ascii="Century Gothic" w:hAnsi="Century Gothic"/>
          <w:i/>
          <w:iCs/>
          <w:sz w:val="20"/>
          <w:szCs w:val="20"/>
        </w:rPr>
        <w:t>, and the opportunities for the planning system to better support these objectives</w:t>
      </w:r>
    </w:p>
    <w:p w14:paraId="7797A817" w14:textId="77777777" w:rsidR="008775CF" w:rsidRDefault="008775CF" w:rsidP="00DF2F37">
      <w:pPr>
        <w:ind w:left="1080"/>
        <w:rPr>
          <w:sz w:val="20"/>
          <w:szCs w:val="20"/>
        </w:rPr>
      </w:pPr>
    </w:p>
    <w:p w14:paraId="296F7A9A" w14:textId="7F447A1C" w:rsidR="00AF3B7E" w:rsidRPr="00AF3B7E" w:rsidRDefault="00E93D37" w:rsidP="00D278DE">
      <w:pPr>
        <w:pStyle w:val="ListParagraph"/>
        <w:numPr>
          <w:ilvl w:val="0"/>
          <w:numId w:val="15"/>
        </w:numPr>
        <w:rPr>
          <w:rFonts w:asciiTheme="minorHAnsi" w:hAnsiTheme="minorHAnsi"/>
          <w:sz w:val="20"/>
          <w:szCs w:val="20"/>
        </w:rPr>
      </w:pPr>
      <w:r w:rsidRPr="00DF2F37">
        <w:rPr>
          <w:rFonts w:ascii="Century Gothic" w:hAnsi="Century Gothic"/>
          <w:sz w:val="20"/>
          <w:szCs w:val="20"/>
        </w:rPr>
        <w:t>This analysis should investigate the barriers which restrict planning authorities’ ability to embed more ambitious sustainability requirements within local development</w:t>
      </w:r>
      <w:r w:rsidR="00DF2F37" w:rsidRPr="00DF2F37">
        <w:rPr>
          <w:rFonts w:ascii="Century Gothic" w:hAnsi="Century Gothic"/>
          <w:sz w:val="20"/>
          <w:szCs w:val="20"/>
        </w:rPr>
        <w:t>s</w:t>
      </w:r>
      <w:r w:rsidR="002C2435">
        <w:rPr>
          <w:rFonts w:ascii="Century Gothic" w:hAnsi="Century Gothic"/>
          <w:sz w:val="20"/>
          <w:szCs w:val="20"/>
        </w:rPr>
        <w:t xml:space="preserve"> and planned settlements. Planning consent for large-scale infrastructure and individual buildings is out of the scope of this project. </w:t>
      </w:r>
    </w:p>
    <w:p w14:paraId="7C9ABC69" w14:textId="231B17AE" w:rsidR="00DF2F37" w:rsidRPr="00087494" w:rsidRDefault="00E93D37" w:rsidP="00D278DE">
      <w:pPr>
        <w:pStyle w:val="ListParagraph"/>
        <w:numPr>
          <w:ilvl w:val="0"/>
          <w:numId w:val="15"/>
        </w:numPr>
        <w:rPr>
          <w:rFonts w:asciiTheme="minorHAnsi" w:hAnsiTheme="minorHAnsi"/>
          <w:sz w:val="20"/>
          <w:szCs w:val="20"/>
        </w:rPr>
      </w:pPr>
      <w:r w:rsidRPr="00DF2F37">
        <w:rPr>
          <w:rFonts w:ascii="Century Gothic" w:hAnsi="Century Gothic"/>
          <w:sz w:val="20"/>
          <w:szCs w:val="20"/>
        </w:rPr>
        <w:t>Analysis should investigate both the structural barriers (</w:t>
      </w:r>
      <w:proofErr w:type="gramStart"/>
      <w:r w:rsidRPr="00DF2F37">
        <w:rPr>
          <w:rFonts w:ascii="Century Gothic" w:hAnsi="Century Gothic"/>
          <w:sz w:val="20"/>
          <w:szCs w:val="20"/>
        </w:rPr>
        <w:t>e.g.</w:t>
      </w:r>
      <w:proofErr w:type="gramEnd"/>
      <w:r w:rsidRPr="00DF2F37">
        <w:rPr>
          <w:rFonts w:ascii="Century Gothic" w:hAnsi="Century Gothic"/>
          <w:sz w:val="20"/>
          <w:szCs w:val="20"/>
        </w:rPr>
        <w:t xml:space="preserve"> the clarity of requirements within the NPPF and the balance between competing objectives) and the practical barriers (e.g. whether authorities have the skills and capacity to properly embed sustainability within local plans).</w:t>
      </w:r>
    </w:p>
    <w:p w14:paraId="326A8884" w14:textId="4AE5A8D8" w:rsidR="00087494" w:rsidRPr="00DF2F37" w:rsidRDefault="00D83B0C" w:rsidP="00D278DE">
      <w:pPr>
        <w:pStyle w:val="ListParagraph"/>
        <w:numPr>
          <w:ilvl w:val="0"/>
          <w:numId w:val="15"/>
        </w:numPr>
        <w:rPr>
          <w:rFonts w:asciiTheme="minorHAnsi" w:hAnsiTheme="minorHAnsi"/>
          <w:sz w:val="20"/>
          <w:szCs w:val="20"/>
        </w:rPr>
      </w:pPr>
      <w:r>
        <w:rPr>
          <w:rFonts w:ascii="Century Gothic" w:hAnsi="Century Gothic"/>
          <w:sz w:val="20"/>
          <w:szCs w:val="20"/>
        </w:rPr>
        <w:t>The opportunities for the planning system to be a useful lever in overcoming barriers and addressing issues should be subsequently addressed.</w:t>
      </w:r>
    </w:p>
    <w:p w14:paraId="64DAB22B" w14:textId="30A79CD0" w:rsidR="002C762A" w:rsidRDefault="27B425B3" w:rsidP="00D278DE">
      <w:pPr>
        <w:pStyle w:val="ListParagraph"/>
        <w:numPr>
          <w:ilvl w:val="0"/>
          <w:numId w:val="15"/>
        </w:numPr>
        <w:rPr>
          <w:rFonts w:ascii="Century Gothic" w:eastAsia="Century Gothic" w:hAnsi="Century Gothic" w:cs="Century Gothic"/>
          <w:sz w:val="20"/>
          <w:szCs w:val="20"/>
        </w:rPr>
      </w:pPr>
      <w:r w:rsidRPr="24F8B6BE">
        <w:rPr>
          <w:rFonts w:ascii="Century Gothic" w:eastAsia="Century Gothic" w:hAnsi="Century Gothic" w:cs="Century Gothic"/>
          <w:sz w:val="20"/>
          <w:szCs w:val="20"/>
        </w:rPr>
        <w:t>This task should consider a variety of types of local area</w:t>
      </w:r>
      <w:r w:rsidR="00087494">
        <w:rPr>
          <w:rFonts w:ascii="Century Gothic" w:eastAsia="Century Gothic" w:hAnsi="Century Gothic" w:cs="Century Gothic"/>
          <w:sz w:val="20"/>
          <w:szCs w:val="20"/>
        </w:rPr>
        <w:t xml:space="preserve"> or </w:t>
      </w:r>
      <w:r w:rsidRPr="24F8B6BE">
        <w:rPr>
          <w:rFonts w:ascii="Century Gothic" w:eastAsia="Century Gothic" w:hAnsi="Century Gothic" w:cs="Century Gothic"/>
          <w:sz w:val="20"/>
          <w:szCs w:val="20"/>
        </w:rPr>
        <w:t>authority across England</w:t>
      </w:r>
      <w:r w:rsidR="0083492C">
        <w:rPr>
          <w:rFonts w:ascii="Century Gothic" w:eastAsia="Century Gothic" w:hAnsi="Century Gothic" w:cs="Century Gothic"/>
          <w:sz w:val="20"/>
          <w:szCs w:val="20"/>
        </w:rPr>
        <w:t>, although c</w:t>
      </w:r>
      <w:r w:rsidR="002C762A">
        <w:rPr>
          <w:rFonts w:ascii="Century Gothic" w:eastAsia="Century Gothic" w:hAnsi="Century Gothic" w:cs="Century Gothic"/>
          <w:sz w:val="20"/>
          <w:szCs w:val="20"/>
        </w:rPr>
        <w:t xml:space="preserve">omparison with </w:t>
      </w:r>
      <w:r w:rsidR="0084618B">
        <w:rPr>
          <w:rFonts w:ascii="Century Gothic" w:eastAsia="Century Gothic" w:hAnsi="Century Gothic" w:cs="Century Gothic"/>
          <w:sz w:val="20"/>
          <w:szCs w:val="20"/>
        </w:rPr>
        <w:t>experiences of the</w:t>
      </w:r>
      <w:r w:rsidR="002C762A">
        <w:rPr>
          <w:rFonts w:ascii="Century Gothic" w:eastAsia="Century Gothic" w:hAnsi="Century Gothic" w:cs="Century Gothic"/>
          <w:sz w:val="20"/>
          <w:szCs w:val="20"/>
        </w:rPr>
        <w:t xml:space="preserve"> planning system</w:t>
      </w:r>
      <w:r w:rsidR="008E4BB5">
        <w:rPr>
          <w:rFonts w:ascii="Century Gothic" w:eastAsia="Century Gothic" w:hAnsi="Century Gothic" w:cs="Century Gothic"/>
          <w:sz w:val="20"/>
          <w:szCs w:val="20"/>
        </w:rPr>
        <w:t>s</w:t>
      </w:r>
      <w:r w:rsidR="002C762A">
        <w:rPr>
          <w:rFonts w:ascii="Century Gothic" w:eastAsia="Century Gothic" w:hAnsi="Century Gothic" w:cs="Century Gothic"/>
          <w:sz w:val="20"/>
          <w:szCs w:val="20"/>
        </w:rPr>
        <w:t xml:space="preserve"> and policies in the Devolved Administrations</w:t>
      </w:r>
      <w:r w:rsidR="0083492C">
        <w:rPr>
          <w:rFonts w:ascii="Century Gothic" w:eastAsia="Century Gothic" w:hAnsi="Century Gothic" w:cs="Century Gothic"/>
          <w:sz w:val="20"/>
          <w:szCs w:val="20"/>
        </w:rPr>
        <w:t xml:space="preserve"> (DAs)</w:t>
      </w:r>
      <w:r w:rsidR="002C762A">
        <w:rPr>
          <w:rFonts w:ascii="Century Gothic" w:eastAsia="Century Gothic" w:hAnsi="Century Gothic" w:cs="Century Gothic"/>
          <w:sz w:val="20"/>
          <w:szCs w:val="20"/>
        </w:rPr>
        <w:t xml:space="preserve"> (</w:t>
      </w:r>
      <w:proofErr w:type="gramStart"/>
      <w:r w:rsidR="002C762A">
        <w:rPr>
          <w:rFonts w:ascii="Century Gothic" w:eastAsia="Century Gothic" w:hAnsi="Century Gothic" w:cs="Century Gothic"/>
          <w:sz w:val="20"/>
          <w:szCs w:val="20"/>
        </w:rPr>
        <w:t>e.g.</w:t>
      </w:r>
      <w:proofErr w:type="gramEnd"/>
      <w:r w:rsidR="002C762A">
        <w:rPr>
          <w:rFonts w:ascii="Century Gothic" w:eastAsia="Century Gothic" w:hAnsi="Century Gothic" w:cs="Century Gothic"/>
          <w:sz w:val="20"/>
          <w:szCs w:val="20"/>
        </w:rPr>
        <w:t xml:space="preserve"> Scotland’s fourth National Planning Framework) may </w:t>
      </w:r>
      <w:r w:rsidR="0083492C">
        <w:rPr>
          <w:rFonts w:ascii="Century Gothic" w:eastAsia="Century Gothic" w:hAnsi="Century Gothic" w:cs="Century Gothic"/>
          <w:sz w:val="20"/>
          <w:szCs w:val="20"/>
        </w:rPr>
        <w:t>also be</w:t>
      </w:r>
      <w:r w:rsidR="002C762A">
        <w:rPr>
          <w:rFonts w:ascii="Century Gothic" w:eastAsia="Century Gothic" w:hAnsi="Century Gothic" w:cs="Century Gothic"/>
          <w:sz w:val="20"/>
          <w:szCs w:val="20"/>
        </w:rPr>
        <w:t xml:space="preserve"> useful. </w:t>
      </w:r>
      <w:r w:rsidRPr="24F8B6BE">
        <w:rPr>
          <w:rFonts w:ascii="Century Gothic" w:eastAsia="Century Gothic" w:hAnsi="Century Gothic" w:cs="Century Gothic"/>
          <w:sz w:val="20"/>
          <w:szCs w:val="20"/>
        </w:rPr>
        <w:t xml:space="preserve"> </w:t>
      </w:r>
    </w:p>
    <w:p w14:paraId="1853A77B" w14:textId="617F1F25" w:rsidR="00DF2F37" w:rsidRDefault="27B425B3" w:rsidP="00D278DE">
      <w:pPr>
        <w:pStyle w:val="ListParagraph"/>
        <w:numPr>
          <w:ilvl w:val="0"/>
          <w:numId w:val="15"/>
        </w:numPr>
        <w:rPr>
          <w:rFonts w:ascii="Century Gothic" w:eastAsia="Century Gothic" w:hAnsi="Century Gothic" w:cs="Century Gothic"/>
          <w:sz w:val="20"/>
          <w:szCs w:val="20"/>
        </w:rPr>
      </w:pPr>
      <w:r w:rsidRPr="24F8B6BE">
        <w:rPr>
          <w:rFonts w:ascii="Century Gothic" w:eastAsia="Century Gothic" w:hAnsi="Century Gothic" w:cs="Century Gothic"/>
          <w:sz w:val="20"/>
          <w:szCs w:val="20"/>
        </w:rPr>
        <w:t xml:space="preserve">Participants from different regions and a diverse set of individuals </w:t>
      </w:r>
      <w:r w:rsidR="6629450A" w:rsidRPr="24F8B6BE">
        <w:rPr>
          <w:rFonts w:ascii="Century Gothic" w:eastAsia="Century Gothic" w:hAnsi="Century Gothic" w:cs="Century Gothic"/>
          <w:sz w:val="20"/>
          <w:szCs w:val="20"/>
        </w:rPr>
        <w:t xml:space="preserve">should be </w:t>
      </w:r>
      <w:r w:rsidRPr="24F8B6BE">
        <w:rPr>
          <w:rFonts w:ascii="Century Gothic" w:eastAsia="Century Gothic" w:hAnsi="Century Gothic" w:cs="Century Gothic"/>
          <w:sz w:val="20"/>
          <w:szCs w:val="20"/>
        </w:rPr>
        <w:t>included.</w:t>
      </w:r>
      <w:r w:rsidR="0058136B">
        <w:rPr>
          <w:rFonts w:ascii="Century Gothic" w:eastAsia="Century Gothic" w:hAnsi="Century Gothic" w:cs="Century Gothic"/>
          <w:sz w:val="20"/>
          <w:szCs w:val="20"/>
        </w:rPr>
        <w:t xml:space="preserve"> Distributional factors such as resource</w:t>
      </w:r>
      <w:r w:rsidR="00232F7C">
        <w:rPr>
          <w:rFonts w:ascii="Century Gothic" w:eastAsia="Century Gothic" w:hAnsi="Century Gothic" w:cs="Century Gothic"/>
          <w:sz w:val="20"/>
          <w:szCs w:val="20"/>
        </w:rPr>
        <w:t xml:space="preserve"> and community vulnerability may also be considered.</w:t>
      </w:r>
    </w:p>
    <w:p w14:paraId="50340944" w14:textId="332D043C" w:rsidR="00570F0D" w:rsidRPr="00DF2F37" w:rsidRDefault="00570F0D" w:rsidP="00D278DE">
      <w:pPr>
        <w:pStyle w:val="ListParagraph"/>
        <w:numPr>
          <w:ilvl w:val="0"/>
          <w:numId w:val="15"/>
        </w:numPr>
        <w:rPr>
          <w:rFonts w:ascii="Century Gothic" w:eastAsia="Century Gothic" w:hAnsi="Century Gothic" w:cs="Century Gothic"/>
          <w:sz w:val="20"/>
          <w:szCs w:val="20"/>
        </w:rPr>
      </w:pPr>
      <w:r>
        <w:rPr>
          <w:rFonts w:ascii="Century Gothic" w:eastAsia="Century Gothic" w:hAnsi="Century Gothic" w:cs="Century Gothic"/>
          <w:sz w:val="20"/>
          <w:szCs w:val="20"/>
        </w:rPr>
        <w:t>This task should consider barriers and opportunities which impact the location (and therefore future risk) of new developments, as well as their design and layout.</w:t>
      </w:r>
    </w:p>
    <w:p w14:paraId="557CF541" w14:textId="6F61B518" w:rsidR="18B58892" w:rsidRPr="00DE372F" w:rsidRDefault="27B425B3" w:rsidP="00D278DE">
      <w:pPr>
        <w:pStyle w:val="ListParagraph"/>
        <w:numPr>
          <w:ilvl w:val="0"/>
          <w:numId w:val="15"/>
        </w:numPr>
        <w:rPr>
          <w:rFonts w:ascii="Century Gothic" w:hAnsi="Century Gothic"/>
          <w:sz w:val="20"/>
          <w:szCs w:val="20"/>
        </w:rPr>
      </w:pPr>
      <w:r w:rsidRPr="00DE372F">
        <w:rPr>
          <w:rFonts w:ascii="Century Gothic" w:eastAsia="Century Gothic" w:hAnsi="Century Gothic" w:cs="Century Gothic"/>
          <w:sz w:val="20"/>
          <w:szCs w:val="20"/>
        </w:rPr>
        <w:t>A variety of types of mitigation measures should be considered</w:t>
      </w:r>
      <w:r w:rsidR="6B173242" w:rsidRPr="00DE372F">
        <w:rPr>
          <w:rFonts w:ascii="Century Gothic" w:eastAsia="Century Gothic" w:hAnsi="Century Gothic" w:cs="Century Gothic"/>
          <w:sz w:val="20"/>
          <w:szCs w:val="20"/>
        </w:rPr>
        <w:t xml:space="preserve"> in line with the </w:t>
      </w:r>
      <w:r w:rsidR="47F63B11" w:rsidRPr="00DE372F">
        <w:rPr>
          <w:rFonts w:ascii="Century Gothic" w:eastAsia="Century Gothic" w:hAnsi="Century Gothic" w:cs="Century Gothic"/>
          <w:sz w:val="20"/>
          <w:szCs w:val="20"/>
        </w:rPr>
        <w:t>ambition for low carbon solutions and</w:t>
      </w:r>
      <w:r w:rsidR="0084618B">
        <w:rPr>
          <w:rFonts w:ascii="Century Gothic" w:eastAsia="Century Gothic" w:hAnsi="Century Gothic" w:cs="Century Gothic"/>
          <w:sz w:val="20"/>
          <w:szCs w:val="20"/>
        </w:rPr>
        <w:t xml:space="preserve"> emission reduction targets –</w:t>
      </w:r>
      <w:r w:rsidR="6826C6B4" w:rsidRPr="00DE372F">
        <w:rPr>
          <w:rFonts w:ascii="Century Gothic" w:eastAsia="Century Gothic" w:hAnsi="Century Gothic" w:cs="Century Gothic"/>
          <w:sz w:val="20"/>
          <w:szCs w:val="20"/>
        </w:rPr>
        <w:t xml:space="preserve"> such as </w:t>
      </w:r>
      <w:r w:rsidR="00107920">
        <w:rPr>
          <w:rFonts w:ascii="Century Gothic" w:hAnsi="Century Gothic"/>
          <w:sz w:val="20"/>
          <w:szCs w:val="20"/>
        </w:rPr>
        <w:t>building efficiency</w:t>
      </w:r>
      <w:r w:rsidR="00DE372F">
        <w:rPr>
          <w:rFonts w:ascii="Century Gothic" w:hAnsi="Century Gothic"/>
          <w:sz w:val="20"/>
          <w:szCs w:val="20"/>
        </w:rPr>
        <w:t xml:space="preserve">, </w:t>
      </w:r>
      <w:r w:rsidR="0F21D70F" w:rsidRPr="00DE372F">
        <w:rPr>
          <w:rFonts w:ascii="Century Gothic" w:hAnsi="Century Gothic"/>
          <w:sz w:val="20"/>
          <w:szCs w:val="20"/>
        </w:rPr>
        <w:t>provision of active transport,</w:t>
      </w:r>
      <w:r w:rsidR="2AAF7FDF" w:rsidRPr="00DE372F">
        <w:rPr>
          <w:rFonts w:ascii="Century Gothic" w:hAnsi="Century Gothic"/>
          <w:sz w:val="20"/>
          <w:szCs w:val="20"/>
        </w:rPr>
        <w:t xml:space="preserve"> an integrated</w:t>
      </w:r>
      <w:r w:rsidR="03BB5C89" w:rsidRPr="00DE372F">
        <w:rPr>
          <w:rFonts w:ascii="Century Gothic" w:hAnsi="Century Gothic"/>
          <w:sz w:val="20"/>
          <w:szCs w:val="20"/>
        </w:rPr>
        <w:t xml:space="preserve"> public</w:t>
      </w:r>
      <w:r w:rsidR="2AAF7FDF" w:rsidRPr="00DE372F">
        <w:rPr>
          <w:rFonts w:ascii="Century Gothic" w:hAnsi="Century Gothic"/>
          <w:sz w:val="20"/>
          <w:szCs w:val="20"/>
        </w:rPr>
        <w:t xml:space="preserve"> transport network,</w:t>
      </w:r>
      <w:r w:rsidR="0F21D70F" w:rsidRPr="00DE372F">
        <w:rPr>
          <w:rFonts w:ascii="Century Gothic" w:hAnsi="Century Gothic"/>
          <w:sz w:val="20"/>
          <w:szCs w:val="20"/>
        </w:rPr>
        <w:t xml:space="preserve"> public EV charging infrastructure</w:t>
      </w:r>
      <w:r w:rsidR="2CAE1028" w:rsidRPr="00DE372F">
        <w:rPr>
          <w:rFonts w:ascii="Century Gothic" w:hAnsi="Century Gothic"/>
          <w:sz w:val="20"/>
          <w:szCs w:val="20"/>
        </w:rPr>
        <w:t xml:space="preserve"> and</w:t>
      </w:r>
      <w:r w:rsidR="0F21D70F" w:rsidRPr="00DE372F">
        <w:rPr>
          <w:rFonts w:ascii="Century Gothic" w:hAnsi="Century Gothic"/>
          <w:sz w:val="20"/>
          <w:szCs w:val="20"/>
        </w:rPr>
        <w:t xml:space="preserve"> energy efficient development</w:t>
      </w:r>
      <w:r w:rsidR="00DE372F">
        <w:rPr>
          <w:rFonts w:ascii="Century Gothic" w:hAnsi="Century Gothic"/>
          <w:sz w:val="20"/>
          <w:szCs w:val="20"/>
        </w:rPr>
        <w:t>.</w:t>
      </w:r>
    </w:p>
    <w:p w14:paraId="40DA4BA0" w14:textId="46265B9F" w:rsidR="18B58892" w:rsidRPr="00570F0D" w:rsidRDefault="014434B0" w:rsidP="00D278DE">
      <w:pPr>
        <w:pStyle w:val="ListParagraph"/>
        <w:numPr>
          <w:ilvl w:val="0"/>
          <w:numId w:val="15"/>
        </w:numPr>
      </w:pPr>
      <w:r w:rsidRPr="24F8B6BE">
        <w:rPr>
          <w:rFonts w:ascii="Century Gothic" w:eastAsia="Century Gothic" w:hAnsi="Century Gothic" w:cs="Century Gothic"/>
          <w:sz w:val="20"/>
          <w:szCs w:val="20"/>
        </w:rPr>
        <w:t>A variety of ambitious adaptation measures, corresponding to priority climate risks identified in</w:t>
      </w:r>
      <w:r w:rsidR="42059DB5" w:rsidRPr="24F8B6BE">
        <w:rPr>
          <w:rFonts w:ascii="Century Gothic" w:eastAsia="Century Gothic" w:hAnsi="Century Gothic" w:cs="Century Gothic"/>
          <w:sz w:val="20"/>
          <w:szCs w:val="20"/>
        </w:rPr>
        <w:t xml:space="preserve"> the 3</w:t>
      </w:r>
      <w:r w:rsidR="42059DB5" w:rsidRPr="24F8B6BE">
        <w:rPr>
          <w:rFonts w:ascii="Century Gothic" w:eastAsia="Century Gothic" w:hAnsi="Century Gothic" w:cs="Century Gothic"/>
          <w:sz w:val="20"/>
          <w:szCs w:val="20"/>
          <w:vertAlign w:val="superscript"/>
        </w:rPr>
        <w:t>rd</w:t>
      </w:r>
      <w:r w:rsidR="42059DB5" w:rsidRPr="24F8B6BE">
        <w:rPr>
          <w:rFonts w:ascii="Century Gothic" w:eastAsia="Century Gothic" w:hAnsi="Century Gothic" w:cs="Century Gothic"/>
          <w:sz w:val="20"/>
          <w:szCs w:val="20"/>
        </w:rPr>
        <w:t xml:space="preserve"> Climate Change Risk Assessment</w:t>
      </w:r>
      <w:r w:rsidRPr="24F8B6BE">
        <w:rPr>
          <w:rFonts w:ascii="Century Gothic" w:eastAsia="Century Gothic" w:hAnsi="Century Gothic" w:cs="Century Gothic"/>
          <w:sz w:val="20"/>
          <w:szCs w:val="20"/>
        </w:rPr>
        <w:t xml:space="preserve"> should also be considered</w:t>
      </w:r>
      <w:r w:rsidR="3618C5B9" w:rsidRPr="24F8B6BE">
        <w:rPr>
          <w:rFonts w:ascii="Century Gothic" w:eastAsia="Century Gothic" w:hAnsi="Century Gothic" w:cs="Century Gothic"/>
          <w:sz w:val="20"/>
          <w:szCs w:val="20"/>
        </w:rPr>
        <w:t>. This would</w:t>
      </w:r>
      <w:r w:rsidRPr="24F8B6BE">
        <w:rPr>
          <w:rFonts w:ascii="Century Gothic" w:eastAsia="Century Gothic" w:hAnsi="Century Gothic" w:cs="Century Gothic"/>
          <w:sz w:val="20"/>
          <w:szCs w:val="20"/>
        </w:rPr>
        <w:t xml:space="preserve"> </w:t>
      </w:r>
      <w:r w:rsidR="27B425B3" w:rsidRPr="24F8B6BE">
        <w:rPr>
          <w:rFonts w:ascii="Century Gothic" w:eastAsia="Century Gothic" w:hAnsi="Century Gothic" w:cs="Century Gothic"/>
          <w:sz w:val="20"/>
          <w:szCs w:val="20"/>
        </w:rPr>
        <w:t>includ</w:t>
      </w:r>
      <w:r w:rsidR="2877AED7" w:rsidRPr="24F8B6BE">
        <w:rPr>
          <w:rFonts w:ascii="Century Gothic" w:eastAsia="Century Gothic" w:hAnsi="Century Gothic" w:cs="Century Gothic"/>
          <w:sz w:val="20"/>
          <w:szCs w:val="20"/>
        </w:rPr>
        <w:t>e</w:t>
      </w:r>
      <w:r w:rsidR="27B425B3" w:rsidRPr="24F8B6BE">
        <w:rPr>
          <w:rFonts w:ascii="Century Gothic" w:eastAsia="Century Gothic" w:hAnsi="Century Gothic" w:cs="Century Gothic"/>
          <w:sz w:val="20"/>
          <w:szCs w:val="20"/>
        </w:rPr>
        <w:t xml:space="preserve"> a focus on adaptive planning for </w:t>
      </w:r>
      <w:r w:rsidR="0084618B">
        <w:rPr>
          <w:rFonts w:ascii="Century Gothic" w:eastAsia="Century Gothic" w:hAnsi="Century Gothic" w:cs="Century Gothic"/>
          <w:sz w:val="20"/>
          <w:szCs w:val="20"/>
        </w:rPr>
        <w:t xml:space="preserve">areas at possible </w:t>
      </w:r>
      <w:r w:rsidR="27B425B3" w:rsidRPr="24F8B6BE">
        <w:rPr>
          <w:rFonts w:ascii="Century Gothic" w:eastAsia="Century Gothic" w:hAnsi="Century Gothic" w:cs="Century Gothic"/>
          <w:sz w:val="20"/>
          <w:szCs w:val="20"/>
        </w:rPr>
        <w:t>overheating and flood risk</w:t>
      </w:r>
      <w:r w:rsidR="0084618B">
        <w:rPr>
          <w:rFonts w:ascii="Century Gothic" w:eastAsia="Century Gothic" w:hAnsi="Century Gothic" w:cs="Century Gothic"/>
          <w:sz w:val="20"/>
          <w:szCs w:val="20"/>
        </w:rPr>
        <w:t xml:space="preserve"> –</w:t>
      </w:r>
      <w:r w:rsidR="3E5C6D4C" w:rsidRPr="24F8B6BE">
        <w:rPr>
          <w:rFonts w:ascii="Century Gothic" w:eastAsia="Century Gothic" w:hAnsi="Century Gothic" w:cs="Century Gothic"/>
          <w:sz w:val="20"/>
          <w:szCs w:val="20"/>
        </w:rPr>
        <w:t xml:space="preserve"> such as integrating</w:t>
      </w:r>
      <w:r w:rsidR="27B425B3" w:rsidRPr="24F8B6BE">
        <w:rPr>
          <w:rFonts w:ascii="Century Gothic" w:eastAsia="Century Gothic" w:hAnsi="Century Gothic" w:cs="Century Gothic"/>
          <w:sz w:val="20"/>
          <w:szCs w:val="20"/>
        </w:rPr>
        <w:t xml:space="preserve"> blue-green infrastructure and</w:t>
      </w:r>
      <w:r w:rsidR="7D01527D" w:rsidRPr="24F8B6BE">
        <w:rPr>
          <w:rFonts w:ascii="Century Gothic" w:eastAsia="Century Gothic" w:hAnsi="Century Gothic" w:cs="Century Gothic"/>
          <w:sz w:val="20"/>
          <w:szCs w:val="20"/>
        </w:rPr>
        <w:t xml:space="preserve"> Sustainable Urban Drainage Systems</w:t>
      </w:r>
      <w:r w:rsidR="00757DA4">
        <w:rPr>
          <w:rFonts w:ascii="Century Gothic" w:eastAsia="Century Gothic" w:hAnsi="Century Gothic" w:cs="Century Gothic"/>
          <w:sz w:val="20"/>
          <w:szCs w:val="20"/>
        </w:rPr>
        <w:t xml:space="preserve"> (SuDS)</w:t>
      </w:r>
      <w:r w:rsidR="7D01527D" w:rsidRPr="24F8B6BE">
        <w:rPr>
          <w:rFonts w:ascii="Century Gothic" w:eastAsia="Century Gothic" w:hAnsi="Century Gothic" w:cs="Century Gothic"/>
          <w:sz w:val="20"/>
          <w:szCs w:val="20"/>
        </w:rPr>
        <w:t>.</w:t>
      </w:r>
    </w:p>
    <w:p w14:paraId="5346D8F5" w14:textId="7A29ED81" w:rsidR="00570F0D" w:rsidRPr="006D35DA" w:rsidRDefault="00757DA4" w:rsidP="00D278DE">
      <w:pPr>
        <w:pStyle w:val="ListParagraph"/>
        <w:numPr>
          <w:ilvl w:val="0"/>
          <w:numId w:val="15"/>
        </w:numPr>
      </w:pPr>
      <w:r>
        <w:rPr>
          <w:rFonts w:ascii="Century Gothic" w:eastAsia="Century Gothic" w:hAnsi="Century Gothic" w:cs="Century Gothic"/>
          <w:sz w:val="20"/>
          <w:szCs w:val="20"/>
        </w:rPr>
        <w:t>This</w:t>
      </w:r>
      <w:r w:rsidR="00570F0D">
        <w:rPr>
          <w:rFonts w:ascii="Century Gothic" w:eastAsia="Century Gothic" w:hAnsi="Century Gothic" w:cs="Century Gothic"/>
          <w:sz w:val="20"/>
          <w:szCs w:val="20"/>
        </w:rPr>
        <w:t xml:space="preserve"> task may also consider how the identified barriers and opportunities </w:t>
      </w:r>
      <w:r>
        <w:rPr>
          <w:rFonts w:ascii="Century Gothic" w:eastAsia="Century Gothic" w:hAnsi="Century Gothic" w:cs="Century Gothic"/>
          <w:sz w:val="20"/>
          <w:szCs w:val="20"/>
        </w:rPr>
        <w:t>within the planning system relate to</w:t>
      </w:r>
      <w:r w:rsidR="00570F0D">
        <w:rPr>
          <w:rFonts w:ascii="Century Gothic" w:eastAsia="Century Gothic" w:hAnsi="Century Gothic" w:cs="Century Gothic"/>
          <w:sz w:val="20"/>
          <w:szCs w:val="20"/>
        </w:rPr>
        <w:t xml:space="preserve"> retrofitting settlement-level measures</w:t>
      </w:r>
      <w:r>
        <w:rPr>
          <w:rFonts w:ascii="Century Gothic" w:eastAsia="Century Gothic" w:hAnsi="Century Gothic" w:cs="Century Gothic"/>
          <w:sz w:val="20"/>
          <w:szCs w:val="20"/>
        </w:rPr>
        <w:t xml:space="preserve">, such as </w:t>
      </w:r>
      <w:r w:rsidR="00570F0D">
        <w:rPr>
          <w:rFonts w:ascii="Century Gothic" w:eastAsia="Century Gothic" w:hAnsi="Century Gothic" w:cs="Century Gothic"/>
          <w:sz w:val="20"/>
          <w:szCs w:val="20"/>
        </w:rPr>
        <w:t xml:space="preserve">SuDS, green roofs, </w:t>
      </w:r>
      <w:r>
        <w:rPr>
          <w:rFonts w:ascii="Century Gothic" w:eastAsia="Century Gothic" w:hAnsi="Century Gothic" w:cs="Century Gothic"/>
          <w:sz w:val="20"/>
          <w:szCs w:val="20"/>
        </w:rPr>
        <w:t>EV charging infrastructure.</w:t>
      </w:r>
    </w:p>
    <w:p w14:paraId="15DC3F5D" w14:textId="77777777" w:rsidR="00DF2F37" w:rsidRDefault="3343BEFF" w:rsidP="00DF2F37">
      <w:pPr>
        <w:ind w:left="1080"/>
        <w:rPr>
          <w:rFonts w:ascii="Century Gothic" w:eastAsia="Century Gothic" w:hAnsi="Century Gothic" w:cs="Century Gothic"/>
          <w:i/>
          <w:iCs/>
          <w:sz w:val="20"/>
          <w:szCs w:val="20"/>
        </w:rPr>
      </w:pPr>
      <w:r w:rsidRPr="18B58892">
        <w:rPr>
          <w:rFonts w:ascii="Century Gothic" w:eastAsia="Century Gothic" w:hAnsi="Century Gothic" w:cs="Century Gothic"/>
          <w:i/>
          <w:iCs/>
          <w:sz w:val="20"/>
          <w:szCs w:val="20"/>
        </w:rPr>
        <w:lastRenderedPageBreak/>
        <w:t xml:space="preserve">Task 2: </w:t>
      </w:r>
      <w:r w:rsidR="00DF2F37" w:rsidRPr="0091618F">
        <w:rPr>
          <w:rFonts w:ascii="Century Gothic" w:hAnsi="Century Gothic"/>
          <w:i/>
          <w:iCs/>
          <w:sz w:val="20"/>
          <w:szCs w:val="20"/>
        </w:rPr>
        <w:t>Evaluation of the objectives in the National Planning and Policy Framework and wider policy levers for sustainable spatial planning</w:t>
      </w:r>
    </w:p>
    <w:p w14:paraId="2D862897" w14:textId="77777777" w:rsidR="00DF2F37" w:rsidRDefault="00DF2F37" w:rsidP="00DF2F37">
      <w:pPr>
        <w:ind w:left="1080"/>
        <w:rPr>
          <w:rFonts w:ascii="Century Gothic" w:hAnsi="Century Gothic"/>
          <w:sz w:val="20"/>
          <w:szCs w:val="20"/>
        </w:rPr>
      </w:pPr>
    </w:p>
    <w:p w14:paraId="5BE7A523" w14:textId="21F7DE66" w:rsidR="00DF2F37" w:rsidRDefault="00DF2F37" w:rsidP="00DF2F37">
      <w:pPr>
        <w:ind w:left="1080"/>
        <w:rPr>
          <w:rFonts w:ascii="Century Gothic" w:hAnsi="Century Gothic"/>
          <w:sz w:val="20"/>
          <w:szCs w:val="20"/>
        </w:rPr>
      </w:pPr>
      <w:r w:rsidRPr="00DF2F37">
        <w:rPr>
          <w:rFonts w:ascii="Century Gothic" w:hAnsi="Century Gothic"/>
          <w:sz w:val="20"/>
          <w:szCs w:val="20"/>
        </w:rPr>
        <w:t>This analysis should build on task 1, focusing on the weaknesses and opportunities of the NPPF for</w:t>
      </w:r>
      <w:r w:rsidR="0084618B">
        <w:rPr>
          <w:rFonts w:ascii="Century Gothic" w:hAnsi="Century Gothic"/>
          <w:sz w:val="20"/>
          <w:szCs w:val="20"/>
        </w:rPr>
        <w:t xml:space="preserve"> integrating</w:t>
      </w:r>
      <w:r w:rsidR="00576C1B">
        <w:rPr>
          <w:rFonts w:ascii="Century Gothic" w:hAnsi="Century Gothic"/>
          <w:sz w:val="20"/>
          <w:szCs w:val="20"/>
        </w:rPr>
        <w:t xml:space="preserve"> low-carbon and green design </w:t>
      </w:r>
      <w:r w:rsidR="0084618B">
        <w:rPr>
          <w:rFonts w:ascii="Century Gothic" w:hAnsi="Century Gothic"/>
          <w:sz w:val="20"/>
          <w:szCs w:val="20"/>
        </w:rPr>
        <w:t xml:space="preserve">into spatial planning. This should consider </w:t>
      </w:r>
      <w:r w:rsidRPr="00DF2F37">
        <w:rPr>
          <w:rFonts w:ascii="Century Gothic" w:hAnsi="Century Gothic"/>
          <w:sz w:val="20"/>
          <w:szCs w:val="20"/>
        </w:rPr>
        <w:t xml:space="preserve">local authorities specifically. </w:t>
      </w:r>
    </w:p>
    <w:p w14:paraId="6C8B5500" w14:textId="77777777" w:rsidR="00DF2F37" w:rsidRDefault="00DF2F37" w:rsidP="00DF2F37">
      <w:pPr>
        <w:ind w:left="1080"/>
        <w:rPr>
          <w:rFonts w:ascii="Century Gothic" w:hAnsi="Century Gothic"/>
          <w:sz w:val="20"/>
          <w:szCs w:val="20"/>
        </w:rPr>
      </w:pPr>
    </w:p>
    <w:p w14:paraId="097C98AD" w14:textId="2B1C16DA" w:rsidR="00DF2F37" w:rsidRDefault="00DF2F37" w:rsidP="00D278DE">
      <w:pPr>
        <w:pStyle w:val="ListParagraph"/>
        <w:numPr>
          <w:ilvl w:val="0"/>
          <w:numId w:val="17"/>
        </w:numPr>
        <w:rPr>
          <w:rFonts w:ascii="Century Gothic" w:eastAsia="Century Gothic" w:hAnsi="Century Gothic" w:cs="Century Gothic"/>
          <w:i/>
          <w:iCs/>
          <w:sz w:val="20"/>
          <w:szCs w:val="20"/>
        </w:rPr>
      </w:pPr>
      <w:r w:rsidRPr="24F8B6BE">
        <w:rPr>
          <w:rFonts w:ascii="Century Gothic" w:hAnsi="Century Gothic"/>
          <w:sz w:val="20"/>
          <w:szCs w:val="20"/>
        </w:rPr>
        <w:t>The analysis should find out whether NPPF’s requirements for sustainable development and managing vulnerability are clear and specific for local authorities and planners.</w:t>
      </w:r>
    </w:p>
    <w:p w14:paraId="7BA467C0" w14:textId="0068D222" w:rsidR="00DF2F37" w:rsidRPr="00DF2F37" w:rsidRDefault="00DF2F37" w:rsidP="00D278DE">
      <w:pPr>
        <w:pStyle w:val="ListParagraph"/>
        <w:numPr>
          <w:ilvl w:val="0"/>
          <w:numId w:val="17"/>
        </w:numPr>
        <w:rPr>
          <w:rFonts w:ascii="Century Gothic" w:hAnsi="Century Gothic"/>
          <w:sz w:val="20"/>
          <w:szCs w:val="20"/>
        </w:rPr>
      </w:pPr>
      <w:r w:rsidRPr="24F8B6BE">
        <w:rPr>
          <w:rFonts w:ascii="Century Gothic" w:hAnsi="Century Gothic"/>
          <w:sz w:val="20"/>
          <w:szCs w:val="20"/>
        </w:rPr>
        <w:t xml:space="preserve">This </w:t>
      </w:r>
      <w:r w:rsidR="000F239F">
        <w:rPr>
          <w:rFonts w:ascii="Century Gothic" w:hAnsi="Century Gothic"/>
          <w:sz w:val="20"/>
          <w:szCs w:val="20"/>
        </w:rPr>
        <w:t xml:space="preserve">analysis </w:t>
      </w:r>
      <w:r w:rsidRPr="24F8B6BE">
        <w:rPr>
          <w:rFonts w:ascii="Century Gothic" w:hAnsi="Century Gothic"/>
          <w:sz w:val="20"/>
          <w:szCs w:val="20"/>
        </w:rPr>
        <w:t>should include stakeholder consultation to assess how these requirements balance against other aims set in the NPPF and other wider policies. Wider policies that hel</w:t>
      </w:r>
      <w:r w:rsidR="000F239F">
        <w:rPr>
          <w:rFonts w:ascii="Century Gothic" w:hAnsi="Century Gothic"/>
          <w:sz w:val="20"/>
          <w:szCs w:val="20"/>
        </w:rPr>
        <w:t xml:space="preserve">p or </w:t>
      </w:r>
      <w:r w:rsidRPr="24F8B6BE">
        <w:rPr>
          <w:rFonts w:ascii="Century Gothic" w:hAnsi="Century Gothic"/>
          <w:sz w:val="20"/>
          <w:szCs w:val="20"/>
        </w:rPr>
        <w:t>hinder planning for Net Zero and climate change adaptation should be highlighted</w:t>
      </w:r>
      <w:r w:rsidR="0083492C">
        <w:rPr>
          <w:rFonts w:ascii="Century Gothic" w:hAnsi="Century Gothic"/>
          <w:sz w:val="20"/>
          <w:szCs w:val="20"/>
        </w:rPr>
        <w:t>. It would be useful to highlight or draw on the differences in the planning levers within the DAs</w:t>
      </w:r>
      <w:r w:rsidR="008E4BB5">
        <w:rPr>
          <w:rFonts w:ascii="Century Gothic" w:hAnsi="Century Gothic"/>
          <w:sz w:val="20"/>
          <w:szCs w:val="20"/>
        </w:rPr>
        <w:t>, particularly enabling policies</w:t>
      </w:r>
      <w:r w:rsidR="0083492C">
        <w:rPr>
          <w:rFonts w:ascii="Century Gothic" w:hAnsi="Century Gothic"/>
          <w:sz w:val="20"/>
          <w:szCs w:val="20"/>
        </w:rPr>
        <w:t>.</w:t>
      </w:r>
    </w:p>
    <w:p w14:paraId="55EE8332" w14:textId="2387119E" w:rsidR="075B0494" w:rsidRDefault="075B0494" w:rsidP="00D278DE">
      <w:pPr>
        <w:pStyle w:val="ListParagraph"/>
        <w:numPr>
          <w:ilvl w:val="0"/>
          <w:numId w:val="17"/>
        </w:numPr>
        <w:rPr>
          <w:rFonts w:ascii="Century Gothic" w:hAnsi="Century Gothic"/>
          <w:sz w:val="20"/>
          <w:szCs w:val="20"/>
        </w:rPr>
      </w:pPr>
      <w:r w:rsidRPr="24F8B6BE">
        <w:rPr>
          <w:rFonts w:ascii="Century Gothic" w:hAnsi="Century Gothic"/>
          <w:sz w:val="20"/>
          <w:szCs w:val="20"/>
        </w:rPr>
        <w:t>Research should highlight the barriers</w:t>
      </w:r>
      <w:r w:rsidR="66AD772C" w:rsidRPr="24F8B6BE">
        <w:rPr>
          <w:rFonts w:ascii="Century Gothic" w:hAnsi="Century Gothic"/>
          <w:sz w:val="20"/>
          <w:szCs w:val="20"/>
        </w:rPr>
        <w:t xml:space="preserve"> and enablers which may occur with different policies</w:t>
      </w:r>
      <w:r w:rsidR="000F239F">
        <w:rPr>
          <w:rFonts w:ascii="Century Gothic" w:hAnsi="Century Gothic"/>
          <w:sz w:val="20"/>
          <w:szCs w:val="20"/>
        </w:rPr>
        <w:t>, and if appropriate, present a typology of barriers and opportunities mapped to policy areas.</w:t>
      </w:r>
    </w:p>
    <w:p w14:paraId="0EC64AAB" w14:textId="6F625493" w:rsidR="00570F0D" w:rsidRPr="00570F0D" w:rsidRDefault="00DF2F37" w:rsidP="00D278DE">
      <w:pPr>
        <w:pStyle w:val="ListParagraph"/>
        <w:numPr>
          <w:ilvl w:val="0"/>
          <w:numId w:val="15"/>
        </w:numPr>
        <w:rPr>
          <w:rFonts w:ascii="Century Gothic" w:eastAsia="Century Gothic" w:hAnsi="Century Gothic" w:cs="Century Gothic"/>
          <w:sz w:val="20"/>
          <w:szCs w:val="20"/>
        </w:rPr>
      </w:pPr>
      <w:r w:rsidRPr="24F8B6BE">
        <w:rPr>
          <w:rFonts w:ascii="Century Gothic" w:hAnsi="Century Gothic"/>
          <w:sz w:val="20"/>
          <w:szCs w:val="20"/>
        </w:rPr>
        <w:t>Stakeholder consultation should investigate how well the practical processes and levers within the planning system enable planning authorities to meet or exceed their obligations to tackle climate change and climate adaptation.</w:t>
      </w:r>
      <w:r w:rsidR="00D83B0C">
        <w:rPr>
          <w:rFonts w:ascii="Century Gothic" w:hAnsi="Century Gothic"/>
          <w:sz w:val="20"/>
          <w:szCs w:val="20"/>
        </w:rPr>
        <w:t xml:space="preserve"> Opportunities to facilitate or enable more effective levers via the planning system should be investigated with stakeholders.</w:t>
      </w:r>
    </w:p>
    <w:p w14:paraId="478A01B6" w14:textId="3FC9E158" w:rsidR="00DF2F37" w:rsidRPr="00570F0D" w:rsidRDefault="00570F0D" w:rsidP="00D278DE">
      <w:pPr>
        <w:pStyle w:val="ListParagraph"/>
        <w:numPr>
          <w:ilvl w:val="0"/>
          <w:numId w:val="15"/>
        </w:numPr>
        <w:rPr>
          <w:rFonts w:ascii="Century Gothic" w:eastAsia="Century Gothic" w:hAnsi="Century Gothic" w:cs="Century Gothic"/>
          <w:sz w:val="20"/>
          <w:szCs w:val="20"/>
        </w:rPr>
      </w:pPr>
      <w:r w:rsidRPr="24F8B6BE">
        <w:rPr>
          <w:rFonts w:ascii="Century Gothic" w:eastAsia="Century Gothic" w:hAnsi="Century Gothic" w:cs="Century Gothic"/>
          <w:sz w:val="20"/>
          <w:szCs w:val="20"/>
        </w:rPr>
        <w:t>Analysis should highlight and explain, as case studies, examples of authorities going beyond the minimum standards set in the NPPF that have been particularly successful or unsuccessful.</w:t>
      </w:r>
    </w:p>
    <w:p w14:paraId="0F945FD7" w14:textId="72F70282" w:rsidR="00DF2F37" w:rsidRPr="00DF2F37" w:rsidRDefault="64826EEE" w:rsidP="00DF2F37">
      <w:pPr>
        <w:ind w:left="1080"/>
        <w:rPr>
          <w:rFonts w:ascii="Century Gothic" w:eastAsia="Century Gothic" w:hAnsi="Century Gothic" w:cs="Century Gothic"/>
          <w:i/>
          <w:iCs/>
          <w:sz w:val="20"/>
          <w:szCs w:val="20"/>
        </w:rPr>
      </w:pPr>
      <w:r w:rsidRPr="00DF2F37">
        <w:rPr>
          <w:rFonts w:ascii="Century Gothic" w:eastAsia="Century Gothic" w:hAnsi="Century Gothic" w:cs="Century Gothic"/>
          <w:i/>
          <w:iCs/>
          <w:sz w:val="20"/>
          <w:szCs w:val="20"/>
        </w:rPr>
        <w:t xml:space="preserve">Task </w:t>
      </w:r>
      <w:r w:rsidR="2CACDA20" w:rsidRPr="00DF2F37">
        <w:rPr>
          <w:rFonts w:ascii="Century Gothic" w:eastAsia="Century Gothic" w:hAnsi="Century Gothic" w:cs="Century Gothic"/>
          <w:i/>
          <w:iCs/>
          <w:sz w:val="20"/>
          <w:szCs w:val="20"/>
        </w:rPr>
        <w:t>3</w:t>
      </w:r>
      <w:r w:rsidRPr="00DF2F37">
        <w:rPr>
          <w:rFonts w:ascii="Century Gothic" w:eastAsia="Century Gothic" w:hAnsi="Century Gothic" w:cs="Century Gothic"/>
          <w:i/>
          <w:iCs/>
          <w:sz w:val="20"/>
          <w:szCs w:val="20"/>
        </w:rPr>
        <w:t xml:space="preserve">: </w:t>
      </w:r>
      <w:r w:rsidR="00DF2F37" w:rsidRPr="00DF2F37">
        <w:rPr>
          <w:rFonts w:ascii="Century Gothic" w:hAnsi="Century Gothic"/>
          <w:i/>
          <w:iCs/>
          <w:sz w:val="20"/>
          <w:szCs w:val="20"/>
        </w:rPr>
        <w:t xml:space="preserve">Recommendations </w:t>
      </w:r>
      <w:r w:rsidR="002C762A">
        <w:rPr>
          <w:rFonts w:ascii="Century Gothic" w:hAnsi="Century Gothic"/>
          <w:i/>
          <w:iCs/>
          <w:sz w:val="20"/>
          <w:szCs w:val="20"/>
        </w:rPr>
        <w:t>for central and local government action for</w:t>
      </w:r>
      <w:r w:rsidR="00DF2F37" w:rsidRPr="00DF2F37">
        <w:rPr>
          <w:rFonts w:ascii="Century Gothic" w:hAnsi="Century Gothic"/>
          <w:i/>
          <w:iCs/>
          <w:sz w:val="20"/>
          <w:szCs w:val="20"/>
        </w:rPr>
        <w:t xml:space="preserve"> enabling local authority actors to incorporate adaptation and mitigation in spatial planning</w:t>
      </w:r>
    </w:p>
    <w:p w14:paraId="5F37F865" w14:textId="77777777" w:rsidR="00DF2F37" w:rsidRDefault="00DF2F37" w:rsidP="00DF2F37">
      <w:pPr>
        <w:ind w:left="720"/>
        <w:rPr>
          <w:rFonts w:ascii="Century Gothic" w:hAnsi="Century Gothic"/>
          <w:i/>
          <w:iCs/>
          <w:sz w:val="20"/>
          <w:szCs w:val="20"/>
        </w:rPr>
      </w:pPr>
    </w:p>
    <w:p w14:paraId="16D7AD9B" w14:textId="7584FF31" w:rsidR="00DF2F37" w:rsidRPr="000F239F" w:rsidRDefault="00DF2F37" w:rsidP="00D278DE">
      <w:pPr>
        <w:pStyle w:val="ListParagraph"/>
        <w:numPr>
          <w:ilvl w:val="0"/>
          <w:numId w:val="18"/>
        </w:numPr>
        <w:ind w:left="1800"/>
        <w:rPr>
          <w:rFonts w:ascii="Century Gothic" w:hAnsi="Century Gothic"/>
          <w:i/>
          <w:iCs/>
          <w:sz w:val="20"/>
          <w:szCs w:val="20"/>
        </w:rPr>
      </w:pPr>
      <w:r w:rsidRPr="24F8B6BE">
        <w:rPr>
          <w:rFonts w:ascii="Century Gothic" w:hAnsi="Century Gothic"/>
          <w:sz w:val="20"/>
          <w:szCs w:val="20"/>
        </w:rPr>
        <w:t xml:space="preserve">Stakeholder consultation carried out in tasks 1 and 2 should have highlighted possible changes to </w:t>
      </w:r>
      <w:r w:rsidR="007619A8" w:rsidRPr="24F8B6BE">
        <w:rPr>
          <w:rFonts w:ascii="Century Gothic" w:hAnsi="Century Gothic"/>
          <w:sz w:val="20"/>
          <w:szCs w:val="20"/>
        </w:rPr>
        <w:t xml:space="preserve">NPPF </w:t>
      </w:r>
      <w:r w:rsidRPr="24F8B6BE">
        <w:rPr>
          <w:rFonts w:ascii="Century Gothic" w:hAnsi="Century Gothic"/>
          <w:sz w:val="20"/>
          <w:szCs w:val="20"/>
        </w:rPr>
        <w:t>(or other documents</w:t>
      </w:r>
      <w:r w:rsidR="000F239F">
        <w:rPr>
          <w:rFonts w:ascii="Century Gothic" w:hAnsi="Century Gothic"/>
          <w:sz w:val="20"/>
          <w:szCs w:val="20"/>
        </w:rPr>
        <w:t xml:space="preserve"> and </w:t>
      </w:r>
      <w:r w:rsidRPr="24F8B6BE">
        <w:rPr>
          <w:rFonts w:ascii="Century Gothic" w:hAnsi="Century Gothic"/>
          <w:sz w:val="20"/>
          <w:szCs w:val="20"/>
        </w:rPr>
        <w:t>processes) which may help authorities prioritise climate and adaptation objectives in local planning.</w:t>
      </w:r>
    </w:p>
    <w:p w14:paraId="6F44C569" w14:textId="1DA6F965" w:rsidR="000F239F" w:rsidRPr="000F239F" w:rsidRDefault="000F239F" w:rsidP="00D278DE">
      <w:pPr>
        <w:pStyle w:val="ListParagraph"/>
        <w:numPr>
          <w:ilvl w:val="0"/>
          <w:numId w:val="18"/>
        </w:numPr>
        <w:ind w:left="1800"/>
        <w:rPr>
          <w:rFonts w:ascii="Century Gothic" w:hAnsi="Century Gothic"/>
          <w:i/>
          <w:iCs/>
          <w:sz w:val="20"/>
          <w:szCs w:val="20"/>
        </w:rPr>
      </w:pPr>
      <w:r>
        <w:rPr>
          <w:rFonts w:ascii="Century Gothic" w:hAnsi="Century Gothic"/>
          <w:sz w:val="20"/>
          <w:szCs w:val="20"/>
        </w:rPr>
        <w:t>This task will involve suggesting tangible recommendations for addressing barriers and unlocking opportunities within the planning system at the local authority level.</w:t>
      </w:r>
    </w:p>
    <w:p w14:paraId="7E43B957" w14:textId="77777777" w:rsidR="006435F5" w:rsidRPr="006435F5" w:rsidRDefault="000F239F" w:rsidP="00D278DE">
      <w:pPr>
        <w:pStyle w:val="ListParagraph"/>
        <w:numPr>
          <w:ilvl w:val="0"/>
          <w:numId w:val="18"/>
        </w:numPr>
        <w:ind w:left="1800"/>
        <w:rPr>
          <w:rFonts w:ascii="Century Gothic" w:hAnsi="Century Gothic"/>
          <w:i/>
          <w:iCs/>
          <w:sz w:val="20"/>
          <w:szCs w:val="20"/>
        </w:rPr>
      </w:pPr>
      <w:r>
        <w:rPr>
          <w:rFonts w:ascii="Century Gothic" w:hAnsi="Century Gothic"/>
          <w:sz w:val="20"/>
          <w:szCs w:val="20"/>
        </w:rPr>
        <w:t xml:space="preserve">Recommendations should be based on the outcomes of the stakeholder engagement with local authorities. Recommendations may find opportunities for improving the design of both local and national level </w:t>
      </w:r>
      <w:r w:rsidR="005C4C0D">
        <w:rPr>
          <w:rFonts w:ascii="Century Gothic" w:hAnsi="Century Gothic"/>
          <w:sz w:val="20"/>
          <w:szCs w:val="20"/>
        </w:rPr>
        <w:t>policy and should focus on practical and targeted solutions for overcoming the barriers identified in task 1</w:t>
      </w:r>
      <w:r w:rsidR="006435F5">
        <w:rPr>
          <w:rFonts w:ascii="Century Gothic" w:hAnsi="Century Gothic"/>
          <w:sz w:val="20"/>
          <w:szCs w:val="20"/>
        </w:rPr>
        <w:t xml:space="preserve">. </w:t>
      </w:r>
    </w:p>
    <w:p w14:paraId="29BA5F2D" w14:textId="13DFB9D5" w:rsidR="000F239F" w:rsidRPr="005C4C0D" w:rsidRDefault="006435F5" w:rsidP="00D278DE">
      <w:pPr>
        <w:pStyle w:val="ListParagraph"/>
        <w:numPr>
          <w:ilvl w:val="0"/>
          <w:numId w:val="18"/>
        </w:numPr>
        <w:ind w:left="1800"/>
        <w:rPr>
          <w:rFonts w:ascii="Century Gothic" w:hAnsi="Century Gothic"/>
          <w:i/>
          <w:iCs/>
          <w:sz w:val="20"/>
          <w:szCs w:val="20"/>
        </w:rPr>
      </w:pPr>
      <w:r>
        <w:rPr>
          <w:rFonts w:ascii="Century Gothic" w:hAnsi="Century Gothic"/>
          <w:sz w:val="20"/>
          <w:szCs w:val="20"/>
        </w:rPr>
        <w:t>Recommendations should consider the opportunities for the planning system to act as a lever to overcoming barriers, and where other policy levers or additional enablers may be required.</w:t>
      </w:r>
    </w:p>
    <w:p w14:paraId="1AB46301" w14:textId="2BCB93EE" w:rsidR="005C4C0D" w:rsidRPr="00DF2F37" w:rsidRDefault="005C4C0D" w:rsidP="00D278DE">
      <w:pPr>
        <w:pStyle w:val="ListParagraph"/>
        <w:numPr>
          <w:ilvl w:val="0"/>
          <w:numId w:val="18"/>
        </w:numPr>
        <w:ind w:left="1800"/>
        <w:rPr>
          <w:rFonts w:ascii="Century Gothic" w:hAnsi="Century Gothic"/>
          <w:i/>
          <w:iCs/>
          <w:sz w:val="20"/>
          <w:szCs w:val="20"/>
        </w:rPr>
      </w:pPr>
      <w:r>
        <w:rPr>
          <w:rFonts w:ascii="Century Gothic" w:hAnsi="Century Gothic"/>
          <w:sz w:val="20"/>
          <w:szCs w:val="20"/>
        </w:rPr>
        <w:t>Case study analysis and evidence from local authority and planning actors should be used to highlight</w:t>
      </w:r>
      <w:r w:rsidR="00576C1B">
        <w:rPr>
          <w:rFonts w:ascii="Century Gothic" w:hAnsi="Century Gothic"/>
          <w:sz w:val="20"/>
          <w:szCs w:val="20"/>
        </w:rPr>
        <w:t xml:space="preserve"> examples of </w:t>
      </w:r>
      <w:r w:rsidR="00576C1B">
        <w:rPr>
          <w:rFonts w:ascii="Century Gothic" w:hAnsi="Century Gothic"/>
          <w:sz w:val="20"/>
          <w:szCs w:val="20"/>
        </w:rPr>
        <w:lastRenderedPageBreak/>
        <w:t xml:space="preserve">possible enabling factors and good practice for low-carbon and/or resilient spatial planning. </w:t>
      </w:r>
    </w:p>
    <w:p w14:paraId="6B2BCD87" w14:textId="2C0783FD" w:rsidR="00DF2F37" w:rsidRPr="007570FC" w:rsidRDefault="00DF2F37" w:rsidP="00D278DE">
      <w:pPr>
        <w:pStyle w:val="ListParagraph"/>
        <w:numPr>
          <w:ilvl w:val="0"/>
          <w:numId w:val="16"/>
        </w:numPr>
        <w:spacing w:after="160" w:line="254" w:lineRule="auto"/>
        <w:ind w:left="1800"/>
        <w:rPr>
          <w:rFonts w:ascii="Century Gothic" w:hAnsi="Century Gothic"/>
          <w:sz w:val="20"/>
          <w:szCs w:val="20"/>
          <w:u w:val="single"/>
        </w:rPr>
      </w:pPr>
      <w:r w:rsidRPr="26129645">
        <w:rPr>
          <w:rFonts w:ascii="Century Gothic" w:hAnsi="Century Gothic"/>
          <w:sz w:val="20"/>
          <w:szCs w:val="20"/>
        </w:rPr>
        <w:t>Recommendations should</w:t>
      </w:r>
      <w:r w:rsidR="000F239F" w:rsidRPr="26129645">
        <w:rPr>
          <w:rFonts w:ascii="Century Gothic" w:hAnsi="Century Gothic"/>
          <w:sz w:val="20"/>
          <w:szCs w:val="20"/>
        </w:rPr>
        <w:t xml:space="preserve"> specifically</w:t>
      </w:r>
      <w:r w:rsidRPr="26129645">
        <w:rPr>
          <w:rFonts w:ascii="Century Gothic" w:hAnsi="Century Gothic"/>
          <w:sz w:val="20"/>
          <w:szCs w:val="20"/>
        </w:rPr>
        <w:t xml:space="preserve"> highlight evidence for adaptation or mitigation actions that might be ‘easy wins’ for incorporating climate resilience</w:t>
      </w:r>
      <w:r w:rsidR="000F239F" w:rsidRPr="26129645">
        <w:rPr>
          <w:rFonts w:ascii="Century Gothic" w:hAnsi="Century Gothic"/>
          <w:sz w:val="20"/>
          <w:szCs w:val="20"/>
        </w:rPr>
        <w:t xml:space="preserve"> and Net Zero aims</w:t>
      </w:r>
      <w:r w:rsidRPr="26129645">
        <w:rPr>
          <w:rFonts w:ascii="Century Gothic" w:hAnsi="Century Gothic"/>
          <w:sz w:val="20"/>
          <w:szCs w:val="20"/>
        </w:rPr>
        <w:t xml:space="preserve"> into the planning system.</w:t>
      </w:r>
      <w:r w:rsidR="00576C1B" w:rsidRPr="26129645">
        <w:rPr>
          <w:rFonts w:ascii="Century Gothic" w:hAnsi="Century Gothic"/>
          <w:sz w:val="20"/>
          <w:szCs w:val="20"/>
        </w:rPr>
        <w:t xml:space="preserve"> </w:t>
      </w:r>
    </w:p>
    <w:p w14:paraId="1EC8A10D" w14:textId="0C40B8A4" w:rsidR="7EF10085" w:rsidRDefault="7EF10085" w:rsidP="4125DC50">
      <w:pPr>
        <w:spacing w:after="200" w:line="276" w:lineRule="auto"/>
        <w:ind w:left="1080"/>
        <w:rPr>
          <w:rFonts w:ascii="Century Gothic" w:eastAsia="Century Gothic" w:hAnsi="Century Gothic" w:cs="Century Gothic"/>
          <w:sz w:val="20"/>
          <w:szCs w:val="20"/>
        </w:rPr>
      </w:pPr>
      <w:r w:rsidRPr="4125DC50">
        <w:rPr>
          <w:rFonts w:ascii="Century Gothic" w:eastAsia="Century Gothic" w:hAnsi="Century Gothic" w:cs="Century Gothic"/>
          <w:sz w:val="20"/>
          <w:szCs w:val="20"/>
        </w:rPr>
        <w:t>We also welcome suggestions from potential contractors on additional</w:t>
      </w:r>
      <w:r w:rsidR="005C4C0D">
        <w:rPr>
          <w:rFonts w:ascii="Century Gothic" w:eastAsia="Century Gothic" w:hAnsi="Century Gothic" w:cs="Century Gothic"/>
          <w:sz w:val="20"/>
          <w:szCs w:val="20"/>
        </w:rPr>
        <w:t xml:space="preserve"> and/or </w:t>
      </w:r>
      <w:r w:rsidRPr="4125DC50">
        <w:rPr>
          <w:rFonts w:ascii="Century Gothic" w:eastAsia="Century Gothic" w:hAnsi="Century Gothic" w:cs="Century Gothic"/>
          <w:sz w:val="20"/>
          <w:szCs w:val="20"/>
        </w:rPr>
        <w:t xml:space="preserve">alternative tasks that could be delivered to effectively elucidate </w:t>
      </w:r>
      <w:r w:rsidR="00DF2F37">
        <w:rPr>
          <w:rFonts w:ascii="Century Gothic" w:eastAsia="Century Gothic" w:hAnsi="Century Gothic" w:cs="Century Gothic"/>
          <w:sz w:val="20"/>
          <w:szCs w:val="20"/>
        </w:rPr>
        <w:t>local authority barriers to sustainable development within the project budget.</w:t>
      </w:r>
    </w:p>
    <w:p w14:paraId="5B33FF1E" w14:textId="77777777" w:rsidR="003A05B7" w:rsidRPr="006724AE" w:rsidRDefault="003A05B7" w:rsidP="00D278DE">
      <w:pPr>
        <w:pStyle w:val="Heading1"/>
        <w:widowControl w:val="0"/>
        <w:numPr>
          <w:ilvl w:val="0"/>
          <w:numId w:val="3"/>
        </w:numPr>
        <w:overflowPunct w:val="0"/>
        <w:autoSpaceDE w:val="0"/>
        <w:autoSpaceDN w:val="0"/>
        <w:adjustRightInd w:val="0"/>
        <w:spacing w:before="240" w:after="60"/>
        <w:ind w:left="1440"/>
        <w:textAlignment w:val="baseline"/>
        <w:rPr>
          <w:rFonts w:asciiTheme="minorHAnsi" w:hAnsiTheme="minorHAnsi"/>
          <w:color w:val="auto"/>
          <w:sz w:val="20"/>
          <w:szCs w:val="20"/>
        </w:rPr>
      </w:pPr>
      <w:bookmarkStart w:id="8" w:name="_Ref357541705"/>
      <w:bookmarkStart w:id="9" w:name="_Toc381969510"/>
      <w:bookmarkStart w:id="10" w:name="_Toc405888459"/>
      <w:r w:rsidRPr="22E435CD">
        <w:rPr>
          <w:rFonts w:asciiTheme="minorHAnsi" w:hAnsiTheme="minorHAnsi" w:cs="Arial"/>
          <w:color w:val="auto"/>
          <w:sz w:val="20"/>
          <w:szCs w:val="20"/>
        </w:rPr>
        <w:t>Outputs Required</w:t>
      </w:r>
      <w:bookmarkEnd w:id="8"/>
      <w:bookmarkEnd w:id="9"/>
      <w:bookmarkEnd w:id="10"/>
    </w:p>
    <w:p w14:paraId="2429EF9E" w14:textId="77777777" w:rsidR="006724AE" w:rsidRDefault="006724AE" w:rsidP="22E435CD">
      <w:pPr>
        <w:ind w:left="1080"/>
        <w:textAlignment w:val="baseline"/>
        <w:rPr>
          <w:rFonts w:ascii="Century Gothic" w:eastAsia="Times New Roman" w:hAnsi="Century Gothic" w:cs="Segoe UI"/>
          <w:sz w:val="20"/>
          <w:szCs w:val="20"/>
          <w:lang w:eastAsia="en-GB"/>
        </w:rPr>
      </w:pPr>
    </w:p>
    <w:p w14:paraId="429D1AE7" w14:textId="77777777" w:rsidR="00DF2F37" w:rsidRDefault="006724AE" w:rsidP="00DF2F37">
      <w:pPr>
        <w:ind w:left="1080"/>
        <w:textAlignment w:val="baseline"/>
        <w:rPr>
          <w:rFonts w:ascii="Century Gothic" w:eastAsia="Times New Roman" w:hAnsi="Century Gothic" w:cs="Segoe UI"/>
          <w:sz w:val="20"/>
          <w:szCs w:val="20"/>
          <w:lang w:eastAsia="en-GB"/>
        </w:rPr>
      </w:pPr>
      <w:r w:rsidRPr="4125DC50">
        <w:rPr>
          <w:rFonts w:ascii="Century Gothic" w:eastAsia="Times New Roman" w:hAnsi="Century Gothic" w:cs="Segoe UI"/>
          <w:sz w:val="20"/>
          <w:szCs w:val="20"/>
          <w:lang w:eastAsia="en-GB"/>
        </w:rPr>
        <w:t>The outputs of the work should include:</w:t>
      </w:r>
      <w:r w:rsidRPr="4125DC50">
        <w:rPr>
          <w:rFonts w:ascii="Arial" w:eastAsia="Times New Roman" w:hAnsi="Arial" w:cs="Arial"/>
          <w:sz w:val="20"/>
          <w:szCs w:val="20"/>
          <w:lang w:eastAsia="en-GB"/>
        </w:rPr>
        <w:t> </w:t>
      </w:r>
      <w:r w:rsidRPr="4125DC50">
        <w:rPr>
          <w:rFonts w:ascii="Century Gothic" w:eastAsia="Times New Roman" w:hAnsi="Century Gothic" w:cs="Segoe UI"/>
          <w:sz w:val="20"/>
          <w:szCs w:val="20"/>
          <w:lang w:eastAsia="en-GB"/>
        </w:rPr>
        <w:t> </w:t>
      </w:r>
    </w:p>
    <w:p w14:paraId="38161835" w14:textId="77777777" w:rsidR="00DF2F37" w:rsidRDefault="00DF2F37" w:rsidP="00DF2F37">
      <w:pPr>
        <w:ind w:left="1080"/>
        <w:textAlignment w:val="baseline"/>
        <w:rPr>
          <w:rFonts w:ascii="Century Gothic" w:eastAsia="Times New Roman" w:hAnsi="Century Gothic" w:cs="Segoe UI"/>
          <w:sz w:val="20"/>
          <w:szCs w:val="20"/>
          <w:lang w:eastAsia="en-GB"/>
        </w:rPr>
      </w:pPr>
    </w:p>
    <w:p w14:paraId="552CFEC7" w14:textId="264DE150" w:rsidR="00DF2F37" w:rsidRPr="00DF2F37" w:rsidRDefault="00DF2F37" w:rsidP="24F8B6BE">
      <w:pPr>
        <w:ind w:left="1080"/>
        <w:textAlignment w:val="baseline"/>
        <w:rPr>
          <w:rFonts w:ascii="Century Gothic" w:eastAsia="Times New Roman" w:hAnsi="Century Gothic" w:cs="Segoe UI"/>
          <w:sz w:val="20"/>
          <w:szCs w:val="20"/>
          <w:lang w:eastAsia="en-GB"/>
        </w:rPr>
      </w:pPr>
      <w:r w:rsidRPr="24F8B6BE">
        <w:rPr>
          <w:rFonts w:ascii="Century Gothic" w:hAnsi="Century Gothic"/>
          <w:b/>
          <w:bCs/>
          <w:sz w:val="20"/>
          <w:szCs w:val="20"/>
        </w:rPr>
        <w:t xml:space="preserve">A report </w:t>
      </w:r>
      <w:r w:rsidRPr="24F8B6BE">
        <w:rPr>
          <w:rFonts w:ascii="Century Gothic" w:hAnsi="Century Gothic"/>
          <w:sz w:val="20"/>
          <w:szCs w:val="20"/>
        </w:rPr>
        <w:t>setting out the scope of the work, assumptions, methodology, findings</w:t>
      </w:r>
      <w:r w:rsidR="00D77350">
        <w:rPr>
          <w:rFonts w:ascii="Century Gothic" w:hAnsi="Century Gothic"/>
          <w:sz w:val="20"/>
          <w:szCs w:val="20"/>
        </w:rPr>
        <w:t>,</w:t>
      </w:r>
      <w:r w:rsidRPr="24F8B6BE">
        <w:rPr>
          <w:rFonts w:ascii="Century Gothic" w:hAnsi="Century Gothic"/>
          <w:sz w:val="20"/>
          <w:szCs w:val="20"/>
        </w:rPr>
        <w:t xml:space="preserve"> and recommendations for all tasks. </w:t>
      </w:r>
      <w:r w:rsidR="008A5011">
        <w:rPr>
          <w:rFonts w:ascii="Century Gothic" w:hAnsi="Century Gothic"/>
          <w:sz w:val="20"/>
          <w:szCs w:val="20"/>
        </w:rPr>
        <w:t>The report should:</w:t>
      </w:r>
    </w:p>
    <w:p w14:paraId="73A23A55" w14:textId="1EB1FA04" w:rsidR="00DF2F37" w:rsidRDefault="008A5011" w:rsidP="24F8B6BE">
      <w:pPr>
        <w:pStyle w:val="ListParagraph"/>
        <w:numPr>
          <w:ilvl w:val="1"/>
          <w:numId w:val="1"/>
        </w:numPr>
        <w:textAlignment w:val="baseline"/>
        <w:rPr>
          <w:rFonts w:ascii="Century Gothic" w:hAnsi="Century Gothic"/>
          <w:sz w:val="20"/>
          <w:szCs w:val="20"/>
        </w:rPr>
      </w:pPr>
      <w:r>
        <w:rPr>
          <w:rFonts w:ascii="Century Gothic" w:hAnsi="Century Gothic"/>
          <w:sz w:val="20"/>
          <w:szCs w:val="20"/>
        </w:rPr>
        <w:t>C</w:t>
      </w:r>
      <w:r w:rsidR="64C78194" w:rsidRPr="24F8B6BE">
        <w:rPr>
          <w:rFonts w:ascii="Century Gothic" w:hAnsi="Century Gothic"/>
          <w:sz w:val="20"/>
          <w:szCs w:val="20"/>
        </w:rPr>
        <w:t xml:space="preserve">learly identify the key barriers to sustainable </w:t>
      </w:r>
      <w:r w:rsidR="00C97852">
        <w:rPr>
          <w:rFonts w:ascii="Century Gothic" w:hAnsi="Century Gothic"/>
          <w:sz w:val="20"/>
          <w:szCs w:val="20"/>
        </w:rPr>
        <w:t>planning, including</w:t>
      </w:r>
      <w:r w:rsidR="00957F70">
        <w:rPr>
          <w:rFonts w:ascii="Century Gothic" w:hAnsi="Century Gothic"/>
          <w:sz w:val="20"/>
          <w:szCs w:val="20"/>
        </w:rPr>
        <w:t xml:space="preserve">, if </w:t>
      </w:r>
      <w:r w:rsidR="0076047B">
        <w:rPr>
          <w:rFonts w:ascii="Century Gothic" w:hAnsi="Century Gothic"/>
          <w:sz w:val="20"/>
          <w:szCs w:val="20"/>
        </w:rPr>
        <w:t>appropriate,</w:t>
      </w:r>
      <w:r w:rsidR="00957F70">
        <w:rPr>
          <w:rFonts w:ascii="Century Gothic" w:hAnsi="Century Gothic"/>
          <w:sz w:val="20"/>
          <w:szCs w:val="20"/>
        </w:rPr>
        <w:t xml:space="preserve"> a typology of</w:t>
      </w:r>
      <w:r w:rsidR="00C97852">
        <w:rPr>
          <w:rFonts w:ascii="Century Gothic" w:hAnsi="Century Gothic"/>
          <w:sz w:val="20"/>
          <w:szCs w:val="20"/>
        </w:rPr>
        <w:t xml:space="preserve"> barriers</w:t>
      </w:r>
      <w:r w:rsidR="00957F70">
        <w:rPr>
          <w:rFonts w:ascii="Century Gothic" w:hAnsi="Century Gothic"/>
          <w:sz w:val="20"/>
          <w:szCs w:val="20"/>
        </w:rPr>
        <w:t xml:space="preserve"> and enablers</w:t>
      </w:r>
      <w:r w:rsidR="00C97852">
        <w:rPr>
          <w:rFonts w:ascii="Century Gothic" w:hAnsi="Century Gothic"/>
          <w:sz w:val="20"/>
          <w:szCs w:val="20"/>
        </w:rPr>
        <w:t xml:space="preserve"> </w:t>
      </w:r>
      <w:r w:rsidR="00957F70">
        <w:rPr>
          <w:rFonts w:ascii="Century Gothic" w:hAnsi="Century Gothic"/>
          <w:sz w:val="20"/>
          <w:szCs w:val="20"/>
        </w:rPr>
        <w:t>with reference</w:t>
      </w:r>
      <w:r w:rsidR="00C97852">
        <w:rPr>
          <w:rFonts w:ascii="Century Gothic" w:hAnsi="Century Gothic"/>
          <w:sz w:val="20"/>
          <w:szCs w:val="20"/>
        </w:rPr>
        <w:t xml:space="preserve"> relevant to specific </w:t>
      </w:r>
      <w:r w:rsidR="0076047B">
        <w:rPr>
          <w:rFonts w:ascii="Century Gothic" w:hAnsi="Century Gothic"/>
          <w:sz w:val="20"/>
          <w:szCs w:val="20"/>
        </w:rPr>
        <w:t xml:space="preserve">mitigation and adaptation </w:t>
      </w:r>
      <w:r w:rsidR="00C97852">
        <w:rPr>
          <w:rFonts w:ascii="Century Gothic" w:hAnsi="Century Gothic"/>
          <w:sz w:val="20"/>
          <w:szCs w:val="20"/>
        </w:rPr>
        <w:t>interventions</w:t>
      </w:r>
      <w:r w:rsidR="00957F70">
        <w:rPr>
          <w:rFonts w:ascii="Century Gothic" w:hAnsi="Century Gothic"/>
          <w:sz w:val="20"/>
          <w:szCs w:val="20"/>
        </w:rPr>
        <w:t>, actions, or actors</w:t>
      </w:r>
      <w:r w:rsidR="0076047B">
        <w:rPr>
          <w:rFonts w:ascii="Century Gothic" w:hAnsi="Century Gothic"/>
          <w:sz w:val="20"/>
          <w:szCs w:val="20"/>
        </w:rPr>
        <w:t>.</w:t>
      </w:r>
      <w:r w:rsidR="0058136B">
        <w:rPr>
          <w:rFonts w:ascii="Century Gothic" w:hAnsi="Century Gothic"/>
          <w:sz w:val="20"/>
          <w:szCs w:val="20"/>
        </w:rPr>
        <w:t xml:space="preserve"> </w:t>
      </w:r>
    </w:p>
    <w:p w14:paraId="5975FF5F" w14:textId="0F559066" w:rsidR="00957F70" w:rsidRDefault="00957F70" w:rsidP="24F8B6BE">
      <w:pPr>
        <w:pStyle w:val="ListParagraph"/>
        <w:numPr>
          <w:ilvl w:val="1"/>
          <w:numId w:val="1"/>
        </w:numPr>
        <w:textAlignment w:val="baseline"/>
        <w:rPr>
          <w:rFonts w:ascii="Century Gothic" w:hAnsi="Century Gothic"/>
          <w:sz w:val="20"/>
          <w:szCs w:val="20"/>
        </w:rPr>
      </w:pPr>
      <w:r>
        <w:rPr>
          <w:rFonts w:ascii="Century Gothic" w:hAnsi="Century Gothic"/>
          <w:sz w:val="20"/>
          <w:szCs w:val="20"/>
        </w:rPr>
        <w:t xml:space="preserve">Provide an analysis of how the NPPF and other wider policy levers </w:t>
      </w:r>
      <w:r w:rsidR="0076047B">
        <w:rPr>
          <w:rFonts w:ascii="Century Gothic" w:hAnsi="Century Gothic"/>
          <w:sz w:val="20"/>
          <w:szCs w:val="20"/>
        </w:rPr>
        <w:t>influence the delivery of sustainable spatial planning</w:t>
      </w:r>
      <w:r w:rsidR="005C4C0D">
        <w:rPr>
          <w:rFonts w:ascii="Century Gothic" w:hAnsi="Century Gothic"/>
          <w:sz w:val="20"/>
          <w:szCs w:val="20"/>
        </w:rPr>
        <w:t>, w</w:t>
      </w:r>
      <w:r w:rsidR="00180597">
        <w:rPr>
          <w:rFonts w:ascii="Century Gothic" w:hAnsi="Century Gothic"/>
          <w:sz w:val="20"/>
          <w:szCs w:val="20"/>
        </w:rPr>
        <w:t>hich is in line with</w:t>
      </w:r>
      <w:r w:rsidR="008E4BB5">
        <w:rPr>
          <w:rFonts w:ascii="Century Gothic" w:hAnsi="Century Gothic"/>
          <w:sz w:val="20"/>
          <w:szCs w:val="20"/>
        </w:rPr>
        <w:t xml:space="preserve"> </w:t>
      </w:r>
      <w:r w:rsidR="00180597">
        <w:rPr>
          <w:rFonts w:ascii="Century Gothic" w:hAnsi="Century Gothic"/>
          <w:sz w:val="20"/>
          <w:szCs w:val="20"/>
        </w:rPr>
        <w:t>both Net-Zero and adaptation goals.</w:t>
      </w:r>
    </w:p>
    <w:p w14:paraId="51A1175B" w14:textId="1207EE82" w:rsidR="0058136B" w:rsidRDefault="0058136B" w:rsidP="24F8B6BE">
      <w:pPr>
        <w:pStyle w:val="ListParagraph"/>
        <w:numPr>
          <w:ilvl w:val="1"/>
          <w:numId w:val="1"/>
        </w:numPr>
        <w:textAlignment w:val="baseline"/>
        <w:rPr>
          <w:rFonts w:ascii="Century Gothic" w:hAnsi="Century Gothic"/>
          <w:sz w:val="20"/>
          <w:szCs w:val="20"/>
        </w:rPr>
      </w:pPr>
      <w:r>
        <w:rPr>
          <w:rFonts w:ascii="Century Gothic" w:hAnsi="Century Gothic"/>
          <w:sz w:val="20"/>
          <w:szCs w:val="20"/>
        </w:rPr>
        <w:t>Highlight opportunities for the planning system to act as a lever for local authorities in delivering</w:t>
      </w:r>
      <w:r w:rsidR="00180597">
        <w:rPr>
          <w:rFonts w:ascii="Century Gothic" w:hAnsi="Century Gothic"/>
          <w:sz w:val="20"/>
          <w:szCs w:val="20"/>
        </w:rPr>
        <w:t xml:space="preserve"> these</w:t>
      </w:r>
      <w:r>
        <w:rPr>
          <w:rFonts w:ascii="Century Gothic" w:hAnsi="Century Gothic"/>
          <w:sz w:val="20"/>
          <w:szCs w:val="20"/>
        </w:rPr>
        <w:t xml:space="preserve"> Net Zero and adaptation objectives.</w:t>
      </w:r>
    </w:p>
    <w:p w14:paraId="4DA35EB6" w14:textId="49277145" w:rsidR="00DF2F37" w:rsidRDefault="005C4C0D" w:rsidP="00C97852">
      <w:pPr>
        <w:pStyle w:val="ListParagraph"/>
        <w:numPr>
          <w:ilvl w:val="1"/>
          <w:numId w:val="1"/>
        </w:numPr>
        <w:textAlignment w:val="baseline"/>
        <w:rPr>
          <w:rFonts w:ascii="Century Gothic" w:hAnsi="Century Gothic"/>
          <w:sz w:val="20"/>
          <w:szCs w:val="20"/>
        </w:rPr>
      </w:pPr>
      <w:r>
        <w:rPr>
          <w:rFonts w:ascii="Century Gothic" w:hAnsi="Century Gothic"/>
          <w:sz w:val="20"/>
          <w:szCs w:val="20"/>
        </w:rPr>
        <w:t>Describe case study examples of sustainable spatial planning which go beyond the minimum requirements of the NPPF</w:t>
      </w:r>
      <w:r w:rsidR="00576C1B">
        <w:rPr>
          <w:rFonts w:ascii="Century Gothic" w:hAnsi="Century Gothic"/>
          <w:sz w:val="20"/>
          <w:szCs w:val="20"/>
        </w:rPr>
        <w:t xml:space="preserve"> </w:t>
      </w:r>
      <w:r w:rsidR="00957F70">
        <w:rPr>
          <w:rFonts w:ascii="Century Gothic" w:hAnsi="Century Gothic"/>
          <w:sz w:val="20"/>
          <w:szCs w:val="20"/>
        </w:rPr>
        <w:t xml:space="preserve">and </w:t>
      </w:r>
      <w:r>
        <w:rPr>
          <w:rFonts w:ascii="Century Gothic" w:hAnsi="Century Gothic"/>
          <w:sz w:val="20"/>
          <w:szCs w:val="20"/>
        </w:rPr>
        <w:t xml:space="preserve">highlight the </w:t>
      </w:r>
      <w:r w:rsidR="006D35DA">
        <w:rPr>
          <w:rFonts w:ascii="Century Gothic" w:hAnsi="Century Gothic"/>
          <w:sz w:val="20"/>
          <w:szCs w:val="20"/>
        </w:rPr>
        <w:t>factors</w:t>
      </w:r>
      <w:r>
        <w:rPr>
          <w:rFonts w:ascii="Century Gothic" w:hAnsi="Century Gothic"/>
          <w:sz w:val="20"/>
          <w:szCs w:val="20"/>
        </w:rPr>
        <w:t xml:space="preserve"> which enabled this.</w:t>
      </w:r>
      <w:r w:rsidR="00957F70">
        <w:rPr>
          <w:rFonts w:ascii="Century Gothic" w:hAnsi="Century Gothic"/>
          <w:sz w:val="20"/>
          <w:szCs w:val="20"/>
        </w:rPr>
        <w:t xml:space="preserve"> </w:t>
      </w:r>
    </w:p>
    <w:p w14:paraId="093139B7" w14:textId="0D8BA9DF" w:rsidR="0058136B" w:rsidRDefault="0058136B" w:rsidP="00C97852">
      <w:pPr>
        <w:pStyle w:val="ListParagraph"/>
        <w:numPr>
          <w:ilvl w:val="1"/>
          <w:numId w:val="1"/>
        </w:numPr>
        <w:textAlignment w:val="baseline"/>
        <w:rPr>
          <w:rFonts w:ascii="Century Gothic" w:hAnsi="Century Gothic"/>
          <w:sz w:val="20"/>
          <w:szCs w:val="20"/>
        </w:rPr>
      </w:pPr>
      <w:r>
        <w:rPr>
          <w:rFonts w:ascii="Century Gothic" w:hAnsi="Century Gothic"/>
          <w:sz w:val="20"/>
          <w:szCs w:val="20"/>
        </w:rPr>
        <w:t>Recommend</w:t>
      </w:r>
      <w:r w:rsidR="00DE3A6B">
        <w:rPr>
          <w:rFonts w:ascii="Century Gothic" w:hAnsi="Century Gothic"/>
          <w:sz w:val="20"/>
          <w:szCs w:val="20"/>
        </w:rPr>
        <w:t>, based on these opportunities, barriers and stakeholder experiences, outcomes for policies or other planning actions to enable local authorities to use spatial planning for sustainable development.</w:t>
      </w:r>
    </w:p>
    <w:p w14:paraId="4561D9FB" w14:textId="4C56DEF2" w:rsidR="07AE42D5" w:rsidRDefault="00DF2F37" w:rsidP="005C4C0D">
      <w:pPr>
        <w:ind w:left="1080"/>
        <w:textAlignment w:val="baseline"/>
        <w:rPr>
          <w:rFonts w:ascii="Century Gothic" w:hAnsi="Century Gothic"/>
          <w:sz w:val="20"/>
          <w:szCs w:val="20"/>
          <w:lang w:eastAsia="en-GB"/>
        </w:rPr>
      </w:pPr>
      <w:r w:rsidRPr="24F8B6BE">
        <w:rPr>
          <w:rFonts w:ascii="Century Gothic" w:hAnsi="Century Gothic"/>
          <w:sz w:val="20"/>
          <w:szCs w:val="20"/>
        </w:rPr>
        <w:t>A list of contacted stakeholders and record of workshops</w:t>
      </w:r>
      <w:r w:rsidR="264814E2" w:rsidRPr="24F8B6BE">
        <w:rPr>
          <w:rFonts w:ascii="Century Gothic" w:hAnsi="Century Gothic"/>
          <w:sz w:val="20"/>
          <w:szCs w:val="20"/>
        </w:rPr>
        <w:t>, i</w:t>
      </w:r>
      <w:r w:rsidRPr="24F8B6BE">
        <w:rPr>
          <w:rFonts w:ascii="Century Gothic" w:hAnsi="Century Gothic"/>
          <w:sz w:val="20"/>
          <w:szCs w:val="20"/>
        </w:rPr>
        <w:t>nterviews</w:t>
      </w:r>
      <w:r w:rsidR="4C5FA5AA" w:rsidRPr="24F8B6BE">
        <w:rPr>
          <w:rFonts w:ascii="Century Gothic" w:hAnsi="Century Gothic"/>
          <w:sz w:val="20"/>
          <w:szCs w:val="20"/>
        </w:rPr>
        <w:t xml:space="preserve"> or other </w:t>
      </w:r>
      <w:r w:rsidRPr="24F8B6BE">
        <w:rPr>
          <w:rFonts w:ascii="Century Gothic" w:hAnsi="Century Gothic"/>
          <w:sz w:val="20"/>
          <w:szCs w:val="20"/>
        </w:rPr>
        <w:t>engagement should also be provided.</w:t>
      </w:r>
      <w:r w:rsidR="005C4C0D">
        <w:rPr>
          <w:rFonts w:ascii="Century Gothic" w:hAnsi="Century Gothic"/>
          <w:sz w:val="20"/>
          <w:szCs w:val="20"/>
          <w:lang w:eastAsia="en-GB"/>
        </w:rPr>
        <w:t xml:space="preserve"> </w:t>
      </w:r>
      <w:r w:rsidR="07AE42D5" w:rsidRPr="24F8B6BE">
        <w:rPr>
          <w:rFonts w:ascii="Century Gothic" w:hAnsi="Century Gothic"/>
          <w:sz w:val="20"/>
          <w:szCs w:val="20"/>
        </w:rPr>
        <w:t xml:space="preserve">If appropriate, an </w:t>
      </w:r>
      <w:r w:rsidR="07AE42D5" w:rsidRPr="005C4C0D">
        <w:rPr>
          <w:rFonts w:ascii="Century Gothic" w:hAnsi="Century Gothic"/>
          <w:b/>
          <w:bCs/>
          <w:sz w:val="20"/>
          <w:szCs w:val="20"/>
        </w:rPr>
        <w:t>excel workbook</w:t>
      </w:r>
      <w:r w:rsidR="005C4C0D" w:rsidRPr="005C4C0D">
        <w:rPr>
          <w:rFonts w:ascii="Century Gothic" w:hAnsi="Century Gothic"/>
          <w:b/>
          <w:bCs/>
          <w:sz w:val="20"/>
          <w:szCs w:val="20"/>
        </w:rPr>
        <w:t xml:space="preserve"> or </w:t>
      </w:r>
      <w:r w:rsidR="07AE42D5" w:rsidRPr="005C4C0D">
        <w:rPr>
          <w:rFonts w:ascii="Century Gothic" w:hAnsi="Century Gothic"/>
          <w:b/>
          <w:bCs/>
          <w:sz w:val="20"/>
          <w:szCs w:val="20"/>
        </w:rPr>
        <w:t>spreadsheet</w:t>
      </w:r>
      <w:r w:rsidR="07AE42D5" w:rsidRPr="24F8B6BE">
        <w:rPr>
          <w:rFonts w:ascii="Century Gothic" w:hAnsi="Century Gothic"/>
          <w:sz w:val="20"/>
          <w:szCs w:val="20"/>
        </w:rPr>
        <w:t xml:space="preserve"> containing the results of the focus groups and surveys for each of the respondents.</w:t>
      </w:r>
    </w:p>
    <w:p w14:paraId="5B579721" w14:textId="77777777" w:rsidR="006724AE" w:rsidRPr="006724AE" w:rsidRDefault="006724AE" w:rsidP="22E435CD">
      <w:pPr>
        <w:ind w:left="1080"/>
        <w:textAlignment w:val="baseline"/>
        <w:rPr>
          <w:rFonts w:ascii="Segoe UI" w:eastAsia="Times New Roman" w:hAnsi="Segoe UI" w:cs="Segoe UI"/>
          <w:sz w:val="18"/>
          <w:szCs w:val="18"/>
          <w:lang w:eastAsia="en-GB"/>
        </w:rPr>
      </w:pP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4A4DAD59" w14:textId="77777777" w:rsidR="006724AE" w:rsidRPr="006724AE" w:rsidRDefault="006724AE" w:rsidP="22E435CD">
      <w:pPr>
        <w:ind w:left="1080"/>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We envisage that bidders may need to make use of pre-existing knowledge to enable delivery and welcome this. However, this should not limit the transparency of approaches used in this project and all outputs should be provided in a publishable format. In the event of any limitations on sharing (</w:t>
      </w:r>
      <w:proofErr w:type="gramStart"/>
      <w:r w:rsidRPr="22E435CD">
        <w:rPr>
          <w:rFonts w:ascii="Century Gothic" w:eastAsia="Times New Roman" w:hAnsi="Century Gothic" w:cs="Segoe UI"/>
          <w:sz w:val="20"/>
          <w:szCs w:val="20"/>
          <w:lang w:eastAsia="en-GB"/>
        </w:rPr>
        <w:t>e.g.</w:t>
      </w:r>
      <w:proofErr w:type="gramEnd"/>
      <w:r w:rsidRPr="22E435CD">
        <w:rPr>
          <w:rFonts w:ascii="Century Gothic" w:eastAsia="Times New Roman" w:hAnsi="Century Gothic" w:cs="Segoe UI"/>
          <w:sz w:val="20"/>
          <w:szCs w:val="20"/>
          <w:lang w:eastAsia="en-GB"/>
        </w:rPr>
        <w:t xml:space="preserve"> in wider sharing beyond the CCC), these should be specified as part of the tender.</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20FFF970" w14:textId="77777777" w:rsidR="006724AE" w:rsidRPr="006724AE" w:rsidRDefault="006724AE" w:rsidP="22E435CD">
      <w:pPr>
        <w:ind w:left="1080"/>
        <w:textAlignment w:val="baseline"/>
        <w:rPr>
          <w:rFonts w:ascii="Segoe UI" w:eastAsia="Times New Roman" w:hAnsi="Segoe UI" w:cs="Segoe UI"/>
          <w:sz w:val="18"/>
          <w:szCs w:val="18"/>
          <w:lang w:eastAsia="en-GB"/>
        </w:rPr>
      </w:pP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171109D1" w14:textId="77777777" w:rsidR="006724AE" w:rsidRPr="006724AE" w:rsidRDefault="006724AE" w:rsidP="22E435CD">
      <w:pPr>
        <w:ind w:left="1080"/>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In addition to the above, we also expect interim deliverables to be required, including slide packs for the purposes of milestone meetings.</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44236D41" w14:textId="30B86A2C" w:rsidR="003A05B7" w:rsidRPr="0038388A" w:rsidRDefault="006724AE" w:rsidP="22E435CD">
      <w:pPr>
        <w:ind w:left="1080"/>
        <w:textAlignment w:val="baseline"/>
        <w:rPr>
          <w:rFonts w:cs="Calibri"/>
          <w:b/>
          <w:bCs/>
          <w:sz w:val="20"/>
          <w:szCs w:val="20"/>
        </w:rPr>
      </w:pPr>
      <w:r w:rsidRPr="22E435CD">
        <w:rPr>
          <w:rFonts w:ascii="Times New Roman" w:eastAsia="Times New Roman" w:hAnsi="Times New Roman" w:cs="Times New Roman"/>
          <w:sz w:val="24"/>
          <w:szCs w:val="24"/>
          <w:lang w:eastAsia="en-GB"/>
        </w:rPr>
        <w:t> </w:t>
      </w:r>
    </w:p>
    <w:p w14:paraId="1E232E35" w14:textId="1D578137" w:rsidR="003A05B7" w:rsidRPr="00F97858" w:rsidRDefault="003A05B7" w:rsidP="00D278DE">
      <w:pPr>
        <w:pStyle w:val="Heading1"/>
        <w:widowControl w:val="0"/>
        <w:numPr>
          <w:ilvl w:val="0"/>
          <w:numId w:val="3"/>
        </w:numPr>
        <w:overflowPunct w:val="0"/>
        <w:autoSpaceDE w:val="0"/>
        <w:autoSpaceDN w:val="0"/>
        <w:adjustRightInd w:val="0"/>
        <w:spacing w:before="240" w:after="60"/>
        <w:ind w:left="1440"/>
        <w:textAlignment w:val="baseline"/>
        <w:rPr>
          <w:rFonts w:asciiTheme="minorHAnsi" w:hAnsiTheme="minorHAnsi" w:cs="Arial"/>
          <w:color w:val="auto"/>
          <w:sz w:val="20"/>
          <w:szCs w:val="20"/>
        </w:rPr>
      </w:pPr>
      <w:bookmarkStart w:id="11" w:name="_Toc381969511"/>
      <w:bookmarkStart w:id="12" w:name="_Toc405888460"/>
      <w:bookmarkStart w:id="13" w:name="_Ref373505205"/>
      <w:bookmarkStart w:id="14" w:name="_Ref357541720"/>
      <w:r w:rsidRPr="22E435CD">
        <w:rPr>
          <w:rFonts w:asciiTheme="minorHAnsi" w:hAnsiTheme="minorHAnsi" w:cs="Arial"/>
          <w:color w:val="auto"/>
          <w:sz w:val="20"/>
          <w:szCs w:val="20"/>
        </w:rPr>
        <w:t>Ownership and Publication</w:t>
      </w:r>
      <w:bookmarkEnd w:id="11"/>
      <w:bookmarkEnd w:id="12"/>
    </w:p>
    <w:p w14:paraId="4104E768" w14:textId="77777777" w:rsidR="006724AE" w:rsidRPr="006724AE" w:rsidRDefault="006724AE" w:rsidP="22E435CD"/>
    <w:p w14:paraId="7886D33B" w14:textId="4EFAF0DB" w:rsidR="003A05B7" w:rsidRPr="0038388A" w:rsidRDefault="006724AE" w:rsidP="22E435CD">
      <w:pPr>
        <w:pStyle w:val="Norma"/>
        <w:ind w:left="1080"/>
        <w:rPr>
          <w:rFonts w:asciiTheme="minorHAnsi" w:hAnsiTheme="minorHAnsi"/>
          <w:b/>
          <w:bCs/>
          <w:sz w:val="20"/>
          <w:szCs w:val="20"/>
        </w:rPr>
      </w:pPr>
      <w:r w:rsidRPr="22E435CD">
        <w:rPr>
          <w:rStyle w:val="normaltextrun"/>
          <w:rFonts w:ascii="Century Gothic" w:hAnsi="Century Gothic"/>
          <w:sz w:val="20"/>
          <w:szCs w:val="20"/>
          <w:shd w:val="clear" w:color="auto" w:fill="FFFFFF"/>
        </w:rPr>
        <w:t>The key deliverables will be handed over to the CCC, who may choose to publish these as supporting evidence on their website. Spreadsheets should be open access and unrestricted, to enable full QA of results and assumptions.</w:t>
      </w:r>
      <w:r w:rsidRPr="22E435CD">
        <w:rPr>
          <w:rStyle w:val="normaltextrun"/>
          <w:rFonts w:ascii="Arial" w:hAnsi="Arial" w:cs="Arial"/>
          <w:sz w:val="20"/>
          <w:szCs w:val="20"/>
          <w:shd w:val="clear" w:color="auto" w:fill="FFFFFF"/>
        </w:rPr>
        <w:t> </w:t>
      </w:r>
      <w:r w:rsidRPr="22E435CD">
        <w:rPr>
          <w:rStyle w:val="eop"/>
          <w:rFonts w:ascii="Century Gothic" w:hAnsi="Century Gothic"/>
          <w:sz w:val="20"/>
          <w:szCs w:val="20"/>
          <w:shd w:val="clear" w:color="auto" w:fill="FFFFFF"/>
        </w:rPr>
        <w:t> </w:t>
      </w:r>
    </w:p>
    <w:p w14:paraId="676267C8" w14:textId="71D2F7EA" w:rsidR="003A05B7" w:rsidRPr="00F97858" w:rsidRDefault="003A05B7" w:rsidP="00D278DE">
      <w:pPr>
        <w:pStyle w:val="Heading1"/>
        <w:widowControl w:val="0"/>
        <w:numPr>
          <w:ilvl w:val="1"/>
          <w:numId w:val="9"/>
        </w:numPr>
        <w:overflowPunct w:val="0"/>
        <w:autoSpaceDE w:val="0"/>
        <w:autoSpaceDN w:val="0"/>
        <w:adjustRightInd w:val="0"/>
        <w:spacing w:before="240" w:after="60"/>
        <w:textAlignment w:val="baseline"/>
        <w:rPr>
          <w:rFonts w:asciiTheme="minorHAnsi" w:hAnsiTheme="minorHAnsi" w:cs="Arial"/>
          <w:color w:val="auto"/>
          <w:sz w:val="20"/>
          <w:szCs w:val="20"/>
        </w:rPr>
      </w:pPr>
      <w:r w:rsidRPr="22E435CD">
        <w:rPr>
          <w:rFonts w:asciiTheme="minorHAnsi" w:hAnsiTheme="minorHAnsi" w:cs="Arial"/>
          <w:color w:val="auto"/>
          <w:sz w:val="20"/>
          <w:szCs w:val="20"/>
        </w:rPr>
        <w:lastRenderedPageBreak/>
        <w:t xml:space="preserve">Quality Assurance </w:t>
      </w:r>
      <w:bookmarkEnd w:id="13"/>
    </w:p>
    <w:p w14:paraId="25783AF0" w14:textId="7A6D599F" w:rsidR="006724AE" w:rsidRPr="006724AE" w:rsidRDefault="006724AE" w:rsidP="22E435CD"/>
    <w:p w14:paraId="15897515" w14:textId="4AFAE16D"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This project must comply with the ‘CCC – Quality Assurance of Evidence and Analysis’ guidance</w:t>
      </w:r>
      <w:r w:rsidRPr="22E435CD">
        <w:rPr>
          <w:rFonts w:ascii="Century Gothic" w:eastAsia="Times New Roman" w:hAnsi="Century Gothic" w:cs="Segoe UI"/>
          <w:sz w:val="16"/>
          <w:szCs w:val="16"/>
          <w:vertAlign w:val="superscript"/>
          <w:lang w:eastAsia="en-GB"/>
        </w:rPr>
        <w:t>1</w:t>
      </w:r>
      <w:r w:rsidRPr="22E435CD">
        <w:rPr>
          <w:rFonts w:ascii="Century Gothic" w:eastAsia="Times New Roman" w:hAnsi="Century Gothic" w:cs="Segoe UI"/>
          <w:sz w:val="20"/>
          <w:szCs w:val="20"/>
          <w:lang w:eastAsia="en-GB"/>
        </w:rPr>
        <w:t xml:space="preserve"> and bidders must set out their approach to quality assurance in their response to this ITT.</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555D5C6D" w14:textId="77777777" w:rsidR="006724AE" w:rsidRPr="006724AE" w:rsidRDefault="006724AE" w:rsidP="22E435CD">
      <w:pPr>
        <w:ind w:left="720"/>
        <w:jc w:val="both"/>
        <w:textAlignment w:val="baseline"/>
        <w:rPr>
          <w:rFonts w:ascii="Segoe UI" w:eastAsia="Times New Roman" w:hAnsi="Segoe UI" w:cs="Segoe UI"/>
          <w:sz w:val="18"/>
          <w:szCs w:val="18"/>
          <w:lang w:eastAsia="en-GB"/>
        </w:rPr>
      </w:pP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3A5499AA" w14:textId="77777777" w:rsidR="00F97858"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All research tasks and modelling must be quality assured and documented. Contractors should:</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4DA91A2D" w14:textId="6D8E63DF" w:rsidR="00F97858" w:rsidRPr="00F97858" w:rsidRDefault="006724AE" w:rsidP="00D278DE">
      <w:pPr>
        <w:pStyle w:val="ListParagraph"/>
        <w:numPr>
          <w:ilvl w:val="0"/>
          <w:numId w:val="10"/>
        </w:numPr>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xml:space="preserve">Include a quality assurance (QA) plan that they will apply to </w:t>
      </w:r>
      <w:r w:rsidR="008E42DC" w:rsidRPr="22E435CD">
        <w:rPr>
          <w:rFonts w:ascii="Century Gothic" w:eastAsia="Times New Roman" w:hAnsi="Century Gothic" w:cs="Segoe UI"/>
          <w:sz w:val="20"/>
          <w:szCs w:val="20"/>
          <w:lang w:eastAsia="en-GB"/>
        </w:rPr>
        <w:t>all</w:t>
      </w:r>
      <w:r w:rsidRPr="22E435CD">
        <w:rPr>
          <w:rFonts w:ascii="Century Gothic" w:eastAsia="Times New Roman" w:hAnsi="Century Gothic" w:cs="Segoe UI"/>
          <w:sz w:val="20"/>
          <w:szCs w:val="20"/>
          <w:lang w:eastAsia="en-GB"/>
        </w:rPr>
        <w:t xml:space="preserve"> the research tasks and modelling,</w:t>
      </w:r>
      <w:r w:rsidRPr="22E435CD">
        <w:rPr>
          <w:rFonts w:eastAsia="Times New Roman" w:cs="Arial"/>
          <w:sz w:val="20"/>
          <w:szCs w:val="20"/>
          <w:lang w:eastAsia="en-GB"/>
        </w:rPr>
        <w:t>  </w:t>
      </w:r>
      <w:r w:rsidRPr="22E435CD">
        <w:rPr>
          <w:rFonts w:ascii="Century Gothic" w:eastAsia="Times New Roman" w:hAnsi="Century Gothic" w:cs="Segoe UI"/>
          <w:sz w:val="20"/>
          <w:szCs w:val="20"/>
          <w:lang w:eastAsia="en-GB"/>
        </w:rPr>
        <w:t> </w:t>
      </w:r>
    </w:p>
    <w:p w14:paraId="0BA2C178" w14:textId="77777777" w:rsidR="00F97858" w:rsidRPr="00F97858" w:rsidRDefault="006724AE" w:rsidP="00D278DE">
      <w:pPr>
        <w:pStyle w:val="ListParagraph"/>
        <w:numPr>
          <w:ilvl w:val="0"/>
          <w:numId w:val="10"/>
        </w:numPr>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xml:space="preserve">Specify who will take lead responsibility for ensuring quality assurance and ensure that this responsibility rests with an individual not directly involved in the research, </w:t>
      </w:r>
      <w:proofErr w:type="gramStart"/>
      <w:r w:rsidRPr="22E435CD">
        <w:rPr>
          <w:rFonts w:ascii="Century Gothic" w:eastAsia="Times New Roman" w:hAnsi="Century Gothic" w:cs="Segoe UI"/>
          <w:sz w:val="20"/>
          <w:szCs w:val="20"/>
          <w:lang w:eastAsia="en-GB"/>
        </w:rPr>
        <w:t>analysis</w:t>
      </w:r>
      <w:proofErr w:type="gramEnd"/>
      <w:r w:rsidRPr="22E435CD">
        <w:rPr>
          <w:rFonts w:ascii="Century Gothic" w:eastAsia="Times New Roman" w:hAnsi="Century Gothic" w:cs="Segoe UI"/>
          <w:sz w:val="20"/>
          <w:szCs w:val="20"/>
          <w:lang w:eastAsia="en-GB"/>
        </w:rPr>
        <w:t xml:space="preserve"> or model development,</w:t>
      </w:r>
      <w:r w:rsidRPr="22E435CD">
        <w:rPr>
          <w:rFonts w:eastAsia="Times New Roman" w:cs="Arial"/>
          <w:sz w:val="20"/>
          <w:szCs w:val="20"/>
          <w:lang w:eastAsia="en-GB"/>
        </w:rPr>
        <w:t> </w:t>
      </w:r>
      <w:r w:rsidRPr="22E435CD">
        <w:rPr>
          <w:rFonts w:ascii="Century Gothic" w:eastAsia="Times New Roman" w:hAnsi="Century Gothic" w:cs="Segoe UI"/>
          <w:sz w:val="20"/>
          <w:szCs w:val="20"/>
          <w:lang w:eastAsia="en-GB"/>
        </w:rPr>
        <w:t> </w:t>
      </w:r>
    </w:p>
    <w:p w14:paraId="5C823D9A" w14:textId="77777777" w:rsidR="00F97858" w:rsidRPr="00F97858" w:rsidRDefault="006724AE" w:rsidP="00D278DE">
      <w:pPr>
        <w:pStyle w:val="ListParagraph"/>
        <w:numPr>
          <w:ilvl w:val="0"/>
          <w:numId w:val="10"/>
        </w:numPr>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Provide QA log to demonstrate the QA undertaken, including who undertook the QA and the scope, type and level of QA that has been undertaken (</w:t>
      </w:r>
      <w:proofErr w:type="gramStart"/>
      <w:r w:rsidRPr="22E435CD">
        <w:rPr>
          <w:rFonts w:ascii="Century Gothic" w:eastAsia="Times New Roman" w:hAnsi="Century Gothic" w:cs="Segoe UI"/>
          <w:sz w:val="20"/>
          <w:szCs w:val="20"/>
          <w:lang w:eastAsia="en-GB"/>
        </w:rPr>
        <w:t>e.g.</w:t>
      </w:r>
      <w:proofErr w:type="gramEnd"/>
      <w:r w:rsidRPr="22E435CD">
        <w:rPr>
          <w:rFonts w:ascii="Century Gothic" w:eastAsia="Times New Roman" w:hAnsi="Century Gothic" w:cs="Segoe UI"/>
          <w:sz w:val="20"/>
          <w:szCs w:val="20"/>
          <w:lang w:eastAsia="en-GB"/>
        </w:rPr>
        <w:t xml:space="preserve"> a log entry only stating ‘the data was checked’ will not be sufficient),</w:t>
      </w:r>
      <w:r w:rsidRPr="22E435CD">
        <w:rPr>
          <w:rFonts w:eastAsia="Times New Roman" w:cs="Arial"/>
          <w:sz w:val="20"/>
          <w:szCs w:val="20"/>
          <w:lang w:eastAsia="en-GB"/>
        </w:rPr>
        <w:t> </w:t>
      </w:r>
      <w:r w:rsidRPr="22E435CD">
        <w:rPr>
          <w:rFonts w:ascii="Century Gothic" w:eastAsia="Times New Roman" w:hAnsi="Century Gothic" w:cs="Segoe UI"/>
          <w:sz w:val="20"/>
          <w:szCs w:val="20"/>
          <w:lang w:eastAsia="en-GB"/>
        </w:rPr>
        <w:t> </w:t>
      </w:r>
    </w:p>
    <w:p w14:paraId="50B04E1A" w14:textId="1E6D271D" w:rsidR="006724AE" w:rsidRPr="00F97858" w:rsidRDefault="006724AE" w:rsidP="00D278DE">
      <w:pPr>
        <w:pStyle w:val="ListParagraph"/>
        <w:numPr>
          <w:ilvl w:val="0"/>
          <w:numId w:val="10"/>
        </w:numPr>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Allow for a meeting with CCC staff to run through QA performed.</w:t>
      </w:r>
      <w:r w:rsidRPr="22E435CD">
        <w:rPr>
          <w:rFonts w:eastAsia="Times New Roman" w:cs="Arial"/>
          <w:sz w:val="20"/>
          <w:szCs w:val="20"/>
          <w:lang w:eastAsia="en-GB"/>
        </w:rPr>
        <w:t>  </w:t>
      </w:r>
      <w:r w:rsidRPr="22E435CD">
        <w:rPr>
          <w:rFonts w:ascii="Century Gothic" w:eastAsia="Times New Roman" w:hAnsi="Century Gothic" w:cs="Segoe UI"/>
          <w:sz w:val="20"/>
          <w:szCs w:val="20"/>
          <w:lang w:eastAsia="en-GB"/>
        </w:rPr>
        <w:t> </w:t>
      </w:r>
    </w:p>
    <w:p w14:paraId="20CCD73D" w14:textId="1707D200"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Sign-off for the quality assurance must be done by someone of sufficient seniority within the contractor organisation to be able take responsibility for the work done.</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xml:space="preserve"> Acceptance of the work by the CCC will take this into consideration. The CCC reserves the right to refuse to sign off outputs which do not meet the required standard specified in this invitation to tender.</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6D6A0B23" w14:textId="77777777"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183A1E9A" w14:textId="77777777"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The successful bidder will be responsible for any work supplied by sub-contractors and should therefore provide assurance that all work in the contract is undertaken in accordance with the quality assurance expectation agreed at the beginning of the project.</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0266E8F3" w14:textId="2E0F0919" w:rsidR="003A05B7" w:rsidRPr="00DF2F37" w:rsidRDefault="006724AE" w:rsidP="00DF2F37">
      <w:pPr>
        <w:ind w:left="72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w:t>
      </w:r>
    </w:p>
    <w:p w14:paraId="410352B9" w14:textId="5328BFA7" w:rsidR="003A05B7" w:rsidRPr="00F97858" w:rsidRDefault="003A05B7" w:rsidP="00D278DE">
      <w:pPr>
        <w:pStyle w:val="Heading1"/>
        <w:widowControl w:val="0"/>
        <w:numPr>
          <w:ilvl w:val="1"/>
          <w:numId w:val="8"/>
        </w:numPr>
        <w:overflowPunct w:val="0"/>
        <w:autoSpaceDE w:val="0"/>
        <w:autoSpaceDN w:val="0"/>
        <w:adjustRightInd w:val="0"/>
        <w:spacing w:before="240" w:after="60"/>
        <w:textAlignment w:val="baseline"/>
        <w:rPr>
          <w:rFonts w:asciiTheme="minorHAnsi" w:hAnsiTheme="minorHAnsi"/>
          <w:color w:val="auto"/>
          <w:sz w:val="20"/>
          <w:szCs w:val="20"/>
        </w:rPr>
      </w:pPr>
      <w:bookmarkStart w:id="15" w:name="_Ref373505215"/>
      <w:bookmarkStart w:id="16" w:name="_Toc381969513"/>
      <w:bookmarkStart w:id="17" w:name="_Toc405888462"/>
      <w:r w:rsidRPr="22E435CD">
        <w:rPr>
          <w:rFonts w:asciiTheme="minorHAnsi" w:hAnsiTheme="minorHAnsi" w:cs="Arial"/>
          <w:color w:val="auto"/>
          <w:sz w:val="20"/>
          <w:szCs w:val="20"/>
        </w:rPr>
        <w:t>Timetable</w:t>
      </w:r>
      <w:bookmarkEnd w:id="14"/>
      <w:bookmarkEnd w:id="15"/>
      <w:bookmarkEnd w:id="16"/>
      <w:bookmarkEnd w:id="17"/>
    </w:p>
    <w:p w14:paraId="4E3F2D29" w14:textId="4DBA3EBD" w:rsidR="006724AE" w:rsidRPr="006724AE" w:rsidRDefault="006724AE" w:rsidP="22E435CD">
      <w:pPr>
        <w:pStyle w:val="ListParagraph"/>
        <w:ind w:left="1080"/>
        <w:textAlignment w:val="baseline"/>
        <w:rPr>
          <w:rFonts w:ascii="Segoe UI" w:eastAsia="Times New Roman" w:hAnsi="Segoe UI" w:cs="Segoe UI"/>
          <w:sz w:val="18"/>
          <w:szCs w:val="18"/>
          <w:lang w:eastAsia="en-GB"/>
        </w:rPr>
      </w:pPr>
      <w:r w:rsidRPr="4125DC50">
        <w:rPr>
          <w:rFonts w:ascii="Century Gothic" w:eastAsia="Times New Roman" w:hAnsi="Century Gothic" w:cs="Segoe UI"/>
          <w:sz w:val="20"/>
          <w:szCs w:val="20"/>
          <w:lang w:eastAsia="en-GB"/>
        </w:rPr>
        <w:t>The proposed timetable for the project is set out in the following table. Ability to start work in</w:t>
      </w:r>
      <w:r w:rsidR="1456D960" w:rsidRPr="4125DC50">
        <w:rPr>
          <w:rFonts w:ascii="Century Gothic" w:eastAsia="Times New Roman" w:hAnsi="Century Gothic" w:cs="Segoe UI"/>
          <w:sz w:val="20"/>
          <w:szCs w:val="20"/>
          <w:lang w:eastAsia="en-GB"/>
        </w:rPr>
        <w:t xml:space="preserve"> </w:t>
      </w:r>
      <w:r w:rsidR="00D278DE">
        <w:rPr>
          <w:rFonts w:ascii="Century Gothic" w:eastAsia="Times New Roman" w:hAnsi="Century Gothic" w:cs="Segoe UI"/>
          <w:sz w:val="20"/>
          <w:szCs w:val="20"/>
          <w:lang w:eastAsia="en-GB"/>
        </w:rPr>
        <w:t>January</w:t>
      </w:r>
      <w:r w:rsidRPr="4125DC50">
        <w:rPr>
          <w:rFonts w:ascii="Century Gothic" w:eastAsia="Times New Roman" w:hAnsi="Century Gothic" w:cs="Segoe UI"/>
          <w:sz w:val="20"/>
          <w:szCs w:val="20"/>
          <w:lang w:eastAsia="en-GB"/>
        </w:rPr>
        <w:t xml:space="preserve"> is highly desirable for this project.</w:t>
      </w:r>
      <w:r w:rsidRPr="4125DC50">
        <w:rPr>
          <w:rFonts w:eastAsia="Times New Roman" w:cs="Arial"/>
          <w:sz w:val="20"/>
          <w:szCs w:val="20"/>
          <w:lang w:eastAsia="en-GB"/>
        </w:rPr>
        <w:t>   </w:t>
      </w:r>
      <w:r w:rsidRPr="4125DC50">
        <w:rPr>
          <w:rFonts w:ascii="Century Gothic" w:eastAsia="Times New Roman" w:hAnsi="Century Gothic" w:cs="Segoe UI"/>
          <w:sz w:val="20"/>
          <w:szCs w:val="20"/>
          <w:lang w:eastAsia="en-GB"/>
        </w:rPr>
        <w:t> </w:t>
      </w:r>
      <w:r w:rsidRPr="4125DC50">
        <w:rPr>
          <w:rFonts w:eastAsia="Times New Roman" w:cs="Arial"/>
          <w:sz w:val="20"/>
          <w:szCs w:val="20"/>
          <w:lang w:eastAsia="en-GB"/>
        </w:rPr>
        <w:t> </w:t>
      </w:r>
      <w:r w:rsidRPr="4125DC50">
        <w:rPr>
          <w:rFonts w:ascii="Century Gothic" w:eastAsia="Times New Roman" w:hAnsi="Century Gothic" w:cs="Segoe UI"/>
          <w:sz w:val="20"/>
          <w:szCs w:val="20"/>
          <w:lang w:eastAsia="en-GB"/>
        </w:rPr>
        <w:t> </w:t>
      </w:r>
    </w:p>
    <w:tbl>
      <w:tblPr>
        <w:tblStyle w:val="GridTable5Dark-Accent4"/>
        <w:tblW w:w="7069" w:type="dxa"/>
        <w:tblInd w:w="1898" w:type="dxa"/>
        <w:tblLook w:val="04A0" w:firstRow="1" w:lastRow="0" w:firstColumn="1" w:lastColumn="0" w:noHBand="0" w:noVBand="1"/>
      </w:tblPr>
      <w:tblGrid>
        <w:gridCol w:w="2185"/>
        <w:gridCol w:w="4884"/>
      </w:tblGrid>
      <w:tr w:rsidR="006724AE" w:rsidRPr="006724AE" w14:paraId="088AE1E1" w14:textId="77777777" w:rsidTr="008E42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5" w:type="dxa"/>
            <w:hideMark/>
          </w:tcPr>
          <w:p w14:paraId="68B45A34" w14:textId="77777777" w:rsidR="006724AE" w:rsidRPr="006724AE" w:rsidRDefault="006724AE" w:rsidP="22E435CD">
            <w:pPr>
              <w:textAlignment w:val="baseline"/>
              <w:rPr>
                <w:rFonts w:ascii="Times New Roman" w:eastAsia="Times New Roman" w:hAnsi="Times New Roman" w:cs="Times New Roman"/>
                <w:sz w:val="24"/>
                <w:szCs w:val="24"/>
                <w:lang w:eastAsia="en-GB"/>
              </w:rPr>
            </w:pPr>
            <w:r w:rsidRPr="22E435CD">
              <w:rPr>
                <w:rFonts w:ascii="Century Gothic" w:eastAsia="Times New Roman" w:hAnsi="Century Gothic" w:cs="Times New Roman"/>
                <w:sz w:val="20"/>
                <w:szCs w:val="20"/>
                <w:lang w:eastAsia="en-GB"/>
              </w:rPr>
              <w:t>Date</w:t>
            </w:r>
            <w:r w:rsidRPr="22E435CD">
              <w:rPr>
                <w:rFonts w:ascii="Arial" w:eastAsia="Times New Roman" w:hAnsi="Arial" w:cs="Arial"/>
                <w:sz w:val="20"/>
                <w:szCs w:val="20"/>
                <w:lang w:eastAsia="en-GB"/>
              </w:rPr>
              <w:t> </w:t>
            </w:r>
            <w:r w:rsidRPr="22E435CD">
              <w:rPr>
                <w:rFonts w:ascii="Century Gothic" w:eastAsia="Times New Roman" w:hAnsi="Century Gothic" w:cs="Times New Roman"/>
                <w:sz w:val="20"/>
                <w:szCs w:val="20"/>
                <w:lang w:eastAsia="en-GB"/>
              </w:rPr>
              <w:t> </w:t>
            </w:r>
          </w:p>
        </w:tc>
        <w:tc>
          <w:tcPr>
            <w:tcW w:w="4884" w:type="dxa"/>
            <w:hideMark/>
          </w:tcPr>
          <w:p w14:paraId="69F574B3" w14:textId="77777777" w:rsidR="006724AE" w:rsidRPr="006724AE" w:rsidRDefault="006724AE" w:rsidP="22E435CD">
            <w:pP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22E435CD">
              <w:rPr>
                <w:rFonts w:ascii="Century Gothic" w:eastAsia="Times New Roman" w:hAnsi="Century Gothic" w:cs="Times New Roman"/>
                <w:sz w:val="20"/>
                <w:szCs w:val="20"/>
                <w:lang w:eastAsia="en-GB"/>
              </w:rPr>
              <w:t>Action</w:t>
            </w:r>
            <w:r w:rsidRPr="22E435CD">
              <w:rPr>
                <w:rFonts w:ascii="Arial" w:eastAsia="Times New Roman" w:hAnsi="Arial" w:cs="Arial"/>
                <w:sz w:val="20"/>
                <w:szCs w:val="20"/>
                <w:lang w:eastAsia="en-GB"/>
              </w:rPr>
              <w:t> </w:t>
            </w:r>
            <w:r w:rsidRPr="22E435CD">
              <w:rPr>
                <w:rFonts w:ascii="Century Gothic" w:eastAsia="Times New Roman" w:hAnsi="Century Gothic" w:cs="Times New Roman"/>
                <w:sz w:val="20"/>
                <w:szCs w:val="20"/>
                <w:lang w:eastAsia="en-GB"/>
              </w:rPr>
              <w:t> </w:t>
            </w:r>
          </w:p>
        </w:tc>
      </w:tr>
      <w:tr w:rsidR="006724AE" w:rsidRPr="006724AE" w14:paraId="6FB5DDF6" w14:textId="77777777" w:rsidTr="008E42D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85" w:type="dxa"/>
            <w:hideMark/>
          </w:tcPr>
          <w:p w14:paraId="530828F6" w14:textId="4441CB37" w:rsidR="006724AE" w:rsidRPr="006724AE" w:rsidRDefault="00DE372F" w:rsidP="22E435CD">
            <w:pPr>
              <w:textAlignment w:val="baseline"/>
              <w:rPr>
                <w:rFonts w:ascii="Times New Roman" w:eastAsia="Times New Roman" w:hAnsi="Times New Roman" w:cs="Times New Roman"/>
                <w:sz w:val="24"/>
                <w:szCs w:val="24"/>
                <w:lang w:eastAsia="en-GB"/>
              </w:rPr>
            </w:pPr>
            <w:r>
              <w:rPr>
                <w:rFonts w:ascii="Century Gothic" w:eastAsia="Times New Roman" w:hAnsi="Century Gothic" w:cs="Times New Roman"/>
                <w:sz w:val="20"/>
                <w:szCs w:val="20"/>
                <w:lang w:eastAsia="en-GB"/>
              </w:rPr>
              <w:t>w/c 16 January</w:t>
            </w:r>
          </w:p>
        </w:tc>
        <w:tc>
          <w:tcPr>
            <w:tcW w:w="4884" w:type="dxa"/>
            <w:hideMark/>
          </w:tcPr>
          <w:p w14:paraId="7B18565B" w14:textId="77777777" w:rsidR="006724AE" w:rsidRPr="006724AE" w:rsidRDefault="006724AE" w:rsidP="22E435CD">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22E435CD">
              <w:rPr>
                <w:rFonts w:ascii="Century Gothic" w:eastAsia="Times New Roman" w:hAnsi="Century Gothic" w:cs="Times New Roman"/>
                <w:sz w:val="20"/>
                <w:szCs w:val="20"/>
                <w:lang w:eastAsia="en-GB"/>
              </w:rPr>
              <w:t>Kick-off meeting</w:t>
            </w:r>
            <w:r w:rsidRPr="22E435CD">
              <w:rPr>
                <w:rFonts w:ascii="Arial" w:eastAsia="Times New Roman" w:hAnsi="Arial" w:cs="Arial"/>
                <w:sz w:val="20"/>
                <w:szCs w:val="20"/>
                <w:lang w:eastAsia="en-GB"/>
              </w:rPr>
              <w:t> </w:t>
            </w:r>
            <w:r w:rsidRPr="22E435CD">
              <w:rPr>
                <w:rFonts w:ascii="Century Gothic" w:eastAsia="Times New Roman" w:hAnsi="Century Gothic" w:cs="Times New Roman"/>
                <w:sz w:val="20"/>
                <w:szCs w:val="20"/>
                <w:lang w:eastAsia="en-GB"/>
              </w:rPr>
              <w:t> </w:t>
            </w:r>
          </w:p>
        </w:tc>
      </w:tr>
      <w:tr w:rsidR="006724AE" w:rsidRPr="006724AE" w14:paraId="481B7AC0" w14:textId="77777777" w:rsidTr="008E42DC">
        <w:trPr>
          <w:trHeight w:val="401"/>
        </w:trPr>
        <w:tc>
          <w:tcPr>
            <w:cnfStyle w:val="001000000000" w:firstRow="0" w:lastRow="0" w:firstColumn="1" w:lastColumn="0" w:oddVBand="0" w:evenVBand="0" w:oddHBand="0" w:evenHBand="0" w:firstRowFirstColumn="0" w:firstRowLastColumn="0" w:lastRowFirstColumn="0" w:lastRowLastColumn="0"/>
            <w:tcW w:w="2185" w:type="dxa"/>
            <w:hideMark/>
          </w:tcPr>
          <w:p w14:paraId="2F111EC7" w14:textId="340F0D0C" w:rsidR="006724AE" w:rsidRPr="006724AE" w:rsidRDefault="006724AE" w:rsidP="22E435CD">
            <w:pPr>
              <w:textAlignment w:val="baseline"/>
              <w:rPr>
                <w:rFonts w:ascii="Times New Roman" w:eastAsia="Times New Roman" w:hAnsi="Times New Roman" w:cs="Times New Roman"/>
                <w:sz w:val="24"/>
                <w:szCs w:val="24"/>
                <w:lang w:eastAsia="en-GB"/>
              </w:rPr>
            </w:pPr>
            <w:r w:rsidRPr="4125DC50">
              <w:rPr>
                <w:rFonts w:ascii="Century Gothic" w:eastAsia="Times New Roman" w:hAnsi="Century Gothic" w:cs="Times New Roman"/>
                <w:sz w:val="20"/>
                <w:szCs w:val="20"/>
                <w:lang w:eastAsia="en-GB"/>
              </w:rPr>
              <w:t xml:space="preserve">w/c </w:t>
            </w:r>
            <w:r w:rsidR="00666218">
              <w:rPr>
                <w:rFonts w:ascii="Century Gothic" w:eastAsia="Times New Roman" w:hAnsi="Century Gothic" w:cs="Times New Roman"/>
                <w:sz w:val="20"/>
                <w:szCs w:val="20"/>
                <w:lang w:eastAsia="en-GB"/>
              </w:rPr>
              <w:t xml:space="preserve">30 </w:t>
            </w:r>
            <w:r w:rsidR="00D278DE">
              <w:rPr>
                <w:rFonts w:ascii="Century Gothic" w:eastAsia="Times New Roman" w:hAnsi="Century Gothic" w:cs="Times New Roman"/>
                <w:sz w:val="20"/>
                <w:szCs w:val="20"/>
                <w:lang w:eastAsia="en-GB"/>
              </w:rPr>
              <w:t>January</w:t>
            </w:r>
          </w:p>
        </w:tc>
        <w:tc>
          <w:tcPr>
            <w:tcW w:w="4884" w:type="dxa"/>
          </w:tcPr>
          <w:p w14:paraId="3ED68E3C" w14:textId="1CE33A1D" w:rsidR="006724AE" w:rsidRPr="006724AE" w:rsidRDefault="00EB1534" w:rsidP="18B58892">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Pr>
                <w:rFonts w:ascii="Century Gothic" w:eastAsia="Times New Roman" w:hAnsi="Century Gothic" w:cs="Times New Roman"/>
                <w:sz w:val="20"/>
                <w:szCs w:val="20"/>
                <w:lang w:eastAsia="en-GB"/>
              </w:rPr>
              <w:t>Stakeholder engagement</w:t>
            </w:r>
            <w:r w:rsidR="00D278DE">
              <w:rPr>
                <w:rFonts w:ascii="Century Gothic" w:eastAsia="Times New Roman" w:hAnsi="Century Gothic" w:cs="Times New Roman"/>
                <w:sz w:val="20"/>
                <w:szCs w:val="20"/>
                <w:lang w:eastAsia="en-GB"/>
              </w:rPr>
              <w:t xml:space="preserve"> to begin</w:t>
            </w:r>
            <w:r w:rsidR="00D278DE" w:rsidRPr="22E435CD">
              <w:rPr>
                <w:rFonts w:ascii="Arial" w:eastAsia="Times New Roman" w:hAnsi="Arial" w:cs="Arial"/>
                <w:sz w:val="20"/>
                <w:szCs w:val="20"/>
                <w:lang w:eastAsia="en-GB"/>
              </w:rPr>
              <w:t> </w:t>
            </w:r>
            <w:r w:rsidR="00D278DE" w:rsidRPr="22E435CD">
              <w:rPr>
                <w:rFonts w:ascii="Century Gothic" w:eastAsia="Times New Roman" w:hAnsi="Century Gothic" w:cs="Times New Roman"/>
                <w:sz w:val="20"/>
                <w:szCs w:val="20"/>
                <w:lang w:eastAsia="en-GB"/>
              </w:rPr>
              <w:t> </w:t>
            </w:r>
          </w:p>
        </w:tc>
      </w:tr>
      <w:tr w:rsidR="00D278DE" w:rsidRPr="006724AE" w14:paraId="41D62943" w14:textId="77777777" w:rsidTr="008E42DC">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185" w:type="dxa"/>
          </w:tcPr>
          <w:p w14:paraId="4BB45EF9" w14:textId="68D6A9C6" w:rsidR="00D278DE" w:rsidRDefault="00D278DE" w:rsidP="00D278DE">
            <w:pPr>
              <w:textAlignment w:val="baseline"/>
              <w:rPr>
                <w:rFonts w:ascii="Century Gothic" w:eastAsia="Times New Roman" w:hAnsi="Century Gothic" w:cs="Times New Roman"/>
                <w:sz w:val="20"/>
                <w:szCs w:val="20"/>
                <w:lang w:eastAsia="en-GB"/>
              </w:rPr>
            </w:pPr>
            <w:r>
              <w:rPr>
                <w:rFonts w:ascii="Century Gothic" w:eastAsia="Times New Roman" w:hAnsi="Century Gothic" w:cs="Times New Roman"/>
                <w:sz w:val="20"/>
                <w:szCs w:val="20"/>
                <w:lang w:eastAsia="en-GB"/>
              </w:rPr>
              <w:t xml:space="preserve">w/c </w:t>
            </w:r>
            <w:r w:rsidR="00666218">
              <w:rPr>
                <w:rFonts w:ascii="Century Gothic" w:eastAsia="Times New Roman" w:hAnsi="Century Gothic" w:cs="Times New Roman"/>
                <w:sz w:val="20"/>
                <w:szCs w:val="20"/>
                <w:lang w:eastAsia="en-GB"/>
              </w:rPr>
              <w:t>27 February</w:t>
            </w:r>
          </w:p>
          <w:p w14:paraId="5998BCB4" w14:textId="2BFB8030" w:rsidR="00EB1534" w:rsidRPr="4125DC50" w:rsidRDefault="00EB1534" w:rsidP="00D278DE">
            <w:pPr>
              <w:textAlignment w:val="baseline"/>
              <w:rPr>
                <w:rFonts w:ascii="Century Gothic" w:eastAsia="Times New Roman" w:hAnsi="Century Gothic" w:cs="Times New Roman"/>
                <w:sz w:val="20"/>
                <w:szCs w:val="20"/>
                <w:lang w:eastAsia="en-GB"/>
              </w:rPr>
            </w:pPr>
          </w:p>
        </w:tc>
        <w:tc>
          <w:tcPr>
            <w:tcW w:w="4884" w:type="dxa"/>
          </w:tcPr>
          <w:p w14:paraId="538C20E1" w14:textId="0F6106FD" w:rsidR="00D278DE" w:rsidRPr="18B58892" w:rsidRDefault="00D278DE" w:rsidP="00D278DE">
            <w:pPr>
              <w:textAlignment w:val="baseline"/>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0"/>
                <w:szCs w:val="20"/>
                <w:lang w:eastAsia="en-GB"/>
              </w:rPr>
            </w:pPr>
            <w:r w:rsidRPr="18B58892">
              <w:rPr>
                <w:rFonts w:ascii="Century Gothic" w:eastAsia="Times New Roman" w:hAnsi="Century Gothic" w:cs="Times New Roman"/>
                <w:sz w:val="20"/>
                <w:szCs w:val="20"/>
                <w:lang w:eastAsia="en-GB"/>
              </w:rPr>
              <w:t>First interim presentation/report on progress</w:t>
            </w:r>
          </w:p>
        </w:tc>
      </w:tr>
      <w:tr w:rsidR="00AB09FF" w:rsidRPr="006724AE" w14:paraId="1E4B8817" w14:textId="77777777" w:rsidTr="008E42DC">
        <w:trPr>
          <w:trHeight w:val="495"/>
        </w:trPr>
        <w:tc>
          <w:tcPr>
            <w:cnfStyle w:val="001000000000" w:firstRow="0" w:lastRow="0" w:firstColumn="1" w:lastColumn="0" w:oddVBand="0" w:evenVBand="0" w:oddHBand="0" w:evenHBand="0" w:firstRowFirstColumn="0" w:firstRowLastColumn="0" w:lastRowFirstColumn="0" w:lastRowLastColumn="0"/>
            <w:tcW w:w="2185" w:type="dxa"/>
          </w:tcPr>
          <w:p w14:paraId="1C307E3C" w14:textId="2DDC7AD2" w:rsidR="00AB09FF" w:rsidRDefault="00AB09FF" w:rsidP="00D278DE">
            <w:pPr>
              <w:textAlignment w:val="baseline"/>
              <w:rPr>
                <w:rFonts w:ascii="Century Gothic" w:eastAsia="Times New Roman" w:hAnsi="Century Gothic" w:cs="Times New Roman"/>
                <w:sz w:val="20"/>
                <w:szCs w:val="20"/>
                <w:lang w:eastAsia="en-GB"/>
              </w:rPr>
            </w:pPr>
            <w:r>
              <w:rPr>
                <w:rFonts w:ascii="Century Gothic" w:eastAsia="Times New Roman" w:hAnsi="Century Gothic" w:cs="Times New Roman"/>
                <w:sz w:val="20"/>
                <w:szCs w:val="20"/>
                <w:lang w:eastAsia="en-GB"/>
              </w:rPr>
              <w:t>w/c 27 March</w:t>
            </w:r>
          </w:p>
        </w:tc>
        <w:tc>
          <w:tcPr>
            <w:tcW w:w="4884" w:type="dxa"/>
          </w:tcPr>
          <w:p w14:paraId="0B678AFB" w14:textId="2D109652" w:rsidR="00AB09FF" w:rsidRPr="18B58892" w:rsidRDefault="00AB09FF" w:rsidP="00D278DE">
            <w:pPr>
              <w:textAlignment w:val="baseline"/>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0"/>
                <w:szCs w:val="20"/>
                <w:lang w:eastAsia="en-GB"/>
              </w:rPr>
            </w:pPr>
            <w:r>
              <w:rPr>
                <w:rFonts w:ascii="Century Gothic" w:eastAsia="Times New Roman" w:hAnsi="Century Gothic" w:cs="Times New Roman"/>
                <w:sz w:val="20"/>
                <w:szCs w:val="20"/>
                <w:lang w:eastAsia="en-GB"/>
              </w:rPr>
              <w:t>Second interim presentation</w:t>
            </w:r>
          </w:p>
        </w:tc>
      </w:tr>
      <w:tr w:rsidR="00D278DE" w:rsidRPr="006724AE" w14:paraId="5B064BC8" w14:textId="77777777" w:rsidTr="008E42DC">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185" w:type="dxa"/>
          </w:tcPr>
          <w:p w14:paraId="4A1EEADB" w14:textId="2BE0E551" w:rsidR="00D278DE" w:rsidRDefault="00666218" w:rsidP="00D278DE">
            <w:pPr>
              <w:textAlignment w:val="baseline"/>
              <w:rPr>
                <w:rFonts w:ascii="Century Gothic" w:eastAsia="Times New Roman" w:hAnsi="Century Gothic" w:cs="Times New Roman"/>
                <w:sz w:val="20"/>
                <w:szCs w:val="20"/>
                <w:lang w:eastAsia="en-GB"/>
              </w:rPr>
            </w:pPr>
            <w:r>
              <w:rPr>
                <w:rFonts w:ascii="Century Gothic" w:eastAsia="Times New Roman" w:hAnsi="Century Gothic" w:cs="Times New Roman"/>
                <w:sz w:val="20"/>
                <w:szCs w:val="20"/>
                <w:lang w:eastAsia="en-GB"/>
              </w:rPr>
              <w:t xml:space="preserve">w/c </w:t>
            </w:r>
            <w:r w:rsidR="0058136B">
              <w:rPr>
                <w:rFonts w:ascii="Century Gothic" w:eastAsia="Times New Roman" w:hAnsi="Century Gothic" w:cs="Times New Roman"/>
                <w:sz w:val="20"/>
                <w:szCs w:val="20"/>
                <w:lang w:eastAsia="en-GB"/>
              </w:rPr>
              <w:t>3</w:t>
            </w:r>
            <w:r>
              <w:rPr>
                <w:rFonts w:ascii="Century Gothic" w:eastAsia="Times New Roman" w:hAnsi="Century Gothic" w:cs="Times New Roman"/>
                <w:sz w:val="20"/>
                <w:szCs w:val="20"/>
                <w:lang w:eastAsia="en-GB"/>
              </w:rPr>
              <w:t xml:space="preserve"> April</w:t>
            </w:r>
          </w:p>
        </w:tc>
        <w:tc>
          <w:tcPr>
            <w:tcW w:w="4884" w:type="dxa"/>
          </w:tcPr>
          <w:p w14:paraId="1F249F77" w14:textId="4E33DA19" w:rsidR="00D278DE" w:rsidRPr="18B58892" w:rsidRDefault="00D278DE" w:rsidP="00D278DE">
            <w:pPr>
              <w:textAlignment w:val="baseline"/>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0"/>
                <w:szCs w:val="20"/>
                <w:lang w:eastAsia="en-GB"/>
              </w:rPr>
            </w:pPr>
            <w:r>
              <w:rPr>
                <w:rFonts w:ascii="Century Gothic" w:eastAsia="Times New Roman" w:hAnsi="Century Gothic" w:cs="Times New Roman"/>
                <w:sz w:val="20"/>
                <w:szCs w:val="20"/>
                <w:lang w:eastAsia="en-GB"/>
              </w:rPr>
              <w:t>Delivery of draft report</w:t>
            </w:r>
          </w:p>
        </w:tc>
      </w:tr>
      <w:tr w:rsidR="00D278DE" w:rsidRPr="006724AE" w14:paraId="6EE18B44" w14:textId="77777777" w:rsidTr="008E42DC">
        <w:tc>
          <w:tcPr>
            <w:cnfStyle w:val="001000000000" w:firstRow="0" w:lastRow="0" w:firstColumn="1" w:lastColumn="0" w:oddVBand="0" w:evenVBand="0" w:oddHBand="0" w:evenHBand="0" w:firstRowFirstColumn="0" w:firstRowLastColumn="0" w:lastRowFirstColumn="0" w:lastRowLastColumn="0"/>
            <w:tcW w:w="2185" w:type="dxa"/>
            <w:hideMark/>
          </w:tcPr>
          <w:p w14:paraId="6140E141" w14:textId="0984491B" w:rsidR="00D278DE" w:rsidRPr="006724AE" w:rsidRDefault="00D278DE" w:rsidP="00D278DE">
            <w:pPr>
              <w:textAlignment w:val="baseline"/>
              <w:rPr>
                <w:rFonts w:ascii="Times New Roman" w:eastAsia="Times New Roman" w:hAnsi="Times New Roman" w:cs="Times New Roman"/>
                <w:sz w:val="24"/>
                <w:szCs w:val="24"/>
                <w:lang w:eastAsia="en-GB"/>
              </w:rPr>
            </w:pPr>
            <w:r w:rsidRPr="22E435CD">
              <w:rPr>
                <w:rFonts w:ascii="Century Gothic" w:eastAsia="Times New Roman" w:hAnsi="Century Gothic" w:cs="Times New Roman"/>
                <w:sz w:val="20"/>
                <w:szCs w:val="20"/>
                <w:lang w:eastAsia="en-GB"/>
              </w:rPr>
              <w:t xml:space="preserve">w/c </w:t>
            </w:r>
            <w:r w:rsidR="0058136B">
              <w:rPr>
                <w:rFonts w:ascii="Century Gothic" w:eastAsia="Times New Roman" w:hAnsi="Century Gothic" w:cs="Times New Roman"/>
                <w:sz w:val="20"/>
                <w:szCs w:val="20"/>
                <w:lang w:eastAsia="en-GB"/>
              </w:rPr>
              <w:t>17 April</w:t>
            </w:r>
            <w:r w:rsidRPr="22E435CD">
              <w:rPr>
                <w:rFonts w:ascii="Century Gothic" w:eastAsia="Times New Roman" w:hAnsi="Century Gothic" w:cs="Times New Roman"/>
                <w:sz w:val="20"/>
                <w:szCs w:val="20"/>
                <w:lang w:eastAsia="en-GB"/>
              </w:rPr>
              <w:t> </w:t>
            </w:r>
          </w:p>
        </w:tc>
        <w:tc>
          <w:tcPr>
            <w:tcW w:w="4884" w:type="dxa"/>
            <w:hideMark/>
          </w:tcPr>
          <w:p w14:paraId="4F0FF126" w14:textId="77777777" w:rsidR="00D278DE" w:rsidRPr="006724AE" w:rsidRDefault="00D278DE" w:rsidP="00D278DE">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22E435CD">
              <w:rPr>
                <w:rFonts w:ascii="Century Gothic" w:eastAsia="Times New Roman" w:hAnsi="Century Gothic" w:cs="Times New Roman"/>
                <w:sz w:val="20"/>
                <w:szCs w:val="20"/>
                <w:lang w:eastAsia="en-GB"/>
              </w:rPr>
              <w:t xml:space="preserve">Latest date for delivery of final report, analytical </w:t>
            </w:r>
            <w:proofErr w:type="gramStart"/>
            <w:r w:rsidRPr="22E435CD">
              <w:rPr>
                <w:rFonts w:ascii="Century Gothic" w:eastAsia="Times New Roman" w:hAnsi="Century Gothic" w:cs="Times New Roman"/>
                <w:sz w:val="20"/>
                <w:szCs w:val="20"/>
                <w:lang w:eastAsia="en-GB"/>
              </w:rPr>
              <w:t>outputs</w:t>
            </w:r>
            <w:proofErr w:type="gramEnd"/>
            <w:r w:rsidRPr="22E435CD">
              <w:rPr>
                <w:rFonts w:ascii="Century Gothic" w:eastAsia="Times New Roman" w:hAnsi="Century Gothic" w:cs="Times New Roman"/>
                <w:sz w:val="20"/>
                <w:szCs w:val="20"/>
                <w:lang w:eastAsia="en-GB"/>
              </w:rPr>
              <w:t xml:space="preserve"> and assumptions log</w:t>
            </w:r>
            <w:r w:rsidRPr="22E435CD">
              <w:rPr>
                <w:rFonts w:ascii="Arial" w:eastAsia="Times New Roman" w:hAnsi="Arial" w:cs="Arial"/>
                <w:sz w:val="20"/>
                <w:szCs w:val="20"/>
                <w:lang w:eastAsia="en-GB"/>
              </w:rPr>
              <w:t> </w:t>
            </w:r>
            <w:r w:rsidRPr="22E435CD">
              <w:rPr>
                <w:rFonts w:ascii="Century Gothic" w:eastAsia="Times New Roman" w:hAnsi="Century Gothic" w:cs="Times New Roman"/>
                <w:sz w:val="20"/>
                <w:szCs w:val="20"/>
                <w:lang w:eastAsia="en-GB"/>
              </w:rPr>
              <w:t> </w:t>
            </w:r>
          </w:p>
          <w:p w14:paraId="110E5BB9" w14:textId="33B00D3A" w:rsidR="00D278DE" w:rsidRPr="006724AE" w:rsidRDefault="00D278DE" w:rsidP="00D278DE">
            <w:pPr>
              <w:textAlignment w:val="baseline"/>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0"/>
                <w:szCs w:val="20"/>
                <w:lang w:eastAsia="en-GB"/>
              </w:rPr>
            </w:pPr>
          </w:p>
        </w:tc>
      </w:tr>
    </w:tbl>
    <w:p w14:paraId="3BE62E1E" w14:textId="171741A4" w:rsidR="3B6C79D7" w:rsidRDefault="3B6C79D7" w:rsidP="22E435CD"/>
    <w:p w14:paraId="53C9821A" w14:textId="1EE28A07" w:rsidR="006724AE" w:rsidRPr="006724AE" w:rsidRDefault="006724AE" w:rsidP="4125DC50">
      <w:pPr>
        <w:pStyle w:val="ListParagraph"/>
        <w:textAlignment w:val="baseline"/>
        <w:rPr>
          <w:rFonts w:ascii="Segoe UI" w:eastAsia="Times New Roman" w:hAnsi="Segoe UI" w:cs="Segoe UI"/>
          <w:sz w:val="18"/>
          <w:szCs w:val="18"/>
          <w:lang w:eastAsia="en-GB"/>
        </w:rPr>
      </w:pPr>
      <w:r w:rsidRPr="4125DC50">
        <w:rPr>
          <w:rFonts w:eastAsia="Times New Roman" w:cs="Arial"/>
          <w:sz w:val="20"/>
          <w:szCs w:val="20"/>
          <w:lang w:eastAsia="en-GB"/>
        </w:rPr>
        <w:t> </w:t>
      </w:r>
      <w:r w:rsidRPr="4125DC50">
        <w:rPr>
          <w:rFonts w:ascii="Century Gothic" w:eastAsia="Times New Roman" w:hAnsi="Century Gothic" w:cs="Segoe UI"/>
          <w:sz w:val="20"/>
          <w:szCs w:val="20"/>
          <w:lang w:eastAsia="en-GB"/>
        </w:rPr>
        <w:t> </w:t>
      </w:r>
    </w:p>
    <w:p w14:paraId="35B8B7AE" w14:textId="085613FE" w:rsidR="4BDBDC8A" w:rsidRDefault="4BDBDC8A" w:rsidP="4125DC50">
      <w:pPr>
        <w:pStyle w:val="ListParagraph"/>
        <w:ind w:left="1080"/>
        <w:rPr>
          <w:rFonts w:ascii="Century Gothic" w:eastAsia="Times New Roman" w:hAnsi="Century Gothic" w:cs="Segoe UI"/>
          <w:sz w:val="20"/>
          <w:szCs w:val="20"/>
          <w:lang w:eastAsia="en-GB"/>
        </w:rPr>
      </w:pPr>
      <w:r w:rsidRPr="4125DC50">
        <w:rPr>
          <w:rFonts w:ascii="Century Gothic" w:eastAsia="Times New Roman" w:hAnsi="Century Gothic" w:cs="Segoe UI"/>
          <w:sz w:val="20"/>
          <w:szCs w:val="20"/>
          <w:lang w:eastAsia="en-GB"/>
        </w:rPr>
        <w:t xml:space="preserve">We welcome </w:t>
      </w:r>
      <w:r w:rsidR="1C0CB10C" w:rsidRPr="4125DC50">
        <w:rPr>
          <w:rFonts w:ascii="Century Gothic" w:eastAsia="Times New Roman" w:hAnsi="Century Gothic" w:cs="Segoe UI"/>
          <w:sz w:val="20"/>
          <w:szCs w:val="20"/>
          <w:lang w:eastAsia="en-GB"/>
        </w:rPr>
        <w:t xml:space="preserve">alternative </w:t>
      </w:r>
      <w:r w:rsidRPr="4125DC50">
        <w:rPr>
          <w:rFonts w:ascii="Century Gothic" w:eastAsia="Times New Roman" w:hAnsi="Century Gothic" w:cs="Segoe UI"/>
          <w:sz w:val="20"/>
          <w:szCs w:val="20"/>
          <w:lang w:eastAsia="en-GB"/>
        </w:rPr>
        <w:t xml:space="preserve">proposals for what is </w:t>
      </w:r>
      <w:r w:rsidR="33C363DC" w:rsidRPr="4125DC50">
        <w:rPr>
          <w:rFonts w:ascii="Century Gothic" w:eastAsia="Times New Roman" w:hAnsi="Century Gothic" w:cs="Segoe UI"/>
          <w:sz w:val="20"/>
          <w:szCs w:val="20"/>
          <w:lang w:eastAsia="en-GB"/>
        </w:rPr>
        <w:t>a credible</w:t>
      </w:r>
      <w:r w:rsidR="00AB09FF">
        <w:rPr>
          <w:rFonts w:ascii="Century Gothic" w:eastAsia="Times New Roman" w:hAnsi="Century Gothic" w:cs="Segoe UI"/>
          <w:sz w:val="20"/>
          <w:szCs w:val="20"/>
          <w:lang w:eastAsia="en-GB"/>
        </w:rPr>
        <w:t xml:space="preserve"> timeline for this work.</w:t>
      </w:r>
    </w:p>
    <w:p w14:paraId="2A923174" w14:textId="31CA4AF0" w:rsidR="4125DC50" w:rsidRDefault="4125DC50" w:rsidP="4125DC50">
      <w:pPr>
        <w:pStyle w:val="ListParagraph"/>
        <w:ind w:left="1080"/>
        <w:rPr>
          <w:rFonts w:ascii="Century Gothic" w:eastAsia="Times New Roman" w:hAnsi="Century Gothic" w:cs="Segoe UI"/>
          <w:sz w:val="20"/>
          <w:szCs w:val="20"/>
          <w:lang w:eastAsia="en-GB"/>
        </w:rPr>
      </w:pPr>
    </w:p>
    <w:p w14:paraId="7490F709" w14:textId="1822DCB0" w:rsidR="006724AE" w:rsidRPr="006724AE" w:rsidRDefault="006724AE" w:rsidP="22E435CD">
      <w:pPr>
        <w:pStyle w:val="ListParagraph"/>
        <w:ind w:left="1080"/>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xml:space="preserve">In addition to the formal reporting points, the CCC would expect to have regular scheduled discussions (meetings or calls) to ensure the work is progressing as expected. It is expected a more detailed </w:t>
      </w:r>
      <w:r w:rsidRPr="22E435CD">
        <w:rPr>
          <w:rFonts w:ascii="Century Gothic" w:eastAsia="Times New Roman" w:hAnsi="Century Gothic" w:cs="Segoe UI"/>
          <w:sz w:val="20"/>
          <w:szCs w:val="20"/>
          <w:lang w:eastAsia="en-GB"/>
        </w:rPr>
        <w:lastRenderedPageBreak/>
        <w:t>timeline would be proposed in bids documents and agreed with the CCC at the kick-off meeting.</w:t>
      </w:r>
      <w:r w:rsidRPr="22E435CD">
        <w:rPr>
          <w:rFonts w:eastAsia="Times New Roman" w:cs="Arial"/>
          <w:sz w:val="20"/>
          <w:szCs w:val="20"/>
          <w:lang w:eastAsia="en-GB"/>
        </w:rPr>
        <w:t>  </w:t>
      </w:r>
      <w:r w:rsidRPr="22E435CD">
        <w:rPr>
          <w:rFonts w:ascii="Century Gothic" w:eastAsia="Times New Roman" w:hAnsi="Century Gothic" w:cs="Segoe UI"/>
          <w:sz w:val="20"/>
          <w:szCs w:val="20"/>
          <w:lang w:eastAsia="en-GB"/>
        </w:rPr>
        <w:t> </w:t>
      </w:r>
    </w:p>
    <w:p w14:paraId="7861FB11" w14:textId="1007627B" w:rsidR="006724AE" w:rsidRPr="006724AE" w:rsidRDefault="006724AE" w:rsidP="22E435CD">
      <w:pPr>
        <w:pStyle w:val="ListParagraph"/>
        <w:textAlignment w:val="baseline"/>
        <w:rPr>
          <w:rFonts w:ascii="Segoe UI" w:eastAsia="Times New Roman" w:hAnsi="Segoe UI" w:cs="Segoe UI"/>
          <w:sz w:val="18"/>
          <w:szCs w:val="18"/>
          <w:lang w:eastAsia="en-GB"/>
        </w:rPr>
      </w:pPr>
    </w:p>
    <w:p w14:paraId="6A8AE529" w14:textId="5E5B8806" w:rsidR="003A05B7" w:rsidRPr="00F97858" w:rsidRDefault="003A05B7" w:rsidP="00D278DE">
      <w:pPr>
        <w:pStyle w:val="Heading1"/>
        <w:widowControl w:val="0"/>
        <w:numPr>
          <w:ilvl w:val="1"/>
          <w:numId w:val="8"/>
        </w:numPr>
        <w:overflowPunct w:val="0"/>
        <w:autoSpaceDE w:val="0"/>
        <w:autoSpaceDN w:val="0"/>
        <w:adjustRightInd w:val="0"/>
        <w:spacing w:before="240" w:after="60"/>
        <w:textAlignment w:val="baseline"/>
        <w:rPr>
          <w:rFonts w:asciiTheme="minorHAnsi" w:hAnsiTheme="minorHAnsi"/>
          <w:color w:val="auto"/>
          <w:sz w:val="20"/>
          <w:szCs w:val="20"/>
        </w:rPr>
      </w:pPr>
      <w:bookmarkStart w:id="18" w:name="_Ref357541731"/>
      <w:bookmarkStart w:id="19" w:name="_Toc381969514"/>
      <w:bookmarkStart w:id="20" w:name="_Toc405888463"/>
      <w:r w:rsidRPr="22E435CD">
        <w:rPr>
          <w:rFonts w:asciiTheme="minorHAnsi" w:hAnsiTheme="minorHAnsi" w:cs="Arial"/>
          <w:color w:val="auto"/>
          <w:sz w:val="20"/>
          <w:szCs w:val="20"/>
        </w:rPr>
        <w:t>Challenges</w:t>
      </w:r>
      <w:bookmarkEnd w:id="18"/>
      <w:bookmarkEnd w:id="19"/>
      <w:bookmarkEnd w:id="20"/>
    </w:p>
    <w:p w14:paraId="6AB61D0C" w14:textId="77777777" w:rsidR="006724AE" w:rsidRDefault="006724AE" w:rsidP="22E435CD">
      <w:pPr>
        <w:ind w:left="720"/>
        <w:jc w:val="both"/>
        <w:textAlignment w:val="baseline"/>
        <w:rPr>
          <w:rFonts w:ascii="Century Gothic" w:eastAsia="Times New Roman" w:hAnsi="Century Gothic" w:cs="Segoe UI"/>
          <w:sz w:val="20"/>
          <w:szCs w:val="20"/>
          <w:lang w:eastAsia="en-GB"/>
        </w:rPr>
      </w:pPr>
      <w:bookmarkStart w:id="21" w:name="_Toc381969515"/>
      <w:bookmarkStart w:id="22" w:name="_Toc405888464"/>
    </w:p>
    <w:p w14:paraId="1B52ECB8" w14:textId="7785FFE0"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The specific challenges that the CCC envisage with this project include:</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4DBEB6D6" w14:textId="77777777" w:rsidR="00F97858" w:rsidRDefault="006724AE" w:rsidP="22E435CD">
      <w:pPr>
        <w:ind w:left="720"/>
        <w:jc w:val="both"/>
        <w:textAlignment w:val="baseline"/>
        <w:rPr>
          <w:rFonts w:ascii="Segoe UI" w:eastAsia="Times New Roman" w:hAnsi="Segoe UI" w:cs="Segoe UI"/>
          <w:sz w:val="18"/>
          <w:szCs w:val="18"/>
          <w:lang w:eastAsia="en-GB"/>
        </w:rPr>
      </w:pP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6CA2CB2D" w14:textId="5B23FCDD" w:rsidR="00F97858" w:rsidRPr="00F97858" w:rsidRDefault="006724AE" w:rsidP="00D278DE">
      <w:pPr>
        <w:pStyle w:val="ListParagraph"/>
        <w:numPr>
          <w:ilvl w:val="0"/>
          <w:numId w:val="11"/>
        </w:numPr>
        <w:jc w:val="both"/>
        <w:textAlignment w:val="baseline"/>
        <w:rPr>
          <w:rFonts w:asciiTheme="minorHAnsi" w:eastAsiaTheme="minorEastAsia" w:hAnsiTheme="minorHAnsi" w:cstheme="minorBidi"/>
          <w:sz w:val="20"/>
          <w:szCs w:val="20"/>
          <w:lang w:eastAsia="en-GB"/>
        </w:rPr>
      </w:pPr>
      <w:r w:rsidRPr="4125DC50">
        <w:rPr>
          <w:rFonts w:ascii="Century Gothic" w:eastAsia="Times New Roman" w:hAnsi="Century Gothic" w:cs="Segoe UI"/>
          <w:sz w:val="20"/>
          <w:szCs w:val="20"/>
          <w:lang w:eastAsia="en-GB"/>
        </w:rPr>
        <w:t>Establishing a methodology and approach which enables high quality insights</w:t>
      </w:r>
      <w:r w:rsidR="00DE3A6B">
        <w:rPr>
          <w:rFonts w:ascii="Century Gothic" w:eastAsia="Times New Roman" w:hAnsi="Century Gothic" w:cs="Segoe UI"/>
          <w:sz w:val="20"/>
          <w:szCs w:val="20"/>
          <w:lang w:eastAsia="en-GB"/>
        </w:rPr>
        <w:t xml:space="preserve"> into a range of local authority issues across mitigation and adaptation,</w:t>
      </w:r>
      <w:r w:rsidRPr="4125DC50">
        <w:rPr>
          <w:rFonts w:ascii="Century Gothic" w:eastAsia="Times New Roman" w:hAnsi="Century Gothic" w:cs="Segoe UI"/>
          <w:sz w:val="20"/>
          <w:szCs w:val="20"/>
          <w:lang w:eastAsia="en-GB"/>
        </w:rPr>
        <w:t xml:space="preserve"> to be delivered in short timeframes</w:t>
      </w:r>
      <w:r w:rsidR="00DE3A6B">
        <w:rPr>
          <w:rFonts w:ascii="Century Gothic" w:eastAsia="Times New Roman" w:hAnsi="Century Gothic" w:cs="Segoe UI"/>
          <w:sz w:val="20"/>
          <w:szCs w:val="20"/>
          <w:lang w:eastAsia="en-GB"/>
        </w:rPr>
        <w:t>.</w:t>
      </w:r>
    </w:p>
    <w:p w14:paraId="66E82077" w14:textId="259556C7" w:rsidR="00F97858" w:rsidRPr="00F97858" w:rsidRDefault="435C62A6" w:rsidP="00D278DE">
      <w:pPr>
        <w:pStyle w:val="ListParagraph"/>
        <w:numPr>
          <w:ilvl w:val="0"/>
          <w:numId w:val="11"/>
        </w:numPr>
        <w:jc w:val="both"/>
        <w:textAlignment w:val="baseline"/>
        <w:rPr>
          <w:rFonts w:asciiTheme="minorHAnsi" w:eastAsiaTheme="minorEastAsia" w:hAnsiTheme="minorHAnsi" w:cstheme="minorBidi"/>
          <w:sz w:val="20"/>
          <w:szCs w:val="20"/>
          <w:lang w:eastAsia="en-GB"/>
        </w:rPr>
      </w:pPr>
      <w:r w:rsidRPr="4125DC50">
        <w:rPr>
          <w:rFonts w:asciiTheme="minorHAnsi" w:eastAsiaTheme="minorEastAsia" w:hAnsiTheme="minorHAnsi" w:cstheme="minorBidi"/>
          <w:sz w:val="20"/>
          <w:szCs w:val="20"/>
          <w:lang w:eastAsia="en-GB"/>
        </w:rPr>
        <w:t xml:space="preserve">Understanding the perspectives of </w:t>
      </w:r>
      <w:r w:rsidR="00DF2F37">
        <w:rPr>
          <w:rFonts w:asciiTheme="minorHAnsi" w:eastAsiaTheme="minorEastAsia" w:hAnsiTheme="minorHAnsi" w:cstheme="minorBidi"/>
          <w:sz w:val="20"/>
          <w:szCs w:val="20"/>
          <w:lang w:eastAsia="en-GB"/>
        </w:rPr>
        <w:t>different local authority stakeholders</w:t>
      </w:r>
      <w:r w:rsidRPr="4125DC50">
        <w:rPr>
          <w:rFonts w:asciiTheme="minorHAnsi" w:eastAsiaTheme="minorEastAsia" w:hAnsiTheme="minorHAnsi" w:cstheme="minorBidi"/>
          <w:sz w:val="20"/>
          <w:szCs w:val="20"/>
          <w:lang w:eastAsia="en-GB"/>
        </w:rPr>
        <w:t xml:space="preserve"> sufficiently</w:t>
      </w:r>
      <w:r w:rsidR="00DE3A6B">
        <w:rPr>
          <w:rFonts w:asciiTheme="minorHAnsi" w:eastAsiaTheme="minorEastAsia" w:hAnsiTheme="minorHAnsi" w:cstheme="minorBidi"/>
          <w:sz w:val="20"/>
          <w:szCs w:val="20"/>
          <w:lang w:eastAsia="en-GB"/>
        </w:rPr>
        <w:t xml:space="preserve"> and capturing geographic and regional variability.</w:t>
      </w:r>
      <w:r w:rsidRPr="4125DC50">
        <w:rPr>
          <w:rFonts w:asciiTheme="minorHAnsi" w:eastAsiaTheme="minorEastAsia" w:hAnsiTheme="minorHAnsi" w:cstheme="minorBidi"/>
          <w:sz w:val="20"/>
          <w:szCs w:val="20"/>
          <w:lang w:eastAsia="en-GB"/>
        </w:rPr>
        <w:t xml:space="preserve"> </w:t>
      </w:r>
    </w:p>
    <w:p w14:paraId="5E871D98" w14:textId="2B629BCA" w:rsidR="00DE3A6B" w:rsidRDefault="00DF2F37" w:rsidP="00DE3A6B">
      <w:pPr>
        <w:pStyle w:val="ListParagraph"/>
        <w:numPr>
          <w:ilvl w:val="0"/>
          <w:numId w:val="11"/>
        </w:numPr>
        <w:jc w:val="both"/>
        <w:rPr>
          <w:rFonts w:asciiTheme="minorHAnsi" w:eastAsiaTheme="minorEastAsia" w:hAnsiTheme="minorHAnsi" w:cstheme="minorBidi"/>
          <w:sz w:val="20"/>
          <w:szCs w:val="20"/>
          <w:lang w:eastAsia="en-GB"/>
        </w:rPr>
      </w:pPr>
      <w:r>
        <w:rPr>
          <w:rFonts w:asciiTheme="minorHAnsi" w:eastAsiaTheme="minorEastAsia" w:hAnsiTheme="minorHAnsi" w:cstheme="minorBidi"/>
          <w:sz w:val="20"/>
          <w:szCs w:val="20"/>
          <w:lang w:eastAsia="en-GB"/>
        </w:rPr>
        <w:t xml:space="preserve">Bringing together barriers across stakeholders to </w:t>
      </w:r>
      <w:r w:rsidR="00DE3A6B">
        <w:rPr>
          <w:rFonts w:asciiTheme="minorHAnsi" w:eastAsiaTheme="minorEastAsia" w:hAnsiTheme="minorHAnsi" w:cstheme="minorBidi"/>
          <w:sz w:val="20"/>
          <w:szCs w:val="20"/>
          <w:lang w:eastAsia="en-GB"/>
        </w:rPr>
        <w:t>highlight common opportunities.</w:t>
      </w:r>
    </w:p>
    <w:p w14:paraId="00FF5BDE" w14:textId="6E38E491" w:rsidR="00DE3A6B" w:rsidRPr="00DE3A6B" w:rsidRDefault="00DE3A6B" w:rsidP="00DE3A6B">
      <w:pPr>
        <w:pStyle w:val="ListParagraph"/>
        <w:numPr>
          <w:ilvl w:val="0"/>
          <w:numId w:val="11"/>
        </w:numPr>
        <w:jc w:val="both"/>
        <w:rPr>
          <w:rFonts w:asciiTheme="minorHAnsi" w:eastAsiaTheme="minorEastAsia" w:hAnsiTheme="minorHAnsi" w:cstheme="minorBidi"/>
          <w:sz w:val="20"/>
          <w:szCs w:val="20"/>
          <w:lang w:eastAsia="en-GB"/>
        </w:rPr>
      </w:pPr>
      <w:r>
        <w:rPr>
          <w:rFonts w:asciiTheme="minorHAnsi" w:eastAsiaTheme="minorEastAsia" w:hAnsiTheme="minorHAnsi" w:cstheme="minorBidi"/>
          <w:sz w:val="20"/>
          <w:szCs w:val="20"/>
          <w:lang w:eastAsia="en-GB"/>
        </w:rPr>
        <w:t>Uncertainty in the development of planning policy for highlighting recommendations.</w:t>
      </w:r>
    </w:p>
    <w:p w14:paraId="6B9F29B7" w14:textId="77777777" w:rsidR="00F97858" w:rsidRDefault="006724AE" w:rsidP="22E435CD">
      <w:pPr>
        <w:ind w:left="1083"/>
        <w:jc w:val="both"/>
        <w:textAlignment w:val="baseline"/>
        <w:rPr>
          <w:rFonts w:ascii="Century Gothic" w:eastAsia="Times New Roman" w:hAnsi="Century Gothic" w:cs="Segoe UI"/>
          <w:sz w:val="20"/>
          <w:szCs w:val="20"/>
          <w:lang w:eastAsia="en-GB"/>
        </w:rPr>
      </w:pPr>
      <w:r w:rsidRPr="22E435CD">
        <w:rPr>
          <w:rFonts w:ascii="Century Gothic" w:eastAsia="Times New Roman" w:hAnsi="Century Gothic" w:cs="Segoe UI"/>
          <w:sz w:val="20"/>
          <w:szCs w:val="20"/>
          <w:lang w:eastAsia="en-GB"/>
        </w:rPr>
        <w:t xml:space="preserve">Bids should set out how these risks will be managed alongside any </w:t>
      </w:r>
    </w:p>
    <w:p w14:paraId="4E45F8C3" w14:textId="521ADD0D" w:rsidR="006724AE" w:rsidRPr="006724AE" w:rsidRDefault="006724AE" w:rsidP="22E435CD">
      <w:pPr>
        <w:ind w:left="720" w:firstLine="363"/>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other risks and challenges to successfully undertaking this work.</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6D6520DD" w14:textId="1EA7DF23" w:rsidR="006724AE" w:rsidRPr="006724AE" w:rsidRDefault="00F97858" w:rsidP="22E435CD">
      <w:pPr>
        <w:ind w:left="720"/>
        <w:jc w:val="both"/>
        <w:textAlignment w:val="baseline"/>
        <w:rPr>
          <w:rFonts w:ascii="Segoe UI" w:eastAsia="Times New Roman" w:hAnsi="Segoe UI" w:cs="Segoe UI"/>
          <w:sz w:val="18"/>
          <w:szCs w:val="18"/>
          <w:lang w:eastAsia="en-GB"/>
        </w:rPr>
      </w:pPr>
      <w:r w:rsidRPr="22E435CD">
        <w:rPr>
          <w:rFonts w:ascii="Arial" w:eastAsia="Times New Roman" w:hAnsi="Arial" w:cs="Arial"/>
          <w:sz w:val="20"/>
          <w:szCs w:val="20"/>
          <w:lang w:eastAsia="en-GB"/>
        </w:rPr>
        <w:t xml:space="preserve">   </w:t>
      </w:r>
      <w:r w:rsidR="006724AE" w:rsidRPr="22E435CD">
        <w:rPr>
          <w:rFonts w:ascii="Arial" w:eastAsia="Times New Roman" w:hAnsi="Arial" w:cs="Arial"/>
          <w:sz w:val="20"/>
          <w:szCs w:val="20"/>
          <w:lang w:eastAsia="en-GB"/>
        </w:rPr>
        <w:t> </w:t>
      </w:r>
      <w:r w:rsidR="006724AE" w:rsidRPr="22E435CD">
        <w:rPr>
          <w:rFonts w:ascii="Century Gothic" w:eastAsia="Times New Roman" w:hAnsi="Century Gothic" w:cs="Segoe UI"/>
          <w:sz w:val="20"/>
          <w:szCs w:val="20"/>
          <w:lang w:eastAsia="en-GB"/>
        </w:rPr>
        <w:t> </w:t>
      </w:r>
    </w:p>
    <w:p w14:paraId="5BAAA34A" w14:textId="77777777" w:rsidR="006724AE" w:rsidRPr="006724AE" w:rsidRDefault="006724AE" w:rsidP="22E435CD">
      <w:pPr>
        <w:ind w:left="1083"/>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The successful contractor will be expected to identify one named point of contract through whom all enquiries can be filtered. A CCC project manager will be assigned to the project and will be the central point of contact.</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5E359EEB" w14:textId="7D0BF084" w:rsidR="003A05B7" w:rsidRPr="00F97858" w:rsidRDefault="003A05B7" w:rsidP="00D278DE">
      <w:pPr>
        <w:pStyle w:val="Heading1"/>
        <w:widowControl w:val="0"/>
        <w:numPr>
          <w:ilvl w:val="1"/>
          <w:numId w:val="8"/>
        </w:numPr>
        <w:overflowPunct w:val="0"/>
        <w:autoSpaceDE w:val="0"/>
        <w:autoSpaceDN w:val="0"/>
        <w:adjustRightInd w:val="0"/>
        <w:spacing w:before="240" w:after="60"/>
        <w:textAlignment w:val="baseline"/>
        <w:rPr>
          <w:color w:val="auto"/>
        </w:rPr>
      </w:pPr>
      <w:r w:rsidRPr="22E435CD">
        <w:rPr>
          <w:rFonts w:asciiTheme="minorHAnsi" w:hAnsiTheme="minorHAnsi" w:cs="Arial"/>
          <w:color w:val="auto"/>
          <w:sz w:val="20"/>
          <w:szCs w:val="20"/>
        </w:rPr>
        <w:t>Ethics</w:t>
      </w:r>
      <w:bookmarkEnd w:id="21"/>
      <w:bookmarkEnd w:id="22"/>
      <w:r w:rsidRPr="22E435CD">
        <w:rPr>
          <w:rFonts w:asciiTheme="minorHAnsi" w:hAnsiTheme="minorHAnsi" w:cs="Arial"/>
          <w:color w:val="auto"/>
          <w:sz w:val="20"/>
          <w:szCs w:val="20"/>
        </w:rPr>
        <w:t xml:space="preserve"> </w:t>
      </w:r>
      <w:r>
        <w:tab/>
      </w:r>
    </w:p>
    <w:p w14:paraId="5297F085" w14:textId="77777777" w:rsidR="006724AE" w:rsidRDefault="006724AE" w:rsidP="22E435CD">
      <w:pPr>
        <w:ind w:left="720"/>
        <w:jc w:val="both"/>
        <w:rPr>
          <w:rFonts w:cs="Arial"/>
          <w:sz w:val="20"/>
          <w:szCs w:val="20"/>
        </w:rPr>
      </w:pPr>
    </w:p>
    <w:p w14:paraId="13426824" w14:textId="77777777" w:rsidR="00741CB4" w:rsidRDefault="0038388A" w:rsidP="00741CB4">
      <w:pPr>
        <w:ind w:left="1083"/>
        <w:jc w:val="both"/>
        <w:rPr>
          <w:rFonts w:cs="Arial"/>
          <w:sz w:val="20"/>
          <w:szCs w:val="20"/>
        </w:rPr>
      </w:pPr>
      <w:r w:rsidRPr="22E435CD">
        <w:rPr>
          <w:rFonts w:cs="Arial"/>
          <w:sz w:val="20"/>
          <w:szCs w:val="20"/>
        </w:rPr>
        <w:t>All applicants will need to identify and propose arrangements for initial scrutiny and on-going monitoring of ethical issues. The appropriate handling of ethical issues is part of the tender assessment exercise and proposals will be evaluated on this as part of the ‘addressing challenges and risks’ criterion.</w:t>
      </w:r>
    </w:p>
    <w:p w14:paraId="623E2A92" w14:textId="77777777" w:rsidR="00741CB4" w:rsidRDefault="00741CB4" w:rsidP="00741CB4">
      <w:pPr>
        <w:ind w:left="1083"/>
        <w:jc w:val="both"/>
        <w:rPr>
          <w:rFonts w:cs="Arial"/>
          <w:sz w:val="20"/>
          <w:szCs w:val="20"/>
        </w:rPr>
      </w:pPr>
    </w:p>
    <w:p w14:paraId="7B4C55BC" w14:textId="75A1FB9A" w:rsidR="0038388A" w:rsidRPr="0038388A" w:rsidRDefault="0038388A" w:rsidP="00741CB4">
      <w:pPr>
        <w:ind w:left="1083"/>
        <w:jc w:val="both"/>
        <w:rPr>
          <w:rFonts w:cs="Arial"/>
          <w:sz w:val="20"/>
          <w:szCs w:val="20"/>
        </w:rPr>
      </w:pPr>
      <w:r w:rsidRPr="22E435CD">
        <w:rPr>
          <w:rFonts w:cs="Arial"/>
          <w:sz w:val="20"/>
          <w:szCs w:val="20"/>
        </w:rPr>
        <w:t>We expect contractors to adhere to the following GSR Principals:</w:t>
      </w:r>
    </w:p>
    <w:p w14:paraId="3A821584" w14:textId="77777777" w:rsidR="0038388A" w:rsidRPr="0038388A" w:rsidRDefault="0038388A" w:rsidP="00D278DE">
      <w:pPr>
        <w:pStyle w:val="ListParagraph"/>
        <w:numPr>
          <w:ilvl w:val="0"/>
          <w:numId w:val="4"/>
        </w:numPr>
        <w:rPr>
          <w:rFonts w:asciiTheme="minorHAnsi" w:hAnsiTheme="minorHAnsi" w:cs="Arial"/>
          <w:sz w:val="20"/>
          <w:szCs w:val="20"/>
        </w:rPr>
      </w:pPr>
      <w:r w:rsidRPr="22E435CD">
        <w:rPr>
          <w:rFonts w:asciiTheme="minorHAnsi" w:hAnsiTheme="minorHAnsi" w:cs="Arial"/>
          <w:sz w:val="20"/>
          <w:szCs w:val="20"/>
        </w:rPr>
        <w:t>Sound application and conduct of social research methods and appropriate dissemination and utilisation of findings</w:t>
      </w:r>
    </w:p>
    <w:p w14:paraId="2B804B7C" w14:textId="77777777" w:rsidR="0038388A" w:rsidRPr="0038388A" w:rsidRDefault="0038388A" w:rsidP="00D278DE">
      <w:pPr>
        <w:pStyle w:val="ListParagraph"/>
        <w:numPr>
          <w:ilvl w:val="0"/>
          <w:numId w:val="4"/>
        </w:numPr>
        <w:jc w:val="both"/>
        <w:rPr>
          <w:rFonts w:asciiTheme="minorHAnsi" w:hAnsiTheme="minorHAnsi" w:cs="Arial"/>
          <w:sz w:val="20"/>
          <w:szCs w:val="20"/>
        </w:rPr>
      </w:pPr>
      <w:r w:rsidRPr="22E435CD">
        <w:rPr>
          <w:rFonts w:asciiTheme="minorHAnsi" w:hAnsiTheme="minorHAnsi" w:cs="Arial"/>
          <w:sz w:val="20"/>
          <w:szCs w:val="20"/>
        </w:rPr>
        <w:t>Participation based on valid consent</w:t>
      </w:r>
    </w:p>
    <w:p w14:paraId="73DCA86A" w14:textId="77777777" w:rsidR="0038388A" w:rsidRPr="0038388A" w:rsidRDefault="0038388A" w:rsidP="00D278DE">
      <w:pPr>
        <w:pStyle w:val="ListParagraph"/>
        <w:numPr>
          <w:ilvl w:val="0"/>
          <w:numId w:val="4"/>
        </w:numPr>
        <w:jc w:val="both"/>
        <w:rPr>
          <w:rFonts w:asciiTheme="minorHAnsi" w:hAnsiTheme="minorHAnsi" w:cs="Arial"/>
          <w:sz w:val="20"/>
          <w:szCs w:val="20"/>
        </w:rPr>
      </w:pPr>
      <w:r w:rsidRPr="22E435CD">
        <w:rPr>
          <w:rFonts w:asciiTheme="minorHAnsi" w:hAnsiTheme="minorHAnsi" w:cs="Arial"/>
          <w:sz w:val="20"/>
          <w:szCs w:val="20"/>
        </w:rPr>
        <w:t>Enabling participation</w:t>
      </w:r>
    </w:p>
    <w:p w14:paraId="7335D893" w14:textId="77777777" w:rsidR="0038388A" w:rsidRPr="0038388A" w:rsidRDefault="0038388A" w:rsidP="00D278DE">
      <w:pPr>
        <w:pStyle w:val="ListParagraph"/>
        <w:numPr>
          <w:ilvl w:val="0"/>
          <w:numId w:val="4"/>
        </w:numPr>
        <w:jc w:val="both"/>
        <w:rPr>
          <w:rFonts w:asciiTheme="minorHAnsi" w:hAnsiTheme="minorHAnsi" w:cs="Arial"/>
          <w:sz w:val="20"/>
          <w:szCs w:val="20"/>
        </w:rPr>
      </w:pPr>
      <w:r w:rsidRPr="22E435CD">
        <w:rPr>
          <w:rFonts w:asciiTheme="minorHAnsi" w:hAnsiTheme="minorHAnsi" w:cs="Arial"/>
          <w:sz w:val="20"/>
          <w:szCs w:val="20"/>
        </w:rPr>
        <w:t>Avoidance of personal harm</w:t>
      </w:r>
    </w:p>
    <w:p w14:paraId="73C27928" w14:textId="77777777" w:rsidR="0038388A" w:rsidRPr="0038388A" w:rsidRDefault="0038388A" w:rsidP="00D278DE">
      <w:pPr>
        <w:pStyle w:val="ListParagraph"/>
        <w:numPr>
          <w:ilvl w:val="0"/>
          <w:numId w:val="4"/>
        </w:numPr>
        <w:spacing w:after="0" w:line="240" w:lineRule="auto"/>
        <w:jc w:val="both"/>
        <w:rPr>
          <w:rFonts w:asciiTheme="minorHAnsi" w:hAnsiTheme="minorHAnsi" w:cs="Arial"/>
          <w:sz w:val="20"/>
          <w:szCs w:val="20"/>
        </w:rPr>
      </w:pPr>
      <w:r w:rsidRPr="22E435CD">
        <w:rPr>
          <w:rFonts w:asciiTheme="minorHAnsi" w:hAnsiTheme="minorHAnsi" w:cs="Arial"/>
          <w:sz w:val="20"/>
          <w:szCs w:val="20"/>
        </w:rPr>
        <w:t>Non-disclosure of identity and personal information</w:t>
      </w:r>
    </w:p>
    <w:p w14:paraId="06AEFA2E" w14:textId="77777777" w:rsidR="0038388A" w:rsidRPr="0038388A" w:rsidRDefault="0038388A" w:rsidP="22E435CD">
      <w:pPr>
        <w:pStyle w:val="ListParagraph"/>
        <w:spacing w:after="0" w:line="240" w:lineRule="auto"/>
        <w:ind w:left="0"/>
        <w:jc w:val="both"/>
        <w:rPr>
          <w:rFonts w:asciiTheme="minorHAnsi" w:hAnsiTheme="minorHAnsi" w:cs="Arial"/>
          <w:sz w:val="20"/>
          <w:szCs w:val="20"/>
        </w:rPr>
      </w:pPr>
    </w:p>
    <w:p w14:paraId="01C079ED" w14:textId="150777FF" w:rsidR="0038388A" w:rsidRPr="00F97858" w:rsidRDefault="0038388A" w:rsidP="00D278DE">
      <w:pPr>
        <w:pStyle w:val="Heading1"/>
        <w:widowControl w:val="0"/>
        <w:numPr>
          <w:ilvl w:val="1"/>
          <w:numId w:val="8"/>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23" w:name="_Ref338852517"/>
      <w:bookmarkStart w:id="24" w:name="_Toc381969516"/>
      <w:bookmarkStart w:id="25" w:name="_Toc405888465"/>
      <w:r w:rsidRPr="22E435CD">
        <w:rPr>
          <w:rFonts w:asciiTheme="minorHAnsi" w:hAnsiTheme="minorHAnsi" w:cs="Arial"/>
          <w:color w:val="auto"/>
          <w:sz w:val="20"/>
          <w:szCs w:val="20"/>
        </w:rPr>
        <w:t>Working Arrangements</w:t>
      </w:r>
      <w:bookmarkEnd w:id="23"/>
      <w:bookmarkEnd w:id="24"/>
      <w:bookmarkEnd w:id="25"/>
    </w:p>
    <w:p w14:paraId="501229F3" w14:textId="77777777" w:rsidR="0038388A" w:rsidRPr="0038388A" w:rsidRDefault="0038388A" w:rsidP="22E435CD">
      <w:pPr>
        <w:pStyle w:val="Norma"/>
        <w:jc w:val="both"/>
        <w:rPr>
          <w:rFonts w:asciiTheme="minorHAnsi" w:hAnsiTheme="minorHAnsi" w:cs="Arial"/>
          <w:b/>
          <w:bCs/>
          <w:sz w:val="20"/>
          <w:szCs w:val="20"/>
        </w:rPr>
      </w:pPr>
    </w:p>
    <w:p w14:paraId="63E0399A" w14:textId="77777777" w:rsidR="0038388A" w:rsidRPr="0038388A" w:rsidRDefault="0038388A"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 xml:space="preserve">The successful contractor will be expected to identify one named point of contract through whom all enquiries can be filtered. A CCC project manager will be assigned to the project and will be the central point of contact. </w:t>
      </w:r>
    </w:p>
    <w:p w14:paraId="2C0EB020" w14:textId="77777777" w:rsidR="0038388A" w:rsidRPr="00F97858" w:rsidRDefault="0038388A" w:rsidP="22E435CD">
      <w:pPr>
        <w:pStyle w:val="ListParagraph"/>
        <w:ind w:left="0"/>
        <w:rPr>
          <w:rFonts w:asciiTheme="minorHAnsi" w:eastAsia="Times New Roman" w:hAnsiTheme="minorHAnsi" w:cs="Calibri"/>
          <w:sz w:val="20"/>
          <w:szCs w:val="20"/>
        </w:rPr>
      </w:pPr>
    </w:p>
    <w:p w14:paraId="4A8773AC" w14:textId="5870FE15" w:rsidR="0038388A" w:rsidRPr="00F97858" w:rsidRDefault="006724AE" w:rsidP="22E435CD">
      <w:pPr>
        <w:pStyle w:val="Heading1"/>
        <w:widowControl w:val="0"/>
        <w:overflowPunct w:val="0"/>
        <w:autoSpaceDE w:val="0"/>
        <w:autoSpaceDN w:val="0"/>
        <w:adjustRightInd w:val="0"/>
        <w:spacing w:before="240" w:after="60"/>
        <w:ind w:left="1083"/>
        <w:textAlignment w:val="baseline"/>
        <w:rPr>
          <w:rFonts w:asciiTheme="minorHAnsi" w:hAnsiTheme="minorHAnsi" w:cs="Arial"/>
          <w:color w:val="auto"/>
          <w:sz w:val="20"/>
          <w:szCs w:val="20"/>
        </w:rPr>
      </w:pPr>
      <w:r w:rsidRPr="22E435CD">
        <w:rPr>
          <w:rFonts w:asciiTheme="minorHAnsi" w:hAnsiTheme="minorHAnsi" w:cs="Arial"/>
          <w:color w:val="auto"/>
          <w:sz w:val="20"/>
          <w:szCs w:val="20"/>
        </w:rPr>
        <w:t xml:space="preserve">11 </w:t>
      </w:r>
      <w:r w:rsidR="0038388A" w:rsidRPr="22E435CD">
        <w:rPr>
          <w:rFonts w:asciiTheme="minorHAnsi" w:hAnsiTheme="minorHAnsi" w:cs="Arial"/>
          <w:color w:val="auto"/>
          <w:sz w:val="20"/>
          <w:szCs w:val="20"/>
        </w:rPr>
        <w:t>Skills and experience</w:t>
      </w:r>
    </w:p>
    <w:p w14:paraId="496D623A" w14:textId="77777777" w:rsidR="0038388A" w:rsidRPr="0038388A" w:rsidRDefault="0038388A" w:rsidP="22E435CD">
      <w:pPr>
        <w:pStyle w:val="Norma"/>
        <w:ind w:left="360"/>
        <w:jc w:val="both"/>
        <w:rPr>
          <w:rFonts w:asciiTheme="minorHAnsi" w:hAnsiTheme="minorHAnsi" w:cs="Arial"/>
          <w:sz w:val="20"/>
          <w:szCs w:val="20"/>
        </w:rPr>
      </w:pPr>
    </w:p>
    <w:p w14:paraId="045E359F" w14:textId="4EC125B8" w:rsidR="0038388A" w:rsidRPr="0038388A" w:rsidRDefault="0038388A" w:rsidP="22E435CD">
      <w:pPr>
        <w:pStyle w:val="PTablebodyCharCharChar"/>
        <w:tabs>
          <w:tab w:val="clear" w:pos="7823"/>
          <w:tab w:val="right" w:pos="709"/>
        </w:tabs>
        <w:spacing w:after="0"/>
        <w:ind w:left="1083"/>
        <w:rPr>
          <w:rFonts w:asciiTheme="minorHAnsi" w:hAnsiTheme="minorHAnsi" w:cs="Arial"/>
          <w:sz w:val="20"/>
          <w:szCs w:val="20"/>
        </w:rPr>
      </w:pPr>
      <w:r w:rsidRPr="22E435CD">
        <w:rPr>
          <w:rFonts w:asciiTheme="minorHAnsi" w:hAnsiTheme="minorHAnsi" w:cs="Arial"/>
          <w:sz w:val="20"/>
          <w:szCs w:val="20"/>
        </w:rPr>
        <w:t xml:space="preserve">CCC would like you to demonstrate that you have the experience and capabilities to undertake the project. Your tender response should include a summary of each proposed team members experience and capabilities. </w:t>
      </w:r>
    </w:p>
    <w:p w14:paraId="2D3BD37A" w14:textId="77777777" w:rsidR="0038388A" w:rsidRPr="0038388A" w:rsidRDefault="0038388A" w:rsidP="22E435CD">
      <w:pPr>
        <w:pStyle w:val="PTablebodyCharCharChar"/>
        <w:spacing w:after="0"/>
        <w:ind w:left="1083"/>
        <w:rPr>
          <w:rFonts w:asciiTheme="minorHAnsi" w:hAnsiTheme="minorHAnsi" w:cs="Arial"/>
          <w:sz w:val="20"/>
          <w:szCs w:val="20"/>
        </w:rPr>
      </w:pPr>
    </w:p>
    <w:p w14:paraId="6B2CCA6E" w14:textId="62D0D284" w:rsidR="0038388A" w:rsidRPr="0038388A" w:rsidRDefault="0038388A" w:rsidP="22E435CD">
      <w:pPr>
        <w:pStyle w:val="PTablebodyCharCharChar"/>
        <w:tabs>
          <w:tab w:val="clear" w:pos="7823"/>
          <w:tab w:val="right" w:pos="709"/>
        </w:tabs>
        <w:spacing w:after="0"/>
        <w:ind w:left="1083"/>
        <w:rPr>
          <w:rFonts w:asciiTheme="minorHAnsi" w:hAnsiTheme="minorHAnsi" w:cs="Arial"/>
          <w:sz w:val="20"/>
          <w:szCs w:val="20"/>
        </w:rPr>
      </w:pPr>
      <w:r w:rsidRPr="22E435CD">
        <w:rPr>
          <w:rFonts w:asciiTheme="minorHAnsi" w:hAnsiTheme="minorHAnsi" w:cs="Arial"/>
          <w:sz w:val="20"/>
          <w:szCs w:val="20"/>
        </w:rPr>
        <w:t xml:space="preserve">Contractors should propose named members of the project </w:t>
      </w:r>
      <w:proofErr w:type="gramStart"/>
      <w:r w:rsidRPr="22E435CD">
        <w:rPr>
          <w:rFonts w:asciiTheme="minorHAnsi" w:hAnsiTheme="minorHAnsi" w:cs="Arial"/>
          <w:sz w:val="20"/>
          <w:szCs w:val="20"/>
        </w:rPr>
        <w:t>team, and</w:t>
      </w:r>
      <w:proofErr w:type="gramEnd"/>
      <w:r w:rsidRPr="22E435CD">
        <w:rPr>
          <w:rFonts w:asciiTheme="minorHAnsi" w:hAnsiTheme="minorHAnsi" w:cs="Arial"/>
          <w:sz w:val="20"/>
          <w:szCs w:val="20"/>
        </w:rPr>
        <w:t xml:space="preserve"> include the tasks and responsibilities of each team member. This should be clearly linked to the work programme, indicating the grade/ seniority of staff and number of days allocated to specific tasks.</w:t>
      </w:r>
    </w:p>
    <w:p w14:paraId="305ED95E" w14:textId="77777777" w:rsidR="0038388A" w:rsidRPr="0038388A" w:rsidRDefault="0038388A" w:rsidP="22E435CD">
      <w:pPr>
        <w:pStyle w:val="PTablebodyCharCharChar"/>
        <w:spacing w:after="0"/>
        <w:ind w:left="1083"/>
        <w:rPr>
          <w:rFonts w:asciiTheme="minorHAnsi" w:hAnsiTheme="minorHAnsi" w:cs="Arial"/>
          <w:sz w:val="20"/>
          <w:szCs w:val="20"/>
        </w:rPr>
      </w:pPr>
    </w:p>
    <w:p w14:paraId="41C5CB48" w14:textId="77777777" w:rsidR="0038388A" w:rsidRPr="0038388A" w:rsidRDefault="0038388A"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Contractors should identify the individual(s) who will be responsible for managing the project.</w:t>
      </w:r>
      <w:bookmarkStart w:id="26" w:name="_Ref338852499"/>
    </w:p>
    <w:p w14:paraId="5C1464B8" w14:textId="77777777" w:rsidR="0038388A" w:rsidRPr="0038388A" w:rsidRDefault="0038388A" w:rsidP="22E435CD">
      <w:pPr>
        <w:pStyle w:val="Norma"/>
        <w:ind w:left="1083"/>
        <w:jc w:val="both"/>
        <w:rPr>
          <w:rFonts w:asciiTheme="minorHAnsi" w:hAnsiTheme="minorHAnsi" w:cs="Calibri"/>
          <w:sz w:val="20"/>
          <w:szCs w:val="20"/>
        </w:rPr>
      </w:pPr>
    </w:p>
    <w:p w14:paraId="1568BF56" w14:textId="7241AB61" w:rsidR="0038388A" w:rsidRPr="00F97858" w:rsidRDefault="0038388A" w:rsidP="00D278DE">
      <w:pPr>
        <w:pStyle w:val="Heading1"/>
        <w:widowControl w:val="0"/>
        <w:numPr>
          <w:ilvl w:val="1"/>
          <w:numId w:val="7"/>
        </w:numPr>
        <w:overflowPunct w:val="0"/>
        <w:autoSpaceDE w:val="0"/>
        <w:autoSpaceDN w:val="0"/>
        <w:adjustRightInd w:val="0"/>
        <w:spacing w:before="240" w:after="60"/>
        <w:ind w:left="1443"/>
        <w:textAlignment w:val="baseline"/>
        <w:rPr>
          <w:rFonts w:asciiTheme="minorHAnsi" w:hAnsiTheme="minorHAnsi" w:cs="Arial"/>
          <w:color w:val="auto"/>
          <w:sz w:val="20"/>
          <w:szCs w:val="20"/>
        </w:rPr>
      </w:pPr>
      <w:bookmarkStart w:id="27" w:name="_Ref373505239"/>
      <w:bookmarkStart w:id="28" w:name="_Toc381969518"/>
      <w:bookmarkStart w:id="29" w:name="_Toc405888467"/>
      <w:r w:rsidRPr="22E435CD">
        <w:rPr>
          <w:rFonts w:asciiTheme="minorHAnsi" w:hAnsiTheme="minorHAnsi" w:cs="Arial"/>
          <w:color w:val="auto"/>
          <w:sz w:val="20"/>
          <w:szCs w:val="20"/>
        </w:rPr>
        <w:t>Consortium Bids</w:t>
      </w:r>
      <w:bookmarkEnd w:id="27"/>
      <w:bookmarkEnd w:id="28"/>
      <w:bookmarkEnd w:id="29"/>
    </w:p>
    <w:p w14:paraId="6E810D92" w14:textId="77777777" w:rsidR="0038388A" w:rsidRPr="0038388A" w:rsidRDefault="0038388A" w:rsidP="22E435CD">
      <w:pPr>
        <w:pStyle w:val="Norma"/>
        <w:ind w:left="1083"/>
        <w:jc w:val="both"/>
        <w:rPr>
          <w:rFonts w:asciiTheme="minorHAnsi" w:hAnsiTheme="minorHAnsi" w:cs="Arial"/>
          <w:sz w:val="20"/>
          <w:szCs w:val="20"/>
        </w:rPr>
      </w:pPr>
    </w:p>
    <w:p w14:paraId="6DA792CD" w14:textId="77777777" w:rsidR="00F871C8" w:rsidRDefault="0038388A" w:rsidP="22E435CD">
      <w:pPr>
        <w:pStyle w:val="FootnoteText"/>
        <w:ind w:left="1083"/>
        <w:jc w:val="both"/>
        <w:rPr>
          <w:rFonts w:asciiTheme="minorHAnsi" w:hAnsiTheme="minorHAnsi" w:cs="Arial"/>
          <w:lang w:eastAsia="en-GB"/>
        </w:rPr>
      </w:pPr>
      <w:r w:rsidRPr="22E435CD">
        <w:rPr>
          <w:rFonts w:asciiTheme="minorHAnsi" w:hAnsiTheme="minorHAnsi" w:cs="Arial"/>
          <w:lang w:eastAsia="en-GB"/>
        </w:rPr>
        <w:t xml:space="preserve">In the case of a consortium tender, only one submission covering </w:t>
      </w:r>
      <w:proofErr w:type="gramStart"/>
      <w:r w:rsidRPr="22E435CD">
        <w:rPr>
          <w:rFonts w:asciiTheme="minorHAnsi" w:hAnsiTheme="minorHAnsi" w:cs="Arial"/>
          <w:lang w:eastAsia="en-GB"/>
        </w:rPr>
        <w:t>all of</w:t>
      </w:r>
      <w:proofErr w:type="gramEnd"/>
      <w:r w:rsidRPr="22E435CD">
        <w:rPr>
          <w:rFonts w:asciiTheme="minorHAnsi" w:hAnsiTheme="minorHAnsi" w:cs="Arial"/>
          <w:lang w:eastAsia="en-GB"/>
        </w:rPr>
        <w:t xml:space="preserve"> the partners is required but consortia are advised to make clear the proposed role that each partner will play in performing the contract as per the requirements of the technical specification.  We </w:t>
      </w:r>
      <w:r w:rsidRPr="22E435CD">
        <w:rPr>
          <w:rFonts w:asciiTheme="minorHAnsi" w:hAnsiTheme="minorHAnsi" w:cs="Arial"/>
        </w:rPr>
        <w:t xml:space="preserve">expect the bidder to indicate who in the consortium will be the </w:t>
      </w:r>
      <w:r w:rsidRPr="22E435CD">
        <w:rPr>
          <w:rFonts w:asciiTheme="minorHAnsi" w:hAnsiTheme="minorHAnsi" w:cs="Arial"/>
          <w:lang w:eastAsia="en-GB"/>
        </w:rPr>
        <w:t>lead contact for this project, and the organisation and governance associated with the consortia.</w:t>
      </w:r>
    </w:p>
    <w:p w14:paraId="44C7E1A3" w14:textId="77777777" w:rsidR="00F871C8" w:rsidRDefault="0038388A" w:rsidP="22E435CD">
      <w:pPr>
        <w:pStyle w:val="FootnoteText"/>
        <w:ind w:left="1083"/>
        <w:jc w:val="both"/>
        <w:rPr>
          <w:rFonts w:asciiTheme="minorHAnsi" w:hAnsiTheme="minorHAnsi" w:cs="Arial"/>
          <w:lang w:eastAsia="en-GB"/>
        </w:rPr>
      </w:pPr>
      <w:r w:rsidRPr="22E435CD">
        <w:rPr>
          <w:rFonts w:asciiTheme="minorHAnsi" w:hAnsiTheme="minorHAnsi" w:cs="Arial"/>
          <w:lang w:eastAsia="en-GB"/>
        </w:rPr>
        <w:t>Contractors must provide details as to how they will manage any sub-contractors and what percentage of the tendered activity (in terms of monetary value) will be sub-contracted.</w:t>
      </w:r>
    </w:p>
    <w:p w14:paraId="2E485628" w14:textId="77777777" w:rsidR="00F871C8" w:rsidRDefault="0038388A" w:rsidP="22E435CD">
      <w:pPr>
        <w:pStyle w:val="FootnoteText"/>
        <w:ind w:left="1083"/>
        <w:jc w:val="both"/>
        <w:rPr>
          <w:rFonts w:asciiTheme="minorHAnsi" w:hAnsiTheme="minorHAnsi" w:cs="Arial"/>
        </w:rPr>
      </w:pPr>
      <w:r w:rsidRPr="22E435CD">
        <w:rPr>
          <w:rFonts w:asciiTheme="minorHAnsi" w:hAnsiTheme="minorHAnsi" w:cs="Arial"/>
        </w:rPr>
        <w:t xml:space="preserve">If a consortium is not proposing to form a corporate entity, full details of alternative proposed arrangements should be provided. However, please note CCC reserves the right to require a successful consortium to form a single legal entity in accordance with Regulation 28 of the Public Contracts Regulations 2006. </w:t>
      </w:r>
    </w:p>
    <w:p w14:paraId="0734B508" w14:textId="6304128B" w:rsidR="0038388A" w:rsidRPr="0038388A" w:rsidRDefault="0038388A" w:rsidP="22E435CD">
      <w:pPr>
        <w:pStyle w:val="FootnoteText"/>
        <w:ind w:left="1083"/>
        <w:jc w:val="both"/>
        <w:rPr>
          <w:rFonts w:asciiTheme="minorHAnsi" w:hAnsiTheme="minorHAnsi" w:cs="Arial"/>
        </w:rPr>
      </w:pPr>
      <w:r w:rsidRPr="22E435CD">
        <w:rPr>
          <w:rFonts w:asciiTheme="minorHAnsi" w:hAnsiTheme="minorHAnsi" w:cs="Arial"/>
        </w:rPr>
        <w:t xml:space="preserve">CCC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CCC so that it can make a further assessment by applying the selection criteria to the new information provided. </w:t>
      </w:r>
    </w:p>
    <w:p w14:paraId="1DDBDA6E" w14:textId="66EC99B5" w:rsidR="0038388A" w:rsidRPr="00F97858" w:rsidRDefault="0038388A" w:rsidP="00D278DE">
      <w:pPr>
        <w:pStyle w:val="Heading1"/>
        <w:widowControl w:val="0"/>
        <w:numPr>
          <w:ilvl w:val="1"/>
          <w:numId w:val="7"/>
        </w:numPr>
        <w:overflowPunct w:val="0"/>
        <w:autoSpaceDE w:val="0"/>
        <w:autoSpaceDN w:val="0"/>
        <w:adjustRightInd w:val="0"/>
        <w:spacing w:before="240" w:after="60"/>
        <w:ind w:left="1443"/>
        <w:textAlignment w:val="baseline"/>
        <w:rPr>
          <w:rFonts w:asciiTheme="minorHAnsi" w:hAnsiTheme="minorHAnsi" w:cs="Arial"/>
          <w:color w:val="auto"/>
          <w:sz w:val="20"/>
          <w:szCs w:val="20"/>
        </w:rPr>
      </w:pPr>
      <w:bookmarkStart w:id="30" w:name="_Ref357541811"/>
      <w:bookmarkStart w:id="31" w:name="_Toc381969519"/>
      <w:bookmarkStart w:id="32" w:name="_Toc405888468"/>
      <w:bookmarkStart w:id="33" w:name="_Toc246831559"/>
      <w:bookmarkStart w:id="34" w:name="_Toc271272917"/>
      <w:bookmarkStart w:id="35" w:name="_Ref338852577"/>
      <w:bookmarkEnd w:id="26"/>
      <w:r w:rsidRPr="22E435CD">
        <w:rPr>
          <w:rFonts w:asciiTheme="minorHAnsi" w:hAnsiTheme="minorHAnsi" w:cs="Arial"/>
          <w:color w:val="auto"/>
          <w:sz w:val="20"/>
          <w:szCs w:val="20"/>
        </w:rPr>
        <w:t>Budget</w:t>
      </w:r>
      <w:bookmarkEnd w:id="30"/>
      <w:bookmarkEnd w:id="31"/>
      <w:bookmarkEnd w:id="32"/>
      <w:r w:rsidRPr="22E435CD">
        <w:rPr>
          <w:rFonts w:asciiTheme="minorHAnsi" w:hAnsiTheme="minorHAnsi" w:cs="Arial"/>
          <w:color w:val="auto"/>
          <w:sz w:val="20"/>
          <w:szCs w:val="20"/>
        </w:rPr>
        <w:t xml:space="preserve"> </w:t>
      </w:r>
    </w:p>
    <w:p w14:paraId="165767BC" w14:textId="77777777" w:rsidR="0038388A" w:rsidRPr="0038388A" w:rsidRDefault="0038388A" w:rsidP="22E435CD">
      <w:pPr>
        <w:pStyle w:val="Norma"/>
        <w:ind w:left="516"/>
        <w:rPr>
          <w:rFonts w:asciiTheme="minorHAnsi" w:hAnsiTheme="minorHAnsi" w:cs="Calibri"/>
          <w:b/>
          <w:bCs/>
          <w:sz w:val="20"/>
          <w:szCs w:val="20"/>
        </w:rPr>
      </w:pPr>
    </w:p>
    <w:p w14:paraId="32334C7F" w14:textId="483F6B69" w:rsidR="0038388A" w:rsidRPr="006724AE" w:rsidRDefault="0038388A" w:rsidP="22E435CD">
      <w:pPr>
        <w:pStyle w:val="Paragraph"/>
        <w:ind w:left="1083" w:firstLine="0"/>
        <w:rPr>
          <w:rFonts w:asciiTheme="minorHAnsi" w:eastAsia="Calibri" w:hAnsiTheme="minorHAnsi"/>
          <w:sz w:val="20"/>
          <w:szCs w:val="20"/>
        </w:rPr>
      </w:pPr>
      <w:r w:rsidRPr="4125DC50">
        <w:rPr>
          <w:rFonts w:asciiTheme="minorHAnsi" w:hAnsiTheme="minorHAnsi"/>
          <w:sz w:val="20"/>
          <w:szCs w:val="20"/>
        </w:rPr>
        <w:t>The budget for this pro</w:t>
      </w:r>
      <w:r w:rsidRPr="4125DC50">
        <w:rPr>
          <w:rFonts w:asciiTheme="minorHAnsi" w:eastAsia="Calibri" w:hAnsiTheme="minorHAnsi"/>
          <w:sz w:val="20"/>
          <w:szCs w:val="20"/>
        </w:rPr>
        <w:t xml:space="preserve">ject is </w:t>
      </w:r>
      <w:r w:rsidR="62E17ABD" w:rsidRPr="4125DC50">
        <w:rPr>
          <w:rFonts w:asciiTheme="minorHAnsi" w:eastAsia="Calibri" w:hAnsiTheme="minorHAnsi"/>
          <w:sz w:val="20"/>
          <w:szCs w:val="20"/>
        </w:rPr>
        <w:t>up to £</w:t>
      </w:r>
      <w:r w:rsidR="00DF2F37">
        <w:rPr>
          <w:rFonts w:asciiTheme="minorHAnsi" w:eastAsia="Calibri" w:hAnsiTheme="minorHAnsi"/>
          <w:sz w:val="20"/>
          <w:szCs w:val="20"/>
        </w:rPr>
        <w:t>40</w:t>
      </w:r>
      <w:r w:rsidR="62E17ABD" w:rsidRPr="4125DC50">
        <w:rPr>
          <w:rFonts w:asciiTheme="minorHAnsi" w:eastAsia="Calibri" w:hAnsiTheme="minorHAnsi"/>
          <w:sz w:val="20"/>
          <w:szCs w:val="20"/>
        </w:rPr>
        <w:t xml:space="preserve">,000 </w:t>
      </w:r>
      <w:r w:rsidRPr="4125DC50">
        <w:rPr>
          <w:rFonts w:asciiTheme="minorHAnsi" w:eastAsia="Calibri" w:hAnsiTheme="minorHAnsi"/>
          <w:sz w:val="20"/>
          <w:szCs w:val="20"/>
        </w:rPr>
        <w:t xml:space="preserve">excluding VAT. </w:t>
      </w:r>
    </w:p>
    <w:p w14:paraId="750A7CA0" w14:textId="77777777" w:rsidR="0038388A" w:rsidRPr="0038388A" w:rsidRDefault="0038388A" w:rsidP="22E435CD">
      <w:pPr>
        <w:pStyle w:val="ListParagraph"/>
        <w:spacing w:line="240" w:lineRule="auto"/>
        <w:ind w:left="1083"/>
        <w:jc w:val="both"/>
        <w:rPr>
          <w:rFonts w:asciiTheme="minorHAnsi" w:hAnsiTheme="minorHAnsi" w:cs="Arial"/>
          <w:sz w:val="20"/>
          <w:szCs w:val="20"/>
        </w:rPr>
      </w:pPr>
    </w:p>
    <w:p w14:paraId="2D74C83F" w14:textId="77777777" w:rsidR="00F871C8" w:rsidRDefault="0038388A" w:rsidP="22E435CD">
      <w:pPr>
        <w:pStyle w:val="ListParagraph"/>
        <w:spacing w:line="240" w:lineRule="auto"/>
        <w:ind w:left="1083"/>
        <w:jc w:val="both"/>
        <w:rPr>
          <w:rFonts w:asciiTheme="minorHAnsi" w:hAnsiTheme="minorHAnsi" w:cs="Arial"/>
          <w:sz w:val="20"/>
          <w:szCs w:val="20"/>
        </w:rPr>
      </w:pPr>
      <w:r w:rsidRPr="22E435CD">
        <w:rPr>
          <w:rFonts w:asciiTheme="minorHAnsi" w:hAnsiTheme="minorHAnsi" w:cs="Arial"/>
          <w:sz w:val="20"/>
          <w:szCs w:val="20"/>
        </w:rPr>
        <w:t xml:space="preserve">Contractors should provide a full and detailed breakdown of costs (including options where appropriate). This should include staff (and day rate) allocated to specific tasks. </w:t>
      </w:r>
      <w:bookmarkEnd w:id="33"/>
      <w:bookmarkEnd w:id="34"/>
      <w:bookmarkEnd w:id="35"/>
    </w:p>
    <w:p w14:paraId="60FE4218" w14:textId="77777777" w:rsidR="00F871C8" w:rsidRDefault="00F871C8" w:rsidP="22E435CD">
      <w:pPr>
        <w:pStyle w:val="ListParagraph"/>
        <w:spacing w:line="240" w:lineRule="auto"/>
        <w:ind w:left="1083"/>
        <w:jc w:val="both"/>
        <w:rPr>
          <w:rFonts w:asciiTheme="minorHAnsi" w:hAnsiTheme="minorHAnsi" w:cs="Arial"/>
          <w:sz w:val="20"/>
          <w:szCs w:val="20"/>
        </w:rPr>
      </w:pPr>
    </w:p>
    <w:p w14:paraId="237D5DD6" w14:textId="7432EEC0" w:rsidR="0038388A" w:rsidRPr="00F871C8" w:rsidRDefault="0038388A" w:rsidP="22E435CD">
      <w:pPr>
        <w:pStyle w:val="ListParagraph"/>
        <w:spacing w:line="240" w:lineRule="auto"/>
        <w:ind w:left="1083"/>
        <w:jc w:val="both"/>
        <w:rPr>
          <w:rFonts w:asciiTheme="minorHAnsi" w:hAnsiTheme="minorHAnsi" w:cs="Arial"/>
          <w:sz w:val="20"/>
          <w:szCs w:val="20"/>
        </w:rPr>
      </w:pPr>
      <w:r w:rsidRPr="22E435CD">
        <w:rPr>
          <w:rFonts w:asciiTheme="minorHAnsi" w:hAnsiTheme="minorHAnsi" w:cs="Arial"/>
          <w:sz w:val="20"/>
          <w:szCs w:val="20"/>
        </w:rPr>
        <w:t xml:space="preserve">Cost will be a criterion against which bids which will be assessed. </w:t>
      </w:r>
    </w:p>
    <w:p w14:paraId="1B859929" w14:textId="77777777" w:rsidR="0038388A" w:rsidRPr="0038388A" w:rsidRDefault="0038388A" w:rsidP="22E435CD">
      <w:pPr>
        <w:pStyle w:val="ListParagraph"/>
        <w:spacing w:line="240" w:lineRule="auto"/>
        <w:ind w:left="1083"/>
        <w:jc w:val="both"/>
        <w:rPr>
          <w:rFonts w:asciiTheme="minorHAnsi" w:hAnsiTheme="minorHAnsi" w:cs="Arial"/>
          <w:sz w:val="20"/>
          <w:szCs w:val="20"/>
        </w:rPr>
      </w:pPr>
    </w:p>
    <w:p w14:paraId="6F517922" w14:textId="77777777" w:rsidR="0038388A" w:rsidRPr="0038388A" w:rsidRDefault="0038388A" w:rsidP="22E435CD">
      <w:pPr>
        <w:pStyle w:val="ListParagraph"/>
        <w:spacing w:after="0" w:line="240" w:lineRule="auto"/>
        <w:ind w:left="1083"/>
        <w:jc w:val="both"/>
        <w:rPr>
          <w:rFonts w:asciiTheme="minorHAnsi" w:hAnsiTheme="minorHAnsi" w:cs="Arial"/>
          <w:sz w:val="20"/>
          <w:szCs w:val="20"/>
        </w:rPr>
      </w:pPr>
      <w:r w:rsidRPr="22E435CD">
        <w:rPr>
          <w:rFonts w:asciiTheme="minorHAnsi" w:hAnsiTheme="minorHAnsi" w:cs="Arial"/>
          <w:sz w:val="20"/>
          <w:szCs w:val="20"/>
        </w:rPr>
        <w:t>Payments will be linked to delivery of key milestones. The indicative milestones and phasing of payments can be adjusted and agreed with the contractor and Project Manager. Please advise in your tender response how this breakdown reflects your usual payment processes:</w:t>
      </w:r>
    </w:p>
    <w:p w14:paraId="23A0F2E2" w14:textId="77777777" w:rsidR="0038388A" w:rsidRPr="0038388A" w:rsidRDefault="0038388A" w:rsidP="22E435CD">
      <w:pPr>
        <w:pStyle w:val="ListParagraph"/>
        <w:spacing w:after="0" w:line="240" w:lineRule="auto"/>
        <w:ind w:left="1083"/>
        <w:jc w:val="both"/>
        <w:rPr>
          <w:rFonts w:asciiTheme="minorHAnsi" w:hAnsiTheme="minorHAnsi" w:cs="Arial"/>
          <w:sz w:val="20"/>
          <w:szCs w:val="20"/>
        </w:rPr>
      </w:pPr>
    </w:p>
    <w:p w14:paraId="7092805F" w14:textId="77777777" w:rsidR="0038388A" w:rsidRPr="0038388A" w:rsidRDefault="0038388A" w:rsidP="22E435CD">
      <w:pPr>
        <w:pStyle w:val="Norma"/>
        <w:ind w:left="1083"/>
        <w:jc w:val="both"/>
        <w:rPr>
          <w:rFonts w:asciiTheme="minorHAnsi" w:eastAsia="MS Mincho" w:hAnsiTheme="minorHAnsi" w:cs="Arial"/>
          <w:sz w:val="20"/>
          <w:szCs w:val="20"/>
        </w:rPr>
      </w:pPr>
      <w:r w:rsidRPr="22E435CD">
        <w:rPr>
          <w:rFonts w:asciiTheme="minorHAnsi" w:eastAsia="MS Mincho" w:hAnsiTheme="minorHAnsi" w:cs="Arial"/>
          <w:sz w:val="20"/>
          <w:szCs w:val="20"/>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3F53A629" w14:textId="77777777" w:rsidR="0038388A" w:rsidRPr="0038388A" w:rsidRDefault="0038388A" w:rsidP="22E435CD">
      <w:pPr>
        <w:pStyle w:val="Norma"/>
        <w:ind w:left="1083"/>
        <w:jc w:val="both"/>
        <w:rPr>
          <w:rFonts w:asciiTheme="minorHAnsi" w:eastAsia="MS Mincho" w:hAnsiTheme="minorHAnsi" w:cs="Arial"/>
          <w:sz w:val="20"/>
          <w:szCs w:val="20"/>
        </w:rPr>
      </w:pPr>
    </w:p>
    <w:p w14:paraId="071A513C" w14:textId="55559950" w:rsidR="0038388A" w:rsidRPr="0038388A" w:rsidRDefault="0038388A" w:rsidP="22E435CD">
      <w:pPr>
        <w:pStyle w:val="Norma"/>
        <w:ind w:left="1083"/>
        <w:jc w:val="both"/>
        <w:rPr>
          <w:rFonts w:asciiTheme="minorHAnsi" w:eastAsia="MS Mincho" w:hAnsiTheme="minorHAnsi" w:cs="Arial"/>
          <w:sz w:val="20"/>
          <w:szCs w:val="20"/>
        </w:rPr>
      </w:pPr>
      <w:r w:rsidRPr="22E435CD">
        <w:rPr>
          <w:rFonts w:asciiTheme="minorHAnsi" w:eastAsia="MS Mincho" w:hAnsiTheme="minorHAnsi" w:cs="Arial"/>
          <w:sz w:val="20"/>
          <w:szCs w:val="20"/>
        </w:rPr>
        <w:t xml:space="preserve">The </w:t>
      </w:r>
      <w:r w:rsidR="00084651">
        <w:rPr>
          <w:rFonts w:asciiTheme="minorHAnsi" w:eastAsia="MS Mincho" w:hAnsiTheme="minorHAnsi" w:cs="Arial"/>
          <w:sz w:val="20"/>
          <w:szCs w:val="20"/>
        </w:rPr>
        <w:t xml:space="preserve">Climate Change </w:t>
      </w:r>
      <w:r w:rsidRPr="22E435CD">
        <w:rPr>
          <w:rFonts w:asciiTheme="minorHAnsi" w:eastAsia="MS Mincho" w:hAnsiTheme="minorHAnsi" w:cs="Arial"/>
          <w:sz w:val="20"/>
          <w:szCs w:val="20"/>
        </w:rPr>
        <w:t>Committee aims to pay all correctly submitted invoices as soon as possible with a target of 10 days from the date of receipt and within 30 days at the latest in line with standard terms and conditions of contract.</w:t>
      </w:r>
    </w:p>
    <w:p w14:paraId="5A7A6770" w14:textId="313AD5B7" w:rsidR="0038388A" w:rsidRPr="00F97858" w:rsidRDefault="0038388A" w:rsidP="00D278DE">
      <w:pPr>
        <w:pStyle w:val="Heading1"/>
        <w:widowControl w:val="0"/>
        <w:numPr>
          <w:ilvl w:val="1"/>
          <w:numId w:val="7"/>
        </w:numPr>
        <w:overflowPunct w:val="0"/>
        <w:autoSpaceDE w:val="0"/>
        <w:autoSpaceDN w:val="0"/>
        <w:adjustRightInd w:val="0"/>
        <w:spacing w:before="240" w:after="60"/>
        <w:ind w:left="1443"/>
        <w:textAlignment w:val="baseline"/>
        <w:rPr>
          <w:rFonts w:asciiTheme="minorHAnsi" w:hAnsiTheme="minorHAnsi" w:cs="Arial"/>
          <w:color w:val="auto"/>
          <w:sz w:val="20"/>
          <w:szCs w:val="20"/>
        </w:rPr>
      </w:pPr>
      <w:bookmarkStart w:id="36" w:name="_Ref357541836"/>
      <w:bookmarkStart w:id="37" w:name="_Toc381969520"/>
      <w:bookmarkStart w:id="38" w:name="_Toc405888469"/>
      <w:r w:rsidRPr="22E435CD">
        <w:rPr>
          <w:rFonts w:asciiTheme="minorHAnsi" w:hAnsiTheme="minorHAnsi" w:cs="Arial"/>
          <w:color w:val="auto"/>
          <w:sz w:val="20"/>
          <w:szCs w:val="20"/>
        </w:rPr>
        <w:t>Evaluation of Tenders</w:t>
      </w:r>
      <w:bookmarkEnd w:id="36"/>
      <w:bookmarkEnd w:id="37"/>
      <w:bookmarkEnd w:id="38"/>
    </w:p>
    <w:p w14:paraId="24DF1253" w14:textId="77777777" w:rsidR="0038388A" w:rsidRPr="0038388A" w:rsidRDefault="0038388A" w:rsidP="22E435CD">
      <w:pPr>
        <w:pStyle w:val="Norma"/>
        <w:jc w:val="both"/>
        <w:rPr>
          <w:rFonts w:asciiTheme="minorHAnsi" w:hAnsiTheme="minorHAnsi" w:cs="Arial"/>
          <w:sz w:val="20"/>
          <w:szCs w:val="20"/>
        </w:rPr>
      </w:pPr>
    </w:p>
    <w:p w14:paraId="1CCEBD71" w14:textId="72B0E0FB" w:rsidR="0038388A" w:rsidRPr="0038388A" w:rsidRDefault="0038388A"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lastRenderedPageBreak/>
        <w:t xml:space="preserve">Contractors are invited to submit full tenders of no more than </w:t>
      </w:r>
      <w:r w:rsidR="5427F95F" w:rsidRPr="22E435CD">
        <w:rPr>
          <w:rFonts w:asciiTheme="minorHAnsi" w:hAnsiTheme="minorHAnsi" w:cs="Arial"/>
          <w:sz w:val="20"/>
          <w:szCs w:val="20"/>
        </w:rPr>
        <w:t>20</w:t>
      </w:r>
      <w:r w:rsidRPr="22E435CD">
        <w:rPr>
          <w:rFonts w:asciiTheme="minorHAnsi" w:hAnsiTheme="minorHAnsi" w:cs="Arial"/>
          <w:sz w:val="20"/>
          <w:szCs w:val="20"/>
        </w:rPr>
        <w:t xml:space="preserve"> pages, excluding declarations and CV’s. Tenders will be evaluated by at least three CCC staff.</w:t>
      </w:r>
    </w:p>
    <w:p w14:paraId="42464FDF" w14:textId="77777777" w:rsidR="0038388A" w:rsidRPr="0038388A" w:rsidRDefault="0038388A" w:rsidP="22E435CD">
      <w:pPr>
        <w:pStyle w:val="Norma"/>
        <w:ind w:left="1083"/>
        <w:jc w:val="both"/>
        <w:rPr>
          <w:rFonts w:asciiTheme="minorHAnsi" w:hAnsiTheme="minorHAnsi" w:cs="Arial"/>
          <w:sz w:val="20"/>
          <w:szCs w:val="20"/>
        </w:rPr>
      </w:pPr>
    </w:p>
    <w:p w14:paraId="1E730437" w14:textId="77777777" w:rsidR="0038388A" w:rsidRPr="0038388A" w:rsidRDefault="0038388A" w:rsidP="22E435CD">
      <w:pPr>
        <w:pStyle w:val="NoSpacing"/>
        <w:ind w:left="1083"/>
        <w:rPr>
          <w:rFonts w:asciiTheme="minorHAnsi" w:hAnsiTheme="minorHAnsi" w:cs="Arial"/>
          <w:sz w:val="20"/>
          <w:szCs w:val="20"/>
        </w:rPr>
      </w:pPr>
      <w:r w:rsidRPr="22E435CD">
        <w:rPr>
          <w:rFonts w:asciiTheme="minorHAnsi" w:hAnsiTheme="minorHAnsi" w:cs="Arial"/>
          <w:sz w:val="20"/>
          <w:szCs w:val="20"/>
        </w:rPr>
        <w:t>CCC will select the bidder that scores highest against the criteria and weighting listed below, see the ITT for further information.</w:t>
      </w:r>
    </w:p>
    <w:p w14:paraId="3D758287" w14:textId="0597261F" w:rsidR="0038388A" w:rsidRDefault="0038388A" w:rsidP="22E435CD">
      <w:pPr>
        <w:pStyle w:val="BodyText"/>
        <w:rPr>
          <w:color w:val="auto"/>
        </w:rPr>
      </w:pPr>
    </w:p>
    <w:p w14:paraId="129E2DEF" w14:textId="77777777" w:rsidR="00F871C8" w:rsidRDefault="00F871C8" w:rsidP="22E435CD">
      <w:pPr>
        <w:pStyle w:val="BodyText"/>
        <w:rPr>
          <w:color w:val="auto"/>
        </w:rPr>
      </w:pPr>
    </w:p>
    <w:p w14:paraId="601D58FF" w14:textId="77777777" w:rsidR="0038388A" w:rsidRDefault="0038388A" w:rsidP="22E435CD">
      <w:pPr>
        <w:pStyle w:val="Norma"/>
        <w:spacing w:line="276" w:lineRule="auto"/>
        <w:ind w:left="360"/>
        <w:jc w:val="center"/>
        <w:rPr>
          <w:rFonts w:asciiTheme="minorHAnsi" w:hAnsiTheme="minorHAnsi" w:cs="Arial"/>
          <w:b/>
          <w:bCs/>
          <w:sz w:val="20"/>
          <w:szCs w:val="20"/>
        </w:rPr>
      </w:pPr>
    </w:p>
    <w:p w14:paraId="60EC1450" w14:textId="77777777" w:rsidR="0038388A" w:rsidRDefault="0038388A" w:rsidP="22E435CD">
      <w:pPr>
        <w:pStyle w:val="Norma"/>
        <w:spacing w:line="276" w:lineRule="auto"/>
        <w:ind w:left="360"/>
        <w:jc w:val="center"/>
        <w:rPr>
          <w:rFonts w:asciiTheme="minorHAnsi" w:hAnsiTheme="minorHAnsi" w:cs="Arial"/>
          <w:b/>
          <w:bCs/>
          <w:sz w:val="20"/>
          <w:szCs w:val="20"/>
        </w:rPr>
      </w:pPr>
      <w:r w:rsidRPr="22E435CD">
        <w:rPr>
          <w:rFonts w:asciiTheme="minorHAnsi" w:hAnsiTheme="minorHAnsi" w:cs="Arial"/>
          <w:b/>
          <w:bCs/>
          <w:sz w:val="20"/>
          <w:szCs w:val="20"/>
        </w:rPr>
        <w:t>EVALUATION CRITERIA AND SCORING METHODOLOGY</w:t>
      </w:r>
    </w:p>
    <w:p w14:paraId="75E4A162" w14:textId="77777777" w:rsidR="0038388A" w:rsidRDefault="0038388A" w:rsidP="22E435CD">
      <w:pPr>
        <w:pStyle w:val="BodyText"/>
        <w:rPr>
          <w:color w:val="auto"/>
        </w:rPr>
      </w:pPr>
    </w:p>
    <w:tbl>
      <w:tblPr>
        <w:tblStyle w:val="TableGrid"/>
        <w:tblW w:w="7150" w:type="dxa"/>
        <w:tblInd w:w="1210" w:type="dxa"/>
        <w:tblLook w:val="04A0" w:firstRow="1" w:lastRow="0" w:firstColumn="1" w:lastColumn="0" w:noHBand="0" w:noVBand="1"/>
      </w:tblPr>
      <w:tblGrid>
        <w:gridCol w:w="1914"/>
        <w:gridCol w:w="2618"/>
        <w:gridCol w:w="2618"/>
      </w:tblGrid>
      <w:tr w:rsidR="0038388A" w:rsidRPr="0038388A" w14:paraId="5C806858" w14:textId="77777777" w:rsidTr="4125DC50">
        <w:tc>
          <w:tcPr>
            <w:tcW w:w="1914" w:type="dxa"/>
          </w:tcPr>
          <w:p w14:paraId="5F103605" w14:textId="77777777" w:rsidR="0038388A" w:rsidRPr="0038388A" w:rsidRDefault="0038388A" w:rsidP="22E435CD">
            <w:pPr>
              <w:pStyle w:val="BodyText"/>
              <w:rPr>
                <w:rFonts w:cs="Arial"/>
                <w:color w:val="auto"/>
              </w:rPr>
            </w:pPr>
            <w:bookmarkStart w:id="39" w:name="p2"/>
            <w:r w:rsidRPr="22E435CD">
              <w:rPr>
                <w:rFonts w:cs="Arial"/>
                <w:color w:val="auto"/>
              </w:rPr>
              <w:t>Criterion</w:t>
            </w:r>
            <w:bookmarkEnd w:id="39"/>
          </w:p>
        </w:tc>
        <w:tc>
          <w:tcPr>
            <w:tcW w:w="2618" w:type="dxa"/>
            <w:shd w:val="clear" w:color="auto" w:fill="auto"/>
          </w:tcPr>
          <w:p w14:paraId="0BF53CC1" w14:textId="77777777" w:rsidR="0038388A" w:rsidRPr="0038388A" w:rsidRDefault="0038388A" w:rsidP="22E435CD">
            <w:pPr>
              <w:pStyle w:val="BodyText"/>
              <w:rPr>
                <w:rFonts w:cs="Arial"/>
                <w:color w:val="auto"/>
              </w:rPr>
            </w:pPr>
            <w:r w:rsidRPr="22E435CD">
              <w:rPr>
                <w:rFonts w:cs="Arial"/>
                <w:color w:val="auto"/>
              </w:rPr>
              <w:t>Description</w:t>
            </w:r>
          </w:p>
        </w:tc>
        <w:tc>
          <w:tcPr>
            <w:tcW w:w="2618" w:type="dxa"/>
            <w:shd w:val="clear" w:color="auto" w:fill="auto"/>
          </w:tcPr>
          <w:p w14:paraId="5A2870E8" w14:textId="23D85622" w:rsidR="0038388A" w:rsidRPr="0038388A" w:rsidRDefault="0038388A" w:rsidP="22E435CD">
            <w:pPr>
              <w:pStyle w:val="BodyText"/>
              <w:rPr>
                <w:rFonts w:cs="Arial"/>
                <w:color w:val="auto"/>
              </w:rPr>
            </w:pPr>
            <w:r w:rsidRPr="22E435CD">
              <w:rPr>
                <w:rFonts w:cs="Arial"/>
                <w:color w:val="auto"/>
              </w:rPr>
              <w:t>Weighting</w:t>
            </w:r>
          </w:p>
        </w:tc>
      </w:tr>
      <w:tr w:rsidR="0038388A" w:rsidRPr="0038388A" w14:paraId="0FC90228" w14:textId="77777777" w:rsidTr="4125DC50">
        <w:tc>
          <w:tcPr>
            <w:tcW w:w="1914" w:type="dxa"/>
            <w:shd w:val="clear" w:color="auto" w:fill="auto"/>
          </w:tcPr>
          <w:p w14:paraId="452FDFAB" w14:textId="77777777" w:rsidR="0038388A" w:rsidRPr="0038388A" w:rsidRDefault="0038388A" w:rsidP="22E435CD">
            <w:pPr>
              <w:pStyle w:val="BodyText"/>
              <w:rPr>
                <w:rFonts w:cs="Arial"/>
                <w:color w:val="auto"/>
              </w:rPr>
            </w:pPr>
            <w:r w:rsidRPr="22E435CD">
              <w:rPr>
                <w:rFonts w:cs="Arial"/>
                <w:color w:val="auto"/>
              </w:rPr>
              <w:t>1</w:t>
            </w:r>
          </w:p>
        </w:tc>
        <w:tc>
          <w:tcPr>
            <w:tcW w:w="2618" w:type="dxa"/>
            <w:shd w:val="clear" w:color="auto" w:fill="auto"/>
          </w:tcPr>
          <w:p w14:paraId="58A48BF2" w14:textId="77777777" w:rsidR="0038388A" w:rsidRPr="0038388A" w:rsidRDefault="0038388A" w:rsidP="22E435CD">
            <w:pPr>
              <w:pStyle w:val="BodyText"/>
              <w:rPr>
                <w:color w:val="auto"/>
              </w:rPr>
            </w:pPr>
            <w:r w:rsidRPr="22E435CD">
              <w:rPr>
                <w:color w:val="auto"/>
              </w:rPr>
              <w:t>RELEVANT EXPERIENCE / DEMONSTRATION OF CABABILITY</w:t>
            </w:r>
          </w:p>
        </w:tc>
        <w:tc>
          <w:tcPr>
            <w:tcW w:w="2618" w:type="dxa"/>
            <w:shd w:val="clear" w:color="auto" w:fill="auto"/>
          </w:tcPr>
          <w:p w14:paraId="3B99A12D" w14:textId="77777777" w:rsidR="0038388A" w:rsidRPr="0038388A" w:rsidRDefault="0038388A" w:rsidP="22E435CD">
            <w:pPr>
              <w:pStyle w:val="BodyText"/>
              <w:rPr>
                <w:rFonts w:cs="Arial"/>
                <w:color w:val="auto"/>
              </w:rPr>
            </w:pPr>
            <w:r w:rsidRPr="22E435CD">
              <w:rPr>
                <w:rFonts w:cs="Arial"/>
                <w:color w:val="auto"/>
              </w:rPr>
              <w:t>20%</w:t>
            </w:r>
          </w:p>
        </w:tc>
      </w:tr>
      <w:tr w:rsidR="0038388A" w:rsidRPr="0038388A" w14:paraId="156F3B2A" w14:textId="77777777" w:rsidTr="4125DC50">
        <w:tc>
          <w:tcPr>
            <w:tcW w:w="1914" w:type="dxa"/>
            <w:shd w:val="clear" w:color="auto" w:fill="auto"/>
          </w:tcPr>
          <w:p w14:paraId="2D6484F6" w14:textId="77777777" w:rsidR="0038388A" w:rsidRPr="0038388A" w:rsidRDefault="0038388A" w:rsidP="22E435CD">
            <w:pPr>
              <w:pStyle w:val="BodyText"/>
              <w:rPr>
                <w:rFonts w:cs="Arial"/>
                <w:color w:val="auto"/>
              </w:rPr>
            </w:pPr>
            <w:r w:rsidRPr="22E435CD">
              <w:rPr>
                <w:rFonts w:cs="Arial"/>
                <w:color w:val="auto"/>
              </w:rPr>
              <w:t>2</w:t>
            </w:r>
          </w:p>
        </w:tc>
        <w:tc>
          <w:tcPr>
            <w:tcW w:w="2618" w:type="dxa"/>
            <w:shd w:val="clear" w:color="auto" w:fill="auto"/>
          </w:tcPr>
          <w:p w14:paraId="044D8F56" w14:textId="77777777" w:rsidR="0038388A" w:rsidRPr="0038388A" w:rsidRDefault="0038388A" w:rsidP="22E435CD">
            <w:pPr>
              <w:pStyle w:val="BodyText"/>
              <w:rPr>
                <w:color w:val="auto"/>
              </w:rPr>
            </w:pPr>
            <w:r w:rsidRPr="22E435CD">
              <w:rPr>
                <w:color w:val="auto"/>
              </w:rPr>
              <w:t>MANAGING YOUR RELATIONSHIP WITH THE CCC</w:t>
            </w:r>
          </w:p>
        </w:tc>
        <w:tc>
          <w:tcPr>
            <w:tcW w:w="2618" w:type="dxa"/>
            <w:shd w:val="clear" w:color="auto" w:fill="auto"/>
          </w:tcPr>
          <w:p w14:paraId="2E809209" w14:textId="56C8BAA9" w:rsidR="0038388A" w:rsidRPr="0038388A" w:rsidRDefault="366F24D2" w:rsidP="22E435CD">
            <w:pPr>
              <w:pStyle w:val="BodyText"/>
              <w:rPr>
                <w:rFonts w:cs="Arial"/>
                <w:color w:val="auto"/>
              </w:rPr>
            </w:pPr>
            <w:r w:rsidRPr="4125DC50">
              <w:rPr>
                <w:rFonts w:cs="Arial"/>
                <w:color w:val="auto"/>
              </w:rPr>
              <w:t>5</w:t>
            </w:r>
            <w:r w:rsidR="0038388A" w:rsidRPr="4125DC50">
              <w:rPr>
                <w:rFonts w:cs="Arial"/>
                <w:color w:val="auto"/>
              </w:rPr>
              <w:t>%</w:t>
            </w:r>
          </w:p>
        </w:tc>
      </w:tr>
      <w:tr w:rsidR="0038388A" w:rsidRPr="0038388A" w14:paraId="06E596F8" w14:textId="77777777" w:rsidTr="4125DC50">
        <w:tc>
          <w:tcPr>
            <w:tcW w:w="1914" w:type="dxa"/>
            <w:shd w:val="clear" w:color="auto" w:fill="auto"/>
          </w:tcPr>
          <w:p w14:paraId="673D7034" w14:textId="77777777" w:rsidR="0038388A" w:rsidRPr="0038388A" w:rsidRDefault="0038388A" w:rsidP="22E435CD">
            <w:pPr>
              <w:pStyle w:val="BodyText"/>
              <w:rPr>
                <w:rFonts w:cs="Arial"/>
                <w:color w:val="auto"/>
              </w:rPr>
            </w:pPr>
            <w:r w:rsidRPr="22E435CD">
              <w:rPr>
                <w:rFonts w:cs="Arial"/>
                <w:color w:val="auto"/>
              </w:rPr>
              <w:t>3</w:t>
            </w:r>
          </w:p>
        </w:tc>
        <w:tc>
          <w:tcPr>
            <w:tcW w:w="2618" w:type="dxa"/>
            <w:shd w:val="clear" w:color="auto" w:fill="auto"/>
          </w:tcPr>
          <w:p w14:paraId="3B0672B4" w14:textId="77777777" w:rsidR="0038388A" w:rsidRPr="0038388A" w:rsidRDefault="0038388A" w:rsidP="22E435CD">
            <w:pPr>
              <w:pStyle w:val="BodyText"/>
              <w:rPr>
                <w:color w:val="auto"/>
              </w:rPr>
            </w:pPr>
            <w:r w:rsidRPr="22E435CD">
              <w:rPr>
                <w:color w:val="auto"/>
              </w:rPr>
              <w:t>QUALITY ASSURING THE SERVICES YOU PROVIDE</w:t>
            </w:r>
          </w:p>
        </w:tc>
        <w:tc>
          <w:tcPr>
            <w:tcW w:w="2618" w:type="dxa"/>
            <w:shd w:val="clear" w:color="auto" w:fill="auto"/>
          </w:tcPr>
          <w:p w14:paraId="016B27E1" w14:textId="5CF94343" w:rsidR="0038388A" w:rsidRPr="0038388A" w:rsidRDefault="7839084A" w:rsidP="22E435CD">
            <w:pPr>
              <w:pStyle w:val="BodyText"/>
              <w:rPr>
                <w:rFonts w:cs="Arial"/>
                <w:color w:val="auto"/>
              </w:rPr>
            </w:pPr>
            <w:r w:rsidRPr="4125DC50">
              <w:rPr>
                <w:rFonts w:cs="Arial"/>
                <w:color w:val="auto"/>
              </w:rPr>
              <w:t>10</w:t>
            </w:r>
            <w:r w:rsidR="0038388A" w:rsidRPr="4125DC50">
              <w:rPr>
                <w:rFonts w:cs="Arial"/>
                <w:color w:val="auto"/>
              </w:rPr>
              <w:t>%</w:t>
            </w:r>
          </w:p>
        </w:tc>
      </w:tr>
      <w:tr w:rsidR="0038388A" w:rsidRPr="0038388A" w14:paraId="0D14FA83" w14:textId="77777777" w:rsidTr="4125DC50">
        <w:tc>
          <w:tcPr>
            <w:tcW w:w="1914" w:type="dxa"/>
            <w:shd w:val="clear" w:color="auto" w:fill="auto"/>
          </w:tcPr>
          <w:p w14:paraId="30DD4C5D" w14:textId="77777777" w:rsidR="0038388A" w:rsidRPr="0038388A" w:rsidRDefault="0038388A" w:rsidP="22E435CD">
            <w:pPr>
              <w:pStyle w:val="BodyText"/>
              <w:rPr>
                <w:rFonts w:cs="Arial"/>
                <w:color w:val="auto"/>
              </w:rPr>
            </w:pPr>
            <w:r w:rsidRPr="22E435CD">
              <w:rPr>
                <w:rFonts w:cs="Arial"/>
                <w:color w:val="auto"/>
              </w:rPr>
              <w:t>4</w:t>
            </w:r>
          </w:p>
        </w:tc>
        <w:tc>
          <w:tcPr>
            <w:tcW w:w="2618" w:type="dxa"/>
            <w:shd w:val="clear" w:color="auto" w:fill="auto"/>
          </w:tcPr>
          <w:p w14:paraId="34C74777" w14:textId="77777777" w:rsidR="0038388A" w:rsidRPr="0038388A" w:rsidRDefault="0038388A" w:rsidP="22E435CD">
            <w:pPr>
              <w:pStyle w:val="BodyText"/>
              <w:rPr>
                <w:color w:val="auto"/>
              </w:rPr>
            </w:pPr>
            <w:r w:rsidRPr="22E435CD">
              <w:rPr>
                <w:color w:val="auto"/>
              </w:rPr>
              <w:t>MANAGEMENT STRUCTURE</w:t>
            </w:r>
          </w:p>
        </w:tc>
        <w:tc>
          <w:tcPr>
            <w:tcW w:w="2618" w:type="dxa"/>
            <w:shd w:val="clear" w:color="auto" w:fill="auto"/>
          </w:tcPr>
          <w:p w14:paraId="5C0D80D9" w14:textId="7C80A337" w:rsidR="0038388A" w:rsidRPr="0038388A" w:rsidRDefault="5A895C6A" w:rsidP="22E435CD">
            <w:pPr>
              <w:pStyle w:val="BodyText"/>
              <w:rPr>
                <w:rFonts w:cs="Arial"/>
                <w:color w:val="auto"/>
              </w:rPr>
            </w:pPr>
            <w:r w:rsidRPr="4125DC50">
              <w:rPr>
                <w:rFonts w:cs="Arial"/>
                <w:color w:val="auto"/>
              </w:rPr>
              <w:t>5</w:t>
            </w:r>
            <w:r w:rsidR="0038388A" w:rsidRPr="4125DC50">
              <w:rPr>
                <w:rFonts w:cs="Arial"/>
                <w:color w:val="auto"/>
              </w:rPr>
              <w:t>%</w:t>
            </w:r>
          </w:p>
        </w:tc>
      </w:tr>
      <w:tr w:rsidR="0038388A" w:rsidRPr="0038388A" w14:paraId="5F86DEAC" w14:textId="77777777" w:rsidTr="4125DC50">
        <w:tc>
          <w:tcPr>
            <w:tcW w:w="1914" w:type="dxa"/>
            <w:shd w:val="clear" w:color="auto" w:fill="auto"/>
          </w:tcPr>
          <w:p w14:paraId="78DB1E25" w14:textId="77777777" w:rsidR="0038388A" w:rsidRPr="0038388A" w:rsidRDefault="0038388A" w:rsidP="22E435CD">
            <w:pPr>
              <w:pStyle w:val="BodyText"/>
              <w:rPr>
                <w:rFonts w:cs="Arial"/>
                <w:color w:val="auto"/>
              </w:rPr>
            </w:pPr>
            <w:r w:rsidRPr="22E435CD">
              <w:rPr>
                <w:rFonts w:cs="Arial"/>
                <w:color w:val="auto"/>
              </w:rPr>
              <w:t>5</w:t>
            </w:r>
          </w:p>
        </w:tc>
        <w:tc>
          <w:tcPr>
            <w:tcW w:w="2618" w:type="dxa"/>
            <w:shd w:val="clear" w:color="auto" w:fill="auto"/>
          </w:tcPr>
          <w:p w14:paraId="0920783E" w14:textId="77777777" w:rsidR="0038388A" w:rsidRPr="0038388A" w:rsidRDefault="0038388A" w:rsidP="22E435CD">
            <w:pPr>
              <w:pStyle w:val="BodyText"/>
              <w:rPr>
                <w:color w:val="auto"/>
              </w:rPr>
            </w:pPr>
            <w:r w:rsidRPr="22E435CD">
              <w:rPr>
                <w:color w:val="auto"/>
              </w:rPr>
              <w:t>PROJECT TEAM – SKILLS AND KNOWLEDGE</w:t>
            </w:r>
          </w:p>
        </w:tc>
        <w:tc>
          <w:tcPr>
            <w:tcW w:w="2618" w:type="dxa"/>
            <w:shd w:val="clear" w:color="auto" w:fill="auto"/>
          </w:tcPr>
          <w:p w14:paraId="3DB18D4F" w14:textId="7A8CCEE8" w:rsidR="0038388A" w:rsidRPr="0038388A" w:rsidRDefault="5C4CBD99" w:rsidP="22E435CD">
            <w:pPr>
              <w:pStyle w:val="BodyText"/>
              <w:rPr>
                <w:rFonts w:cs="Arial"/>
                <w:color w:val="auto"/>
              </w:rPr>
            </w:pPr>
            <w:r w:rsidRPr="4125DC50">
              <w:rPr>
                <w:rFonts w:cs="Arial"/>
                <w:color w:val="auto"/>
              </w:rPr>
              <w:t>15</w:t>
            </w:r>
            <w:r w:rsidR="0038388A" w:rsidRPr="4125DC50">
              <w:rPr>
                <w:rFonts w:cs="Arial"/>
                <w:color w:val="auto"/>
              </w:rPr>
              <w:t>%</w:t>
            </w:r>
          </w:p>
        </w:tc>
      </w:tr>
      <w:tr w:rsidR="0038388A" w:rsidRPr="0038388A" w14:paraId="0A9581F0" w14:textId="77777777" w:rsidTr="4125DC50">
        <w:tc>
          <w:tcPr>
            <w:tcW w:w="1914" w:type="dxa"/>
            <w:shd w:val="clear" w:color="auto" w:fill="auto"/>
          </w:tcPr>
          <w:p w14:paraId="5419578E" w14:textId="77777777" w:rsidR="0038388A" w:rsidRPr="0038388A" w:rsidRDefault="0038388A" w:rsidP="22E435CD">
            <w:pPr>
              <w:pStyle w:val="BodyText"/>
              <w:rPr>
                <w:rFonts w:cs="Arial"/>
                <w:color w:val="auto"/>
              </w:rPr>
            </w:pPr>
            <w:r w:rsidRPr="22E435CD">
              <w:rPr>
                <w:rFonts w:cs="Arial"/>
                <w:color w:val="auto"/>
              </w:rPr>
              <w:t>6</w:t>
            </w:r>
          </w:p>
        </w:tc>
        <w:tc>
          <w:tcPr>
            <w:tcW w:w="2618" w:type="dxa"/>
            <w:shd w:val="clear" w:color="auto" w:fill="auto"/>
          </w:tcPr>
          <w:p w14:paraId="6B40D214" w14:textId="5E783146" w:rsidR="0038388A" w:rsidRPr="0038388A" w:rsidRDefault="0038388A" w:rsidP="22E435CD">
            <w:pPr>
              <w:pStyle w:val="BodyText"/>
              <w:rPr>
                <w:color w:val="auto"/>
              </w:rPr>
            </w:pPr>
            <w:r w:rsidRPr="4125DC50">
              <w:rPr>
                <w:color w:val="auto"/>
              </w:rPr>
              <w:t>METHOD, ABILITY AND TECHNICAL CAPACITY</w:t>
            </w:r>
          </w:p>
        </w:tc>
        <w:tc>
          <w:tcPr>
            <w:tcW w:w="2618" w:type="dxa"/>
            <w:shd w:val="clear" w:color="auto" w:fill="auto"/>
          </w:tcPr>
          <w:p w14:paraId="30C82DE5" w14:textId="383617BE" w:rsidR="0038388A" w:rsidRPr="0038388A" w:rsidRDefault="05063513" w:rsidP="22E435CD">
            <w:pPr>
              <w:pStyle w:val="BodyText"/>
              <w:rPr>
                <w:rFonts w:cs="Arial"/>
                <w:color w:val="auto"/>
              </w:rPr>
            </w:pPr>
            <w:r w:rsidRPr="4125DC50">
              <w:rPr>
                <w:rFonts w:cs="Arial"/>
                <w:color w:val="auto"/>
              </w:rPr>
              <w:t>2</w:t>
            </w:r>
            <w:r w:rsidR="0033670B">
              <w:rPr>
                <w:rFonts w:cs="Arial"/>
                <w:color w:val="auto"/>
              </w:rPr>
              <w:t>0</w:t>
            </w:r>
            <w:r w:rsidR="0038388A" w:rsidRPr="4125DC50">
              <w:rPr>
                <w:rFonts w:cs="Arial"/>
                <w:color w:val="auto"/>
              </w:rPr>
              <w:t>%</w:t>
            </w:r>
          </w:p>
        </w:tc>
      </w:tr>
      <w:tr w:rsidR="0038388A" w:rsidRPr="0038388A" w14:paraId="77ECC2E5" w14:textId="77777777" w:rsidTr="4125DC50">
        <w:tc>
          <w:tcPr>
            <w:tcW w:w="1914" w:type="dxa"/>
            <w:shd w:val="clear" w:color="auto" w:fill="auto"/>
          </w:tcPr>
          <w:p w14:paraId="24A67C34" w14:textId="77777777" w:rsidR="0038388A" w:rsidRPr="0038388A" w:rsidRDefault="0038388A" w:rsidP="22E435CD">
            <w:pPr>
              <w:pStyle w:val="BodyText"/>
              <w:rPr>
                <w:rFonts w:cs="Arial"/>
                <w:color w:val="auto"/>
              </w:rPr>
            </w:pPr>
            <w:r w:rsidRPr="22E435CD">
              <w:rPr>
                <w:rFonts w:cs="Arial"/>
                <w:color w:val="auto"/>
              </w:rPr>
              <w:t>7</w:t>
            </w:r>
          </w:p>
        </w:tc>
        <w:tc>
          <w:tcPr>
            <w:tcW w:w="2618" w:type="dxa"/>
            <w:shd w:val="clear" w:color="auto" w:fill="auto"/>
          </w:tcPr>
          <w:p w14:paraId="21F78A38" w14:textId="77777777" w:rsidR="0038388A" w:rsidRPr="0038388A" w:rsidRDefault="0038388A" w:rsidP="22E435CD">
            <w:pPr>
              <w:pStyle w:val="BodyText"/>
              <w:rPr>
                <w:color w:val="auto"/>
              </w:rPr>
            </w:pPr>
            <w:r w:rsidRPr="22E435CD">
              <w:rPr>
                <w:color w:val="auto"/>
              </w:rPr>
              <w:t>UNDERSTANDING OF REQUIREMENTS</w:t>
            </w:r>
          </w:p>
        </w:tc>
        <w:tc>
          <w:tcPr>
            <w:tcW w:w="2618" w:type="dxa"/>
            <w:shd w:val="clear" w:color="auto" w:fill="auto"/>
          </w:tcPr>
          <w:p w14:paraId="307E4A15" w14:textId="414AE963" w:rsidR="0038388A" w:rsidRPr="0038388A" w:rsidRDefault="17EF70F1" w:rsidP="22E435CD">
            <w:pPr>
              <w:pStyle w:val="BodyText"/>
              <w:rPr>
                <w:rFonts w:cs="Arial"/>
                <w:color w:val="auto"/>
              </w:rPr>
            </w:pPr>
            <w:r w:rsidRPr="4125DC50">
              <w:rPr>
                <w:rFonts w:cs="Arial"/>
                <w:color w:val="auto"/>
              </w:rPr>
              <w:t>15</w:t>
            </w:r>
            <w:r w:rsidR="0038388A" w:rsidRPr="4125DC50">
              <w:rPr>
                <w:rFonts w:cs="Arial"/>
                <w:color w:val="auto"/>
              </w:rPr>
              <w:t>%</w:t>
            </w:r>
          </w:p>
        </w:tc>
      </w:tr>
      <w:tr w:rsidR="0038388A" w:rsidRPr="0038388A" w14:paraId="4EA53EE6" w14:textId="77777777" w:rsidTr="4125DC50">
        <w:tc>
          <w:tcPr>
            <w:tcW w:w="1914" w:type="dxa"/>
          </w:tcPr>
          <w:p w14:paraId="50FDBF08" w14:textId="77777777" w:rsidR="0038388A" w:rsidRPr="0038388A" w:rsidRDefault="0038388A" w:rsidP="22E435CD">
            <w:pPr>
              <w:pStyle w:val="BodyText"/>
              <w:rPr>
                <w:color w:val="auto"/>
              </w:rPr>
            </w:pPr>
            <w:r w:rsidRPr="22E435CD">
              <w:rPr>
                <w:color w:val="auto"/>
              </w:rPr>
              <w:t>8</w:t>
            </w:r>
          </w:p>
        </w:tc>
        <w:tc>
          <w:tcPr>
            <w:tcW w:w="2618" w:type="dxa"/>
          </w:tcPr>
          <w:p w14:paraId="319668DA" w14:textId="77777777" w:rsidR="0038388A" w:rsidRPr="0038388A" w:rsidRDefault="0038388A" w:rsidP="22E435CD">
            <w:pPr>
              <w:pStyle w:val="BodyText"/>
              <w:rPr>
                <w:color w:val="auto"/>
              </w:rPr>
            </w:pPr>
            <w:r w:rsidRPr="22E435CD">
              <w:rPr>
                <w:color w:val="auto"/>
              </w:rPr>
              <w:t>RISK AND CHALLENGES</w:t>
            </w:r>
          </w:p>
        </w:tc>
        <w:tc>
          <w:tcPr>
            <w:tcW w:w="2618" w:type="dxa"/>
            <w:shd w:val="clear" w:color="auto" w:fill="auto"/>
          </w:tcPr>
          <w:p w14:paraId="72414FF4" w14:textId="47B82EC1" w:rsidR="0038388A" w:rsidRPr="0038388A" w:rsidRDefault="0038388A" w:rsidP="22E435CD">
            <w:pPr>
              <w:pStyle w:val="BodyText"/>
              <w:rPr>
                <w:rFonts w:cs="Arial"/>
                <w:color w:val="auto"/>
              </w:rPr>
            </w:pPr>
            <w:r w:rsidRPr="4125DC50">
              <w:rPr>
                <w:rFonts w:cs="Arial"/>
                <w:color w:val="auto"/>
              </w:rPr>
              <w:t>1</w:t>
            </w:r>
            <w:r w:rsidR="01DA066E" w:rsidRPr="4125DC50">
              <w:rPr>
                <w:rFonts w:cs="Arial"/>
                <w:color w:val="auto"/>
              </w:rPr>
              <w:t>0</w:t>
            </w:r>
            <w:r w:rsidRPr="4125DC50">
              <w:rPr>
                <w:rFonts w:cs="Arial"/>
                <w:color w:val="auto"/>
              </w:rPr>
              <w:t>%</w:t>
            </w:r>
          </w:p>
        </w:tc>
      </w:tr>
      <w:tr w:rsidR="0038388A" w:rsidRPr="0038388A" w14:paraId="486163E4" w14:textId="77777777" w:rsidTr="4125DC50">
        <w:tc>
          <w:tcPr>
            <w:tcW w:w="1914" w:type="dxa"/>
          </w:tcPr>
          <w:p w14:paraId="346ACFC1" w14:textId="77777777" w:rsidR="0038388A" w:rsidRPr="0038388A" w:rsidRDefault="0038388A" w:rsidP="22E435CD">
            <w:pPr>
              <w:pStyle w:val="BodyText"/>
              <w:rPr>
                <w:color w:val="auto"/>
              </w:rPr>
            </w:pPr>
          </w:p>
        </w:tc>
        <w:tc>
          <w:tcPr>
            <w:tcW w:w="2618" w:type="dxa"/>
          </w:tcPr>
          <w:p w14:paraId="00B0DC8F" w14:textId="77777777" w:rsidR="0038388A" w:rsidRPr="0038388A" w:rsidRDefault="0038388A" w:rsidP="22E435CD">
            <w:pPr>
              <w:pStyle w:val="BodyText"/>
              <w:rPr>
                <w:color w:val="auto"/>
              </w:rPr>
            </w:pPr>
          </w:p>
        </w:tc>
        <w:tc>
          <w:tcPr>
            <w:tcW w:w="2618" w:type="dxa"/>
            <w:shd w:val="clear" w:color="auto" w:fill="auto"/>
          </w:tcPr>
          <w:p w14:paraId="1C0A0B54" w14:textId="77777777" w:rsidR="0038388A" w:rsidRPr="0038388A" w:rsidRDefault="0038388A" w:rsidP="22E435CD">
            <w:pPr>
              <w:pStyle w:val="BodyText"/>
              <w:rPr>
                <w:rFonts w:cs="Arial"/>
                <w:color w:val="auto"/>
              </w:rPr>
            </w:pPr>
            <w:r w:rsidRPr="22E435CD">
              <w:rPr>
                <w:rFonts w:cs="Arial"/>
                <w:color w:val="auto"/>
              </w:rPr>
              <w:t>100%</w:t>
            </w:r>
          </w:p>
        </w:tc>
      </w:tr>
    </w:tbl>
    <w:p w14:paraId="5B420704" w14:textId="77777777" w:rsidR="0038388A" w:rsidRDefault="0038388A" w:rsidP="22E435CD">
      <w:pPr>
        <w:pStyle w:val="BodyText"/>
        <w:rPr>
          <w:color w:val="auto"/>
        </w:rPr>
      </w:pPr>
    </w:p>
    <w:p w14:paraId="0F141D3E" w14:textId="77777777" w:rsidR="0038388A" w:rsidRDefault="0038388A" w:rsidP="22E435CD">
      <w:pPr>
        <w:pStyle w:val="BodyText"/>
        <w:rPr>
          <w:color w:val="auto"/>
        </w:rPr>
      </w:pPr>
    </w:p>
    <w:p w14:paraId="11B27F82" w14:textId="77777777" w:rsidR="0038388A" w:rsidRPr="0038388A" w:rsidRDefault="0038388A" w:rsidP="22E435CD">
      <w:pPr>
        <w:pStyle w:val="Norma"/>
        <w:ind w:left="1083"/>
        <w:jc w:val="both"/>
        <w:rPr>
          <w:rFonts w:asciiTheme="minorHAnsi" w:hAnsiTheme="minorHAnsi" w:cs="Arial"/>
          <w:b/>
          <w:bCs/>
          <w:sz w:val="20"/>
          <w:szCs w:val="20"/>
        </w:rPr>
      </w:pPr>
      <w:r w:rsidRPr="22E435CD">
        <w:rPr>
          <w:rFonts w:asciiTheme="minorHAnsi" w:hAnsiTheme="minorHAnsi" w:cs="Arial"/>
          <w:b/>
          <w:bCs/>
          <w:sz w:val="20"/>
          <w:szCs w:val="20"/>
        </w:rPr>
        <w:t>Scoring Method</w:t>
      </w:r>
    </w:p>
    <w:p w14:paraId="07D2699C" w14:textId="77777777" w:rsidR="0038388A" w:rsidRPr="0038388A" w:rsidRDefault="0038388A" w:rsidP="22E435CD">
      <w:pPr>
        <w:pStyle w:val="Norma"/>
        <w:ind w:left="1083"/>
        <w:jc w:val="both"/>
        <w:rPr>
          <w:rFonts w:asciiTheme="minorHAnsi" w:hAnsiTheme="minorHAnsi" w:cs="Arial"/>
          <w:b/>
          <w:bCs/>
          <w:sz w:val="20"/>
          <w:szCs w:val="20"/>
        </w:rPr>
      </w:pPr>
    </w:p>
    <w:p w14:paraId="2E2A2ECF" w14:textId="77777777" w:rsidR="0038388A" w:rsidRPr="0038388A" w:rsidRDefault="0038388A"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 xml:space="preserve">Tenders will be scored against each of the criteria above, according to the extent to which they meet the requirements of the tender. The meaning of each score is outlined in the table below. </w:t>
      </w:r>
    </w:p>
    <w:p w14:paraId="23528A53" w14:textId="77777777" w:rsidR="0038388A" w:rsidRPr="0038388A" w:rsidRDefault="0038388A" w:rsidP="22E435CD">
      <w:pPr>
        <w:pStyle w:val="Norma"/>
        <w:ind w:left="1083"/>
        <w:jc w:val="both"/>
        <w:rPr>
          <w:rFonts w:asciiTheme="minorHAnsi" w:hAnsiTheme="minorHAnsi" w:cs="Arial"/>
          <w:sz w:val="20"/>
          <w:szCs w:val="20"/>
        </w:rPr>
      </w:pPr>
    </w:p>
    <w:p w14:paraId="309164CD" w14:textId="77777777" w:rsidR="0038388A" w:rsidRPr="0038388A" w:rsidRDefault="0038388A"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70655D84" w14:textId="77777777" w:rsidR="0038388A" w:rsidRDefault="0038388A" w:rsidP="22E435CD">
      <w:pPr>
        <w:pStyle w:val="BodyText"/>
        <w:rPr>
          <w:color w:val="auto"/>
        </w:rPr>
      </w:pPr>
    </w:p>
    <w:p w14:paraId="7BC18F0E" w14:textId="77777777" w:rsidR="0038388A" w:rsidRDefault="0038388A" w:rsidP="22E435CD">
      <w:pPr>
        <w:pStyle w:val="BodyText"/>
        <w:rPr>
          <w:color w:val="auto"/>
        </w:rPr>
      </w:pPr>
    </w:p>
    <w:tbl>
      <w:tblPr>
        <w:tblStyle w:val="TableGrid"/>
        <w:tblW w:w="7150" w:type="dxa"/>
        <w:tblInd w:w="1210" w:type="dxa"/>
        <w:tblLook w:val="04A0" w:firstRow="1" w:lastRow="0" w:firstColumn="1" w:lastColumn="0" w:noHBand="0" w:noVBand="1"/>
      </w:tblPr>
      <w:tblGrid>
        <w:gridCol w:w="1843"/>
        <w:gridCol w:w="5307"/>
      </w:tblGrid>
      <w:tr w:rsidR="004711FD" w14:paraId="1044D578" w14:textId="77777777" w:rsidTr="22E435CD">
        <w:tc>
          <w:tcPr>
            <w:tcW w:w="1843" w:type="dxa"/>
            <w:shd w:val="clear" w:color="auto" w:fill="auto"/>
          </w:tcPr>
          <w:p w14:paraId="4B9A00E6"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b/>
                <w:bCs/>
                <w:color w:val="auto"/>
              </w:rPr>
              <w:t>Score</w:t>
            </w:r>
          </w:p>
        </w:tc>
        <w:tc>
          <w:tcPr>
            <w:tcW w:w="5307" w:type="dxa"/>
            <w:shd w:val="clear" w:color="auto" w:fill="auto"/>
          </w:tcPr>
          <w:p w14:paraId="6E215849"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b/>
                <w:bCs/>
                <w:color w:val="auto"/>
              </w:rPr>
              <w:t>Description</w:t>
            </w:r>
          </w:p>
        </w:tc>
      </w:tr>
      <w:tr w:rsidR="004711FD" w14:paraId="06C19EE3" w14:textId="77777777" w:rsidTr="22E435CD">
        <w:tc>
          <w:tcPr>
            <w:tcW w:w="1843" w:type="dxa"/>
            <w:shd w:val="clear" w:color="auto" w:fill="auto"/>
          </w:tcPr>
          <w:p w14:paraId="3BBE1444"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1</w:t>
            </w:r>
          </w:p>
        </w:tc>
        <w:tc>
          <w:tcPr>
            <w:tcW w:w="5307" w:type="dxa"/>
            <w:shd w:val="clear" w:color="auto" w:fill="auto"/>
          </w:tcPr>
          <w:p w14:paraId="061C4CF9"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Not Satisfactory: Proposal contains significant shortcomings and does not meet the required standard</w:t>
            </w:r>
          </w:p>
        </w:tc>
      </w:tr>
      <w:tr w:rsidR="004711FD" w14:paraId="14B8B06F" w14:textId="77777777" w:rsidTr="22E435CD">
        <w:tc>
          <w:tcPr>
            <w:tcW w:w="1843" w:type="dxa"/>
            <w:shd w:val="clear" w:color="auto" w:fill="auto"/>
          </w:tcPr>
          <w:p w14:paraId="4CF9274E"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2</w:t>
            </w:r>
          </w:p>
        </w:tc>
        <w:tc>
          <w:tcPr>
            <w:tcW w:w="5307" w:type="dxa"/>
            <w:shd w:val="clear" w:color="auto" w:fill="auto"/>
          </w:tcPr>
          <w:p w14:paraId="0D65C80F"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 xml:space="preserve">Partially Satisfactory: Proposal partially meets the required standard, with one or more moderate weaknesses or gaps </w:t>
            </w:r>
          </w:p>
        </w:tc>
      </w:tr>
      <w:tr w:rsidR="004711FD" w14:paraId="76B6546C" w14:textId="77777777" w:rsidTr="22E435CD">
        <w:tc>
          <w:tcPr>
            <w:tcW w:w="1843" w:type="dxa"/>
            <w:shd w:val="clear" w:color="auto" w:fill="auto"/>
          </w:tcPr>
          <w:p w14:paraId="0C5542A8"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3</w:t>
            </w:r>
          </w:p>
        </w:tc>
        <w:tc>
          <w:tcPr>
            <w:tcW w:w="5307" w:type="dxa"/>
            <w:shd w:val="clear" w:color="auto" w:fill="auto"/>
          </w:tcPr>
          <w:p w14:paraId="3DEAE094"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Satisfactory: Proposal mostly meets the required standard, with one or more minor weaknesses or gaps.</w:t>
            </w:r>
          </w:p>
        </w:tc>
      </w:tr>
      <w:tr w:rsidR="004711FD" w14:paraId="0524E577" w14:textId="77777777" w:rsidTr="22E435CD">
        <w:tc>
          <w:tcPr>
            <w:tcW w:w="1843" w:type="dxa"/>
            <w:shd w:val="clear" w:color="auto" w:fill="auto"/>
          </w:tcPr>
          <w:p w14:paraId="4BD19816"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4</w:t>
            </w:r>
          </w:p>
        </w:tc>
        <w:tc>
          <w:tcPr>
            <w:tcW w:w="5307" w:type="dxa"/>
            <w:shd w:val="clear" w:color="auto" w:fill="auto"/>
          </w:tcPr>
          <w:p w14:paraId="42C470B7"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Good: Proposal meets the required standard, with moderate levels of assurance</w:t>
            </w:r>
          </w:p>
        </w:tc>
      </w:tr>
      <w:tr w:rsidR="004711FD" w14:paraId="47D99D94" w14:textId="77777777" w:rsidTr="22E435CD">
        <w:tc>
          <w:tcPr>
            <w:tcW w:w="1843" w:type="dxa"/>
            <w:shd w:val="clear" w:color="auto" w:fill="auto"/>
          </w:tcPr>
          <w:p w14:paraId="7383B68E"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5</w:t>
            </w:r>
          </w:p>
        </w:tc>
        <w:tc>
          <w:tcPr>
            <w:tcW w:w="5307" w:type="dxa"/>
            <w:shd w:val="clear" w:color="auto" w:fill="auto"/>
          </w:tcPr>
          <w:p w14:paraId="1EFF6BDC"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Excellent: Proposal fully meets the required standard with high levels of assurance</w:t>
            </w:r>
          </w:p>
        </w:tc>
      </w:tr>
    </w:tbl>
    <w:p w14:paraId="027F1BA0" w14:textId="77777777" w:rsidR="0038388A" w:rsidRDefault="0038388A" w:rsidP="22E435CD">
      <w:pPr>
        <w:pStyle w:val="BodyText"/>
        <w:rPr>
          <w:color w:val="auto"/>
        </w:rPr>
      </w:pPr>
    </w:p>
    <w:p w14:paraId="615368F8" w14:textId="77777777" w:rsidR="004711FD" w:rsidRDefault="004711FD" w:rsidP="22E435CD">
      <w:pPr>
        <w:pStyle w:val="BodyText"/>
        <w:rPr>
          <w:color w:val="auto"/>
        </w:rPr>
      </w:pPr>
    </w:p>
    <w:p w14:paraId="57EED380" w14:textId="77777777" w:rsidR="004711FD" w:rsidRPr="004711FD" w:rsidRDefault="004711FD" w:rsidP="22E435CD">
      <w:pPr>
        <w:pStyle w:val="NoSpacing"/>
        <w:spacing w:line="276" w:lineRule="auto"/>
        <w:ind w:left="1083"/>
        <w:jc w:val="both"/>
        <w:rPr>
          <w:rFonts w:asciiTheme="minorHAnsi" w:hAnsiTheme="minorHAnsi" w:cs="Arial"/>
          <w:b/>
          <w:bCs/>
          <w:sz w:val="20"/>
          <w:szCs w:val="20"/>
        </w:rPr>
      </w:pPr>
      <w:r w:rsidRPr="22E435CD">
        <w:rPr>
          <w:rFonts w:asciiTheme="minorHAnsi" w:hAnsiTheme="minorHAnsi" w:cs="Arial"/>
          <w:b/>
          <w:bCs/>
          <w:sz w:val="20"/>
          <w:szCs w:val="20"/>
        </w:rPr>
        <w:t>Scoring for Pricing Evaluation</w:t>
      </w:r>
    </w:p>
    <w:p w14:paraId="0034CB71" w14:textId="77777777" w:rsidR="004711FD" w:rsidRPr="004711FD" w:rsidRDefault="004711FD" w:rsidP="22E435CD">
      <w:pPr>
        <w:pStyle w:val="NoSpacing"/>
        <w:spacing w:line="276" w:lineRule="auto"/>
        <w:ind w:left="1083"/>
        <w:jc w:val="both"/>
        <w:rPr>
          <w:rFonts w:asciiTheme="minorHAnsi" w:hAnsiTheme="minorHAnsi" w:cs="Arial"/>
          <w:sz w:val="20"/>
          <w:szCs w:val="20"/>
        </w:rPr>
      </w:pPr>
      <w:r w:rsidRPr="22E435CD">
        <w:rPr>
          <w:rFonts w:asciiTheme="minorHAnsi" w:hAnsiTheme="minorHAnsi" w:cs="Arial"/>
          <w:sz w:val="20"/>
          <w:szCs w:val="20"/>
        </w:rPr>
        <w:t>Price will be marked using proportionate pricing.  Please see the example below.</w:t>
      </w:r>
    </w:p>
    <w:p w14:paraId="046D5DC9" w14:textId="77777777" w:rsidR="004711FD" w:rsidRPr="004711FD" w:rsidRDefault="004711FD" w:rsidP="22E435CD">
      <w:pPr>
        <w:ind w:left="1083"/>
        <w:jc w:val="both"/>
        <w:rPr>
          <w:rFonts w:eastAsia="Calibri" w:cs="Arial"/>
          <w:b/>
          <w:bCs/>
          <w:sz w:val="20"/>
          <w:szCs w:val="20"/>
        </w:rPr>
      </w:pPr>
      <w:bookmarkStart w:id="40" w:name="OLE_LINK3"/>
      <w:r w:rsidRPr="22E435CD">
        <w:rPr>
          <w:rFonts w:eastAsia="Calibri" w:cs="Arial"/>
          <w:sz w:val="20"/>
          <w:szCs w:val="20"/>
        </w:rPr>
        <w:lastRenderedPageBreak/>
        <w:t xml:space="preserve">Marking proportionate to the lowest price. </w:t>
      </w:r>
    </w:p>
    <w:bookmarkEnd w:id="40"/>
    <w:p w14:paraId="72B3902E" w14:textId="77777777" w:rsidR="004711FD" w:rsidRPr="004711FD" w:rsidRDefault="004711FD" w:rsidP="22E435CD">
      <w:pPr>
        <w:pStyle w:val="Paragraph"/>
        <w:ind w:left="1083" w:firstLine="0"/>
        <w:rPr>
          <w:rFonts w:asciiTheme="minorHAnsi" w:hAnsiTheme="minorHAnsi"/>
          <w:sz w:val="20"/>
          <w:szCs w:val="20"/>
        </w:rPr>
      </w:pPr>
      <w:r w:rsidRPr="22E435CD">
        <w:rPr>
          <w:rFonts w:asciiTheme="minorHAnsi" w:hAnsiTheme="minorHAnsi"/>
          <w:sz w:val="20"/>
          <w:szCs w:val="20"/>
        </w:rPr>
        <w:t xml:space="preserve">Price will be scored as set out below. </w:t>
      </w:r>
    </w:p>
    <w:p w14:paraId="6DAF2AB5" w14:textId="77777777" w:rsidR="004711FD" w:rsidRPr="004711FD" w:rsidRDefault="004711FD" w:rsidP="22E435CD">
      <w:pPr>
        <w:ind w:left="1083"/>
        <w:rPr>
          <w:rFonts w:cs="Arial"/>
          <w:sz w:val="20"/>
          <w:szCs w:val="20"/>
        </w:rPr>
      </w:pPr>
      <w:r w:rsidRPr="22E435CD">
        <w:rPr>
          <w:rFonts w:cs="Arial"/>
          <w:sz w:val="20"/>
          <w:szCs w:val="20"/>
        </w:rPr>
        <w:t xml:space="preserve">There will be a maximum of </w:t>
      </w:r>
      <w:proofErr w:type="gramStart"/>
      <w:r w:rsidRPr="22E435CD">
        <w:rPr>
          <w:rFonts w:cs="Arial"/>
          <w:sz w:val="20"/>
          <w:szCs w:val="20"/>
        </w:rPr>
        <w:t>e.g.</w:t>
      </w:r>
      <w:proofErr w:type="gramEnd"/>
      <w:r w:rsidRPr="22E435CD">
        <w:rPr>
          <w:rFonts w:cs="Arial"/>
          <w:sz w:val="20"/>
          <w:szCs w:val="20"/>
        </w:rPr>
        <w:t xml:space="preserve"> 20 marks </w:t>
      </w:r>
    </w:p>
    <w:p w14:paraId="74064E52" w14:textId="77777777" w:rsidR="004711FD" w:rsidRPr="004711FD" w:rsidRDefault="004711FD" w:rsidP="22E435CD">
      <w:pPr>
        <w:ind w:left="1083"/>
        <w:rPr>
          <w:rFonts w:cs="Arial"/>
          <w:sz w:val="20"/>
          <w:szCs w:val="20"/>
        </w:rPr>
      </w:pPr>
      <w:r w:rsidRPr="22E435CD">
        <w:rPr>
          <w:rFonts w:cs="Arial"/>
          <w:sz w:val="20"/>
          <w:szCs w:val="20"/>
        </w:rPr>
        <w:t>The lowest priced bid will receive the full 20 marks, all other bids will then be marked as set out below.</w:t>
      </w:r>
    </w:p>
    <w:p w14:paraId="30F7A7A3" w14:textId="77777777" w:rsidR="004711FD" w:rsidRPr="004711FD" w:rsidRDefault="004711FD" w:rsidP="22E435CD">
      <w:pPr>
        <w:ind w:left="1083"/>
        <w:rPr>
          <w:rFonts w:cs="Arial"/>
          <w:sz w:val="20"/>
          <w:szCs w:val="20"/>
        </w:rPr>
      </w:pPr>
    </w:p>
    <w:p w14:paraId="290535C6" w14:textId="77777777" w:rsidR="00F871C8" w:rsidRDefault="00F871C8" w:rsidP="22E435CD">
      <w:pPr>
        <w:pStyle w:val="NoSpacing"/>
        <w:spacing w:line="276" w:lineRule="auto"/>
        <w:ind w:left="720"/>
        <w:jc w:val="both"/>
        <w:rPr>
          <w:rFonts w:asciiTheme="minorHAnsi" w:hAnsiTheme="minorHAnsi" w:cs="Arial"/>
          <w:sz w:val="20"/>
          <w:szCs w:val="20"/>
          <w:u w:val="single"/>
        </w:rPr>
      </w:pPr>
    </w:p>
    <w:p w14:paraId="27E6D7D5" w14:textId="5954E5EA" w:rsidR="004711FD" w:rsidRPr="004711FD" w:rsidRDefault="004711FD" w:rsidP="22E435CD">
      <w:pPr>
        <w:pStyle w:val="NoSpacing"/>
        <w:spacing w:line="276" w:lineRule="auto"/>
        <w:ind w:left="1083"/>
        <w:jc w:val="both"/>
        <w:rPr>
          <w:rFonts w:asciiTheme="minorHAnsi" w:hAnsiTheme="minorHAnsi" w:cs="Arial"/>
          <w:sz w:val="20"/>
          <w:szCs w:val="20"/>
          <w:u w:val="single"/>
        </w:rPr>
      </w:pPr>
      <w:r w:rsidRPr="22E435CD">
        <w:rPr>
          <w:rFonts w:asciiTheme="minorHAnsi" w:hAnsiTheme="minorHAnsi" w:cs="Arial"/>
          <w:sz w:val="20"/>
          <w:szCs w:val="20"/>
          <w:u w:val="single"/>
        </w:rPr>
        <w:t>Proportionate Pricing scoring example</w:t>
      </w:r>
    </w:p>
    <w:p w14:paraId="5DF2C205" w14:textId="77777777" w:rsidR="004711FD" w:rsidRDefault="004711FD" w:rsidP="22E435CD">
      <w:pPr>
        <w:pStyle w:val="BodyText"/>
        <w:ind w:left="1083"/>
        <w:rPr>
          <w:rFonts w:cs="Arial"/>
          <w:color w:val="auto"/>
        </w:rPr>
      </w:pPr>
      <w:r w:rsidRPr="22E435CD">
        <w:rPr>
          <w:rFonts w:cs="Arial"/>
          <w:color w:val="auto"/>
        </w:rPr>
        <w:t>If 20% = 20 marks</w:t>
      </w:r>
    </w:p>
    <w:p w14:paraId="450A2A22" w14:textId="77777777" w:rsidR="004711FD" w:rsidRDefault="004711FD" w:rsidP="22E435CD">
      <w:pPr>
        <w:pStyle w:val="BodyText"/>
        <w:ind w:left="720"/>
        <w:rPr>
          <w:rFonts w:cs="Arial"/>
          <w:color w:val="auto"/>
        </w:rPr>
      </w:pPr>
    </w:p>
    <w:tbl>
      <w:tblPr>
        <w:tblStyle w:val="TableGrid"/>
        <w:tblW w:w="7134" w:type="dxa"/>
        <w:tblInd w:w="1195" w:type="dxa"/>
        <w:tblLook w:val="04A0" w:firstRow="1" w:lastRow="0" w:firstColumn="1" w:lastColumn="0" w:noHBand="0" w:noVBand="1"/>
      </w:tblPr>
      <w:tblGrid>
        <w:gridCol w:w="2378"/>
        <w:gridCol w:w="2378"/>
        <w:gridCol w:w="2378"/>
      </w:tblGrid>
      <w:tr w:rsidR="004711FD" w14:paraId="58F3558D" w14:textId="77777777" w:rsidTr="22E435CD">
        <w:tc>
          <w:tcPr>
            <w:tcW w:w="2378" w:type="dxa"/>
            <w:shd w:val="clear" w:color="auto" w:fill="auto"/>
          </w:tcPr>
          <w:p w14:paraId="31FF3EE8" w14:textId="77777777" w:rsidR="004711FD" w:rsidRPr="004711FD" w:rsidRDefault="004711FD" w:rsidP="22E435CD">
            <w:pPr>
              <w:pStyle w:val="BodyText"/>
              <w:rPr>
                <w:rFonts w:eastAsia="Calibri" w:cs="Arial"/>
                <w:color w:val="auto"/>
              </w:rPr>
            </w:pPr>
            <w:r w:rsidRPr="22E435CD">
              <w:rPr>
                <w:rFonts w:eastAsia="Calibri" w:cs="Arial"/>
                <w:color w:val="auto"/>
              </w:rPr>
              <w:t>Supplier</w:t>
            </w:r>
          </w:p>
        </w:tc>
        <w:tc>
          <w:tcPr>
            <w:tcW w:w="2378" w:type="dxa"/>
            <w:shd w:val="clear" w:color="auto" w:fill="auto"/>
          </w:tcPr>
          <w:p w14:paraId="281D1AFB" w14:textId="77777777" w:rsidR="004711FD" w:rsidRPr="004711FD" w:rsidRDefault="004711FD" w:rsidP="22E435CD">
            <w:pPr>
              <w:pStyle w:val="BodyText"/>
              <w:rPr>
                <w:rFonts w:eastAsia="Calibri" w:cs="Arial"/>
                <w:color w:val="auto"/>
              </w:rPr>
            </w:pPr>
            <w:r w:rsidRPr="22E435CD">
              <w:rPr>
                <w:rFonts w:eastAsia="Calibri" w:cs="Arial"/>
                <w:color w:val="auto"/>
              </w:rPr>
              <w:t>Price</w:t>
            </w:r>
          </w:p>
        </w:tc>
        <w:tc>
          <w:tcPr>
            <w:tcW w:w="2378" w:type="dxa"/>
            <w:shd w:val="clear" w:color="auto" w:fill="auto"/>
          </w:tcPr>
          <w:p w14:paraId="7FA0DAB5" w14:textId="77777777" w:rsidR="004711FD" w:rsidRPr="004711FD" w:rsidRDefault="004711FD" w:rsidP="22E435CD">
            <w:pPr>
              <w:pStyle w:val="BodyText"/>
              <w:rPr>
                <w:rFonts w:eastAsia="Calibri" w:cs="Arial"/>
                <w:color w:val="auto"/>
              </w:rPr>
            </w:pPr>
            <w:r w:rsidRPr="22E435CD">
              <w:rPr>
                <w:rFonts w:eastAsia="Calibri" w:cs="Arial"/>
                <w:color w:val="auto"/>
              </w:rPr>
              <w:t>Marks</w:t>
            </w:r>
          </w:p>
        </w:tc>
      </w:tr>
      <w:tr w:rsidR="004711FD" w14:paraId="17887CB6" w14:textId="77777777" w:rsidTr="22E435CD">
        <w:tc>
          <w:tcPr>
            <w:tcW w:w="2378" w:type="dxa"/>
            <w:shd w:val="clear" w:color="auto" w:fill="auto"/>
          </w:tcPr>
          <w:p w14:paraId="0A25EF8C" w14:textId="77777777" w:rsidR="004711FD" w:rsidRPr="004711FD" w:rsidRDefault="004711FD" w:rsidP="22E435CD">
            <w:pPr>
              <w:pStyle w:val="BodyText"/>
              <w:rPr>
                <w:rFonts w:eastAsia="Calibri" w:cs="Arial"/>
                <w:color w:val="auto"/>
              </w:rPr>
            </w:pPr>
            <w:r w:rsidRPr="22E435CD">
              <w:rPr>
                <w:rFonts w:eastAsia="Calibri" w:cs="Arial"/>
                <w:color w:val="auto"/>
              </w:rPr>
              <w:t>1 (lowest bid)</w:t>
            </w:r>
          </w:p>
        </w:tc>
        <w:tc>
          <w:tcPr>
            <w:tcW w:w="2378" w:type="dxa"/>
            <w:shd w:val="clear" w:color="auto" w:fill="auto"/>
          </w:tcPr>
          <w:p w14:paraId="6C6381DB" w14:textId="25F18714" w:rsidR="004711FD" w:rsidRPr="004711FD" w:rsidRDefault="004711FD" w:rsidP="22E435CD">
            <w:pPr>
              <w:pStyle w:val="BodyText"/>
              <w:rPr>
                <w:rFonts w:eastAsia="Calibri" w:cs="Arial"/>
                <w:color w:val="auto"/>
              </w:rPr>
            </w:pPr>
            <w:r w:rsidRPr="22E435CD">
              <w:rPr>
                <w:rFonts w:eastAsia="Calibri" w:cs="Arial"/>
                <w:color w:val="auto"/>
              </w:rPr>
              <w:t>£</w:t>
            </w:r>
            <w:r w:rsidR="749C46C4" w:rsidRPr="22E435CD">
              <w:rPr>
                <w:rFonts w:eastAsia="Calibri" w:cs="Arial"/>
                <w:color w:val="auto"/>
              </w:rPr>
              <w:t>7</w:t>
            </w:r>
            <w:r w:rsidRPr="22E435CD">
              <w:rPr>
                <w:rFonts w:eastAsia="Calibri" w:cs="Arial"/>
                <w:color w:val="auto"/>
              </w:rPr>
              <w:t>0,000</w:t>
            </w:r>
          </w:p>
        </w:tc>
        <w:tc>
          <w:tcPr>
            <w:tcW w:w="2378" w:type="dxa"/>
            <w:shd w:val="clear" w:color="auto" w:fill="auto"/>
          </w:tcPr>
          <w:p w14:paraId="4079B102" w14:textId="77777777" w:rsidR="004711FD" w:rsidRPr="004711FD" w:rsidRDefault="004711FD" w:rsidP="22E435CD">
            <w:pPr>
              <w:pStyle w:val="BodyText"/>
              <w:rPr>
                <w:rFonts w:eastAsia="Calibri" w:cs="Arial"/>
                <w:color w:val="auto"/>
              </w:rPr>
            </w:pPr>
            <w:r w:rsidRPr="22E435CD">
              <w:rPr>
                <w:rFonts w:eastAsia="Calibri" w:cs="Arial"/>
                <w:color w:val="auto"/>
              </w:rPr>
              <w:t>20</w:t>
            </w:r>
          </w:p>
        </w:tc>
      </w:tr>
      <w:tr w:rsidR="004711FD" w14:paraId="3880A218" w14:textId="77777777" w:rsidTr="22E435CD">
        <w:tc>
          <w:tcPr>
            <w:tcW w:w="2378" w:type="dxa"/>
            <w:shd w:val="clear" w:color="auto" w:fill="auto"/>
          </w:tcPr>
          <w:p w14:paraId="6A250391" w14:textId="77777777" w:rsidR="004711FD" w:rsidRPr="004711FD" w:rsidRDefault="004711FD" w:rsidP="22E435CD">
            <w:pPr>
              <w:pStyle w:val="BodyText"/>
              <w:rPr>
                <w:rFonts w:eastAsia="Calibri" w:cs="Arial"/>
                <w:color w:val="auto"/>
              </w:rPr>
            </w:pPr>
            <w:r w:rsidRPr="22E435CD">
              <w:rPr>
                <w:rFonts w:eastAsia="Calibri" w:cs="Arial"/>
                <w:color w:val="auto"/>
              </w:rPr>
              <w:t>2</w:t>
            </w:r>
          </w:p>
        </w:tc>
        <w:tc>
          <w:tcPr>
            <w:tcW w:w="2378" w:type="dxa"/>
            <w:shd w:val="clear" w:color="auto" w:fill="auto"/>
          </w:tcPr>
          <w:p w14:paraId="2906CD62" w14:textId="66F3E3B8" w:rsidR="004711FD" w:rsidRPr="004711FD" w:rsidRDefault="004711FD" w:rsidP="22E435CD">
            <w:pPr>
              <w:pStyle w:val="BodyText"/>
              <w:rPr>
                <w:rFonts w:eastAsia="Calibri" w:cs="Arial"/>
                <w:color w:val="auto"/>
              </w:rPr>
            </w:pPr>
            <w:r w:rsidRPr="22E435CD">
              <w:rPr>
                <w:rFonts w:eastAsia="Calibri" w:cs="Arial"/>
                <w:color w:val="auto"/>
              </w:rPr>
              <w:t>£</w:t>
            </w:r>
            <w:r w:rsidR="17AB0C03" w:rsidRPr="22E435CD">
              <w:rPr>
                <w:rFonts w:eastAsia="Calibri" w:cs="Arial"/>
                <w:color w:val="auto"/>
              </w:rPr>
              <w:t>8</w:t>
            </w:r>
            <w:r w:rsidR="1320A8B9" w:rsidRPr="22E435CD">
              <w:rPr>
                <w:rFonts w:eastAsia="Calibri" w:cs="Arial"/>
                <w:color w:val="auto"/>
              </w:rPr>
              <w:t>0</w:t>
            </w:r>
            <w:r w:rsidRPr="22E435CD">
              <w:rPr>
                <w:rFonts w:eastAsia="Calibri" w:cs="Arial"/>
                <w:color w:val="auto"/>
              </w:rPr>
              <w:t>,000</w:t>
            </w:r>
          </w:p>
        </w:tc>
        <w:tc>
          <w:tcPr>
            <w:tcW w:w="2378" w:type="dxa"/>
            <w:shd w:val="clear" w:color="auto" w:fill="auto"/>
          </w:tcPr>
          <w:p w14:paraId="0501FE2C" w14:textId="4CE2C3AE" w:rsidR="004711FD" w:rsidRPr="004711FD" w:rsidRDefault="652A57B3" w:rsidP="22E435CD">
            <w:pPr>
              <w:pStyle w:val="BodyText"/>
              <w:rPr>
                <w:rFonts w:eastAsia="Calibri" w:cs="Arial"/>
                <w:color w:val="auto"/>
              </w:rPr>
            </w:pPr>
            <w:r w:rsidRPr="22E435CD">
              <w:rPr>
                <w:rFonts w:eastAsia="Calibri" w:cs="Arial"/>
                <w:color w:val="auto"/>
              </w:rPr>
              <w:t>7</w:t>
            </w:r>
            <w:r w:rsidR="004711FD" w:rsidRPr="22E435CD">
              <w:rPr>
                <w:rFonts w:eastAsia="Calibri" w:cs="Arial"/>
                <w:color w:val="auto"/>
              </w:rPr>
              <w:t>0</w:t>
            </w:r>
            <w:r w:rsidR="00EC1AC9" w:rsidRPr="22E435CD">
              <w:rPr>
                <w:rFonts w:eastAsia="Calibri" w:cs="Arial"/>
                <w:color w:val="auto"/>
              </w:rPr>
              <w:t>/</w:t>
            </w:r>
            <w:r w:rsidR="04BA608B" w:rsidRPr="22E435CD">
              <w:rPr>
                <w:rFonts w:eastAsia="Calibri" w:cs="Arial"/>
                <w:color w:val="auto"/>
              </w:rPr>
              <w:t>80</w:t>
            </w:r>
            <w:r w:rsidR="004711FD" w:rsidRPr="22E435CD">
              <w:rPr>
                <w:rFonts w:eastAsia="Calibri" w:cs="Arial"/>
                <w:color w:val="auto"/>
              </w:rPr>
              <w:t xml:space="preserve"> * 20 = 1</w:t>
            </w:r>
            <w:r w:rsidR="5E903FAE" w:rsidRPr="22E435CD">
              <w:rPr>
                <w:rFonts w:eastAsia="Calibri" w:cs="Arial"/>
                <w:color w:val="auto"/>
              </w:rPr>
              <w:t>7.5</w:t>
            </w:r>
          </w:p>
        </w:tc>
      </w:tr>
      <w:tr w:rsidR="004711FD" w14:paraId="350C4DF4" w14:textId="77777777" w:rsidTr="22E435CD">
        <w:tc>
          <w:tcPr>
            <w:tcW w:w="2378" w:type="dxa"/>
            <w:shd w:val="clear" w:color="auto" w:fill="auto"/>
          </w:tcPr>
          <w:p w14:paraId="39D750D4" w14:textId="77777777" w:rsidR="004711FD" w:rsidRPr="004711FD" w:rsidRDefault="004711FD" w:rsidP="22E435CD">
            <w:pPr>
              <w:pStyle w:val="BodyText"/>
              <w:rPr>
                <w:rFonts w:eastAsia="Calibri" w:cs="Arial"/>
                <w:color w:val="auto"/>
              </w:rPr>
            </w:pPr>
            <w:r w:rsidRPr="22E435CD">
              <w:rPr>
                <w:rFonts w:eastAsia="Calibri" w:cs="Arial"/>
                <w:color w:val="auto"/>
              </w:rPr>
              <w:t>3</w:t>
            </w:r>
          </w:p>
        </w:tc>
        <w:tc>
          <w:tcPr>
            <w:tcW w:w="2378" w:type="dxa"/>
            <w:shd w:val="clear" w:color="auto" w:fill="auto"/>
          </w:tcPr>
          <w:p w14:paraId="1444B441" w14:textId="5D9FF0B4" w:rsidR="004711FD" w:rsidRPr="004711FD" w:rsidRDefault="004711FD" w:rsidP="22E435CD">
            <w:pPr>
              <w:pStyle w:val="BodyText"/>
              <w:rPr>
                <w:rFonts w:eastAsia="Calibri" w:cs="Arial"/>
                <w:color w:val="auto"/>
              </w:rPr>
            </w:pPr>
            <w:r w:rsidRPr="22E435CD">
              <w:rPr>
                <w:rFonts w:eastAsia="Calibri" w:cs="Arial"/>
                <w:color w:val="auto"/>
              </w:rPr>
              <w:t>£</w:t>
            </w:r>
            <w:r w:rsidR="4AE02676" w:rsidRPr="22E435CD">
              <w:rPr>
                <w:rFonts w:eastAsia="Calibri" w:cs="Arial"/>
                <w:color w:val="auto"/>
              </w:rPr>
              <w:t>9</w:t>
            </w:r>
            <w:r w:rsidR="00EC1AC9" w:rsidRPr="22E435CD">
              <w:rPr>
                <w:rFonts w:eastAsia="Calibri" w:cs="Arial"/>
                <w:color w:val="auto"/>
              </w:rPr>
              <w:t>0</w:t>
            </w:r>
            <w:r w:rsidRPr="22E435CD">
              <w:rPr>
                <w:rFonts w:eastAsia="Calibri" w:cs="Arial"/>
                <w:color w:val="auto"/>
              </w:rPr>
              <w:t>,000</w:t>
            </w:r>
          </w:p>
        </w:tc>
        <w:tc>
          <w:tcPr>
            <w:tcW w:w="2378" w:type="dxa"/>
            <w:shd w:val="clear" w:color="auto" w:fill="auto"/>
          </w:tcPr>
          <w:p w14:paraId="2AC3CFEC" w14:textId="3A79D91D" w:rsidR="004711FD" w:rsidRPr="004711FD" w:rsidRDefault="398397B2" w:rsidP="22E435CD">
            <w:pPr>
              <w:pStyle w:val="BodyText"/>
              <w:rPr>
                <w:rFonts w:eastAsia="Calibri" w:cs="Arial"/>
                <w:color w:val="auto"/>
              </w:rPr>
            </w:pPr>
            <w:r w:rsidRPr="22E435CD">
              <w:rPr>
                <w:rFonts w:eastAsia="Calibri" w:cs="Arial"/>
                <w:color w:val="auto"/>
              </w:rPr>
              <w:t>7</w:t>
            </w:r>
            <w:r w:rsidR="00EC1AC9" w:rsidRPr="22E435CD">
              <w:rPr>
                <w:rFonts w:eastAsia="Calibri" w:cs="Arial"/>
                <w:color w:val="auto"/>
              </w:rPr>
              <w:t>0/</w:t>
            </w:r>
            <w:r w:rsidR="32CC7166" w:rsidRPr="22E435CD">
              <w:rPr>
                <w:rFonts w:eastAsia="Calibri" w:cs="Arial"/>
                <w:color w:val="auto"/>
              </w:rPr>
              <w:t>9</w:t>
            </w:r>
            <w:r w:rsidR="00EC1AC9" w:rsidRPr="22E435CD">
              <w:rPr>
                <w:rFonts w:eastAsia="Calibri" w:cs="Arial"/>
                <w:color w:val="auto"/>
              </w:rPr>
              <w:t>0</w:t>
            </w:r>
            <w:r w:rsidR="004711FD" w:rsidRPr="22E435CD">
              <w:rPr>
                <w:rFonts w:eastAsia="Calibri" w:cs="Arial"/>
                <w:color w:val="auto"/>
              </w:rPr>
              <w:t xml:space="preserve"> * 20 = 1</w:t>
            </w:r>
            <w:r w:rsidR="09850BA8" w:rsidRPr="22E435CD">
              <w:rPr>
                <w:rFonts w:eastAsia="Calibri" w:cs="Arial"/>
                <w:color w:val="auto"/>
              </w:rPr>
              <w:t>5.5</w:t>
            </w:r>
          </w:p>
        </w:tc>
      </w:tr>
    </w:tbl>
    <w:p w14:paraId="34174C7A" w14:textId="77777777" w:rsidR="004711FD" w:rsidRDefault="004711FD" w:rsidP="22E435CD">
      <w:pPr>
        <w:pStyle w:val="BodyText"/>
        <w:ind w:left="720"/>
        <w:rPr>
          <w:color w:val="auto"/>
        </w:rPr>
      </w:pPr>
    </w:p>
    <w:p w14:paraId="7CDDBF0E" w14:textId="77777777" w:rsidR="004711FD" w:rsidRDefault="004711FD" w:rsidP="22E435CD">
      <w:pPr>
        <w:pStyle w:val="BodyText"/>
        <w:ind w:left="720"/>
        <w:rPr>
          <w:color w:val="auto"/>
        </w:rPr>
      </w:pPr>
    </w:p>
    <w:p w14:paraId="61F77B03" w14:textId="77777777" w:rsidR="004711FD" w:rsidRPr="004711FD" w:rsidRDefault="004711FD" w:rsidP="22E435CD">
      <w:pPr>
        <w:pStyle w:val="Norma"/>
        <w:ind w:left="1083"/>
        <w:jc w:val="both"/>
        <w:rPr>
          <w:rFonts w:asciiTheme="minorHAnsi" w:hAnsiTheme="minorHAnsi" w:cs="Arial"/>
          <w:b/>
          <w:bCs/>
          <w:sz w:val="20"/>
          <w:szCs w:val="20"/>
        </w:rPr>
      </w:pPr>
      <w:r w:rsidRPr="22E435CD">
        <w:rPr>
          <w:rFonts w:asciiTheme="minorHAnsi" w:hAnsiTheme="minorHAnsi" w:cs="Arial"/>
          <w:b/>
          <w:bCs/>
          <w:sz w:val="20"/>
          <w:szCs w:val="20"/>
        </w:rPr>
        <w:t>Structure of Tenders</w:t>
      </w:r>
    </w:p>
    <w:p w14:paraId="6E3716E7" w14:textId="77777777" w:rsidR="004711FD" w:rsidRPr="004711FD" w:rsidRDefault="004711FD" w:rsidP="22E435CD">
      <w:pPr>
        <w:pStyle w:val="Norma"/>
        <w:ind w:left="1083"/>
        <w:jc w:val="both"/>
        <w:rPr>
          <w:rFonts w:asciiTheme="minorHAnsi" w:hAnsiTheme="minorHAnsi" w:cs="Arial"/>
          <w:sz w:val="20"/>
          <w:szCs w:val="20"/>
        </w:rPr>
      </w:pPr>
    </w:p>
    <w:p w14:paraId="52767C93" w14:textId="77777777" w:rsidR="004711FD" w:rsidRPr="004711FD" w:rsidRDefault="004711FD" w:rsidP="22E435CD">
      <w:pPr>
        <w:pStyle w:val="Norma"/>
        <w:ind w:left="1083"/>
        <w:jc w:val="both"/>
        <w:rPr>
          <w:rFonts w:asciiTheme="minorHAnsi" w:eastAsia="Calibri" w:hAnsiTheme="minorHAnsi" w:cs="Arial"/>
          <w:sz w:val="20"/>
          <w:szCs w:val="20"/>
        </w:rPr>
      </w:pPr>
      <w:r w:rsidRPr="22E435CD">
        <w:rPr>
          <w:rFonts w:asciiTheme="minorHAnsi" w:hAnsiTheme="minorHAnsi" w:cs="Arial"/>
          <w:sz w:val="20"/>
          <w:szCs w:val="20"/>
        </w:rPr>
        <w:t xml:space="preserve">Contractors are strongly advised to structure their tender submissions to cover each of the criteria above and supply a price </w:t>
      </w:r>
      <w:r w:rsidRPr="22E435CD">
        <w:rPr>
          <w:rFonts w:asciiTheme="minorHAnsi" w:eastAsia="Calibri" w:hAnsiTheme="minorHAnsi" w:cs="Arial"/>
          <w:sz w:val="20"/>
          <w:szCs w:val="20"/>
        </w:rPr>
        <w:t xml:space="preserve">schedule specifying the daily rates (ex-VAT) you will charge for each level of your staff. </w:t>
      </w:r>
    </w:p>
    <w:p w14:paraId="2695F988" w14:textId="77777777" w:rsidR="004711FD" w:rsidRPr="004711FD" w:rsidRDefault="004711FD" w:rsidP="22E435CD">
      <w:pPr>
        <w:pStyle w:val="Norma"/>
        <w:ind w:left="1083"/>
        <w:rPr>
          <w:rFonts w:asciiTheme="minorHAnsi" w:hAnsiTheme="minorHAnsi" w:cs="Calibri"/>
          <w:sz w:val="20"/>
          <w:szCs w:val="20"/>
        </w:rPr>
      </w:pPr>
    </w:p>
    <w:p w14:paraId="62929FFC" w14:textId="77777777" w:rsidR="004711FD" w:rsidRPr="004711FD" w:rsidRDefault="004711FD" w:rsidP="22E435CD">
      <w:pPr>
        <w:pStyle w:val="Norma"/>
        <w:ind w:left="1083"/>
        <w:jc w:val="both"/>
        <w:rPr>
          <w:rFonts w:asciiTheme="minorHAnsi" w:hAnsiTheme="minorHAnsi" w:cs="Calibri"/>
          <w:b/>
          <w:bCs/>
          <w:sz w:val="20"/>
          <w:szCs w:val="20"/>
        </w:rPr>
      </w:pPr>
    </w:p>
    <w:p w14:paraId="2E106EA0" w14:textId="77777777" w:rsidR="004711FD" w:rsidRPr="004711FD" w:rsidRDefault="004711FD" w:rsidP="22E435CD">
      <w:pPr>
        <w:pStyle w:val="Norma"/>
        <w:ind w:left="1083"/>
        <w:jc w:val="both"/>
        <w:rPr>
          <w:rFonts w:asciiTheme="minorHAnsi" w:hAnsiTheme="minorHAnsi" w:cs="Arial"/>
          <w:b/>
          <w:bCs/>
          <w:sz w:val="20"/>
          <w:szCs w:val="20"/>
        </w:rPr>
      </w:pPr>
      <w:r w:rsidRPr="22E435CD">
        <w:rPr>
          <w:rFonts w:asciiTheme="minorHAnsi" w:hAnsiTheme="minorHAnsi" w:cs="Arial"/>
          <w:b/>
          <w:bCs/>
          <w:sz w:val="20"/>
          <w:szCs w:val="20"/>
        </w:rPr>
        <w:t xml:space="preserve">Evaluation for Interviews, if held </w:t>
      </w:r>
    </w:p>
    <w:p w14:paraId="4770AF11" w14:textId="77777777" w:rsidR="004711FD" w:rsidRPr="004711FD" w:rsidRDefault="004711FD" w:rsidP="22E435CD">
      <w:pPr>
        <w:pStyle w:val="Norma"/>
        <w:ind w:left="1083"/>
        <w:jc w:val="both"/>
        <w:rPr>
          <w:rFonts w:asciiTheme="minorHAnsi" w:hAnsiTheme="minorHAnsi" w:cs="Arial"/>
          <w:b/>
          <w:bCs/>
          <w:sz w:val="20"/>
          <w:szCs w:val="20"/>
        </w:rPr>
      </w:pPr>
    </w:p>
    <w:p w14:paraId="48F8E8D4" w14:textId="77777777" w:rsidR="004711FD" w:rsidRPr="004711FD" w:rsidRDefault="004711FD"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 xml:space="preserve">CCC reserves the right to award the contract based on applicants’ written evaluation only if one candidate emerges from the evaluation stage as significantly stronger than the others.  </w:t>
      </w:r>
    </w:p>
    <w:p w14:paraId="1008FC10" w14:textId="77777777" w:rsidR="004711FD" w:rsidRPr="004711FD" w:rsidRDefault="004711FD" w:rsidP="22E435CD">
      <w:pPr>
        <w:pStyle w:val="Norma"/>
        <w:ind w:left="1083"/>
        <w:jc w:val="both"/>
        <w:rPr>
          <w:rFonts w:asciiTheme="minorHAnsi" w:hAnsiTheme="minorHAnsi" w:cs="Arial"/>
          <w:sz w:val="20"/>
          <w:szCs w:val="20"/>
        </w:rPr>
      </w:pPr>
    </w:p>
    <w:p w14:paraId="43BAACA2" w14:textId="16187B28" w:rsidR="004711FD" w:rsidRPr="004711FD" w:rsidRDefault="004711FD" w:rsidP="22E435CD">
      <w:pPr>
        <w:pStyle w:val="Norma"/>
        <w:ind w:left="1083"/>
        <w:jc w:val="both"/>
        <w:rPr>
          <w:rFonts w:asciiTheme="minorHAnsi" w:hAnsiTheme="minorHAnsi" w:cs="Arial"/>
          <w:sz w:val="20"/>
          <w:szCs w:val="20"/>
        </w:rPr>
      </w:pPr>
      <w:r w:rsidRPr="4125DC50">
        <w:rPr>
          <w:rFonts w:asciiTheme="minorHAnsi" w:hAnsiTheme="minorHAnsi" w:cs="Arial"/>
          <w:sz w:val="20"/>
          <w:szCs w:val="20"/>
        </w:rPr>
        <w:t>Should interviews go ahead, CCC will shortlist the top suppliers with the highest marks from the written proposals. Interviews are provisionally expected to be held</w:t>
      </w:r>
      <w:r w:rsidR="00EC1AC9" w:rsidRPr="4125DC50">
        <w:rPr>
          <w:rFonts w:asciiTheme="minorHAnsi" w:hAnsiTheme="minorHAnsi" w:cs="Arial"/>
          <w:sz w:val="20"/>
          <w:szCs w:val="20"/>
        </w:rPr>
        <w:t xml:space="preserve"> in the week of </w:t>
      </w:r>
      <w:r w:rsidR="00B72B80">
        <w:rPr>
          <w:rFonts w:ascii="Century Gothic" w:hAnsi="Century Gothic"/>
          <w:sz w:val="20"/>
        </w:rPr>
        <w:t>w/c 16</w:t>
      </w:r>
      <w:r w:rsidR="00B72B80">
        <w:rPr>
          <w:rFonts w:ascii="Century Gothic" w:hAnsi="Century Gothic"/>
          <w:sz w:val="20"/>
          <w:vertAlign w:val="superscript"/>
        </w:rPr>
        <w:t>th</w:t>
      </w:r>
      <w:r w:rsidR="00B72B80">
        <w:rPr>
          <w:rFonts w:ascii="Century Gothic" w:hAnsi="Century Gothic"/>
          <w:sz w:val="20"/>
        </w:rPr>
        <w:t xml:space="preserve"> Jan 2023 </w:t>
      </w:r>
      <w:r w:rsidR="30FB893A" w:rsidRPr="4125DC50">
        <w:rPr>
          <w:rFonts w:asciiTheme="minorHAnsi" w:hAnsiTheme="minorHAnsi" w:cs="Arial"/>
          <w:sz w:val="20"/>
          <w:szCs w:val="20"/>
        </w:rPr>
        <w:t>or soon after</w:t>
      </w:r>
      <w:r w:rsidRPr="4125DC50">
        <w:rPr>
          <w:rFonts w:asciiTheme="minorHAnsi" w:hAnsiTheme="minorHAnsi" w:cs="Arial"/>
          <w:sz w:val="20"/>
          <w:szCs w:val="20"/>
        </w:rPr>
        <w:t xml:space="preserve">. If this date changes, CCC will notify applicants. </w:t>
      </w:r>
    </w:p>
    <w:p w14:paraId="6B7D8CE1" w14:textId="77777777" w:rsidR="004711FD" w:rsidRPr="004711FD" w:rsidRDefault="004711FD" w:rsidP="22E435CD">
      <w:pPr>
        <w:pStyle w:val="Norma"/>
        <w:ind w:left="1083"/>
        <w:jc w:val="both"/>
        <w:rPr>
          <w:rFonts w:asciiTheme="minorHAnsi" w:hAnsiTheme="minorHAnsi" w:cs="Arial"/>
          <w:sz w:val="20"/>
          <w:szCs w:val="20"/>
        </w:rPr>
      </w:pPr>
    </w:p>
    <w:p w14:paraId="4A927F43" w14:textId="77777777" w:rsidR="004711FD" w:rsidRPr="004711FD" w:rsidRDefault="004711FD"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The areas to be covered in the interview, and markings allocated to each topic area will be sent to the shortlisted supplier prior to interview.</w:t>
      </w:r>
    </w:p>
    <w:p w14:paraId="7128F9FD" w14:textId="77777777" w:rsidR="004711FD" w:rsidRPr="004711FD" w:rsidRDefault="004711FD" w:rsidP="22E435CD">
      <w:pPr>
        <w:pStyle w:val="Norma"/>
        <w:ind w:left="1083"/>
        <w:jc w:val="both"/>
        <w:rPr>
          <w:rFonts w:asciiTheme="minorHAnsi" w:hAnsiTheme="minorHAnsi" w:cs="Arial"/>
          <w:sz w:val="20"/>
          <w:szCs w:val="20"/>
        </w:rPr>
      </w:pPr>
    </w:p>
    <w:p w14:paraId="4C0B5825" w14:textId="77777777" w:rsidR="004711FD" w:rsidRPr="004711FD" w:rsidRDefault="004711FD"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 xml:space="preserve">Further details of interviews will be sent to successful applicants on selection. </w:t>
      </w:r>
    </w:p>
    <w:p w14:paraId="6A415962" w14:textId="77777777" w:rsidR="004711FD" w:rsidRPr="004711FD" w:rsidRDefault="004711FD" w:rsidP="22E435CD">
      <w:pPr>
        <w:pStyle w:val="Norma"/>
        <w:ind w:left="1083"/>
        <w:jc w:val="both"/>
        <w:rPr>
          <w:rFonts w:asciiTheme="minorHAnsi" w:hAnsiTheme="minorHAnsi" w:cs="Calibri"/>
          <w:sz w:val="20"/>
          <w:szCs w:val="20"/>
        </w:rPr>
      </w:pPr>
    </w:p>
    <w:p w14:paraId="680EEB8D" w14:textId="77777777" w:rsidR="004711FD" w:rsidRPr="004711FD" w:rsidRDefault="004711FD" w:rsidP="22E435CD">
      <w:pPr>
        <w:pStyle w:val="Norma"/>
        <w:suppressAutoHyphens/>
        <w:ind w:left="1083"/>
        <w:rPr>
          <w:rFonts w:asciiTheme="minorHAnsi" w:hAnsiTheme="minorHAnsi" w:cs="Arial"/>
          <w:b/>
          <w:bCs/>
          <w:sz w:val="20"/>
          <w:szCs w:val="20"/>
        </w:rPr>
      </w:pPr>
      <w:r w:rsidRPr="22E435CD">
        <w:rPr>
          <w:rFonts w:asciiTheme="minorHAnsi" w:hAnsiTheme="minorHAnsi" w:cs="Arial"/>
          <w:b/>
          <w:bCs/>
          <w:sz w:val="20"/>
          <w:szCs w:val="20"/>
        </w:rPr>
        <w:t>Feedback</w:t>
      </w:r>
    </w:p>
    <w:p w14:paraId="1F6F7018" w14:textId="77777777" w:rsidR="004711FD" w:rsidRPr="004711FD" w:rsidRDefault="004711FD" w:rsidP="22E435CD">
      <w:pPr>
        <w:pStyle w:val="Norma"/>
        <w:suppressAutoHyphens/>
        <w:ind w:left="1083"/>
        <w:rPr>
          <w:rFonts w:asciiTheme="minorHAnsi" w:hAnsiTheme="minorHAnsi" w:cs="Arial"/>
          <w:sz w:val="20"/>
          <w:szCs w:val="20"/>
        </w:rPr>
      </w:pPr>
    </w:p>
    <w:p w14:paraId="112C0377" w14:textId="77777777" w:rsidR="004711FD" w:rsidRPr="004711FD" w:rsidRDefault="004711FD" w:rsidP="22E435CD">
      <w:pPr>
        <w:pStyle w:val="Norma"/>
        <w:suppressAutoHyphens/>
        <w:ind w:left="1083"/>
        <w:rPr>
          <w:rFonts w:asciiTheme="minorHAnsi" w:hAnsiTheme="minorHAnsi" w:cs="Arial"/>
          <w:sz w:val="20"/>
          <w:szCs w:val="20"/>
        </w:rPr>
      </w:pPr>
      <w:r w:rsidRPr="22E435CD">
        <w:rPr>
          <w:rFonts w:asciiTheme="minorHAnsi" w:hAnsiTheme="minorHAnsi" w:cs="Arial"/>
          <w:sz w:val="20"/>
          <w:szCs w:val="20"/>
        </w:rPr>
        <w:t>Feedback will be given in the unsuccessful letters or emails.</w:t>
      </w:r>
    </w:p>
    <w:p w14:paraId="608DAF4A" w14:textId="77777777" w:rsidR="004711FD" w:rsidRPr="004711FD" w:rsidRDefault="004711FD" w:rsidP="22E435CD">
      <w:pPr>
        <w:pStyle w:val="BodyText"/>
        <w:ind w:left="1083"/>
        <w:rPr>
          <w:color w:val="auto"/>
        </w:rPr>
      </w:pPr>
    </w:p>
    <w:sectPr w:rsidR="004711FD" w:rsidRPr="004711FD" w:rsidSect="002F41A0">
      <w:headerReference w:type="default" r:id="rId22"/>
      <w:headerReference w:type="first" r:id="rId23"/>
      <w:footerReference w:type="first" r:id="rId24"/>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AA028" w14:textId="77777777" w:rsidR="00943904" w:rsidRDefault="00943904" w:rsidP="004E6806">
      <w:r>
        <w:separator/>
      </w:r>
    </w:p>
  </w:endnote>
  <w:endnote w:type="continuationSeparator" w:id="0">
    <w:p w14:paraId="0E2F5BFD" w14:textId="77777777" w:rsidR="00943904" w:rsidRDefault="00943904" w:rsidP="004E6806">
      <w:r>
        <w:continuationSeparator/>
      </w:r>
    </w:p>
  </w:endnote>
  <w:endnote w:type="continuationNotice" w:id="1">
    <w:p w14:paraId="7C4CF91A" w14:textId="77777777" w:rsidR="00943904" w:rsidRDefault="009439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angal">
    <w:panose1 w:val="00000400000000000000"/>
    <w:charset w:val="00"/>
    <w:family w:val="roman"/>
    <w:pitch w:val="variable"/>
    <w:sig w:usb0="00008003" w:usb1="00000000" w:usb2="00000000" w:usb3="00000000" w:csb0="00000001" w:csb1="00000000"/>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0108" w14:textId="77777777" w:rsidR="004E6806" w:rsidRDefault="002F41A0" w:rsidP="00987C55">
    <w:pPr>
      <w:pStyle w:val="Footer"/>
      <w:tabs>
        <w:tab w:val="clear" w:pos="4513"/>
        <w:tab w:val="clear" w:pos="9026"/>
      </w:tabs>
      <w:ind w:right="-2243"/>
      <w:jc w:val="right"/>
    </w:pPr>
    <w:r>
      <w:rPr>
        <w:noProof/>
      </w:rPr>
      <w:drawing>
        <wp:inline distT="0" distB="0" distL="0" distR="0" wp14:anchorId="0321A8AF" wp14:editId="3D50E23E">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81B54" w14:textId="77777777" w:rsidR="00943904" w:rsidRDefault="00943904" w:rsidP="004E6806">
      <w:r>
        <w:separator/>
      </w:r>
    </w:p>
  </w:footnote>
  <w:footnote w:type="continuationSeparator" w:id="0">
    <w:p w14:paraId="167499F3" w14:textId="77777777" w:rsidR="00943904" w:rsidRDefault="00943904" w:rsidP="004E6806">
      <w:r>
        <w:continuationSeparator/>
      </w:r>
    </w:p>
  </w:footnote>
  <w:footnote w:type="continuationNotice" w:id="1">
    <w:p w14:paraId="23BF2890" w14:textId="77777777" w:rsidR="00943904" w:rsidRDefault="009439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5EAF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58241" behindDoc="1" locked="0" layoutInCell="1" allowOverlap="1" wp14:anchorId="781F228F" wp14:editId="5D7DB8CA">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21994" w14:textId="02D49132" w:rsidR="004E6806" w:rsidRPr="00DA2FBB" w:rsidRDefault="002F41A0" w:rsidP="00DA2FBB">
    <w:pPr>
      <w:pStyle w:val="Page1Logo"/>
      <w:rPr>
        <w:color w:val="FFFFFF" w:themeColor="background1"/>
      </w:rPr>
    </w:pPr>
    <w:r>
      <w:drawing>
        <wp:anchor distT="0" distB="0" distL="114300" distR="114300" simplePos="0" relativeHeight="251658240" behindDoc="0" locked="1" layoutInCell="1" allowOverlap="1" wp14:anchorId="72963693" wp14:editId="2FD2D80C">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4EAB0007" wp14:editId="112CEA35">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83880"/>
    <w:multiLevelType w:val="multilevel"/>
    <w:tmpl w:val="B8AE99E4"/>
    <w:lvl w:ilvl="0">
      <w:start w:val="1"/>
      <w:numFmt w:val="bullet"/>
      <w:lvlText w:val="o"/>
      <w:lvlJc w:val="left"/>
      <w:pPr>
        <w:tabs>
          <w:tab w:val="num" w:pos="720"/>
        </w:tabs>
        <w:ind w:left="720" w:hanging="360"/>
      </w:pPr>
      <w:rPr>
        <w:rFonts w:ascii="Courier New" w:hAnsi="Courier New" w:hint="default"/>
        <w:sz w:val="20"/>
      </w:rPr>
    </w:lvl>
    <w:lvl w:ilvl="1">
      <w:start w:val="12"/>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3A21466"/>
    <w:multiLevelType w:val="hybridMultilevel"/>
    <w:tmpl w:val="9D6EFB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6E661E4"/>
    <w:multiLevelType w:val="hybridMultilevel"/>
    <w:tmpl w:val="C07280E4"/>
    <w:lvl w:ilvl="0" w:tplc="16A2A3C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D779F57"/>
    <w:multiLevelType w:val="hybridMultilevel"/>
    <w:tmpl w:val="931C0A44"/>
    <w:lvl w:ilvl="0" w:tplc="4B4E557A">
      <w:start w:val="1"/>
      <w:numFmt w:val="bullet"/>
      <w:lvlText w:val=""/>
      <w:lvlJc w:val="left"/>
      <w:pPr>
        <w:ind w:left="720" w:hanging="360"/>
      </w:pPr>
      <w:rPr>
        <w:rFonts w:ascii="Symbol" w:hAnsi="Symbol" w:hint="default"/>
      </w:rPr>
    </w:lvl>
    <w:lvl w:ilvl="1" w:tplc="AAFC09BA">
      <w:start w:val="1"/>
      <w:numFmt w:val="bullet"/>
      <w:lvlText w:val="-"/>
      <w:lvlJc w:val="left"/>
      <w:pPr>
        <w:ind w:left="1440" w:hanging="360"/>
      </w:pPr>
      <w:rPr>
        <w:rFonts w:ascii="Calibri" w:hAnsi="Calibri" w:hint="default"/>
      </w:rPr>
    </w:lvl>
    <w:lvl w:ilvl="2" w:tplc="A0127838">
      <w:start w:val="1"/>
      <w:numFmt w:val="bullet"/>
      <w:lvlText w:val=""/>
      <w:lvlJc w:val="left"/>
      <w:pPr>
        <w:ind w:left="2160" w:hanging="360"/>
      </w:pPr>
      <w:rPr>
        <w:rFonts w:ascii="Wingdings" w:hAnsi="Wingdings" w:hint="default"/>
      </w:rPr>
    </w:lvl>
    <w:lvl w:ilvl="3" w:tplc="69066554">
      <w:start w:val="1"/>
      <w:numFmt w:val="bullet"/>
      <w:lvlText w:val=""/>
      <w:lvlJc w:val="left"/>
      <w:pPr>
        <w:ind w:left="2880" w:hanging="360"/>
      </w:pPr>
      <w:rPr>
        <w:rFonts w:ascii="Symbol" w:hAnsi="Symbol" w:hint="default"/>
      </w:rPr>
    </w:lvl>
    <w:lvl w:ilvl="4" w:tplc="E6FE2116">
      <w:start w:val="1"/>
      <w:numFmt w:val="bullet"/>
      <w:lvlText w:val="o"/>
      <w:lvlJc w:val="left"/>
      <w:pPr>
        <w:ind w:left="3600" w:hanging="360"/>
      </w:pPr>
      <w:rPr>
        <w:rFonts w:ascii="Courier New" w:hAnsi="Courier New" w:hint="default"/>
      </w:rPr>
    </w:lvl>
    <w:lvl w:ilvl="5" w:tplc="BB7E503E">
      <w:start w:val="1"/>
      <w:numFmt w:val="bullet"/>
      <w:lvlText w:val=""/>
      <w:lvlJc w:val="left"/>
      <w:pPr>
        <w:ind w:left="4320" w:hanging="360"/>
      </w:pPr>
      <w:rPr>
        <w:rFonts w:ascii="Wingdings" w:hAnsi="Wingdings" w:hint="default"/>
      </w:rPr>
    </w:lvl>
    <w:lvl w:ilvl="6" w:tplc="E09A12E4">
      <w:start w:val="1"/>
      <w:numFmt w:val="bullet"/>
      <w:lvlText w:val=""/>
      <w:lvlJc w:val="left"/>
      <w:pPr>
        <w:ind w:left="5040" w:hanging="360"/>
      </w:pPr>
      <w:rPr>
        <w:rFonts w:ascii="Symbol" w:hAnsi="Symbol" w:hint="default"/>
      </w:rPr>
    </w:lvl>
    <w:lvl w:ilvl="7" w:tplc="23B8AE42">
      <w:start w:val="1"/>
      <w:numFmt w:val="bullet"/>
      <w:lvlText w:val="o"/>
      <w:lvlJc w:val="left"/>
      <w:pPr>
        <w:ind w:left="5760" w:hanging="360"/>
      </w:pPr>
      <w:rPr>
        <w:rFonts w:ascii="Courier New" w:hAnsi="Courier New" w:hint="default"/>
      </w:rPr>
    </w:lvl>
    <w:lvl w:ilvl="8" w:tplc="B4A6DC3A">
      <w:start w:val="1"/>
      <w:numFmt w:val="bullet"/>
      <w:lvlText w:val=""/>
      <w:lvlJc w:val="left"/>
      <w:pPr>
        <w:ind w:left="6480" w:hanging="360"/>
      </w:pPr>
      <w:rPr>
        <w:rFonts w:ascii="Wingdings" w:hAnsi="Wingdings" w:hint="default"/>
      </w:rPr>
    </w:lvl>
  </w:abstractNum>
  <w:abstractNum w:abstractNumId="4" w15:restartNumberingAfterBreak="0">
    <w:nsid w:val="28784845"/>
    <w:multiLevelType w:val="hybridMultilevel"/>
    <w:tmpl w:val="7DE056D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8F215C9"/>
    <w:multiLevelType w:val="multilevel"/>
    <w:tmpl w:val="8AFA0300"/>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484430"/>
    <w:multiLevelType w:val="hybridMultilevel"/>
    <w:tmpl w:val="7268974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3BE2C00"/>
    <w:multiLevelType w:val="hybridMultilevel"/>
    <w:tmpl w:val="09B6D204"/>
    <w:lvl w:ilvl="0" w:tplc="0ADE429E">
      <w:start w:val="3"/>
      <w:numFmt w:val="decimal"/>
      <w:lvlText w:val="%1"/>
      <w:lvlJc w:val="left"/>
      <w:pPr>
        <w:ind w:left="1440" w:hanging="360"/>
      </w:pPr>
      <w:rPr>
        <w:rFonts w:cs="Aria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5EF2077"/>
    <w:multiLevelType w:val="hybridMultilevel"/>
    <w:tmpl w:val="40763F34"/>
    <w:lvl w:ilvl="0" w:tplc="1010A3D8">
      <w:start w:val="1"/>
      <w:numFmt w:val="bullet"/>
      <w:lvlText w:val=""/>
      <w:lvlJc w:val="left"/>
      <w:pPr>
        <w:ind w:left="720" w:hanging="360"/>
      </w:pPr>
      <w:rPr>
        <w:rFonts w:ascii="Symbol" w:hAnsi="Symbol" w:hint="default"/>
      </w:rPr>
    </w:lvl>
    <w:lvl w:ilvl="1" w:tplc="4962C18C">
      <w:start w:val="1"/>
      <w:numFmt w:val="bullet"/>
      <w:lvlText w:val="-"/>
      <w:lvlJc w:val="left"/>
      <w:pPr>
        <w:ind w:left="1440" w:hanging="360"/>
      </w:pPr>
      <w:rPr>
        <w:rFonts w:ascii="Calibri" w:hAnsi="Calibri" w:hint="default"/>
      </w:rPr>
    </w:lvl>
    <w:lvl w:ilvl="2" w:tplc="C922ADD2">
      <w:start w:val="1"/>
      <w:numFmt w:val="bullet"/>
      <w:lvlText w:val=""/>
      <w:lvlJc w:val="left"/>
      <w:pPr>
        <w:ind w:left="2160" w:hanging="360"/>
      </w:pPr>
      <w:rPr>
        <w:rFonts w:ascii="Wingdings" w:hAnsi="Wingdings" w:hint="default"/>
      </w:rPr>
    </w:lvl>
    <w:lvl w:ilvl="3" w:tplc="06F413D8">
      <w:start w:val="1"/>
      <w:numFmt w:val="bullet"/>
      <w:lvlText w:val=""/>
      <w:lvlJc w:val="left"/>
      <w:pPr>
        <w:ind w:left="2880" w:hanging="360"/>
      </w:pPr>
      <w:rPr>
        <w:rFonts w:ascii="Symbol" w:hAnsi="Symbol" w:hint="default"/>
      </w:rPr>
    </w:lvl>
    <w:lvl w:ilvl="4" w:tplc="B414F1EA">
      <w:start w:val="1"/>
      <w:numFmt w:val="bullet"/>
      <w:lvlText w:val="o"/>
      <w:lvlJc w:val="left"/>
      <w:pPr>
        <w:ind w:left="3600" w:hanging="360"/>
      </w:pPr>
      <w:rPr>
        <w:rFonts w:ascii="Courier New" w:hAnsi="Courier New" w:hint="default"/>
      </w:rPr>
    </w:lvl>
    <w:lvl w:ilvl="5" w:tplc="2A2A0FC6">
      <w:start w:val="1"/>
      <w:numFmt w:val="bullet"/>
      <w:lvlText w:val=""/>
      <w:lvlJc w:val="left"/>
      <w:pPr>
        <w:ind w:left="4320" w:hanging="360"/>
      </w:pPr>
      <w:rPr>
        <w:rFonts w:ascii="Wingdings" w:hAnsi="Wingdings" w:hint="default"/>
      </w:rPr>
    </w:lvl>
    <w:lvl w:ilvl="6" w:tplc="760C4C9E">
      <w:start w:val="1"/>
      <w:numFmt w:val="bullet"/>
      <w:lvlText w:val=""/>
      <w:lvlJc w:val="left"/>
      <w:pPr>
        <w:ind w:left="5040" w:hanging="360"/>
      </w:pPr>
      <w:rPr>
        <w:rFonts w:ascii="Symbol" w:hAnsi="Symbol" w:hint="default"/>
      </w:rPr>
    </w:lvl>
    <w:lvl w:ilvl="7" w:tplc="DF485232">
      <w:start w:val="1"/>
      <w:numFmt w:val="bullet"/>
      <w:lvlText w:val="o"/>
      <w:lvlJc w:val="left"/>
      <w:pPr>
        <w:ind w:left="5760" w:hanging="360"/>
      </w:pPr>
      <w:rPr>
        <w:rFonts w:ascii="Courier New" w:hAnsi="Courier New" w:hint="default"/>
      </w:rPr>
    </w:lvl>
    <w:lvl w:ilvl="8" w:tplc="CBB45B00">
      <w:start w:val="1"/>
      <w:numFmt w:val="bullet"/>
      <w:lvlText w:val=""/>
      <w:lvlJc w:val="left"/>
      <w:pPr>
        <w:ind w:left="6480" w:hanging="360"/>
      </w:pPr>
      <w:rPr>
        <w:rFonts w:ascii="Wingdings" w:hAnsi="Wingdings" w:hint="default"/>
      </w:rPr>
    </w:lvl>
  </w:abstractNum>
  <w:abstractNum w:abstractNumId="9" w15:restartNumberingAfterBreak="0">
    <w:nsid w:val="368A0CC3"/>
    <w:multiLevelType w:val="hybridMultilevel"/>
    <w:tmpl w:val="FE3E2AAE"/>
    <w:lvl w:ilvl="0" w:tplc="110AFC9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8485D58"/>
    <w:multiLevelType w:val="hybridMultilevel"/>
    <w:tmpl w:val="8B8E2B8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C943731"/>
    <w:multiLevelType w:val="multilevel"/>
    <w:tmpl w:val="1FECF28C"/>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asciiTheme="majorHAnsi" w:hAnsiTheme="majorHAnsi" w:cs="Arial" w:hint="default"/>
        <w:color w:val="auto"/>
        <w:sz w:val="20"/>
        <w:szCs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F76765"/>
    <w:multiLevelType w:val="hybridMultilevel"/>
    <w:tmpl w:val="9AFA06D4"/>
    <w:lvl w:ilvl="0" w:tplc="0809000F">
      <w:start w:val="1"/>
      <w:numFmt w:val="decimal"/>
      <w:lvlText w:val="%1."/>
      <w:lvlJc w:val="left"/>
      <w:pPr>
        <w:ind w:left="2203" w:hanging="360"/>
      </w:pPr>
      <w:rPr>
        <w:rFonts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13" w15:restartNumberingAfterBreak="0">
    <w:nsid w:val="4A2C4BC6"/>
    <w:multiLevelType w:val="hybridMultilevel"/>
    <w:tmpl w:val="6B4260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E6E23F1"/>
    <w:multiLevelType w:val="hybridMultilevel"/>
    <w:tmpl w:val="4F4EB97A"/>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2B1FBD"/>
    <w:multiLevelType w:val="hybridMultilevel"/>
    <w:tmpl w:val="A93E57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A970FC8"/>
    <w:multiLevelType w:val="hybridMultilevel"/>
    <w:tmpl w:val="5616180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5FC71CE2"/>
    <w:multiLevelType w:val="hybridMultilevel"/>
    <w:tmpl w:val="5EE63B4A"/>
    <w:lvl w:ilvl="0" w:tplc="FFFFFFFF">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
  </w:num>
  <w:num w:numId="2">
    <w:abstractNumId w:val="8"/>
  </w:num>
  <w:num w:numId="3">
    <w:abstractNumId w:val="14"/>
  </w:num>
  <w:num w:numId="4">
    <w:abstractNumId w:val="12"/>
  </w:num>
  <w:num w:numId="5">
    <w:abstractNumId w:val="7"/>
  </w:num>
  <w:num w:numId="6">
    <w:abstractNumId w:val="9"/>
  </w:num>
  <w:num w:numId="7">
    <w:abstractNumId w:val="0"/>
  </w:num>
  <w:num w:numId="8">
    <w:abstractNumId w:val="11"/>
  </w:num>
  <w:num w:numId="9">
    <w:abstractNumId w:val="5"/>
  </w:num>
  <w:num w:numId="10">
    <w:abstractNumId w:val="16"/>
  </w:num>
  <w:num w:numId="11">
    <w:abstractNumId w:val="4"/>
  </w:num>
  <w:num w:numId="12">
    <w:abstractNumId w:val="1"/>
  </w:num>
  <w:num w:numId="13">
    <w:abstractNumId w:val="6"/>
  </w:num>
  <w:num w:numId="14">
    <w:abstractNumId w:val="2"/>
  </w:num>
  <w:num w:numId="15">
    <w:abstractNumId w:val="17"/>
  </w:num>
  <w:num w:numId="16">
    <w:abstractNumId w:val="15"/>
  </w:num>
  <w:num w:numId="17">
    <w:abstractNumId w:val="10"/>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96"/>
    <w:rsid w:val="00023D92"/>
    <w:rsid w:val="0003394E"/>
    <w:rsid w:val="000429DD"/>
    <w:rsid w:val="000760B6"/>
    <w:rsid w:val="00084651"/>
    <w:rsid w:val="00085216"/>
    <w:rsid w:val="00087494"/>
    <w:rsid w:val="000A69E4"/>
    <w:rsid w:val="000C5ED0"/>
    <w:rsid w:val="000F239F"/>
    <w:rsid w:val="00106B38"/>
    <w:rsid w:val="00107920"/>
    <w:rsid w:val="00180597"/>
    <w:rsid w:val="001D6CC6"/>
    <w:rsid w:val="001F2BB3"/>
    <w:rsid w:val="002010FB"/>
    <w:rsid w:val="00232F7C"/>
    <w:rsid w:val="00273420"/>
    <w:rsid w:val="00273E15"/>
    <w:rsid w:val="002C2435"/>
    <w:rsid w:val="002C762A"/>
    <w:rsid w:val="002D5BD2"/>
    <w:rsid w:val="002F41A0"/>
    <w:rsid w:val="00320C24"/>
    <w:rsid w:val="00323195"/>
    <w:rsid w:val="0033670B"/>
    <w:rsid w:val="0034203C"/>
    <w:rsid w:val="003744FF"/>
    <w:rsid w:val="0038388A"/>
    <w:rsid w:val="003939B9"/>
    <w:rsid w:val="003A05B7"/>
    <w:rsid w:val="003A207B"/>
    <w:rsid w:val="003C0907"/>
    <w:rsid w:val="003F38EA"/>
    <w:rsid w:val="003F6076"/>
    <w:rsid w:val="00451D9B"/>
    <w:rsid w:val="004711FD"/>
    <w:rsid w:val="004B07B0"/>
    <w:rsid w:val="004C0DDD"/>
    <w:rsid w:val="004C7CD3"/>
    <w:rsid w:val="004D0095"/>
    <w:rsid w:val="004D5310"/>
    <w:rsid w:val="004E6806"/>
    <w:rsid w:val="004F3093"/>
    <w:rsid w:val="00520FAC"/>
    <w:rsid w:val="00521506"/>
    <w:rsid w:val="00570F0D"/>
    <w:rsid w:val="00571226"/>
    <w:rsid w:val="00576C1B"/>
    <w:rsid w:val="0058136B"/>
    <w:rsid w:val="005904D3"/>
    <w:rsid w:val="005A29F1"/>
    <w:rsid w:val="005C2437"/>
    <w:rsid w:val="005C4C0D"/>
    <w:rsid w:val="005C519D"/>
    <w:rsid w:val="005D7816"/>
    <w:rsid w:val="006435F5"/>
    <w:rsid w:val="00666218"/>
    <w:rsid w:val="006724AE"/>
    <w:rsid w:val="00674246"/>
    <w:rsid w:val="00675FFE"/>
    <w:rsid w:val="00697568"/>
    <w:rsid w:val="006A1EA9"/>
    <w:rsid w:val="006D35DA"/>
    <w:rsid w:val="006D763E"/>
    <w:rsid w:val="006E4E97"/>
    <w:rsid w:val="006F0AEC"/>
    <w:rsid w:val="00741CB4"/>
    <w:rsid w:val="00757DA4"/>
    <w:rsid w:val="0076047B"/>
    <w:rsid w:val="007618E8"/>
    <w:rsid w:val="007619A8"/>
    <w:rsid w:val="007A1A80"/>
    <w:rsid w:val="007D219A"/>
    <w:rsid w:val="007D4B40"/>
    <w:rsid w:val="007F2CC0"/>
    <w:rsid w:val="00817334"/>
    <w:rsid w:val="00822490"/>
    <w:rsid w:val="00823518"/>
    <w:rsid w:val="0083151A"/>
    <w:rsid w:val="0083492C"/>
    <w:rsid w:val="00841B40"/>
    <w:rsid w:val="0084618B"/>
    <w:rsid w:val="00860CFA"/>
    <w:rsid w:val="008775CF"/>
    <w:rsid w:val="0089207D"/>
    <w:rsid w:val="008960A9"/>
    <w:rsid w:val="008A2514"/>
    <w:rsid w:val="008A5011"/>
    <w:rsid w:val="008E42DC"/>
    <w:rsid w:val="008E4BB5"/>
    <w:rsid w:val="008E7432"/>
    <w:rsid w:val="00943904"/>
    <w:rsid w:val="0095067B"/>
    <w:rsid w:val="00957F70"/>
    <w:rsid w:val="00987C55"/>
    <w:rsid w:val="00994C96"/>
    <w:rsid w:val="0099611F"/>
    <w:rsid w:val="009B27CF"/>
    <w:rsid w:val="009E570C"/>
    <w:rsid w:val="00A11A1F"/>
    <w:rsid w:val="00A57514"/>
    <w:rsid w:val="00A643B7"/>
    <w:rsid w:val="00A67B13"/>
    <w:rsid w:val="00A9730B"/>
    <w:rsid w:val="00AB09FF"/>
    <w:rsid w:val="00AB3D22"/>
    <w:rsid w:val="00AF3B7E"/>
    <w:rsid w:val="00B2598E"/>
    <w:rsid w:val="00B72B80"/>
    <w:rsid w:val="00BC440F"/>
    <w:rsid w:val="00C122F6"/>
    <w:rsid w:val="00C3753B"/>
    <w:rsid w:val="00C42F71"/>
    <w:rsid w:val="00C76C99"/>
    <w:rsid w:val="00C97852"/>
    <w:rsid w:val="00CD6EB7"/>
    <w:rsid w:val="00CE4EF2"/>
    <w:rsid w:val="00CF6B3F"/>
    <w:rsid w:val="00D2323E"/>
    <w:rsid w:val="00D259BB"/>
    <w:rsid w:val="00D278DE"/>
    <w:rsid w:val="00D77350"/>
    <w:rsid w:val="00D83B0C"/>
    <w:rsid w:val="00DA2FBB"/>
    <w:rsid w:val="00DB5892"/>
    <w:rsid w:val="00DE275C"/>
    <w:rsid w:val="00DE372F"/>
    <w:rsid w:val="00DE3A6B"/>
    <w:rsid w:val="00DF2F37"/>
    <w:rsid w:val="00E93D37"/>
    <w:rsid w:val="00EB1534"/>
    <w:rsid w:val="00EC1AC9"/>
    <w:rsid w:val="00ED0AE1"/>
    <w:rsid w:val="00EE3C2A"/>
    <w:rsid w:val="00F66253"/>
    <w:rsid w:val="00F70157"/>
    <w:rsid w:val="00F82EEE"/>
    <w:rsid w:val="00F871C8"/>
    <w:rsid w:val="00F87BFC"/>
    <w:rsid w:val="00F9080B"/>
    <w:rsid w:val="00F97858"/>
    <w:rsid w:val="00FB0C20"/>
    <w:rsid w:val="00FD37E1"/>
    <w:rsid w:val="00FD4C9C"/>
    <w:rsid w:val="013AD129"/>
    <w:rsid w:val="014434B0"/>
    <w:rsid w:val="01987896"/>
    <w:rsid w:val="01DA066E"/>
    <w:rsid w:val="023C050F"/>
    <w:rsid w:val="025C137A"/>
    <w:rsid w:val="0316366F"/>
    <w:rsid w:val="0319D7EF"/>
    <w:rsid w:val="038505EC"/>
    <w:rsid w:val="03BB5C89"/>
    <w:rsid w:val="03C6D41E"/>
    <w:rsid w:val="03F106C6"/>
    <w:rsid w:val="04A4F8A2"/>
    <w:rsid w:val="04BA608B"/>
    <w:rsid w:val="05063513"/>
    <w:rsid w:val="052371EE"/>
    <w:rsid w:val="05324A72"/>
    <w:rsid w:val="054B55FC"/>
    <w:rsid w:val="05B9AA19"/>
    <w:rsid w:val="06274B82"/>
    <w:rsid w:val="0734DFFA"/>
    <w:rsid w:val="074102C2"/>
    <w:rsid w:val="075B0494"/>
    <w:rsid w:val="07676011"/>
    <w:rsid w:val="07A81E4B"/>
    <w:rsid w:val="07AE42D5"/>
    <w:rsid w:val="082580CF"/>
    <w:rsid w:val="083B215A"/>
    <w:rsid w:val="0876669A"/>
    <w:rsid w:val="08A2C487"/>
    <w:rsid w:val="08D0B05B"/>
    <w:rsid w:val="08D4541C"/>
    <w:rsid w:val="08F96F95"/>
    <w:rsid w:val="092DFE38"/>
    <w:rsid w:val="096D7B8F"/>
    <w:rsid w:val="09850BA8"/>
    <w:rsid w:val="099A4110"/>
    <w:rsid w:val="09AD21FC"/>
    <w:rsid w:val="0A86167D"/>
    <w:rsid w:val="0A8A7A76"/>
    <w:rsid w:val="0AA86830"/>
    <w:rsid w:val="0BE14DF3"/>
    <w:rsid w:val="0C197F81"/>
    <w:rsid w:val="0C2D082B"/>
    <w:rsid w:val="0C443891"/>
    <w:rsid w:val="0C56E2F9"/>
    <w:rsid w:val="0C8BE2F3"/>
    <w:rsid w:val="0C9787C1"/>
    <w:rsid w:val="0CA1D1ED"/>
    <w:rsid w:val="0CB50383"/>
    <w:rsid w:val="0D0D1403"/>
    <w:rsid w:val="0D789565"/>
    <w:rsid w:val="0DBDB73F"/>
    <w:rsid w:val="0DE1F7AF"/>
    <w:rsid w:val="0DF43281"/>
    <w:rsid w:val="0E340BB6"/>
    <w:rsid w:val="0EA1E355"/>
    <w:rsid w:val="0EACBBC0"/>
    <w:rsid w:val="0EB5DAE8"/>
    <w:rsid w:val="0F21D70F"/>
    <w:rsid w:val="0F37470B"/>
    <w:rsid w:val="0F69763C"/>
    <w:rsid w:val="0F7FBE53"/>
    <w:rsid w:val="110C5C1D"/>
    <w:rsid w:val="1117A9B4"/>
    <w:rsid w:val="11EA56C4"/>
    <w:rsid w:val="123F2C67"/>
    <w:rsid w:val="12C81640"/>
    <w:rsid w:val="131B1E26"/>
    <w:rsid w:val="1320A8B9"/>
    <w:rsid w:val="1329A085"/>
    <w:rsid w:val="13360151"/>
    <w:rsid w:val="13802CE3"/>
    <w:rsid w:val="13A133DF"/>
    <w:rsid w:val="13B777CD"/>
    <w:rsid w:val="14342E0E"/>
    <w:rsid w:val="1456D960"/>
    <w:rsid w:val="14575DD2"/>
    <w:rsid w:val="15185459"/>
    <w:rsid w:val="154FB95C"/>
    <w:rsid w:val="1671BE9B"/>
    <w:rsid w:val="16B1333C"/>
    <w:rsid w:val="16B45CEF"/>
    <w:rsid w:val="16B7CDA5"/>
    <w:rsid w:val="16C8DA53"/>
    <w:rsid w:val="17612108"/>
    <w:rsid w:val="1787785C"/>
    <w:rsid w:val="17AB0C03"/>
    <w:rsid w:val="17EF70F1"/>
    <w:rsid w:val="18847691"/>
    <w:rsid w:val="18B58892"/>
    <w:rsid w:val="1923F64F"/>
    <w:rsid w:val="1960C59B"/>
    <w:rsid w:val="1988D6AB"/>
    <w:rsid w:val="19F42CD9"/>
    <w:rsid w:val="1A11B5EC"/>
    <w:rsid w:val="1A224356"/>
    <w:rsid w:val="1A47EFEF"/>
    <w:rsid w:val="1AF96661"/>
    <w:rsid w:val="1B7C8BCE"/>
    <w:rsid w:val="1B87637C"/>
    <w:rsid w:val="1B987A39"/>
    <w:rsid w:val="1BED2954"/>
    <w:rsid w:val="1C01F840"/>
    <w:rsid w:val="1C0CB10C"/>
    <w:rsid w:val="1C1D0974"/>
    <w:rsid w:val="1CDAF95B"/>
    <w:rsid w:val="1D2333DD"/>
    <w:rsid w:val="1D471DA9"/>
    <w:rsid w:val="1D5F2B7D"/>
    <w:rsid w:val="1E0AC635"/>
    <w:rsid w:val="1E23F144"/>
    <w:rsid w:val="1E8646A9"/>
    <w:rsid w:val="1F24CA16"/>
    <w:rsid w:val="1F4658A8"/>
    <w:rsid w:val="1FDA78F5"/>
    <w:rsid w:val="1FFE0C0C"/>
    <w:rsid w:val="20B38498"/>
    <w:rsid w:val="20D08D3B"/>
    <w:rsid w:val="20F0C7BD"/>
    <w:rsid w:val="20F862BB"/>
    <w:rsid w:val="20FFE40B"/>
    <w:rsid w:val="210D21E0"/>
    <w:rsid w:val="214269A9"/>
    <w:rsid w:val="214F0D10"/>
    <w:rsid w:val="21D22954"/>
    <w:rsid w:val="21E12F91"/>
    <w:rsid w:val="22B3DCA1"/>
    <w:rsid w:val="22E435CD"/>
    <w:rsid w:val="235F1453"/>
    <w:rsid w:val="23BFAF8A"/>
    <w:rsid w:val="24082DFD"/>
    <w:rsid w:val="2428687F"/>
    <w:rsid w:val="24380527"/>
    <w:rsid w:val="2490D087"/>
    <w:rsid w:val="249D2823"/>
    <w:rsid w:val="24F8B6BE"/>
    <w:rsid w:val="2518D053"/>
    <w:rsid w:val="25650ADC"/>
    <w:rsid w:val="25983D72"/>
    <w:rsid w:val="2601E339"/>
    <w:rsid w:val="26129645"/>
    <w:rsid w:val="264814E2"/>
    <w:rsid w:val="269746EF"/>
    <w:rsid w:val="26AF3882"/>
    <w:rsid w:val="2715054F"/>
    <w:rsid w:val="272CD2A5"/>
    <w:rsid w:val="2748ADAA"/>
    <w:rsid w:val="277A1117"/>
    <w:rsid w:val="27A1988E"/>
    <w:rsid w:val="27B1A87B"/>
    <w:rsid w:val="27B425B3"/>
    <w:rsid w:val="2814ED78"/>
    <w:rsid w:val="285886F9"/>
    <w:rsid w:val="2877AED7"/>
    <w:rsid w:val="28BC757C"/>
    <w:rsid w:val="28C88EB7"/>
    <w:rsid w:val="28CFDE34"/>
    <w:rsid w:val="28D9595C"/>
    <w:rsid w:val="290552D9"/>
    <w:rsid w:val="2911D8DF"/>
    <w:rsid w:val="296AA52B"/>
    <w:rsid w:val="2A0983F6"/>
    <w:rsid w:val="2AAF7FDF"/>
    <w:rsid w:val="2ACE8AF5"/>
    <w:rsid w:val="2B551D57"/>
    <w:rsid w:val="2CACDA20"/>
    <w:rsid w:val="2CAE1028"/>
    <w:rsid w:val="2D3236DE"/>
    <w:rsid w:val="2D47A974"/>
    <w:rsid w:val="2D67AA37"/>
    <w:rsid w:val="2D6C2E5E"/>
    <w:rsid w:val="2DC5585C"/>
    <w:rsid w:val="2EB178D2"/>
    <w:rsid w:val="2FA57320"/>
    <w:rsid w:val="2FBCBD12"/>
    <w:rsid w:val="301703A3"/>
    <w:rsid w:val="3077A6C9"/>
    <w:rsid w:val="309A9FF8"/>
    <w:rsid w:val="30FB893A"/>
    <w:rsid w:val="31607AF9"/>
    <w:rsid w:val="31DEBFEE"/>
    <w:rsid w:val="321D83E7"/>
    <w:rsid w:val="327A7C28"/>
    <w:rsid w:val="328ECCE4"/>
    <w:rsid w:val="32B6B90A"/>
    <w:rsid w:val="32CC7166"/>
    <w:rsid w:val="32DB961C"/>
    <w:rsid w:val="32F45DD4"/>
    <w:rsid w:val="33364439"/>
    <w:rsid w:val="3343BEFF"/>
    <w:rsid w:val="334B43ED"/>
    <w:rsid w:val="33A7BC9E"/>
    <w:rsid w:val="33C363DC"/>
    <w:rsid w:val="33E5C631"/>
    <w:rsid w:val="343614B3"/>
    <w:rsid w:val="34818554"/>
    <w:rsid w:val="34981BBB"/>
    <w:rsid w:val="34B866E8"/>
    <w:rsid w:val="35DBC96E"/>
    <w:rsid w:val="36098EB3"/>
    <w:rsid w:val="3618C5B9"/>
    <w:rsid w:val="3620449C"/>
    <w:rsid w:val="3626F598"/>
    <w:rsid w:val="3636C759"/>
    <w:rsid w:val="366F24D2"/>
    <w:rsid w:val="36BC2F6F"/>
    <w:rsid w:val="36DD0B10"/>
    <w:rsid w:val="36E82773"/>
    <w:rsid w:val="37223C0F"/>
    <w:rsid w:val="374DED4B"/>
    <w:rsid w:val="377E1A91"/>
    <w:rsid w:val="37BA9C64"/>
    <w:rsid w:val="37FCFDA7"/>
    <w:rsid w:val="385A40D8"/>
    <w:rsid w:val="3879B86E"/>
    <w:rsid w:val="38DC4916"/>
    <w:rsid w:val="38E315E2"/>
    <w:rsid w:val="38F3E874"/>
    <w:rsid w:val="395E965A"/>
    <w:rsid w:val="398397B2"/>
    <w:rsid w:val="3A3E373C"/>
    <w:rsid w:val="3A658EAA"/>
    <w:rsid w:val="3AA181C7"/>
    <w:rsid w:val="3AE8F0C3"/>
    <w:rsid w:val="3B075D3F"/>
    <w:rsid w:val="3B682DE1"/>
    <w:rsid w:val="3B6C79D7"/>
    <w:rsid w:val="3BACBC84"/>
    <w:rsid w:val="3BDA079D"/>
    <w:rsid w:val="3BDC58DE"/>
    <w:rsid w:val="3BE2F6A3"/>
    <w:rsid w:val="3C200543"/>
    <w:rsid w:val="3C2A1935"/>
    <w:rsid w:val="3C58B6A2"/>
    <w:rsid w:val="3C747E78"/>
    <w:rsid w:val="3CAAAAEC"/>
    <w:rsid w:val="3D01B87E"/>
    <w:rsid w:val="3D2B9B69"/>
    <w:rsid w:val="3D2DB1FB"/>
    <w:rsid w:val="3E04AE61"/>
    <w:rsid w:val="3E35DED9"/>
    <w:rsid w:val="3E5C6D4C"/>
    <w:rsid w:val="3ECBF9EA"/>
    <w:rsid w:val="3EE7CD7E"/>
    <w:rsid w:val="3F027F72"/>
    <w:rsid w:val="3F5DA132"/>
    <w:rsid w:val="3FABBC4A"/>
    <w:rsid w:val="40C158A6"/>
    <w:rsid w:val="40EDC588"/>
    <w:rsid w:val="4125DC50"/>
    <w:rsid w:val="41818D86"/>
    <w:rsid w:val="41ABCA5C"/>
    <w:rsid w:val="41F8BBC1"/>
    <w:rsid w:val="4203F62F"/>
    <w:rsid w:val="42059DB5"/>
    <w:rsid w:val="427B9C8D"/>
    <w:rsid w:val="435C62A6"/>
    <w:rsid w:val="43AA394C"/>
    <w:rsid w:val="43AB1A44"/>
    <w:rsid w:val="43ED09BA"/>
    <w:rsid w:val="441730EC"/>
    <w:rsid w:val="44448716"/>
    <w:rsid w:val="4445B150"/>
    <w:rsid w:val="446271D2"/>
    <w:rsid w:val="449937C3"/>
    <w:rsid w:val="451FCBEC"/>
    <w:rsid w:val="457F8F12"/>
    <w:rsid w:val="459A14F2"/>
    <w:rsid w:val="45EEE245"/>
    <w:rsid w:val="46199925"/>
    <w:rsid w:val="468F4091"/>
    <w:rsid w:val="46A3EDF4"/>
    <w:rsid w:val="46ADA56B"/>
    <w:rsid w:val="46BAAA7C"/>
    <w:rsid w:val="46F589D1"/>
    <w:rsid w:val="471B5F73"/>
    <w:rsid w:val="47A25A81"/>
    <w:rsid w:val="47ECC598"/>
    <w:rsid w:val="47F63B11"/>
    <w:rsid w:val="481260C0"/>
    <w:rsid w:val="48567ADD"/>
    <w:rsid w:val="4886450E"/>
    <w:rsid w:val="49139181"/>
    <w:rsid w:val="49491978"/>
    <w:rsid w:val="494C207E"/>
    <w:rsid w:val="49E0F8E2"/>
    <w:rsid w:val="49F9146C"/>
    <w:rsid w:val="4A0F6417"/>
    <w:rsid w:val="4A6A2D6E"/>
    <w:rsid w:val="4AB14E14"/>
    <w:rsid w:val="4AE02676"/>
    <w:rsid w:val="4B192053"/>
    <w:rsid w:val="4B62E38A"/>
    <w:rsid w:val="4B8E2556"/>
    <w:rsid w:val="4B9604FD"/>
    <w:rsid w:val="4BAC8A1F"/>
    <w:rsid w:val="4BAFF2EA"/>
    <w:rsid w:val="4BBEE419"/>
    <w:rsid w:val="4BCA5717"/>
    <w:rsid w:val="4BDBDC8A"/>
    <w:rsid w:val="4C499A86"/>
    <w:rsid w:val="4C5FA5AA"/>
    <w:rsid w:val="4C823296"/>
    <w:rsid w:val="4C9BA804"/>
    <w:rsid w:val="4D0683E0"/>
    <w:rsid w:val="4D29EC00"/>
    <w:rsid w:val="4E32DA46"/>
    <w:rsid w:val="4EA9E2E6"/>
    <w:rsid w:val="4EE793AC"/>
    <w:rsid w:val="4F8E1569"/>
    <w:rsid w:val="4F90A98F"/>
    <w:rsid w:val="50478F46"/>
    <w:rsid w:val="50CB8CC2"/>
    <w:rsid w:val="50E2494E"/>
    <w:rsid w:val="50E4B51F"/>
    <w:rsid w:val="5103E34C"/>
    <w:rsid w:val="5109E1C1"/>
    <w:rsid w:val="519FBFF1"/>
    <w:rsid w:val="51A4B806"/>
    <w:rsid w:val="51F4BBBA"/>
    <w:rsid w:val="52675D23"/>
    <w:rsid w:val="5361A215"/>
    <w:rsid w:val="538B891A"/>
    <w:rsid w:val="53BB04CF"/>
    <w:rsid w:val="53CB936E"/>
    <w:rsid w:val="53E67A88"/>
    <w:rsid w:val="5427F95F"/>
    <w:rsid w:val="544D9425"/>
    <w:rsid w:val="5463831F"/>
    <w:rsid w:val="548FA76B"/>
    <w:rsid w:val="54D73F98"/>
    <w:rsid w:val="5521608B"/>
    <w:rsid w:val="5534339C"/>
    <w:rsid w:val="5588B0C5"/>
    <w:rsid w:val="55956FC7"/>
    <w:rsid w:val="55D7546F"/>
    <w:rsid w:val="55F40E74"/>
    <w:rsid w:val="5657E45D"/>
    <w:rsid w:val="56FBF4BD"/>
    <w:rsid w:val="5703F693"/>
    <w:rsid w:val="570F606B"/>
    <w:rsid w:val="57995924"/>
    <w:rsid w:val="5805AACC"/>
    <w:rsid w:val="58B566C4"/>
    <w:rsid w:val="58C3720D"/>
    <w:rsid w:val="58F98013"/>
    <w:rsid w:val="5902B910"/>
    <w:rsid w:val="590E19FA"/>
    <w:rsid w:val="59278CD2"/>
    <w:rsid w:val="59CE0E75"/>
    <w:rsid w:val="59D77779"/>
    <w:rsid w:val="5A2170FF"/>
    <w:rsid w:val="5A726F08"/>
    <w:rsid w:val="5A7CCE3C"/>
    <w:rsid w:val="5A895C6A"/>
    <w:rsid w:val="5B02FB29"/>
    <w:rsid w:val="5B194AD4"/>
    <w:rsid w:val="5B4CDED6"/>
    <w:rsid w:val="5BB311C8"/>
    <w:rsid w:val="5BC7CD98"/>
    <w:rsid w:val="5C4CBD99"/>
    <w:rsid w:val="5CA9B5CF"/>
    <w:rsid w:val="5CC92920"/>
    <w:rsid w:val="5D0F183B"/>
    <w:rsid w:val="5D2D8F16"/>
    <w:rsid w:val="5D782442"/>
    <w:rsid w:val="5E84AA60"/>
    <w:rsid w:val="5E903FAE"/>
    <w:rsid w:val="5F223AD6"/>
    <w:rsid w:val="5F34A554"/>
    <w:rsid w:val="5F3799B1"/>
    <w:rsid w:val="5F4237F3"/>
    <w:rsid w:val="5F45E02B"/>
    <w:rsid w:val="5F5F0888"/>
    <w:rsid w:val="5F6B2172"/>
    <w:rsid w:val="600F45B5"/>
    <w:rsid w:val="60C61D05"/>
    <w:rsid w:val="6122FB53"/>
    <w:rsid w:val="6138CDA1"/>
    <w:rsid w:val="6191EDB9"/>
    <w:rsid w:val="61B30019"/>
    <w:rsid w:val="6257907D"/>
    <w:rsid w:val="627D80ED"/>
    <w:rsid w:val="62E17ABD"/>
    <w:rsid w:val="62EECE9F"/>
    <w:rsid w:val="631E2110"/>
    <w:rsid w:val="63291B2B"/>
    <w:rsid w:val="632DBE1A"/>
    <w:rsid w:val="6343795E"/>
    <w:rsid w:val="6391FB0C"/>
    <w:rsid w:val="6415A916"/>
    <w:rsid w:val="64587263"/>
    <w:rsid w:val="6468B3AE"/>
    <w:rsid w:val="64706E63"/>
    <w:rsid w:val="647641AA"/>
    <w:rsid w:val="64826EEE"/>
    <w:rsid w:val="6490B512"/>
    <w:rsid w:val="64BC61E7"/>
    <w:rsid w:val="64C78194"/>
    <w:rsid w:val="64F33EB7"/>
    <w:rsid w:val="6501C61F"/>
    <w:rsid w:val="650B002F"/>
    <w:rsid w:val="652A57B3"/>
    <w:rsid w:val="65694974"/>
    <w:rsid w:val="65B018B1"/>
    <w:rsid w:val="65CF9D02"/>
    <w:rsid w:val="65D8E662"/>
    <w:rsid w:val="65DB46C2"/>
    <w:rsid w:val="6604840F"/>
    <w:rsid w:val="66271570"/>
    <w:rsid w:val="6629450A"/>
    <w:rsid w:val="66AD772C"/>
    <w:rsid w:val="67F6C9A6"/>
    <w:rsid w:val="6826C6B4"/>
    <w:rsid w:val="6859B868"/>
    <w:rsid w:val="68618538"/>
    <w:rsid w:val="6885AB6A"/>
    <w:rsid w:val="68C2F0DC"/>
    <w:rsid w:val="68CF3F6B"/>
    <w:rsid w:val="68D8EEC5"/>
    <w:rsid w:val="69043579"/>
    <w:rsid w:val="69EAE125"/>
    <w:rsid w:val="69EC1FC5"/>
    <w:rsid w:val="6A18DBEE"/>
    <w:rsid w:val="6A6ABFB7"/>
    <w:rsid w:val="6AE16B8E"/>
    <w:rsid w:val="6AF2637B"/>
    <w:rsid w:val="6AFFF696"/>
    <w:rsid w:val="6B173242"/>
    <w:rsid w:val="6BB11EB8"/>
    <w:rsid w:val="6BE8CAF3"/>
    <w:rsid w:val="6BEC8EA5"/>
    <w:rsid w:val="6C07929E"/>
    <w:rsid w:val="6C32F439"/>
    <w:rsid w:val="6C6E3835"/>
    <w:rsid w:val="6C88C579"/>
    <w:rsid w:val="6D031E64"/>
    <w:rsid w:val="6D1486BA"/>
    <w:rsid w:val="6D849B54"/>
    <w:rsid w:val="6DA362FF"/>
    <w:rsid w:val="6DB1D3FA"/>
    <w:rsid w:val="6F26665F"/>
    <w:rsid w:val="6F2855B8"/>
    <w:rsid w:val="6F3F8529"/>
    <w:rsid w:val="6F6D7888"/>
    <w:rsid w:val="6FEA9FE4"/>
    <w:rsid w:val="7037A3AE"/>
    <w:rsid w:val="70A0C159"/>
    <w:rsid w:val="70E9026D"/>
    <w:rsid w:val="710948E9"/>
    <w:rsid w:val="7181DEDA"/>
    <w:rsid w:val="71D4E972"/>
    <w:rsid w:val="729BCB8D"/>
    <w:rsid w:val="7302CD4F"/>
    <w:rsid w:val="73097C44"/>
    <w:rsid w:val="73373FE5"/>
    <w:rsid w:val="7370B9D3"/>
    <w:rsid w:val="73BFF00A"/>
    <w:rsid w:val="73D74D5C"/>
    <w:rsid w:val="7440E9AB"/>
    <w:rsid w:val="749C46C4"/>
    <w:rsid w:val="74C00680"/>
    <w:rsid w:val="74CA265A"/>
    <w:rsid w:val="7511FD34"/>
    <w:rsid w:val="7523380B"/>
    <w:rsid w:val="7529450E"/>
    <w:rsid w:val="75689A8C"/>
    <w:rsid w:val="757CBF62"/>
    <w:rsid w:val="75B9DF47"/>
    <w:rsid w:val="75DDF76A"/>
    <w:rsid w:val="761DED2A"/>
    <w:rsid w:val="765F8195"/>
    <w:rsid w:val="768A4C88"/>
    <w:rsid w:val="76BE5C5D"/>
    <w:rsid w:val="7734C863"/>
    <w:rsid w:val="773F8DE3"/>
    <w:rsid w:val="77BAF79B"/>
    <w:rsid w:val="77F935C3"/>
    <w:rsid w:val="7832F4FF"/>
    <w:rsid w:val="7839084A"/>
    <w:rsid w:val="78CF63DF"/>
    <w:rsid w:val="78E88C3C"/>
    <w:rsid w:val="78F1AB64"/>
    <w:rsid w:val="7993CC6B"/>
    <w:rsid w:val="7A03AF94"/>
    <w:rsid w:val="7A0FE25C"/>
    <w:rsid w:val="7A767304"/>
    <w:rsid w:val="7A813E0F"/>
    <w:rsid w:val="7B4D2830"/>
    <w:rsid w:val="7B586CE6"/>
    <w:rsid w:val="7B68165B"/>
    <w:rsid w:val="7B696DD0"/>
    <w:rsid w:val="7C343AE9"/>
    <w:rsid w:val="7C94655B"/>
    <w:rsid w:val="7CA7C95B"/>
    <w:rsid w:val="7D01527D"/>
    <w:rsid w:val="7D8C6461"/>
    <w:rsid w:val="7D9F4759"/>
    <w:rsid w:val="7DA6DB39"/>
    <w:rsid w:val="7DC20C9F"/>
    <w:rsid w:val="7DE1789C"/>
    <w:rsid w:val="7EF10085"/>
    <w:rsid w:val="7F455961"/>
    <w:rsid w:val="7F801B15"/>
    <w:rsid w:val="7F8B89D8"/>
    <w:rsid w:val="7FB809FD"/>
    <w:rsid w:val="7FBEAE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F8D187"/>
  <w15:docId w15:val="{A6EB5B3F-B65F-4079-BF10-7E6F840DD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3A05B7"/>
    <w:pPr>
      <w:keepNext/>
      <w:spacing w:before="284" w:after="114"/>
      <w:outlineLvl w:val="0"/>
    </w:pPr>
    <w:rPr>
      <w:rFonts w:ascii="Myriad Pro" w:eastAsia="Times New Roman" w:hAnsi="Myriad Pro" w:cs="Times New Roman"/>
      <w:b/>
      <w:bCs/>
      <w:color w:val="B33346"/>
      <w:kern w:val="32"/>
      <w:sz w:val="30"/>
      <w:szCs w:val="32"/>
    </w:rPr>
  </w:style>
  <w:style w:type="paragraph" w:styleId="Heading4">
    <w:name w:val="heading 4"/>
    <w:basedOn w:val="Normal"/>
    <w:next w:val="Normal"/>
    <w:link w:val="Heading4Char"/>
    <w:uiPriority w:val="1"/>
    <w:qFormat/>
    <w:rsid w:val="0038388A"/>
    <w:pPr>
      <w:keepNext/>
      <w:spacing w:before="284" w:after="114"/>
      <w:outlineLvl w:val="3"/>
    </w:pPr>
    <w:rPr>
      <w:rFonts w:ascii="Myriad Pro" w:eastAsia="Times New Roman" w:hAnsi="Myriad Pro" w:cs="Times New Roman"/>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uiPriority w:val="99"/>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semiHidden/>
    <w:rsid w:val="004E6806"/>
    <w:pPr>
      <w:tabs>
        <w:tab w:val="center" w:pos="4513"/>
        <w:tab w:val="right" w:pos="9026"/>
      </w:tabs>
    </w:pPr>
  </w:style>
  <w:style w:type="character" w:customStyle="1" w:styleId="FooterChar">
    <w:name w:val="Footer Char"/>
    <w:basedOn w:val="DefaultParagraphFont"/>
    <w:link w:val="Footer"/>
    <w:uiPriority w:val="99"/>
    <w:semiHidden/>
    <w:rsid w:val="004C7CD3"/>
  </w:style>
  <w:style w:type="paragraph" w:customStyle="1" w:styleId="Page1Logo">
    <w:name w:val="Page 1 Logo"/>
    <w:basedOn w:val="Header"/>
    <w:uiPriority w:val="1"/>
    <w:qFormat/>
    <w:rsid w:val="00DA2FBB"/>
    <w:pPr>
      <w:spacing w:before="280" w:after="2240"/>
    </w:pPr>
    <w:rPr>
      <w:noProof/>
    </w:rPr>
  </w:style>
  <w:style w:type="paragraph" w:customStyle="1" w:styleId="Norma">
    <w:name w:val="Norma"/>
    <w:qFormat/>
    <w:rsid w:val="003A05B7"/>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3A05B7"/>
    <w:pPr>
      <w:spacing w:after="120"/>
    </w:pPr>
    <w:rPr>
      <w:rFonts w:ascii="Myriad Pro" w:eastAsia="Times New Roman" w:hAnsi="Myriad Pro" w:cs="Times New Roman"/>
      <w:sz w:val="24"/>
      <w:szCs w:val="24"/>
    </w:rPr>
  </w:style>
  <w:style w:type="paragraph" w:customStyle="1" w:styleId="Numbered">
    <w:name w:val="Numbered"/>
    <w:basedOn w:val="Norma"/>
    <w:rsid w:val="003A05B7"/>
    <w:pPr>
      <w:widowControl w:val="0"/>
      <w:overflowPunct w:val="0"/>
      <w:autoSpaceDE w:val="0"/>
      <w:autoSpaceDN w:val="0"/>
      <w:adjustRightInd w:val="0"/>
      <w:spacing w:after="240"/>
      <w:textAlignment w:val="baseline"/>
    </w:pPr>
    <w:rPr>
      <w:rFonts w:ascii="Arial" w:hAnsi="Arial" w:cs="Mangal"/>
      <w:sz w:val="22"/>
      <w:szCs w:val="22"/>
      <w:lang w:eastAsia="en-GB"/>
    </w:rPr>
  </w:style>
  <w:style w:type="character" w:customStyle="1" w:styleId="Heading1Char">
    <w:name w:val="Heading 1 Char"/>
    <w:basedOn w:val="DefaultParagraphFont"/>
    <w:link w:val="Heading1"/>
    <w:uiPriority w:val="1"/>
    <w:rsid w:val="003A05B7"/>
    <w:rPr>
      <w:rFonts w:ascii="Myriad Pro" w:eastAsia="Times New Roman" w:hAnsi="Myriad Pro" w:cs="Times New Roman"/>
      <w:b/>
      <w:bCs/>
      <w:color w:val="B33346"/>
      <w:kern w:val="32"/>
      <w:sz w:val="30"/>
      <w:szCs w:val="32"/>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3A05B7"/>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3A05B7"/>
    <w:rPr>
      <w:rFonts w:ascii="Arial" w:eastAsia="Calibri" w:hAnsi="Arial" w:cs="Times New Roman"/>
      <w:sz w:val="24"/>
    </w:rPr>
  </w:style>
  <w:style w:type="paragraph" w:styleId="NoSpacing">
    <w:name w:val="No Spacing"/>
    <w:basedOn w:val="Normal"/>
    <w:link w:val="NoSpacingChar"/>
    <w:uiPriority w:val="1"/>
    <w:unhideWhenUsed/>
    <w:qFormat/>
    <w:rsid w:val="0038388A"/>
    <w:pPr>
      <w:spacing w:after="120"/>
    </w:pPr>
    <w:rPr>
      <w:rFonts w:ascii="Myriad Pro" w:eastAsia="Times New Roman" w:hAnsi="Myriad Pro" w:cs="Times New Roman"/>
      <w:sz w:val="24"/>
      <w:szCs w:val="32"/>
    </w:rPr>
  </w:style>
  <w:style w:type="paragraph" w:styleId="FootnoteText">
    <w:name w:val="footnote text"/>
    <w:basedOn w:val="Normal"/>
    <w:link w:val="FootnoteTextChar"/>
    <w:uiPriority w:val="99"/>
    <w:unhideWhenUsed/>
    <w:rsid w:val="0038388A"/>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38388A"/>
    <w:rPr>
      <w:rFonts w:ascii="Myriad Pro" w:eastAsia="Times New Roman" w:hAnsi="Myriad Pro" w:cs="Times New Roman"/>
      <w:sz w:val="20"/>
      <w:szCs w:val="20"/>
    </w:rPr>
  </w:style>
  <w:style w:type="paragraph" w:customStyle="1" w:styleId="PTablebodyCharCharChar">
    <w:name w:val="P Table body Char Char Char"/>
    <w:basedOn w:val="Norma"/>
    <w:rsid w:val="0038388A"/>
    <w:pPr>
      <w:tabs>
        <w:tab w:val="right" w:pos="7823"/>
      </w:tabs>
      <w:spacing w:after="20"/>
      <w:ind w:left="176"/>
      <w:jc w:val="both"/>
    </w:pPr>
    <w:rPr>
      <w:rFonts w:ascii="Gill Sans MT" w:hAnsi="Gill Sans MT"/>
    </w:rPr>
  </w:style>
  <w:style w:type="paragraph" w:customStyle="1" w:styleId="Paragraph">
    <w:name w:val="Paragraph"/>
    <w:basedOn w:val="Norma"/>
    <w:autoRedefine/>
    <w:uiPriority w:val="99"/>
    <w:rsid w:val="0038388A"/>
    <w:pPr>
      <w:ind w:left="720" w:hanging="720"/>
      <w:jc w:val="both"/>
    </w:pPr>
    <w:rPr>
      <w:rFonts w:ascii="Arial" w:eastAsia="MS Mincho" w:hAnsi="Arial" w:cs="Arial"/>
    </w:rPr>
  </w:style>
  <w:style w:type="character" w:customStyle="1" w:styleId="NoSpacingChar">
    <w:name w:val="No Spacing Char"/>
    <w:link w:val="NoSpacing"/>
    <w:uiPriority w:val="1"/>
    <w:locked/>
    <w:rsid w:val="0038388A"/>
    <w:rPr>
      <w:rFonts w:ascii="Myriad Pro" w:eastAsia="Times New Roman" w:hAnsi="Myriad Pro" w:cs="Times New Roman"/>
      <w:sz w:val="24"/>
      <w:szCs w:val="32"/>
    </w:rPr>
  </w:style>
  <w:style w:type="table" w:styleId="TableGrid">
    <w:name w:val="Table Grid"/>
    <w:basedOn w:val="TableNormal"/>
    <w:uiPriority w:val="59"/>
    <w:rsid w:val="00383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38388A"/>
    <w:rPr>
      <w:rFonts w:ascii="Myriad Pro" w:eastAsia="Times New Roman" w:hAnsi="Myriad Pro" w:cs="Times New Roman"/>
      <w:bCs/>
      <w:sz w:val="26"/>
      <w:szCs w:val="28"/>
    </w:rPr>
  </w:style>
  <w:style w:type="paragraph" w:customStyle="1" w:styleId="paragraph0">
    <w:name w:val="paragraph"/>
    <w:basedOn w:val="Normal"/>
    <w:rsid w:val="006724A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724AE"/>
  </w:style>
  <w:style w:type="character" w:customStyle="1" w:styleId="eop">
    <w:name w:val="eop"/>
    <w:basedOn w:val="DefaultParagraphFont"/>
    <w:rsid w:val="006724AE"/>
  </w:style>
  <w:style w:type="character" w:styleId="CommentReference">
    <w:name w:val="annotation reference"/>
    <w:basedOn w:val="DefaultParagraphFont"/>
    <w:uiPriority w:val="99"/>
    <w:semiHidden/>
    <w:unhideWhenUsed/>
    <w:rsid w:val="00EC1AC9"/>
    <w:rPr>
      <w:sz w:val="16"/>
      <w:szCs w:val="16"/>
    </w:rPr>
  </w:style>
  <w:style w:type="paragraph" w:styleId="CommentText">
    <w:name w:val="annotation text"/>
    <w:basedOn w:val="Normal"/>
    <w:link w:val="CommentTextChar"/>
    <w:uiPriority w:val="99"/>
    <w:semiHidden/>
    <w:unhideWhenUsed/>
    <w:rsid w:val="00EC1AC9"/>
    <w:rPr>
      <w:sz w:val="20"/>
      <w:szCs w:val="20"/>
    </w:rPr>
  </w:style>
  <w:style w:type="character" w:customStyle="1" w:styleId="CommentTextChar">
    <w:name w:val="Comment Text Char"/>
    <w:basedOn w:val="DefaultParagraphFont"/>
    <w:link w:val="CommentText"/>
    <w:uiPriority w:val="99"/>
    <w:semiHidden/>
    <w:rsid w:val="00EC1AC9"/>
    <w:rPr>
      <w:sz w:val="20"/>
      <w:szCs w:val="20"/>
    </w:rPr>
  </w:style>
  <w:style w:type="paragraph" w:styleId="CommentSubject">
    <w:name w:val="annotation subject"/>
    <w:basedOn w:val="CommentText"/>
    <w:next w:val="CommentText"/>
    <w:link w:val="CommentSubjectChar"/>
    <w:uiPriority w:val="99"/>
    <w:semiHidden/>
    <w:unhideWhenUsed/>
    <w:rsid w:val="00EC1AC9"/>
    <w:rPr>
      <w:b/>
      <w:bCs/>
    </w:rPr>
  </w:style>
  <w:style w:type="character" w:customStyle="1" w:styleId="CommentSubjectChar">
    <w:name w:val="Comment Subject Char"/>
    <w:basedOn w:val="CommentTextChar"/>
    <w:link w:val="CommentSubject"/>
    <w:uiPriority w:val="99"/>
    <w:semiHidden/>
    <w:rsid w:val="00EC1AC9"/>
    <w:rPr>
      <w:b/>
      <w:bCs/>
      <w:sz w:val="20"/>
      <w:szCs w:val="20"/>
    </w:rPr>
  </w:style>
  <w:style w:type="character" w:styleId="Hyperlink">
    <w:name w:val="Hyperlink"/>
    <w:basedOn w:val="DefaultParagraphFont"/>
    <w:uiPriority w:val="99"/>
    <w:unhideWhenUsed/>
    <w:rPr>
      <w:color w:val="000000" w:themeColor="hyperlink"/>
      <w:u w:val="single"/>
    </w:rPr>
  </w:style>
  <w:style w:type="character" w:styleId="UnresolvedMention">
    <w:name w:val="Unresolved Mention"/>
    <w:basedOn w:val="DefaultParagraphFont"/>
    <w:uiPriority w:val="99"/>
    <w:unhideWhenUsed/>
    <w:rsid w:val="003744FF"/>
    <w:rPr>
      <w:color w:val="605E5C"/>
      <w:shd w:val="clear" w:color="auto" w:fill="E1DFDD"/>
    </w:rPr>
  </w:style>
  <w:style w:type="character" w:styleId="Mention">
    <w:name w:val="Mention"/>
    <w:basedOn w:val="DefaultParagraphFont"/>
    <w:uiPriority w:val="99"/>
    <w:unhideWhenUsed/>
    <w:rsid w:val="003744FF"/>
    <w:rPr>
      <w:color w:val="2B579A"/>
      <w:shd w:val="clear" w:color="auto" w:fill="E1DFDD"/>
    </w:rPr>
  </w:style>
  <w:style w:type="table" w:styleId="GridTable5Dark-Accent4">
    <w:name w:val="Grid Table 5 Dark Accent 4"/>
    <w:basedOn w:val="TableNormal"/>
    <w:uiPriority w:val="50"/>
    <w:rsid w:val="008E42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D9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42F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42F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42F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42FF" w:themeFill="accent4"/>
      </w:tcPr>
    </w:tblStylePr>
    <w:tblStylePr w:type="band1Vert">
      <w:tblPr/>
      <w:tcPr>
        <w:shd w:val="clear" w:color="auto" w:fill="C6B3FF" w:themeFill="accent4" w:themeFillTint="66"/>
      </w:tcPr>
    </w:tblStylePr>
    <w:tblStylePr w:type="band1Horz">
      <w:tblPr/>
      <w:tcPr>
        <w:shd w:val="clear" w:color="auto" w:fill="C6B3FF" w:themeFill="accent4" w:themeFillTint="66"/>
      </w:tcPr>
    </w:tblStylePr>
  </w:style>
  <w:style w:type="character" w:styleId="FollowedHyperlink">
    <w:name w:val="FollowedHyperlink"/>
    <w:basedOn w:val="DefaultParagraphFont"/>
    <w:uiPriority w:val="99"/>
    <w:semiHidden/>
    <w:unhideWhenUsed/>
    <w:rsid w:val="006E4E97"/>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08709">
      <w:bodyDiv w:val="1"/>
      <w:marLeft w:val="0"/>
      <w:marRight w:val="0"/>
      <w:marTop w:val="0"/>
      <w:marBottom w:val="0"/>
      <w:divBdr>
        <w:top w:val="none" w:sz="0" w:space="0" w:color="auto"/>
        <w:left w:val="none" w:sz="0" w:space="0" w:color="auto"/>
        <w:bottom w:val="none" w:sz="0" w:space="0" w:color="auto"/>
        <w:right w:val="none" w:sz="0" w:space="0" w:color="auto"/>
      </w:divBdr>
      <w:divsChild>
        <w:div w:id="98718806">
          <w:marLeft w:val="0"/>
          <w:marRight w:val="0"/>
          <w:marTop w:val="0"/>
          <w:marBottom w:val="0"/>
          <w:divBdr>
            <w:top w:val="none" w:sz="0" w:space="0" w:color="auto"/>
            <w:left w:val="none" w:sz="0" w:space="0" w:color="auto"/>
            <w:bottom w:val="none" w:sz="0" w:space="0" w:color="auto"/>
            <w:right w:val="none" w:sz="0" w:space="0" w:color="auto"/>
          </w:divBdr>
        </w:div>
        <w:div w:id="475412805">
          <w:marLeft w:val="0"/>
          <w:marRight w:val="0"/>
          <w:marTop w:val="0"/>
          <w:marBottom w:val="0"/>
          <w:divBdr>
            <w:top w:val="none" w:sz="0" w:space="0" w:color="auto"/>
            <w:left w:val="none" w:sz="0" w:space="0" w:color="auto"/>
            <w:bottom w:val="none" w:sz="0" w:space="0" w:color="auto"/>
            <w:right w:val="none" w:sz="0" w:space="0" w:color="auto"/>
          </w:divBdr>
        </w:div>
        <w:div w:id="817306038">
          <w:marLeft w:val="0"/>
          <w:marRight w:val="0"/>
          <w:marTop w:val="0"/>
          <w:marBottom w:val="0"/>
          <w:divBdr>
            <w:top w:val="none" w:sz="0" w:space="0" w:color="auto"/>
            <w:left w:val="none" w:sz="0" w:space="0" w:color="auto"/>
            <w:bottom w:val="none" w:sz="0" w:space="0" w:color="auto"/>
            <w:right w:val="none" w:sz="0" w:space="0" w:color="auto"/>
          </w:divBdr>
        </w:div>
        <w:div w:id="875696803">
          <w:marLeft w:val="0"/>
          <w:marRight w:val="0"/>
          <w:marTop w:val="0"/>
          <w:marBottom w:val="0"/>
          <w:divBdr>
            <w:top w:val="none" w:sz="0" w:space="0" w:color="auto"/>
            <w:left w:val="none" w:sz="0" w:space="0" w:color="auto"/>
            <w:bottom w:val="none" w:sz="0" w:space="0" w:color="auto"/>
            <w:right w:val="none" w:sz="0" w:space="0" w:color="auto"/>
          </w:divBdr>
        </w:div>
        <w:div w:id="1718818949">
          <w:marLeft w:val="0"/>
          <w:marRight w:val="0"/>
          <w:marTop w:val="0"/>
          <w:marBottom w:val="0"/>
          <w:divBdr>
            <w:top w:val="none" w:sz="0" w:space="0" w:color="auto"/>
            <w:left w:val="none" w:sz="0" w:space="0" w:color="auto"/>
            <w:bottom w:val="none" w:sz="0" w:space="0" w:color="auto"/>
            <w:right w:val="none" w:sz="0" w:space="0" w:color="auto"/>
          </w:divBdr>
        </w:div>
        <w:div w:id="1817213288">
          <w:marLeft w:val="0"/>
          <w:marRight w:val="0"/>
          <w:marTop w:val="0"/>
          <w:marBottom w:val="0"/>
          <w:divBdr>
            <w:top w:val="none" w:sz="0" w:space="0" w:color="auto"/>
            <w:left w:val="none" w:sz="0" w:space="0" w:color="auto"/>
            <w:bottom w:val="none" w:sz="0" w:space="0" w:color="auto"/>
            <w:right w:val="none" w:sz="0" w:space="0" w:color="auto"/>
          </w:divBdr>
        </w:div>
        <w:div w:id="1991859100">
          <w:marLeft w:val="0"/>
          <w:marRight w:val="0"/>
          <w:marTop w:val="0"/>
          <w:marBottom w:val="0"/>
          <w:divBdr>
            <w:top w:val="none" w:sz="0" w:space="0" w:color="auto"/>
            <w:left w:val="none" w:sz="0" w:space="0" w:color="auto"/>
            <w:bottom w:val="none" w:sz="0" w:space="0" w:color="auto"/>
            <w:right w:val="none" w:sz="0" w:space="0" w:color="auto"/>
          </w:divBdr>
        </w:div>
        <w:div w:id="2040737889">
          <w:marLeft w:val="0"/>
          <w:marRight w:val="0"/>
          <w:marTop w:val="0"/>
          <w:marBottom w:val="0"/>
          <w:divBdr>
            <w:top w:val="none" w:sz="0" w:space="0" w:color="auto"/>
            <w:left w:val="none" w:sz="0" w:space="0" w:color="auto"/>
            <w:bottom w:val="none" w:sz="0" w:space="0" w:color="auto"/>
            <w:right w:val="none" w:sz="0" w:space="0" w:color="auto"/>
          </w:divBdr>
        </w:div>
      </w:divsChild>
    </w:div>
    <w:div w:id="379481473">
      <w:bodyDiv w:val="1"/>
      <w:marLeft w:val="0"/>
      <w:marRight w:val="0"/>
      <w:marTop w:val="0"/>
      <w:marBottom w:val="0"/>
      <w:divBdr>
        <w:top w:val="none" w:sz="0" w:space="0" w:color="auto"/>
        <w:left w:val="none" w:sz="0" w:space="0" w:color="auto"/>
        <w:bottom w:val="none" w:sz="0" w:space="0" w:color="auto"/>
        <w:right w:val="none" w:sz="0" w:space="0" w:color="auto"/>
      </w:divBdr>
      <w:divsChild>
        <w:div w:id="650137467">
          <w:marLeft w:val="0"/>
          <w:marRight w:val="0"/>
          <w:marTop w:val="0"/>
          <w:marBottom w:val="0"/>
          <w:divBdr>
            <w:top w:val="none" w:sz="0" w:space="0" w:color="auto"/>
            <w:left w:val="none" w:sz="0" w:space="0" w:color="auto"/>
            <w:bottom w:val="none" w:sz="0" w:space="0" w:color="auto"/>
            <w:right w:val="none" w:sz="0" w:space="0" w:color="auto"/>
          </w:divBdr>
        </w:div>
        <w:div w:id="892541316">
          <w:marLeft w:val="0"/>
          <w:marRight w:val="0"/>
          <w:marTop w:val="0"/>
          <w:marBottom w:val="0"/>
          <w:divBdr>
            <w:top w:val="none" w:sz="0" w:space="0" w:color="auto"/>
            <w:left w:val="none" w:sz="0" w:space="0" w:color="auto"/>
            <w:bottom w:val="none" w:sz="0" w:space="0" w:color="auto"/>
            <w:right w:val="none" w:sz="0" w:space="0" w:color="auto"/>
          </w:divBdr>
        </w:div>
        <w:div w:id="1173181512">
          <w:marLeft w:val="0"/>
          <w:marRight w:val="0"/>
          <w:marTop w:val="0"/>
          <w:marBottom w:val="0"/>
          <w:divBdr>
            <w:top w:val="none" w:sz="0" w:space="0" w:color="auto"/>
            <w:left w:val="none" w:sz="0" w:space="0" w:color="auto"/>
            <w:bottom w:val="none" w:sz="0" w:space="0" w:color="auto"/>
            <w:right w:val="none" w:sz="0" w:space="0" w:color="auto"/>
          </w:divBdr>
        </w:div>
        <w:div w:id="1650280847">
          <w:marLeft w:val="0"/>
          <w:marRight w:val="0"/>
          <w:marTop w:val="0"/>
          <w:marBottom w:val="0"/>
          <w:divBdr>
            <w:top w:val="none" w:sz="0" w:space="0" w:color="auto"/>
            <w:left w:val="none" w:sz="0" w:space="0" w:color="auto"/>
            <w:bottom w:val="none" w:sz="0" w:space="0" w:color="auto"/>
            <w:right w:val="none" w:sz="0" w:space="0" w:color="auto"/>
          </w:divBdr>
        </w:div>
        <w:div w:id="1958874564">
          <w:marLeft w:val="0"/>
          <w:marRight w:val="0"/>
          <w:marTop w:val="0"/>
          <w:marBottom w:val="0"/>
          <w:divBdr>
            <w:top w:val="none" w:sz="0" w:space="0" w:color="auto"/>
            <w:left w:val="none" w:sz="0" w:space="0" w:color="auto"/>
            <w:bottom w:val="none" w:sz="0" w:space="0" w:color="auto"/>
            <w:right w:val="none" w:sz="0" w:space="0" w:color="auto"/>
          </w:divBdr>
          <w:divsChild>
            <w:div w:id="1641226799">
              <w:marLeft w:val="-75"/>
              <w:marRight w:val="0"/>
              <w:marTop w:val="30"/>
              <w:marBottom w:val="30"/>
              <w:divBdr>
                <w:top w:val="none" w:sz="0" w:space="0" w:color="auto"/>
                <w:left w:val="none" w:sz="0" w:space="0" w:color="auto"/>
                <w:bottom w:val="none" w:sz="0" w:space="0" w:color="auto"/>
                <w:right w:val="none" w:sz="0" w:space="0" w:color="auto"/>
              </w:divBdr>
              <w:divsChild>
                <w:div w:id="329988787">
                  <w:marLeft w:val="0"/>
                  <w:marRight w:val="0"/>
                  <w:marTop w:val="0"/>
                  <w:marBottom w:val="0"/>
                  <w:divBdr>
                    <w:top w:val="none" w:sz="0" w:space="0" w:color="auto"/>
                    <w:left w:val="none" w:sz="0" w:space="0" w:color="auto"/>
                    <w:bottom w:val="none" w:sz="0" w:space="0" w:color="auto"/>
                    <w:right w:val="none" w:sz="0" w:space="0" w:color="auto"/>
                  </w:divBdr>
                  <w:divsChild>
                    <w:div w:id="301230832">
                      <w:marLeft w:val="0"/>
                      <w:marRight w:val="0"/>
                      <w:marTop w:val="0"/>
                      <w:marBottom w:val="0"/>
                      <w:divBdr>
                        <w:top w:val="none" w:sz="0" w:space="0" w:color="auto"/>
                        <w:left w:val="none" w:sz="0" w:space="0" w:color="auto"/>
                        <w:bottom w:val="none" w:sz="0" w:space="0" w:color="auto"/>
                        <w:right w:val="none" w:sz="0" w:space="0" w:color="auto"/>
                      </w:divBdr>
                    </w:div>
                  </w:divsChild>
                </w:div>
                <w:div w:id="511802629">
                  <w:marLeft w:val="0"/>
                  <w:marRight w:val="0"/>
                  <w:marTop w:val="0"/>
                  <w:marBottom w:val="0"/>
                  <w:divBdr>
                    <w:top w:val="none" w:sz="0" w:space="0" w:color="auto"/>
                    <w:left w:val="none" w:sz="0" w:space="0" w:color="auto"/>
                    <w:bottom w:val="none" w:sz="0" w:space="0" w:color="auto"/>
                    <w:right w:val="none" w:sz="0" w:space="0" w:color="auto"/>
                  </w:divBdr>
                  <w:divsChild>
                    <w:div w:id="789788500">
                      <w:marLeft w:val="0"/>
                      <w:marRight w:val="0"/>
                      <w:marTop w:val="0"/>
                      <w:marBottom w:val="0"/>
                      <w:divBdr>
                        <w:top w:val="none" w:sz="0" w:space="0" w:color="auto"/>
                        <w:left w:val="none" w:sz="0" w:space="0" w:color="auto"/>
                        <w:bottom w:val="none" w:sz="0" w:space="0" w:color="auto"/>
                        <w:right w:val="none" w:sz="0" w:space="0" w:color="auto"/>
                      </w:divBdr>
                    </w:div>
                  </w:divsChild>
                </w:div>
                <w:div w:id="564997897">
                  <w:marLeft w:val="0"/>
                  <w:marRight w:val="0"/>
                  <w:marTop w:val="0"/>
                  <w:marBottom w:val="0"/>
                  <w:divBdr>
                    <w:top w:val="none" w:sz="0" w:space="0" w:color="auto"/>
                    <w:left w:val="none" w:sz="0" w:space="0" w:color="auto"/>
                    <w:bottom w:val="none" w:sz="0" w:space="0" w:color="auto"/>
                    <w:right w:val="none" w:sz="0" w:space="0" w:color="auto"/>
                  </w:divBdr>
                  <w:divsChild>
                    <w:div w:id="1435595254">
                      <w:marLeft w:val="0"/>
                      <w:marRight w:val="0"/>
                      <w:marTop w:val="0"/>
                      <w:marBottom w:val="0"/>
                      <w:divBdr>
                        <w:top w:val="none" w:sz="0" w:space="0" w:color="auto"/>
                        <w:left w:val="none" w:sz="0" w:space="0" w:color="auto"/>
                        <w:bottom w:val="none" w:sz="0" w:space="0" w:color="auto"/>
                        <w:right w:val="none" w:sz="0" w:space="0" w:color="auto"/>
                      </w:divBdr>
                    </w:div>
                  </w:divsChild>
                </w:div>
                <w:div w:id="835803510">
                  <w:marLeft w:val="0"/>
                  <w:marRight w:val="0"/>
                  <w:marTop w:val="0"/>
                  <w:marBottom w:val="0"/>
                  <w:divBdr>
                    <w:top w:val="none" w:sz="0" w:space="0" w:color="auto"/>
                    <w:left w:val="none" w:sz="0" w:space="0" w:color="auto"/>
                    <w:bottom w:val="none" w:sz="0" w:space="0" w:color="auto"/>
                    <w:right w:val="none" w:sz="0" w:space="0" w:color="auto"/>
                  </w:divBdr>
                  <w:divsChild>
                    <w:div w:id="557517592">
                      <w:marLeft w:val="0"/>
                      <w:marRight w:val="0"/>
                      <w:marTop w:val="0"/>
                      <w:marBottom w:val="0"/>
                      <w:divBdr>
                        <w:top w:val="none" w:sz="0" w:space="0" w:color="auto"/>
                        <w:left w:val="none" w:sz="0" w:space="0" w:color="auto"/>
                        <w:bottom w:val="none" w:sz="0" w:space="0" w:color="auto"/>
                        <w:right w:val="none" w:sz="0" w:space="0" w:color="auto"/>
                      </w:divBdr>
                    </w:div>
                  </w:divsChild>
                </w:div>
                <w:div w:id="868449847">
                  <w:marLeft w:val="0"/>
                  <w:marRight w:val="0"/>
                  <w:marTop w:val="0"/>
                  <w:marBottom w:val="0"/>
                  <w:divBdr>
                    <w:top w:val="none" w:sz="0" w:space="0" w:color="auto"/>
                    <w:left w:val="none" w:sz="0" w:space="0" w:color="auto"/>
                    <w:bottom w:val="none" w:sz="0" w:space="0" w:color="auto"/>
                    <w:right w:val="none" w:sz="0" w:space="0" w:color="auto"/>
                  </w:divBdr>
                  <w:divsChild>
                    <w:div w:id="1499998836">
                      <w:marLeft w:val="0"/>
                      <w:marRight w:val="0"/>
                      <w:marTop w:val="0"/>
                      <w:marBottom w:val="0"/>
                      <w:divBdr>
                        <w:top w:val="none" w:sz="0" w:space="0" w:color="auto"/>
                        <w:left w:val="none" w:sz="0" w:space="0" w:color="auto"/>
                        <w:bottom w:val="none" w:sz="0" w:space="0" w:color="auto"/>
                        <w:right w:val="none" w:sz="0" w:space="0" w:color="auto"/>
                      </w:divBdr>
                    </w:div>
                  </w:divsChild>
                </w:div>
                <w:div w:id="901326748">
                  <w:marLeft w:val="0"/>
                  <w:marRight w:val="0"/>
                  <w:marTop w:val="0"/>
                  <w:marBottom w:val="0"/>
                  <w:divBdr>
                    <w:top w:val="none" w:sz="0" w:space="0" w:color="auto"/>
                    <w:left w:val="none" w:sz="0" w:space="0" w:color="auto"/>
                    <w:bottom w:val="none" w:sz="0" w:space="0" w:color="auto"/>
                    <w:right w:val="none" w:sz="0" w:space="0" w:color="auto"/>
                  </w:divBdr>
                  <w:divsChild>
                    <w:div w:id="817453300">
                      <w:marLeft w:val="0"/>
                      <w:marRight w:val="0"/>
                      <w:marTop w:val="0"/>
                      <w:marBottom w:val="0"/>
                      <w:divBdr>
                        <w:top w:val="none" w:sz="0" w:space="0" w:color="auto"/>
                        <w:left w:val="none" w:sz="0" w:space="0" w:color="auto"/>
                        <w:bottom w:val="none" w:sz="0" w:space="0" w:color="auto"/>
                        <w:right w:val="none" w:sz="0" w:space="0" w:color="auto"/>
                      </w:divBdr>
                    </w:div>
                  </w:divsChild>
                </w:div>
                <w:div w:id="1197347370">
                  <w:marLeft w:val="0"/>
                  <w:marRight w:val="0"/>
                  <w:marTop w:val="0"/>
                  <w:marBottom w:val="0"/>
                  <w:divBdr>
                    <w:top w:val="none" w:sz="0" w:space="0" w:color="auto"/>
                    <w:left w:val="none" w:sz="0" w:space="0" w:color="auto"/>
                    <w:bottom w:val="none" w:sz="0" w:space="0" w:color="auto"/>
                    <w:right w:val="none" w:sz="0" w:space="0" w:color="auto"/>
                  </w:divBdr>
                  <w:divsChild>
                    <w:div w:id="1106803135">
                      <w:marLeft w:val="0"/>
                      <w:marRight w:val="0"/>
                      <w:marTop w:val="0"/>
                      <w:marBottom w:val="0"/>
                      <w:divBdr>
                        <w:top w:val="none" w:sz="0" w:space="0" w:color="auto"/>
                        <w:left w:val="none" w:sz="0" w:space="0" w:color="auto"/>
                        <w:bottom w:val="none" w:sz="0" w:space="0" w:color="auto"/>
                        <w:right w:val="none" w:sz="0" w:space="0" w:color="auto"/>
                      </w:divBdr>
                    </w:div>
                  </w:divsChild>
                </w:div>
                <w:div w:id="1376004415">
                  <w:marLeft w:val="0"/>
                  <w:marRight w:val="0"/>
                  <w:marTop w:val="0"/>
                  <w:marBottom w:val="0"/>
                  <w:divBdr>
                    <w:top w:val="none" w:sz="0" w:space="0" w:color="auto"/>
                    <w:left w:val="none" w:sz="0" w:space="0" w:color="auto"/>
                    <w:bottom w:val="none" w:sz="0" w:space="0" w:color="auto"/>
                    <w:right w:val="none" w:sz="0" w:space="0" w:color="auto"/>
                  </w:divBdr>
                  <w:divsChild>
                    <w:div w:id="1829900561">
                      <w:marLeft w:val="0"/>
                      <w:marRight w:val="0"/>
                      <w:marTop w:val="0"/>
                      <w:marBottom w:val="0"/>
                      <w:divBdr>
                        <w:top w:val="none" w:sz="0" w:space="0" w:color="auto"/>
                        <w:left w:val="none" w:sz="0" w:space="0" w:color="auto"/>
                        <w:bottom w:val="none" w:sz="0" w:space="0" w:color="auto"/>
                        <w:right w:val="none" w:sz="0" w:space="0" w:color="auto"/>
                      </w:divBdr>
                    </w:div>
                  </w:divsChild>
                </w:div>
                <w:div w:id="1590263554">
                  <w:marLeft w:val="0"/>
                  <w:marRight w:val="0"/>
                  <w:marTop w:val="0"/>
                  <w:marBottom w:val="0"/>
                  <w:divBdr>
                    <w:top w:val="none" w:sz="0" w:space="0" w:color="auto"/>
                    <w:left w:val="none" w:sz="0" w:space="0" w:color="auto"/>
                    <w:bottom w:val="none" w:sz="0" w:space="0" w:color="auto"/>
                    <w:right w:val="none" w:sz="0" w:space="0" w:color="auto"/>
                  </w:divBdr>
                  <w:divsChild>
                    <w:div w:id="1639411208">
                      <w:marLeft w:val="0"/>
                      <w:marRight w:val="0"/>
                      <w:marTop w:val="0"/>
                      <w:marBottom w:val="0"/>
                      <w:divBdr>
                        <w:top w:val="none" w:sz="0" w:space="0" w:color="auto"/>
                        <w:left w:val="none" w:sz="0" w:space="0" w:color="auto"/>
                        <w:bottom w:val="none" w:sz="0" w:space="0" w:color="auto"/>
                        <w:right w:val="none" w:sz="0" w:space="0" w:color="auto"/>
                      </w:divBdr>
                    </w:div>
                  </w:divsChild>
                </w:div>
                <w:div w:id="1797408753">
                  <w:marLeft w:val="0"/>
                  <w:marRight w:val="0"/>
                  <w:marTop w:val="0"/>
                  <w:marBottom w:val="0"/>
                  <w:divBdr>
                    <w:top w:val="none" w:sz="0" w:space="0" w:color="auto"/>
                    <w:left w:val="none" w:sz="0" w:space="0" w:color="auto"/>
                    <w:bottom w:val="none" w:sz="0" w:space="0" w:color="auto"/>
                    <w:right w:val="none" w:sz="0" w:space="0" w:color="auto"/>
                  </w:divBdr>
                  <w:divsChild>
                    <w:div w:id="27853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9987">
          <w:marLeft w:val="0"/>
          <w:marRight w:val="0"/>
          <w:marTop w:val="0"/>
          <w:marBottom w:val="0"/>
          <w:divBdr>
            <w:top w:val="none" w:sz="0" w:space="0" w:color="auto"/>
            <w:left w:val="none" w:sz="0" w:space="0" w:color="auto"/>
            <w:bottom w:val="none" w:sz="0" w:space="0" w:color="auto"/>
            <w:right w:val="none" w:sz="0" w:space="0" w:color="auto"/>
          </w:divBdr>
        </w:div>
      </w:divsChild>
    </w:div>
    <w:div w:id="620692094">
      <w:bodyDiv w:val="1"/>
      <w:marLeft w:val="0"/>
      <w:marRight w:val="0"/>
      <w:marTop w:val="0"/>
      <w:marBottom w:val="0"/>
      <w:divBdr>
        <w:top w:val="none" w:sz="0" w:space="0" w:color="auto"/>
        <w:left w:val="none" w:sz="0" w:space="0" w:color="auto"/>
        <w:bottom w:val="none" w:sz="0" w:space="0" w:color="auto"/>
        <w:right w:val="none" w:sz="0" w:space="0" w:color="auto"/>
      </w:divBdr>
      <w:divsChild>
        <w:div w:id="56829490">
          <w:marLeft w:val="0"/>
          <w:marRight w:val="0"/>
          <w:marTop w:val="0"/>
          <w:marBottom w:val="0"/>
          <w:divBdr>
            <w:top w:val="none" w:sz="0" w:space="0" w:color="auto"/>
            <w:left w:val="none" w:sz="0" w:space="0" w:color="auto"/>
            <w:bottom w:val="none" w:sz="0" w:space="0" w:color="auto"/>
            <w:right w:val="none" w:sz="0" w:space="0" w:color="auto"/>
          </w:divBdr>
          <w:divsChild>
            <w:div w:id="1225290963">
              <w:marLeft w:val="0"/>
              <w:marRight w:val="0"/>
              <w:marTop w:val="0"/>
              <w:marBottom w:val="0"/>
              <w:divBdr>
                <w:top w:val="none" w:sz="0" w:space="0" w:color="auto"/>
                <w:left w:val="none" w:sz="0" w:space="0" w:color="auto"/>
                <w:bottom w:val="none" w:sz="0" w:space="0" w:color="auto"/>
                <w:right w:val="none" w:sz="0" w:space="0" w:color="auto"/>
              </w:divBdr>
            </w:div>
            <w:div w:id="1870877942">
              <w:marLeft w:val="0"/>
              <w:marRight w:val="0"/>
              <w:marTop w:val="0"/>
              <w:marBottom w:val="0"/>
              <w:divBdr>
                <w:top w:val="none" w:sz="0" w:space="0" w:color="auto"/>
                <w:left w:val="none" w:sz="0" w:space="0" w:color="auto"/>
                <w:bottom w:val="none" w:sz="0" w:space="0" w:color="auto"/>
                <w:right w:val="none" w:sz="0" w:space="0" w:color="auto"/>
              </w:divBdr>
            </w:div>
          </w:divsChild>
        </w:div>
        <w:div w:id="69036379">
          <w:marLeft w:val="0"/>
          <w:marRight w:val="0"/>
          <w:marTop w:val="0"/>
          <w:marBottom w:val="0"/>
          <w:divBdr>
            <w:top w:val="none" w:sz="0" w:space="0" w:color="auto"/>
            <w:left w:val="none" w:sz="0" w:space="0" w:color="auto"/>
            <w:bottom w:val="none" w:sz="0" w:space="0" w:color="auto"/>
            <w:right w:val="none" w:sz="0" w:space="0" w:color="auto"/>
          </w:divBdr>
        </w:div>
        <w:div w:id="679742570">
          <w:marLeft w:val="0"/>
          <w:marRight w:val="0"/>
          <w:marTop w:val="0"/>
          <w:marBottom w:val="0"/>
          <w:divBdr>
            <w:top w:val="none" w:sz="0" w:space="0" w:color="auto"/>
            <w:left w:val="none" w:sz="0" w:space="0" w:color="auto"/>
            <w:bottom w:val="none" w:sz="0" w:space="0" w:color="auto"/>
            <w:right w:val="none" w:sz="0" w:space="0" w:color="auto"/>
          </w:divBdr>
        </w:div>
        <w:div w:id="1167524605">
          <w:marLeft w:val="0"/>
          <w:marRight w:val="0"/>
          <w:marTop w:val="0"/>
          <w:marBottom w:val="0"/>
          <w:divBdr>
            <w:top w:val="none" w:sz="0" w:space="0" w:color="auto"/>
            <w:left w:val="none" w:sz="0" w:space="0" w:color="auto"/>
            <w:bottom w:val="none" w:sz="0" w:space="0" w:color="auto"/>
            <w:right w:val="none" w:sz="0" w:space="0" w:color="auto"/>
          </w:divBdr>
        </w:div>
        <w:div w:id="1296254128">
          <w:marLeft w:val="0"/>
          <w:marRight w:val="0"/>
          <w:marTop w:val="0"/>
          <w:marBottom w:val="0"/>
          <w:divBdr>
            <w:top w:val="none" w:sz="0" w:space="0" w:color="auto"/>
            <w:left w:val="none" w:sz="0" w:space="0" w:color="auto"/>
            <w:bottom w:val="none" w:sz="0" w:space="0" w:color="auto"/>
            <w:right w:val="none" w:sz="0" w:space="0" w:color="auto"/>
          </w:divBdr>
        </w:div>
        <w:div w:id="1395659668">
          <w:marLeft w:val="0"/>
          <w:marRight w:val="0"/>
          <w:marTop w:val="0"/>
          <w:marBottom w:val="0"/>
          <w:divBdr>
            <w:top w:val="none" w:sz="0" w:space="0" w:color="auto"/>
            <w:left w:val="none" w:sz="0" w:space="0" w:color="auto"/>
            <w:bottom w:val="none" w:sz="0" w:space="0" w:color="auto"/>
            <w:right w:val="none" w:sz="0" w:space="0" w:color="auto"/>
          </w:divBdr>
        </w:div>
        <w:div w:id="1460956144">
          <w:marLeft w:val="0"/>
          <w:marRight w:val="0"/>
          <w:marTop w:val="0"/>
          <w:marBottom w:val="0"/>
          <w:divBdr>
            <w:top w:val="none" w:sz="0" w:space="0" w:color="auto"/>
            <w:left w:val="none" w:sz="0" w:space="0" w:color="auto"/>
            <w:bottom w:val="none" w:sz="0" w:space="0" w:color="auto"/>
            <w:right w:val="none" w:sz="0" w:space="0" w:color="auto"/>
          </w:divBdr>
        </w:div>
        <w:div w:id="2000036041">
          <w:marLeft w:val="0"/>
          <w:marRight w:val="0"/>
          <w:marTop w:val="0"/>
          <w:marBottom w:val="0"/>
          <w:divBdr>
            <w:top w:val="none" w:sz="0" w:space="0" w:color="auto"/>
            <w:left w:val="none" w:sz="0" w:space="0" w:color="auto"/>
            <w:bottom w:val="none" w:sz="0" w:space="0" w:color="auto"/>
            <w:right w:val="none" w:sz="0" w:space="0" w:color="auto"/>
          </w:divBdr>
        </w:div>
      </w:divsChild>
    </w:div>
    <w:div w:id="948851536">
      <w:bodyDiv w:val="1"/>
      <w:marLeft w:val="0"/>
      <w:marRight w:val="0"/>
      <w:marTop w:val="0"/>
      <w:marBottom w:val="0"/>
      <w:divBdr>
        <w:top w:val="none" w:sz="0" w:space="0" w:color="auto"/>
        <w:left w:val="none" w:sz="0" w:space="0" w:color="auto"/>
        <w:bottom w:val="none" w:sz="0" w:space="0" w:color="auto"/>
        <w:right w:val="none" w:sz="0" w:space="0" w:color="auto"/>
      </w:divBdr>
      <w:divsChild>
        <w:div w:id="83791">
          <w:marLeft w:val="0"/>
          <w:marRight w:val="0"/>
          <w:marTop w:val="0"/>
          <w:marBottom w:val="0"/>
          <w:divBdr>
            <w:top w:val="none" w:sz="0" w:space="0" w:color="auto"/>
            <w:left w:val="none" w:sz="0" w:space="0" w:color="auto"/>
            <w:bottom w:val="none" w:sz="0" w:space="0" w:color="auto"/>
            <w:right w:val="none" w:sz="0" w:space="0" w:color="auto"/>
          </w:divBdr>
        </w:div>
        <w:div w:id="42682021">
          <w:marLeft w:val="0"/>
          <w:marRight w:val="0"/>
          <w:marTop w:val="0"/>
          <w:marBottom w:val="0"/>
          <w:divBdr>
            <w:top w:val="none" w:sz="0" w:space="0" w:color="auto"/>
            <w:left w:val="none" w:sz="0" w:space="0" w:color="auto"/>
            <w:bottom w:val="none" w:sz="0" w:space="0" w:color="auto"/>
            <w:right w:val="none" w:sz="0" w:space="0" w:color="auto"/>
          </w:divBdr>
        </w:div>
        <w:div w:id="56362685">
          <w:marLeft w:val="0"/>
          <w:marRight w:val="0"/>
          <w:marTop w:val="0"/>
          <w:marBottom w:val="0"/>
          <w:divBdr>
            <w:top w:val="none" w:sz="0" w:space="0" w:color="auto"/>
            <w:left w:val="none" w:sz="0" w:space="0" w:color="auto"/>
            <w:bottom w:val="none" w:sz="0" w:space="0" w:color="auto"/>
            <w:right w:val="none" w:sz="0" w:space="0" w:color="auto"/>
          </w:divBdr>
          <w:divsChild>
            <w:div w:id="1237519821">
              <w:marLeft w:val="0"/>
              <w:marRight w:val="0"/>
              <w:marTop w:val="0"/>
              <w:marBottom w:val="0"/>
              <w:divBdr>
                <w:top w:val="none" w:sz="0" w:space="0" w:color="auto"/>
                <w:left w:val="none" w:sz="0" w:space="0" w:color="auto"/>
                <w:bottom w:val="none" w:sz="0" w:space="0" w:color="auto"/>
                <w:right w:val="none" w:sz="0" w:space="0" w:color="auto"/>
              </w:divBdr>
            </w:div>
          </w:divsChild>
        </w:div>
        <w:div w:id="62529518">
          <w:marLeft w:val="0"/>
          <w:marRight w:val="0"/>
          <w:marTop w:val="0"/>
          <w:marBottom w:val="0"/>
          <w:divBdr>
            <w:top w:val="none" w:sz="0" w:space="0" w:color="auto"/>
            <w:left w:val="none" w:sz="0" w:space="0" w:color="auto"/>
            <w:bottom w:val="none" w:sz="0" w:space="0" w:color="auto"/>
            <w:right w:val="none" w:sz="0" w:space="0" w:color="auto"/>
          </w:divBdr>
        </w:div>
        <w:div w:id="161941547">
          <w:marLeft w:val="0"/>
          <w:marRight w:val="0"/>
          <w:marTop w:val="0"/>
          <w:marBottom w:val="0"/>
          <w:divBdr>
            <w:top w:val="none" w:sz="0" w:space="0" w:color="auto"/>
            <w:left w:val="none" w:sz="0" w:space="0" w:color="auto"/>
            <w:bottom w:val="none" w:sz="0" w:space="0" w:color="auto"/>
            <w:right w:val="none" w:sz="0" w:space="0" w:color="auto"/>
          </w:divBdr>
          <w:divsChild>
            <w:div w:id="119156636">
              <w:marLeft w:val="0"/>
              <w:marRight w:val="0"/>
              <w:marTop w:val="0"/>
              <w:marBottom w:val="0"/>
              <w:divBdr>
                <w:top w:val="none" w:sz="0" w:space="0" w:color="auto"/>
                <w:left w:val="none" w:sz="0" w:space="0" w:color="auto"/>
                <w:bottom w:val="none" w:sz="0" w:space="0" w:color="auto"/>
                <w:right w:val="none" w:sz="0" w:space="0" w:color="auto"/>
              </w:divBdr>
            </w:div>
            <w:div w:id="370349994">
              <w:marLeft w:val="0"/>
              <w:marRight w:val="0"/>
              <w:marTop w:val="0"/>
              <w:marBottom w:val="0"/>
              <w:divBdr>
                <w:top w:val="none" w:sz="0" w:space="0" w:color="auto"/>
                <w:left w:val="none" w:sz="0" w:space="0" w:color="auto"/>
                <w:bottom w:val="none" w:sz="0" w:space="0" w:color="auto"/>
                <w:right w:val="none" w:sz="0" w:space="0" w:color="auto"/>
              </w:divBdr>
            </w:div>
            <w:div w:id="1578511060">
              <w:marLeft w:val="0"/>
              <w:marRight w:val="0"/>
              <w:marTop w:val="0"/>
              <w:marBottom w:val="0"/>
              <w:divBdr>
                <w:top w:val="none" w:sz="0" w:space="0" w:color="auto"/>
                <w:left w:val="none" w:sz="0" w:space="0" w:color="auto"/>
                <w:bottom w:val="none" w:sz="0" w:space="0" w:color="auto"/>
                <w:right w:val="none" w:sz="0" w:space="0" w:color="auto"/>
              </w:divBdr>
            </w:div>
            <w:div w:id="2082556830">
              <w:marLeft w:val="0"/>
              <w:marRight w:val="0"/>
              <w:marTop w:val="0"/>
              <w:marBottom w:val="0"/>
              <w:divBdr>
                <w:top w:val="none" w:sz="0" w:space="0" w:color="auto"/>
                <w:left w:val="none" w:sz="0" w:space="0" w:color="auto"/>
                <w:bottom w:val="none" w:sz="0" w:space="0" w:color="auto"/>
                <w:right w:val="none" w:sz="0" w:space="0" w:color="auto"/>
              </w:divBdr>
            </w:div>
            <w:div w:id="2138134334">
              <w:marLeft w:val="0"/>
              <w:marRight w:val="0"/>
              <w:marTop w:val="0"/>
              <w:marBottom w:val="0"/>
              <w:divBdr>
                <w:top w:val="none" w:sz="0" w:space="0" w:color="auto"/>
                <w:left w:val="none" w:sz="0" w:space="0" w:color="auto"/>
                <w:bottom w:val="none" w:sz="0" w:space="0" w:color="auto"/>
                <w:right w:val="none" w:sz="0" w:space="0" w:color="auto"/>
              </w:divBdr>
            </w:div>
          </w:divsChild>
        </w:div>
        <w:div w:id="450561935">
          <w:marLeft w:val="0"/>
          <w:marRight w:val="0"/>
          <w:marTop w:val="0"/>
          <w:marBottom w:val="0"/>
          <w:divBdr>
            <w:top w:val="none" w:sz="0" w:space="0" w:color="auto"/>
            <w:left w:val="none" w:sz="0" w:space="0" w:color="auto"/>
            <w:bottom w:val="none" w:sz="0" w:space="0" w:color="auto"/>
            <w:right w:val="none" w:sz="0" w:space="0" w:color="auto"/>
          </w:divBdr>
          <w:divsChild>
            <w:div w:id="157578210">
              <w:marLeft w:val="0"/>
              <w:marRight w:val="0"/>
              <w:marTop w:val="0"/>
              <w:marBottom w:val="0"/>
              <w:divBdr>
                <w:top w:val="none" w:sz="0" w:space="0" w:color="auto"/>
                <w:left w:val="none" w:sz="0" w:space="0" w:color="auto"/>
                <w:bottom w:val="none" w:sz="0" w:space="0" w:color="auto"/>
                <w:right w:val="none" w:sz="0" w:space="0" w:color="auto"/>
              </w:divBdr>
            </w:div>
            <w:div w:id="1011371938">
              <w:marLeft w:val="0"/>
              <w:marRight w:val="0"/>
              <w:marTop w:val="0"/>
              <w:marBottom w:val="0"/>
              <w:divBdr>
                <w:top w:val="none" w:sz="0" w:space="0" w:color="auto"/>
                <w:left w:val="none" w:sz="0" w:space="0" w:color="auto"/>
                <w:bottom w:val="none" w:sz="0" w:space="0" w:color="auto"/>
                <w:right w:val="none" w:sz="0" w:space="0" w:color="auto"/>
              </w:divBdr>
            </w:div>
            <w:div w:id="1075712690">
              <w:marLeft w:val="0"/>
              <w:marRight w:val="0"/>
              <w:marTop w:val="0"/>
              <w:marBottom w:val="0"/>
              <w:divBdr>
                <w:top w:val="none" w:sz="0" w:space="0" w:color="auto"/>
                <w:left w:val="none" w:sz="0" w:space="0" w:color="auto"/>
                <w:bottom w:val="none" w:sz="0" w:space="0" w:color="auto"/>
                <w:right w:val="none" w:sz="0" w:space="0" w:color="auto"/>
              </w:divBdr>
            </w:div>
            <w:div w:id="1617714678">
              <w:marLeft w:val="0"/>
              <w:marRight w:val="0"/>
              <w:marTop w:val="0"/>
              <w:marBottom w:val="0"/>
              <w:divBdr>
                <w:top w:val="none" w:sz="0" w:space="0" w:color="auto"/>
                <w:left w:val="none" w:sz="0" w:space="0" w:color="auto"/>
                <w:bottom w:val="none" w:sz="0" w:space="0" w:color="auto"/>
                <w:right w:val="none" w:sz="0" w:space="0" w:color="auto"/>
              </w:divBdr>
            </w:div>
            <w:div w:id="1724523659">
              <w:marLeft w:val="0"/>
              <w:marRight w:val="0"/>
              <w:marTop w:val="0"/>
              <w:marBottom w:val="0"/>
              <w:divBdr>
                <w:top w:val="none" w:sz="0" w:space="0" w:color="auto"/>
                <w:left w:val="none" w:sz="0" w:space="0" w:color="auto"/>
                <w:bottom w:val="none" w:sz="0" w:space="0" w:color="auto"/>
                <w:right w:val="none" w:sz="0" w:space="0" w:color="auto"/>
              </w:divBdr>
            </w:div>
          </w:divsChild>
        </w:div>
        <w:div w:id="487289176">
          <w:marLeft w:val="0"/>
          <w:marRight w:val="0"/>
          <w:marTop w:val="0"/>
          <w:marBottom w:val="0"/>
          <w:divBdr>
            <w:top w:val="none" w:sz="0" w:space="0" w:color="auto"/>
            <w:left w:val="none" w:sz="0" w:space="0" w:color="auto"/>
            <w:bottom w:val="none" w:sz="0" w:space="0" w:color="auto"/>
            <w:right w:val="none" w:sz="0" w:space="0" w:color="auto"/>
          </w:divBdr>
        </w:div>
        <w:div w:id="676347238">
          <w:marLeft w:val="0"/>
          <w:marRight w:val="0"/>
          <w:marTop w:val="0"/>
          <w:marBottom w:val="0"/>
          <w:divBdr>
            <w:top w:val="none" w:sz="0" w:space="0" w:color="auto"/>
            <w:left w:val="none" w:sz="0" w:space="0" w:color="auto"/>
            <w:bottom w:val="none" w:sz="0" w:space="0" w:color="auto"/>
            <w:right w:val="none" w:sz="0" w:space="0" w:color="auto"/>
          </w:divBdr>
        </w:div>
        <w:div w:id="682317149">
          <w:marLeft w:val="0"/>
          <w:marRight w:val="0"/>
          <w:marTop w:val="0"/>
          <w:marBottom w:val="0"/>
          <w:divBdr>
            <w:top w:val="none" w:sz="0" w:space="0" w:color="auto"/>
            <w:left w:val="none" w:sz="0" w:space="0" w:color="auto"/>
            <w:bottom w:val="none" w:sz="0" w:space="0" w:color="auto"/>
            <w:right w:val="none" w:sz="0" w:space="0" w:color="auto"/>
          </w:divBdr>
          <w:divsChild>
            <w:div w:id="623318429">
              <w:marLeft w:val="0"/>
              <w:marRight w:val="0"/>
              <w:marTop w:val="0"/>
              <w:marBottom w:val="0"/>
              <w:divBdr>
                <w:top w:val="none" w:sz="0" w:space="0" w:color="auto"/>
                <w:left w:val="none" w:sz="0" w:space="0" w:color="auto"/>
                <w:bottom w:val="none" w:sz="0" w:space="0" w:color="auto"/>
                <w:right w:val="none" w:sz="0" w:space="0" w:color="auto"/>
              </w:divBdr>
            </w:div>
            <w:div w:id="1066146348">
              <w:marLeft w:val="0"/>
              <w:marRight w:val="0"/>
              <w:marTop w:val="0"/>
              <w:marBottom w:val="0"/>
              <w:divBdr>
                <w:top w:val="none" w:sz="0" w:space="0" w:color="auto"/>
                <w:left w:val="none" w:sz="0" w:space="0" w:color="auto"/>
                <w:bottom w:val="none" w:sz="0" w:space="0" w:color="auto"/>
                <w:right w:val="none" w:sz="0" w:space="0" w:color="auto"/>
              </w:divBdr>
            </w:div>
          </w:divsChild>
        </w:div>
        <w:div w:id="689722082">
          <w:marLeft w:val="0"/>
          <w:marRight w:val="0"/>
          <w:marTop w:val="0"/>
          <w:marBottom w:val="0"/>
          <w:divBdr>
            <w:top w:val="none" w:sz="0" w:space="0" w:color="auto"/>
            <w:left w:val="none" w:sz="0" w:space="0" w:color="auto"/>
            <w:bottom w:val="none" w:sz="0" w:space="0" w:color="auto"/>
            <w:right w:val="none" w:sz="0" w:space="0" w:color="auto"/>
          </w:divBdr>
          <w:divsChild>
            <w:div w:id="1484078143">
              <w:marLeft w:val="0"/>
              <w:marRight w:val="0"/>
              <w:marTop w:val="0"/>
              <w:marBottom w:val="0"/>
              <w:divBdr>
                <w:top w:val="none" w:sz="0" w:space="0" w:color="auto"/>
                <w:left w:val="none" w:sz="0" w:space="0" w:color="auto"/>
                <w:bottom w:val="none" w:sz="0" w:space="0" w:color="auto"/>
                <w:right w:val="none" w:sz="0" w:space="0" w:color="auto"/>
              </w:divBdr>
            </w:div>
            <w:div w:id="1830554686">
              <w:marLeft w:val="0"/>
              <w:marRight w:val="0"/>
              <w:marTop w:val="0"/>
              <w:marBottom w:val="0"/>
              <w:divBdr>
                <w:top w:val="none" w:sz="0" w:space="0" w:color="auto"/>
                <w:left w:val="none" w:sz="0" w:space="0" w:color="auto"/>
                <w:bottom w:val="none" w:sz="0" w:space="0" w:color="auto"/>
                <w:right w:val="none" w:sz="0" w:space="0" w:color="auto"/>
              </w:divBdr>
            </w:div>
            <w:div w:id="2042780307">
              <w:marLeft w:val="0"/>
              <w:marRight w:val="0"/>
              <w:marTop w:val="0"/>
              <w:marBottom w:val="0"/>
              <w:divBdr>
                <w:top w:val="none" w:sz="0" w:space="0" w:color="auto"/>
                <w:left w:val="none" w:sz="0" w:space="0" w:color="auto"/>
                <w:bottom w:val="none" w:sz="0" w:space="0" w:color="auto"/>
                <w:right w:val="none" w:sz="0" w:space="0" w:color="auto"/>
              </w:divBdr>
            </w:div>
          </w:divsChild>
        </w:div>
        <w:div w:id="711997555">
          <w:marLeft w:val="0"/>
          <w:marRight w:val="0"/>
          <w:marTop w:val="0"/>
          <w:marBottom w:val="0"/>
          <w:divBdr>
            <w:top w:val="none" w:sz="0" w:space="0" w:color="auto"/>
            <w:left w:val="none" w:sz="0" w:space="0" w:color="auto"/>
            <w:bottom w:val="none" w:sz="0" w:space="0" w:color="auto"/>
            <w:right w:val="none" w:sz="0" w:space="0" w:color="auto"/>
          </w:divBdr>
        </w:div>
        <w:div w:id="757095920">
          <w:marLeft w:val="0"/>
          <w:marRight w:val="0"/>
          <w:marTop w:val="0"/>
          <w:marBottom w:val="0"/>
          <w:divBdr>
            <w:top w:val="none" w:sz="0" w:space="0" w:color="auto"/>
            <w:left w:val="none" w:sz="0" w:space="0" w:color="auto"/>
            <w:bottom w:val="none" w:sz="0" w:space="0" w:color="auto"/>
            <w:right w:val="none" w:sz="0" w:space="0" w:color="auto"/>
          </w:divBdr>
        </w:div>
        <w:div w:id="1028868832">
          <w:marLeft w:val="0"/>
          <w:marRight w:val="0"/>
          <w:marTop w:val="0"/>
          <w:marBottom w:val="0"/>
          <w:divBdr>
            <w:top w:val="none" w:sz="0" w:space="0" w:color="auto"/>
            <w:left w:val="none" w:sz="0" w:space="0" w:color="auto"/>
            <w:bottom w:val="none" w:sz="0" w:space="0" w:color="auto"/>
            <w:right w:val="none" w:sz="0" w:space="0" w:color="auto"/>
          </w:divBdr>
          <w:divsChild>
            <w:div w:id="1294674835">
              <w:marLeft w:val="0"/>
              <w:marRight w:val="0"/>
              <w:marTop w:val="0"/>
              <w:marBottom w:val="0"/>
              <w:divBdr>
                <w:top w:val="none" w:sz="0" w:space="0" w:color="auto"/>
                <w:left w:val="none" w:sz="0" w:space="0" w:color="auto"/>
                <w:bottom w:val="none" w:sz="0" w:space="0" w:color="auto"/>
                <w:right w:val="none" w:sz="0" w:space="0" w:color="auto"/>
              </w:divBdr>
            </w:div>
            <w:div w:id="2133136466">
              <w:marLeft w:val="0"/>
              <w:marRight w:val="0"/>
              <w:marTop w:val="0"/>
              <w:marBottom w:val="0"/>
              <w:divBdr>
                <w:top w:val="none" w:sz="0" w:space="0" w:color="auto"/>
                <w:left w:val="none" w:sz="0" w:space="0" w:color="auto"/>
                <w:bottom w:val="none" w:sz="0" w:space="0" w:color="auto"/>
                <w:right w:val="none" w:sz="0" w:space="0" w:color="auto"/>
              </w:divBdr>
            </w:div>
          </w:divsChild>
        </w:div>
        <w:div w:id="1430467407">
          <w:marLeft w:val="0"/>
          <w:marRight w:val="0"/>
          <w:marTop w:val="0"/>
          <w:marBottom w:val="0"/>
          <w:divBdr>
            <w:top w:val="none" w:sz="0" w:space="0" w:color="auto"/>
            <w:left w:val="none" w:sz="0" w:space="0" w:color="auto"/>
            <w:bottom w:val="none" w:sz="0" w:space="0" w:color="auto"/>
            <w:right w:val="none" w:sz="0" w:space="0" w:color="auto"/>
          </w:divBdr>
        </w:div>
        <w:div w:id="1473907613">
          <w:marLeft w:val="0"/>
          <w:marRight w:val="0"/>
          <w:marTop w:val="0"/>
          <w:marBottom w:val="0"/>
          <w:divBdr>
            <w:top w:val="none" w:sz="0" w:space="0" w:color="auto"/>
            <w:left w:val="none" w:sz="0" w:space="0" w:color="auto"/>
            <w:bottom w:val="none" w:sz="0" w:space="0" w:color="auto"/>
            <w:right w:val="none" w:sz="0" w:space="0" w:color="auto"/>
          </w:divBdr>
        </w:div>
        <w:div w:id="1515420156">
          <w:marLeft w:val="0"/>
          <w:marRight w:val="0"/>
          <w:marTop w:val="0"/>
          <w:marBottom w:val="0"/>
          <w:divBdr>
            <w:top w:val="none" w:sz="0" w:space="0" w:color="auto"/>
            <w:left w:val="none" w:sz="0" w:space="0" w:color="auto"/>
            <w:bottom w:val="none" w:sz="0" w:space="0" w:color="auto"/>
            <w:right w:val="none" w:sz="0" w:space="0" w:color="auto"/>
          </w:divBdr>
          <w:divsChild>
            <w:div w:id="1739086323">
              <w:marLeft w:val="0"/>
              <w:marRight w:val="0"/>
              <w:marTop w:val="0"/>
              <w:marBottom w:val="0"/>
              <w:divBdr>
                <w:top w:val="none" w:sz="0" w:space="0" w:color="auto"/>
                <w:left w:val="none" w:sz="0" w:space="0" w:color="auto"/>
                <w:bottom w:val="none" w:sz="0" w:space="0" w:color="auto"/>
                <w:right w:val="none" w:sz="0" w:space="0" w:color="auto"/>
              </w:divBdr>
            </w:div>
          </w:divsChild>
        </w:div>
        <w:div w:id="1686248163">
          <w:marLeft w:val="0"/>
          <w:marRight w:val="0"/>
          <w:marTop w:val="0"/>
          <w:marBottom w:val="0"/>
          <w:divBdr>
            <w:top w:val="none" w:sz="0" w:space="0" w:color="auto"/>
            <w:left w:val="none" w:sz="0" w:space="0" w:color="auto"/>
            <w:bottom w:val="none" w:sz="0" w:space="0" w:color="auto"/>
            <w:right w:val="none" w:sz="0" w:space="0" w:color="auto"/>
          </w:divBdr>
        </w:div>
        <w:div w:id="1762602357">
          <w:marLeft w:val="0"/>
          <w:marRight w:val="0"/>
          <w:marTop w:val="0"/>
          <w:marBottom w:val="0"/>
          <w:divBdr>
            <w:top w:val="none" w:sz="0" w:space="0" w:color="auto"/>
            <w:left w:val="none" w:sz="0" w:space="0" w:color="auto"/>
            <w:bottom w:val="none" w:sz="0" w:space="0" w:color="auto"/>
            <w:right w:val="none" w:sz="0" w:space="0" w:color="auto"/>
          </w:divBdr>
          <w:divsChild>
            <w:div w:id="945387544">
              <w:marLeft w:val="0"/>
              <w:marRight w:val="0"/>
              <w:marTop w:val="0"/>
              <w:marBottom w:val="0"/>
              <w:divBdr>
                <w:top w:val="none" w:sz="0" w:space="0" w:color="auto"/>
                <w:left w:val="none" w:sz="0" w:space="0" w:color="auto"/>
                <w:bottom w:val="none" w:sz="0" w:space="0" w:color="auto"/>
                <w:right w:val="none" w:sz="0" w:space="0" w:color="auto"/>
              </w:divBdr>
            </w:div>
            <w:div w:id="1135951045">
              <w:marLeft w:val="0"/>
              <w:marRight w:val="0"/>
              <w:marTop w:val="0"/>
              <w:marBottom w:val="0"/>
              <w:divBdr>
                <w:top w:val="none" w:sz="0" w:space="0" w:color="auto"/>
                <w:left w:val="none" w:sz="0" w:space="0" w:color="auto"/>
                <w:bottom w:val="none" w:sz="0" w:space="0" w:color="auto"/>
                <w:right w:val="none" w:sz="0" w:space="0" w:color="auto"/>
              </w:divBdr>
            </w:div>
            <w:div w:id="1495292607">
              <w:marLeft w:val="0"/>
              <w:marRight w:val="0"/>
              <w:marTop w:val="0"/>
              <w:marBottom w:val="0"/>
              <w:divBdr>
                <w:top w:val="none" w:sz="0" w:space="0" w:color="auto"/>
                <w:left w:val="none" w:sz="0" w:space="0" w:color="auto"/>
                <w:bottom w:val="none" w:sz="0" w:space="0" w:color="auto"/>
                <w:right w:val="none" w:sz="0" w:space="0" w:color="auto"/>
              </w:divBdr>
            </w:div>
          </w:divsChild>
        </w:div>
        <w:div w:id="1809665098">
          <w:marLeft w:val="0"/>
          <w:marRight w:val="0"/>
          <w:marTop w:val="0"/>
          <w:marBottom w:val="0"/>
          <w:divBdr>
            <w:top w:val="none" w:sz="0" w:space="0" w:color="auto"/>
            <w:left w:val="none" w:sz="0" w:space="0" w:color="auto"/>
            <w:bottom w:val="none" w:sz="0" w:space="0" w:color="auto"/>
            <w:right w:val="none" w:sz="0" w:space="0" w:color="auto"/>
          </w:divBdr>
        </w:div>
        <w:div w:id="1861581455">
          <w:marLeft w:val="0"/>
          <w:marRight w:val="0"/>
          <w:marTop w:val="0"/>
          <w:marBottom w:val="0"/>
          <w:divBdr>
            <w:top w:val="none" w:sz="0" w:space="0" w:color="auto"/>
            <w:left w:val="none" w:sz="0" w:space="0" w:color="auto"/>
            <w:bottom w:val="none" w:sz="0" w:space="0" w:color="auto"/>
            <w:right w:val="none" w:sz="0" w:space="0" w:color="auto"/>
          </w:divBdr>
        </w:div>
        <w:div w:id="1959330247">
          <w:marLeft w:val="0"/>
          <w:marRight w:val="0"/>
          <w:marTop w:val="0"/>
          <w:marBottom w:val="0"/>
          <w:divBdr>
            <w:top w:val="none" w:sz="0" w:space="0" w:color="auto"/>
            <w:left w:val="none" w:sz="0" w:space="0" w:color="auto"/>
            <w:bottom w:val="none" w:sz="0" w:space="0" w:color="auto"/>
            <w:right w:val="none" w:sz="0" w:space="0" w:color="auto"/>
          </w:divBdr>
        </w:div>
        <w:div w:id="2019430280">
          <w:marLeft w:val="0"/>
          <w:marRight w:val="0"/>
          <w:marTop w:val="0"/>
          <w:marBottom w:val="0"/>
          <w:divBdr>
            <w:top w:val="none" w:sz="0" w:space="0" w:color="auto"/>
            <w:left w:val="none" w:sz="0" w:space="0" w:color="auto"/>
            <w:bottom w:val="none" w:sz="0" w:space="0" w:color="auto"/>
            <w:right w:val="none" w:sz="0" w:space="0" w:color="auto"/>
          </w:divBdr>
        </w:div>
        <w:div w:id="2106070892">
          <w:marLeft w:val="0"/>
          <w:marRight w:val="0"/>
          <w:marTop w:val="0"/>
          <w:marBottom w:val="0"/>
          <w:divBdr>
            <w:top w:val="none" w:sz="0" w:space="0" w:color="auto"/>
            <w:left w:val="none" w:sz="0" w:space="0" w:color="auto"/>
            <w:bottom w:val="none" w:sz="0" w:space="0" w:color="auto"/>
            <w:right w:val="none" w:sz="0" w:space="0" w:color="auto"/>
          </w:divBdr>
        </w:div>
      </w:divsChild>
    </w:div>
    <w:div w:id="1371032001">
      <w:bodyDiv w:val="1"/>
      <w:marLeft w:val="0"/>
      <w:marRight w:val="0"/>
      <w:marTop w:val="0"/>
      <w:marBottom w:val="0"/>
      <w:divBdr>
        <w:top w:val="none" w:sz="0" w:space="0" w:color="auto"/>
        <w:left w:val="none" w:sz="0" w:space="0" w:color="auto"/>
        <w:bottom w:val="none" w:sz="0" w:space="0" w:color="auto"/>
        <w:right w:val="none" w:sz="0" w:space="0" w:color="auto"/>
      </w:divBdr>
      <w:divsChild>
        <w:div w:id="74330185">
          <w:marLeft w:val="0"/>
          <w:marRight w:val="0"/>
          <w:marTop w:val="0"/>
          <w:marBottom w:val="0"/>
          <w:divBdr>
            <w:top w:val="none" w:sz="0" w:space="0" w:color="auto"/>
            <w:left w:val="none" w:sz="0" w:space="0" w:color="auto"/>
            <w:bottom w:val="none" w:sz="0" w:space="0" w:color="auto"/>
            <w:right w:val="none" w:sz="0" w:space="0" w:color="auto"/>
          </w:divBdr>
        </w:div>
        <w:div w:id="87118602">
          <w:marLeft w:val="0"/>
          <w:marRight w:val="0"/>
          <w:marTop w:val="0"/>
          <w:marBottom w:val="0"/>
          <w:divBdr>
            <w:top w:val="none" w:sz="0" w:space="0" w:color="auto"/>
            <w:left w:val="none" w:sz="0" w:space="0" w:color="auto"/>
            <w:bottom w:val="none" w:sz="0" w:space="0" w:color="auto"/>
            <w:right w:val="none" w:sz="0" w:space="0" w:color="auto"/>
          </w:divBdr>
        </w:div>
        <w:div w:id="153495539">
          <w:marLeft w:val="0"/>
          <w:marRight w:val="0"/>
          <w:marTop w:val="0"/>
          <w:marBottom w:val="0"/>
          <w:divBdr>
            <w:top w:val="none" w:sz="0" w:space="0" w:color="auto"/>
            <w:left w:val="none" w:sz="0" w:space="0" w:color="auto"/>
            <w:bottom w:val="none" w:sz="0" w:space="0" w:color="auto"/>
            <w:right w:val="none" w:sz="0" w:space="0" w:color="auto"/>
          </w:divBdr>
        </w:div>
        <w:div w:id="323514295">
          <w:marLeft w:val="0"/>
          <w:marRight w:val="0"/>
          <w:marTop w:val="0"/>
          <w:marBottom w:val="0"/>
          <w:divBdr>
            <w:top w:val="none" w:sz="0" w:space="0" w:color="auto"/>
            <w:left w:val="none" w:sz="0" w:space="0" w:color="auto"/>
            <w:bottom w:val="none" w:sz="0" w:space="0" w:color="auto"/>
            <w:right w:val="none" w:sz="0" w:space="0" w:color="auto"/>
          </w:divBdr>
        </w:div>
        <w:div w:id="671764152">
          <w:marLeft w:val="0"/>
          <w:marRight w:val="0"/>
          <w:marTop w:val="0"/>
          <w:marBottom w:val="0"/>
          <w:divBdr>
            <w:top w:val="none" w:sz="0" w:space="0" w:color="auto"/>
            <w:left w:val="none" w:sz="0" w:space="0" w:color="auto"/>
            <w:bottom w:val="none" w:sz="0" w:space="0" w:color="auto"/>
            <w:right w:val="none" w:sz="0" w:space="0" w:color="auto"/>
          </w:divBdr>
        </w:div>
        <w:div w:id="689263633">
          <w:marLeft w:val="0"/>
          <w:marRight w:val="0"/>
          <w:marTop w:val="0"/>
          <w:marBottom w:val="0"/>
          <w:divBdr>
            <w:top w:val="none" w:sz="0" w:space="0" w:color="auto"/>
            <w:left w:val="none" w:sz="0" w:space="0" w:color="auto"/>
            <w:bottom w:val="none" w:sz="0" w:space="0" w:color="auto"/>
            <w:right w:val="none" w:sz="0" w:space="0" w:color="auto"/>
          </w:divBdr>
        </w:div>
        <w:div w:id="713970507">
          <w:marLeft w:val="0"/>
          <w:marRight w:val="0"/>
          <w:marTop w:val="0"/>
          <w:marBottom w:val="0"/>
          <w:divBdr>
            <w:top w:val="none" w:sz="0" w:space="0" w:color="auto"/>
            <w:left w:val="none" w:sz="0" w:space="0" w:color="auto"/>
            <w:bottom w:val="none" w:sz="0" w:space="0" w:color="auto"/>
            <w:right w:val="none" w:sz="0" w:space="0" w:color="auto"/>
          </w:divBdr>
        </w:div>
        <w:div w:id="847330482">
          <w:marLeft w:val="0"/>
          <w:marRight w:val="0"/>
          <w:marTop w:val="0"/>
          <w:marBottom w:val="0"/>
          <w:divBdr>
            <w:top w:val="none" w:sz="0" w:space="0" w:color="auto"/>
            <w:left w:val="none" w:sz="0" w:space="0" w:color="auto"/>
            <w:bottom w:val="none" w:sz="0" w:space="0" w:color="auto"/>
            <w:right w:val="none" w:sz="0" w:space="0" w:color="auto"/>
          </w:divBdr>
        </w:div>
        <w:div w:id="964699627">
          <w:marLeft w:val="0"/>
          <w:marRight w:val="0"/>
          <w:marTop w:val="0"/>
          <w:marBottom w:val="0"/>
          <w:divBdr>
            <w:top w:val="none" w:sz="0" w:space="0" w:color="auto"/>
            <w:left w:val="none" w:sz="0" w:space="0" w:color="auto"/>
            <w:bottom w:val="none" w:sz="0" w:space="0" w:color="auto"/>
            <w:right w:val="none" w:sz="0" w:space="0" w:color="auto"/>
          </w:divBdr>
        </w:div>
        <w:div w:id="1085957852">
          <w:marLeft w:val="0"/>
          <w:marRight w:val="0"/>
          <w:marTop w:val="0"/>
          <w:marBottom w:val="0"/>
          <w:divBdr>
            <w:top w:val="none" w:sz="0" w:space="0" w:color="auto"/>
            <w:left w:val="none" w:sz="0" w:space="0" w:color="auto"/>
            <w:bottom w:val="none" w:sz="0" w:space="0" w:color="auto"/>
            <w:right w:val="none" w:sz="0" w:space="0" w:color="auto"/>
          </w:divBdr>
        </w:div>
        <w:div w:id="1099568370">
          <w:marLeft w:val="0"/>
          <w:marRight w:val="0"/>
          <w:marTop w:val="0"/>
          <w:marBottom w:val="0"/>
          <w:divBdr>
            <w:top w:val="none" w:sz="0" w:space="0" w:color="auto"/>
            <w:left w:val="none" w:sz="0" w:space="0" w:color="auto"/>
            <w:bottom w:val="none" w:sz="0" w:space="0" w:color="auto"/>
            <w:right w:val="none" w:sz="0" w:space="0" w:color="auto"/>
          </w:divBdr>
        </w:div>
        <w:div w:id="1485514502">
          <w:marLeft w:val="0"/>
          <w:marRight w:val="0"/>
          <w:marTop w:val="0"/>
          <w:marBottom w:val="0"/>
          <w:divBdr>
            <w:top w:val="none" w:sz="0" w:space="0" w:color="auto"/>
            <w:left w:val="none" w:sz="0" w:space="0" w:color="auto"/>
            <w:bottom w:val="none" w:sz="0" w:space="0" w:color="auto"/>
            <w:right w:val="none" w:sz="0" w:space="0" w:color="auto"/>
          </w:divBdr>
        </w:div>
        <w:div w:id="1775973421">
          <w:marLeft w:val="0"/>
          <w:marRight w:val="0"/>
          <w:marTop w:val="0"/>
          <w:marBottom w:val="0"/>
          <w:divBdr>
            <w:top w:val="none" w:sz="0" w:space="0" w:color="auto"/>
            <w:left w:val="none" w:sz="0" w:space="0" w:color="auto"/>
            <w:bottom w:val="none" w:sz="0" w:space="0" w:color="auto"/>
            <w:right w:val="none" w:sz="0" w:space="0" w:color="auto"/>
          </w:divBdr>
        </w:div>
        <w:div w:id="2007589805">
          <w:marLeft w:val="0"/>
          <w:marRight w:val="0"/>
          <w:marTop w:val="0"/>
          <w:marBottom w:val="0"/>
          <w:divBdr>
            <w:top w:val="none" w:sz="0" w:space="0" w:color="auto"/>
            <w:left w:val="none" w:sz="0" w:space="0" w:color="auto"/>
            <w:bottom w:val="none" w:sz="0" w:space="0" w:color="auto"/>
            <w:right w:val="none" w:sz="0" w:space="0" w:color="auto"/>
          </w:divBdr>
        </w:div>
        <w:div w:id="2087339392">
          <w:marLeft w:val="0"/>
          <w:marRight w:val="0"/>
          <w:marTop w:val="0"/>
          <w:marBottom w:val="0"/>
          <w:divBdr>
            <w:top w:val="none" w:sz="0" w:space="0" w:color="auto"/>
            <w:left w:val="none" w:sz="0" w:space="0" w:color="auto"/>
            <w:bottom w:val="none" w:sz="0" w:space="0" w:color="auto"/>
            <w:right w:val="none" w:sz="0" w:space="0" w:color="auto"/>
          </w:divBdr>
        </w:div>
        <w:div w:id="2099673040">
          <w:marLeft w:val="0"/>
          <w:marRight w:val="0"/>
          <w:marTop w:val="0"/>
          <w:marBottom w:val="0"/>
          <w:divBdr>
            <w:top w:val="none" w:sz="0" w:space="0" w:color="auto"/>
            <w:left w:val="none" w:sz="0" w:space="0" w:color="auto"/>
            <w:bottom w:val="none" w:sz="0" w:space="0" w:color="auto"/>
            <w:right w:val="none" w:sz="0" w:space="0" w:color="auto"/>
          </w:divBdr>
        </w:div>
      </w:divsChild>
    </w:div>
    <w:div w:id="1508864145">
      <w:bodyDiv w:val="1"/>
      <w:marLeft w:val="0"/>
      <w:marRight w:val="0"/>
      <w:marTop w:val="0"/>
      <w:marBottom w:val="0"/>
      <w:divBdr>
        <w:top w:val="none" w:sz="0" w:space="0" w:color="auto"/>
        <w:left w:val="none" w:sz="0" w:space="0" w:color="auto"/>
        <w:bottom w:val="none" w:sz="0" w:space="0" w:color="auto"/>
        <w:right w:val="none" w:sz="0" w:space="0" w:color="auto"/>
      </w:divBdr>
      <w:divsChild>
        <w:div w:id="117645101">
          <w:marLeft w:val="0"/>
          <w:marRight w:val="0"/>
          <w:marTop w:val="0"/>
          <w:marBottom w:val="0"/>
          <w:divBdr>
            <w:top w:val="none" w:sz="0" w:space="0" w:color="auto"/>
            <w:left w:val="none" w:sz="0" w:space="0" w:color="auto"/>
            <w:bottom w:val="none" w:sz="0" w:space="0" w:color="auto"/>
            <w:right w:val="none" w:sz="0" w:space="0" w:color="auto"/>
          </w:divBdr>
          <w:divsChild>
            <w:div w:id="30805673">
              <w:marLeft w:val="0"/>
              <w:marRight w:val="0"/>
              <w:marTop w:val="0"/>
              <w:marBottom w:val="0"/>
              <w:divBdr>
                <w:top w:val="none" w:sz="0" w:space="0" w:color="auto"/>
                <w:left w:val="none" w:sz="0" w:space="0" w:color="auto"/>
                <w:bottom w:val="none" w:sz="0" w:space="0" w:color="auto"/>
                <w:right w:val="none" w:sz="0" w:space="0" w:color="auto"/>
              </w:divBdr>
            </w:div>
            <w:div w:id="639961750">
              <w:marLeft w:val="0"/>
              <w:marRight w:val="0"/>
              <w:marTop w:val="0"/>
              <w:marBottom w:val="0"/>
              <w:divBdr>
                <w:top w:val="none" w:sz="0" w:space="0" w:color="auto"/>
                <w:left w:val="none" w:sz="0" w:space="0" w:color="auto"/>
                <w:bottom w:val="none" w:sz="0" w:space="0" w:color="auto"/>
                <w:right w:val="none" w:sz="0" w:space="0" w:color="auto"/>
              </w:divBdr>
            </w:div>
          </w:divsChild>
        </w:div>
        <w:div w:id="129440533">
          <w:marLeft w:val="0"/>
          <w:marRight w:val="0"/>
          <w:marTop w:val="0"/>
          <w:marBottom w:val="0"/>
          <w:divBdr>
            <w:top w:val="none" w:sz="0" w:space="0" w:color="auto"/>
            <w:left w:val="none" w:sz="0" w:space="0" w:color="auto"/>
            <w:bottom w:val="none" w:sz="0" w:space="0" w:color="auto"/>
            <w:right w:val="none" w:sz="0" w:space="0" w:color="auto"/>
          </w:divBdr>
        </w:div>
        <w:div w:id="285623999">
          <w:marLeft w:val="0"/>
          <w:marRight w:val="0"/>
          <w:marTop w:val="0"/>
          <w:marBottom w:val="0"/>
          <w:divBdr>
            <w:top w:val="none" w:sz="0" w:space="0" w:color="auto"/>
            <w:left w:val="none" w:sz="0" w:space="0" w:color="auto"/>
            <w:bottom w:val="none" w:sz="0" w:space="0" w:color="auto"/>
            <w:right w:val="none" w:sz="0" w:space="0" w:color="auto"/>
          </w:divBdr>
        </w:div>
        <w:div w:id="322048543">
          <w:marLeft w:val="0"/>
          <w:marRight w:val="0"/>
          <w:marTop w:val="0"/>
          <w:marBottom w:val="0"/>
          <w:divBdr>
            <w:top w:val="none" w:sz="0" w:space="0" w:color="auto"/>
            <w:left w:val="none" w:sz="0" w:space="0" w:color="auto"/>
            <w:bottom w:val="none" w:sz="0" w:space="0" w:color="auto"/>
            <w:right w:val="none" w:sz="0" w:space="0" w:color="auto"/>
          </w:divBdr>
        </w:div>
        <w:div w:id="349381820">
          <w:marLeft w:val="0"/>
          <w:marRight w:val="0"/>
          <w:marTop w:val="0"/>
          <w:marBottom w:val="0"/>
          <w:divBdr>
            <w:top w:val="none" w:sz="0" w:space="0" w:color="auto"/>
            <w:left w:val="none" w:sz="0" w:space="0" w:color="auto"/>
            <w:bottom w:val="none" w:sz="0" w:space="0" w:color="auto"/>
            <w:right w:val="none" w:sz="0" w:space="0" w:color="auto"/>
          </w:divBdr>
        </w:div>
        <w:div w:id="484131801">
          <w:marLeft w:val="0"/>
          <w:marRight w:val="0"/>
          <w:marTop w:val="0"/>
          <w:marBottom w:val="0"/>
          <w:divBdr>
            <w:top w:val="none" w:sz="0" w:space="0" w:color="auto"/>
            <w:left w:val="none" w:sz="0" w:space="0" w:color="auto"/>
            <w:bottom w:val="none" w:sz="0" w:space="0" w:color="auto"/>
            <w:right w:val="none" w:sz="0" w:space="0" w:color="auto"/>
          </w:divBdr>
        </w:div>
        <w:div w:id="518738120">
          <w:marLeft w:val="0"/>
          <w:marRight w:val="0"/>
          <w:marTop w:val="0"/>
          <w:marBottom w:val="0"/>
          <w:divBdr>
            <w:top w:val="none" w:sz="0" w:space="0" w:color="auto"/>
            <w:left w:val="none" w:sz="0" w:space="0" w:color="auto"/>
            <w:bottom w:val="none" w:sz="0" w:space="0" w:color="auto"/>
            <w:right w:val="none" w:sz="0" w:space="0" w:color="auto"/>
          </w:divBdr>
        </w:div>
        <w:div w:id="624894159">
          <w:marLeft w:val="0"/>
          <w:marRight w:val="0"/>
          <w:marTop w:val="0"/>
          <w:marBottom w:val="0"/>
          <w:divBdr>
            <w:top w:val="none" w:sz="0" w:space="0" w:color="auto"/>
            <w:left w:val="none" w:sz="0" w:space="0" w:color="auto"/>
            <w:bottom w:val="none" w:sz="0" w:space="0" w:color="auto"/>
            <w:right w:val="none" w:sz="0" w:space="0" w:color="auto"/>
          </w:divBdr>
          <w:divsChild>
            <w:div w:id="1092582386">
              <w:marLeft w:val="0"/>
              <w:marRight w:val="0"/>
              <w:marTop w:val="0"/>
              <w:marBottom w:val="0"/>
              <w:divBdr>
                <w:top w:val="none" w:sz="0" w:space="0" w:color="auto"/>
                <w:left w:val="none" w:sz="0" w:space="0" w:color="auto"/>
                <w:bottom w:val="none" w:sz="0" w:space="0" w:color="auto"/>
                <w:right w:val="none" w:sz="0" w:space="0" w:color="auto"/>
              </w:divBdr>
            </w:div>
            <w:div w:id="1343121368">
              <w:marLeft w:val="0"/>
              <w:marRight w:val="0"/>
              <w:marTop w:val="0"/>
              <w:marBottom w:val="0"/>
              <w:divBdr>
                <w:top w:val="none" w:sz="0" w:space="0" w:color="auto"/>
                <w:left w:val="none" w:sz="0" w:space="0" w:color="auto"/>
                <w:bottom w:val="none" w:sz="0" w:space="0" w:color="auto"/>
                <w:right w:val="none" w:sz="0" w:space="0" w:color="auto"/>
              </w:divBdr>
            </w:div>
            <w:div w:id="1387098206">
              <w:marLeft w:val="0"/>
              <w:marRight w:val="0"/>
              <w:marTop w:val="0"/>
              <w:marBottom w:val="0"/>
              <w:divBdr>
                <w:top w:val="none" w:sz="0" w:space="0" w:color="auto"/>
                <w:left w:val="none" w:sz="0" w:space="0" w:color="auto"/>
                <w:bottom w:val="none" w:sz="0" w:space="0" w:color="auto"/>
                <w:right w:val="none" w:sz="0" w:space="0" w:color="auto"/>
              </w:divBdr>
            </w:div>
            <w:div w:id="1653019091">
              <w:marLeft w:val="0"/>
              <w:marRight w:val="0"/>
              <w:marTop w:val="0"/>
              <w:marBottom w:val="0"/>
              <w:divBdr>
                <w:top w:val="none" w:sz="0" w:space="0" w:color="auto"/>
                <w:left w:val="none" w:sz="0" w:space="0" w:color="auto"/>
                <w:bottom w:val="none" w:sz="0" w:space="0" w:color="auto"/>
                <w:right w:val="none" w:sz="0" w:space="0" w:color="auto"/>
              </w:divBdr>
            </w:div>
            <w:div w:id="1820535823">
              <w:marLeft w:val="0"/>
              <w:marRight w:val="0"/>
              <w:marTop w:val="0"/>
              <w:marBottom w:val="0"/>
              <w:divBdr>
                <w:top w:val="none" w:sz="0" w:space="0" w:color="auto"/>
                <w:left w:val="none" w:sz="0" w:space="0" w:color="auto"/>
                <w:bottom w:val="none" w:sz="0" w:space="0" w:color="auto"/>
                <w:right w:val="none" w:sz="0" w:space="0" w:color="auto"/>
              </w:divBdr>
            </w:div>
          </w:divsChild>
        </w:div>
        <w:div w:id="659193331">
          <w:marLeft w:val="0"/>
          <w:marRight w:val="0"/>
          <w:marTop w:val="0"/>
          <w:marBottom w:val="0"/>
          <w:divBdr>
            <w:top w:val="none" w:sz="0" w:space="0" w:color="auto"/>
            <w:left w:val="none" w:sz="0" w:space="0" w:color="auto"/>
            <w:bottom w:val="none" w:sz="0" w:space="0" w:color="auto"/>
            <w:right w:val="none" w:sz="0" w:space="0" w:color="auto"/>
          </w:divBdr>
        </w:div>
        <w:div w:id="673921602">
          <w:marLeft w:val="0"/>
          <w:marRight w:val="0"/>
          <w:marTop w:val="0"/>
          <w:marBottom w:val="0"/>
          <w:divBdr>
            <w:top w:val="none" w:sz="0" w:space="0" w:color="auto"/>
            <w:left w:val="none" w:sz="0" w:space="0" w:color="auto"/>
            <w:bottom w:val="none" w:sz="0" w:space="0" w:color="auto"/>
            <w:right w:val="none" w:sz="0" w:space="0" w:color="auto"/>
          </w:divBdr>
          <w:divsChild>
            <w:div w:id="668018702">
              <w:marLeft w:val="0"/>
              <w:marRight w:val="0"/>
              <w:marTop w:val="0"/>
              <w:marBottom w:val="0"/>
              <w:divBdr>
                <w:top w:val="none" w:sz="0" w:space="0" w:color="auto"/>
                <w:left w:val="none" w:sz="0" w:space="0" w:color="auto"/>
                <w:bottom w:val="none" w:sz="0" w:space="0" w:color="auto"/>
                <w:right w:val="none" w:sz="0" w:space="0" w:color="auto"/>
              </w:divBdr>
            </w:div>
            <w:div w:id="816382082">
              <w:marLeft w:val="0"/>
              <w:marRight w:val="0"/>
              <w:marTop w:val="0"/>
              <w:marBottom w:val="0"/>
              <w:divBdr>
                <w:top w:val="none" w:sz="0" w:space="0" w:color="auto"/>
                <w:left w:val="none" w:sz="0" w:space="0" w:color="auto"/>
                <w:bottom w:val="none" w:sz="0" w:space="0" w:color="auto"/>
                <w:right w:val="none" w:sz="0" w:space="0" w:color="auto"/>
              </w:divBdr>
            </w:div>
            <w:div w:id="1905097861">
              <w:marLeft w:val="0"/>
              <w:marRight w:val="0"/>
              <w:marTop w:val="0"/>
              <w:marBottom w:val="0"/>
              <w:divBdr>
                <w:top w:val="none" w:sz="0" w:space="0" w:color="auto"/>
                <w:left w:val="none" w:sz="0" w:space="0" w:color="auto"/>
                <w:bottom w:val="none" w:sz="0" w:space="0" w:color="auto"/>
                <w:right w:val="none" w:sz="0" w:space="0" w:color="auto"/>
              </w:divBdr>
            </w:div>
          </w:divsChild>
        </w:div>
        <w:div w:id="803423745">
          <w:marLeft w:val="0"/>
          <w:marRight w:val="0"/>
          <w:marTop w:val="0"/>
          <w:marBottom w:val="0"/>
          <w:divBdr>
            <w:top w:val="none" w:sz="0" w:space="0" w:color="auto"/>
            <w:left w:val="none" w:sz="0" w:space="0" w:color="auto"/>
            <w:bottom w:val="none" w:sz="0" w:space="0" w:color="auto"/>
            <w:right w:val="none" w:sz="0" w:space="0" w:color="auto"/>
          </w:divBdr>
        </w:div>
        <w:div w:id="960234023">
          <w:marLeft w:val="0"/>
          <w:marRight w:val="0"/>
          <w:marTop w:val="0"/>
          <w:marBottom w:val="0"/>
          <w:divBdr>
            <w:top w:val="none" w:sz="0" w:space="0" w:color="auto"/>
            <w:left w:val="none" w:sz="0" w:space="0" w:color="auto"/>
            <w:bottom w:val="none" w:sz="0" w:space="0" w:color="auto"/>
            <w:right w:val="none" w:sz="0" w:space="0" w:color="auto"/>
          </w:divBdr>
        </w:div>
        <w:div w:id="980114011">
          <w:marLeft w:val="0"/>
          <w:marRight w:val="0"/>
          <w:marTop w:val="0"/>
          <w:marBottom w:val="0"/>
          <w:divBdr>
            <w:top w:val="none" w:sz="0" w:space="0" w:color="auto"/>
            <w:left w:val="none" w:sz="0" w:space="0" w:color="auto"/>
            <w:bottom w:val="none" w:sz="0" w:space="0" w:color="auto"/>
            <w:right w:val="none" w:sz="0" w:space="0" w:color="auto"/>
          </w:divBdr>
          <w:divsChild>
            <w:div w:id="124585305">
              <w:marLeft w:val="0"/>
              <w:marRight w:val="0"/>
              <w:marTop w:val="0"/>
              <w:marBottom w:val="0"/>
              <w:divBdr>
                <w:top w:val="none" w:sz="0" w:space="0" w:color="auto"/>
                <w:left w:val="none" w:sz="0" w:space="0" w:color="auto"/>
                <w:bottom w:val="none" w:sz="0" w:space="0" w:color="auto"/>
                <w:right w:val="none" w:sz="0" w:space="0" w:color="auto"/>
              </w:divBdr>
            </w:div>
            <w:div w:id="1089933798">
              <w:marLeft w:val="0"/>
              <w:marRight w:val="0"/>
              <w:marTop w:val="0"/>
              <w:marBottom w:val="0"/>
              <w:divBdr>
                <w:top w:val="none" w:sz="0" w:space="0" w:color="auto"/>
                <w:left w:val="none" w:sz="0" w:space="0" w:color="auto"/>
                <w:bottom w:val="none" w:sz="0" w:space="0" w:color="auto"/>
                <w:right w:val="none" w:sz="0" w:space="0" w:color="auto"/>
              </w:divBdr>
            </w:div>
          </w:divsChild>
        </w:div>
        <w:div w:id="998189039">
          <w:marLeft w:val="0"/>
          <w:marRight w:val="0"/>
          <w:marTop w:val="0"/>
          <w:marBottom w:val="0"/>
          <w:divBdr>
            <w:top w:val="none" w:sz="0" w:space="0" w:color="auto"/>
            <w:left w:val="none" w:sz="0" w:space="0" w:color="auto"/>
            <w:bottom w:val="none" w:sz="0" w:space="0" w:color="auto"/>
            <w:right w:val="none" w:sz="0" w:space="0" w:color="auto"/>
          </w:divBdr>
        </w:div>
        <w:div w:id="1121728612">
          <w:marLeft w:val="0"/>
          <w:marRight w:val="0"/>
          <w:marTop w:val="0"/>
          <w:marBottom w:val="0"/>
          <w:divBdr>
            <w:top w:val="none" w:sz="0" w:space="0" w:color="auto"/>
            <w:left w:val="none" w:sz="0" w:space="0" w:color="auto"/>
            <w:bottom w:val="none" w:sz="0" w:space="0" w:color="auto"/>
            <w:right w:val="none" w:sz="0" w:space="0" w:color="auto"/>
          </w:divBdr>
        </w:div>
        <w:div w:id="1153838258">
          <w:marLeft w:val="0"/>
          <w:marRight w:val="0"/>
          <w:marTop w:val="0"/>
          <w:marBottom w:val="0"/>
          <w:divBdr>
            <w:top w:val="none" w:sz="0" w:space="0" w:color="auto"/>
            <w:left w:val="none" w:sz="0" w:space="0" w:color="auto"/>
            <w:bottom w:val="none" w:sz="0" w:space="0" w:color="auto"/>
            <w:right w:val="none" w:sz="0" w:space="0" w:color="auto"/>
          </w:divBdr>
          <w:divsChild>
            <w:div w:id="271089577">
              <w:marLeft w:val="0"/>
              <w:marRight w:val="0"/>
              <w:marTop w:val="0"/>
              <w:marBottom w:val="0"/>
              <w:divBdr>
                <w:top w:val="none" w:sz="0" w:space="0" w:color="auto"/>
                <w:left w:val="none" w:sz="0" w:space="0" w:color="auto"/>
                <w:bottom w:val="none" w:sz="0" w:space="0" w:color="auto"/>
                <w:right w:val="none" w:sz="0" w:space="0" w:color="auto"/>
              </w:divBdr>
            </w:div>
            <w:div w:id="709839003">
              <w:marLeft w:val="0"/>
              <w:marRight w:val="0"/>
              <w:marTop w:val="0"/>
              <w:marBottom w:val="0"/>
              <w:divBdr>
                <w:top w:val="none" w:sz="0" w:space="0" w:color="auto"/>
                <w:left w:val="none" w:sz="0" w:space="0" w:color="auto"/>
                <w:bottom w:val="none" w:sz="0" w:space="0" w:color="auto"/>
                <w:right w:val="none" w:sz="0" w:space="0" w:color="auto"/>
              </w:divBdr>
            </w:div>
            <w:div w:id="1442147357">
              <w:marLeft w:val="0"/>
              <w:marRight w:val="0"/>
              <w:marTop w:val="0"/>
              <w:marBottom w:val="0"/>
              <w:divBdr>
                <w:top w:val="none" w:sz="0" w:space="0" w:color="auto"/>
                <w:left w:val="none" w:sz="0" w:space="0" w:color="auto"/>
                <w:bottom w:val="none" w:sz="0" w:space="0" w:color="auto"/>
                <w:right w:val="none" w:sz="0" w:space="0" w:color="auto"/>
              </w:divBdr>
            </w:div>
          </w:divsChild>
        </w:div>
        <w:div w:id="1205484562">
          <w:marLeft w:val="0"/>
          <w:marRight w:val="0"/>
          <w:marTop w:val="0"/>
          <w:marBottom w:val="0"/>
          <w:divBdr>
            <w:top w:val="none" w:sz="0" w:space="0" w:color="auto"/>
            <w:left w:val="none" w:sz="0" w:space="0" w:color="auto"/>
            <w:bottom w:val="none" w:sz="0" w:space="0" w:color="auto"/>
            <w:right w:val="none" w:sz="0" w:space="0" w:color="auto"/>
          </w:divBdr>
        </w:div>
        <w:div w:id="1514612759">
          <w:marLeft w:val="0"/>
          <w:marRight w:val="0"/>
          <w:marTop w:val="0"/>
          <w:marBottom w:val="0"/>
          <w:divBdr>
            <w:top w:val="none" w:sz="0" w:space="0" w:color="auto"/>
            <w:left w:val="none" w:sz="0" w:space="0" w:color="auto"/>
            <w:bottom w:val="none" w:sz="0" w:space="0" w:color="auto"/>
            <w:right w:val="none" w:sz="0" w:space="0" w:color="auto"/>
          </w:divBdr>
          <w:divsChild>
            <w:div w:id="205333879">
              <w:marLeft w:val="0"/>
              <w:marRight w:val="0"/>
              <w:marTop w:val="0"/>
              <w:marBottom w:val="0"/>
              <w:divBdr>
                <w:top w:val="none" w:sz="0" w:space="0" w:color="auto"/>
                <w:left w:val="none" w:sz="0" w:space="0" w:color="auto"/>
                <w:bottom w:val="none" w:sz="0" w:space="0" w:color="auto"/>
                <w:right w:val="none" w:sz="0" w:space="0" w:color="auto"/>
              </w:divBdr>
            </w:div>
          </w:divsChild>
        </w:div>
        <w:div w:id="1535460472">
          <w:marLeft w:val="0"/>
          <w:marRight w:val="0"/>
          <w:marTop w:val="0"/>
          <w:marBottom w:val="0"/>
          <w:divBdr>
            <w:top w:val="none" w:sz="0" w:space="0" w:color="auto"/>
            <w:left w:val="none" w:sz="0" w:space="0" w:color="auto"/>
            <w:bottom w:val="none" w:sz="0" w:space="0" w:color="auto"/>
            <w:right w:val="none" w:sz="0" w:space="0" w:color="auto"/>
          </w:divBdr>
          <w:divsChild>
            <w:div w:id="1179345682">
              <w:marLeft w:val="0"/>
              <w:marRight w:val="0"/>
              <w:marTop w:val="0"/>
              <w:marBottom w:val="0"/>
              <w:divBdr>
                <w:top w:val="none" w:sz="0" w:space="0" w:color="auto"/>
                <w:left w:val="none" w:sz="0" w:space="0" w:color="auto"/>
                <w:bottom w:val="none" w:sz="0" w:space="0" w:color="auto"/>
                <w:right w:val="none" w:sz="0" w:space="0" w:color="auto"/>
              </w:divBdr>
            </w:div>
          </w:divsChild>
        </w:div>
        <w:div w:id="1779521606">
          <w:marLeft w:val="0"/>
          <w:marRight w:val="0"/>
          <w:marTop w:val="0"/>
          <w:marBottom w:val="0"/>
          <w:divBdr>
            <w:top w:val="none" w:sz="0" w:space="0" w:color="auto"/>
            <w:left w:val="none" w:sz="0" w:space="0" w:color="auto"/>
            <w:bottom w:val="none" w:sz="0" w:space="0" w:color="auto"/>
            <w:right w:val="none" w:sz="0" w:space="0" w:color="auto"/>
          </w:divBdr>
        </w:div>
        <w:div w:id="1829514258">
          <w:marLeft w:val="0"/>
          <w:marRight w:val="0"/>
          <w:marTop w:val="0"/>
          <w:marBottom w:val="0"/>
          <w:divBdr>
            <w:top w:val="none" w:sz="0" w:space="0" w:color="auto"/>
            <w:left w:val="none" w:sz="0" w:space="0" w:color="auto"/>
            <w:bottom w:val="none" w:sz="0" w:space="0" w:color="auto"/>
            <w:right w:val="none" w:sz="0" w:space="0" w:color="auto"/>
          </w:divBdr>
        </w:div>
        <w:div w:id="2043553852">
          <w:marLeft w:val="0"/>
          <w:marRight w:val="0"/>
          <w:marTop w:val="0"/>
          <w:marBottom w:val="0"/>
          <w:divBdr>
            <w:top w:val="none" w:sz="0" w:space="0" w:color="auto"/>
            <w:left w:val="none" w:sz="0" w:space="0" w:color="auto"/>
            <w:bottom w:val="none" w:sz="0" w:space="0" w:color="auto"/>
            <w:right w:val="none" w:sz="0" w:space="0" w:color="auto"/>
          </w:divBdr>
          <w:divsChild>
            <w:div w:id="507184507">
              <w:marLeft w:val="0"/>
              <w:marRight w:val="0"/>
              <w:marTop w:val="0"/>
              <w:marBottom w:val="0"/>
              <w:divBdr>
                <w:top w:val="none" w:sz="0" w:space="0" w:color="auto"/>
                <w:left w:val="none" w:sz="0" w:space="0" w:color="auto"/>
                <w:bottom w:val="none" w:sz="0" w:space="0" w:color="auto"/>
                <w:right w:val="none" w:sz="0" w:space="0" w:color="auto"/>
              </w:divBdr>
            </w:div>
            <w:div w:id="672342820">
              <w:marLeft w:val="0"/>
              <w:marRight w:val="0"/>
              <w:marTop w:val="0"/>
              <w:marBottom w:val="0"/>
              <w:divBdr>
                <w:top w:val="none" w:sz="0" w:space="0" w:color="auto"/>
                <w:left w:val="none" w:sz="0" w:space="0" w:color="auto"/>
                <w:bottom w:val="none" w:sz="0" w:space="0" w:color="auto"/>
                <w:right w:val="none" w:sz="0" w:space="0" w:color="auto"/>
              </w:divBdr>
            </w:div>
            <w:div w:id="1414475956">
              <w:marLeft w:val="0"/>
              <w:marRight w:val="0"/>
              <w:marTop w:val="0"/>
              <w:marBottom w:val="0"/>
              <w:divBdr>
                <w:top w:val="none" w:sz="0" w:space="0" w:color="auto"/>
                <w:left w:val="none" w:sz="0" w:space="0" w:color="auto"/>
                <w:bottom w:val="none" w:sz="0" w:space="0" w:color="auto"/>
                <w:right w:val="none" w:sz="0" w:space="0" w:color="auto"/>
              </w:divBdr>
            </w:div>
            <w:div w:id="1843936930">
              <w:marLeft w:val="0"/>
              <w:marRight w:val="0"/>
              <w:marTop w:val="0"/>
              <w:marBottom w:val="0"/>
              <w:divBdr>
                <w:top w:val="none" w:sz="0" w:space="0" w:color="auto"/>
                <w:left w:val="none" w:sz="0" w:space="0" w:color="auto"/>
                <w:bottom w:val="none" w:sz="0" w:space="0" w:color="auto"/>
                <w:right w:val="none" w:sz="0" w:space="0" w:color="auto"/>
              </w:divBdr>
            </w:div>
            <w:div w:id="1944725061">
              <w:marLeft w:val="0"/>
              <w:marRight w:val="0"/>
              <w:marTop w:val="0"/>
              <w:marBottom w:val="0"/>
              <w:divBdr>
                <w:top w:val="none" w:sz="0" w:space="0" w:color="auto"/>
                <w:left w:val="none" w:sz="0" w:space="0" w:color="auto"/>
                <w:bottom w:val="none" w:sz="0" w:space="0" w:color="auto"/>
                <w:right w:val="none" w:sz="0" w:space="0" w:color="auto"/>
              </w:divBdr>
            </w:div>
          </w:divsChild>
        </w:div>
        <w:div w:id="2083480315">
          <w:marLeft w:val="0"/>
          <w:marRight w:val="0"/>
          <w:marTop w:val="0"/>
          <w:marBottom w:val="0"/>
          <w:divBdr>
            <w:top w:val="none" w:sz="0" w:space="0" w:color="auto"/>
            <w:left w:val="none" w:sz="0" w:space="0" w:color="auto"/>
            <w:bottom w:val="none" w:sz="0" w:space="0" w:color="auto"/>
            <w:right w:val="none" w:sz="0" w:space="0" w:color="auto"/>
          </w:divBdr>
        </w:div>
      </w:divsChild>
    </w:div>
    <w:div w:id="1598097693">
      <w:bodyDiv w:val="1"/>
      <w:marLeft w:val="0"/>
      <w:marRight w:val="0"/>
      <w:marTop w:val="0"/>
      <w:marBottom w:val="0"/>
      <w:divBdr>
        <w:top w:val="none" w:sz="0" w:space="0" w:color="auto"/>
        <w:left w:val="none" w:sz="0" w:space="0" w:color="auto"/>
        <w:bottom w:val="none" w:sz="0" w:space="0" w:color="auto"/>
        <w:right w:val="none" w:sz="0" w:space="0" w:color="auto"/>
      </w:divBdr>
      <w:divsChild>
        <w:div w:id="337849517">
          <w:marLeft w:val="0"/>
          <w:marRight w:val="0"/>
          <w:marTop w:val="0"/>
          <w:marBottom w:val="0"/>
          <w:divBdr>
            <w:top w:val="none" w:sz="0" w:space="0" w:color="auto"/>
            <w:left w:val="none" w:sz="0" w:space="0" w:color="auto"/>
            <w:bottom w:val="none" w:sz="0" w:space="0" w:color="auto"/>
            <w:right w:val="none" w:sz="0" w:space="0" w:color="auto"/>
          </w:divBdr>
        </w:div>
        <w:div w:id="523834538">
          <w:marLeft w:val="0"/>
          <w:marRight w:val="0"/>
          <w:marTop w:val="0"/>
          <w:marBottom w:val="0"/>
          <w:divBdr>
            <w:top w:val="none" w:sz="0" w:space="0" w:color="auto"/>
            <w:left w:val="none" w:sz="0" w:space="0" w:color="auto"/>
            <w:bottom w:val="none" w:sz="0" w:space="0" w:color="auto"/>
            <w:right w:val="none" w:sz="0" w:space="0" w:color="auto"/>
          </w:divBdr>
          <w:divsChild>
            <w:div w:id="546844287">
              <w:marLeft w:val="0"/>
              <w:marRight w:val="0"/>
              <w:marTop w:val="0"/>
              <w:marBottom w:val="0"/>
              <w:divBdr>
                <w:top w:val="none" w:sz="0" w:space="0" w:color="auto"/>
                <w:left w:val="none" w:sz="0" w:space="0" w:color="auto"/>
                <w:bottom w:val="none" w:sz="0" w:space="0" w:color="auto"/>
                <w:right w:val="none" w:sz="0" w:space="0" w:color="auto"/>
              </w:divBdr>
            </w:div>
            <w:div w:id="1278024439">
              <w:marLeft w:val="0"/>
              <w:marRight w:val="0"/>
              <w:marTop w:val="0"/>
              <w:marBottom w:val="0"/>
              <w:divBdr>
                <w:top w:val="none" w:sz="0" w:space="0" w:color="auto"/>
                <w:left w:val="none" w:sz="0" w:space="0" w:color="auto"/>
                <w:bottom w:val="none" w:sz="0" w:space="0" w:color="auto"/>
                <w:right w:val="none" w:sz="0" w:space="0" w:color="auto"/>
              </w:divBdr>
            </w:div>
            <w:div w:id="1633558908">
              <w:marLeft w:val="0"/>
              <w:marRight w:val="0"/>
              <w:marTop w:val="0"/>
              <w:marBottom w:val="0"/>
              <w:divBdr>
                <w:top w:val="none" w:sz="0" w:space="0" w:color="auto"/>
                <w:left w:val="none" w:sz="0" w:space="0" w:color="auto"/>
                <w:bottom w:val="none" w:sz="0" w:space="0" w:color="auto"/>
                <w:right w:val="none" w:sz="0" w:space="0" w:color="auto"/>
              </w:divBdr>
            </w:div>
          </w:divsChild>
        </w:div>
        <w:div w:id="793862447">
          <w:marLeft w:val="0"/>
          <w:marRight w:val="0"/>
          <w:marTop w:val="0"/>
          <w:marBottom w:val="0"/>
          <w:divBdr>
            <w:top w:val="none" w:sz="0" w:space="0" w:color="auto"/>
            <w:left w:val="none" w:sz="0" w:space="0" w:color="auto"/>
            <w:bottom w:val="none" w:sz="0" w:space="0" w:color="auto"/>
            <w:right w:val="none" w:sz="0" w:space="0" w:color="auto"/>
          </w:divBdr>
        </w:div>
        <w:div w:id="1166752692">
          <w:marLeft w:val="0"/>
          <w:marRight w:val="0"/>
          <w:marTop w:val="0"/>
          <w:marBottom w:val="0"/>
          <w:divBdr>
            <w:top w:val="none" w:sz="0" w:space="0" w:color="auto"/>
            <w:left w:val="none" w:sz="0" w:space="0" w:color="auto"/>
            <w:bottom w:val="none" w:sz="0" w:space="0" w:color="auto"/>
            <w:right w:val="none" w:sz="0" w:space="0" w:color="auto"/>
          </w:divBdr>
        </w:div>
        <w:div w:id="1995991289">
          <w:marLeft w:val="0"/>
          <w:marRight w:val="0"/>
          <w:marTop w:val="0"/>
          <w:marBottom w:val="0"/>
          <w:divBdr>
            <w:top w:val="none" w:sz="0" w:space="0" w:color="auto"/>
            <w:left w:val="none" w:sz="0" w:space="0" w:color="auto"/>
            <w:bottom w:val="none" w:sz="0" w:space="0" w:color="auto"/>
            <w:right w:val="none" w:sz="0" w:space="0" w:color="auto"/>
          </w:divBdr>
        </w:div>
      </w:divsChild>
    </w:div>
    <w:div w:id="1999726470">
      <w:bodyDiv w:val="1"/>
      <w:marLeft w:val="0"/>
      <w:marRight w:val="0"/>
      <w:marTop w:val="0"/>
      <w:marBottom w:val="0"/>
      <w:divBdr>
        <w:top w:val="none" w:sz="0" w:space="0" w:color="auto"/>
        <w:left w:val="none" w:sz="0" w:space="0" w:color="auto"/>
        <w:bottom w:val="none" w:sz="0" w:space="0" w:color="auto"/>
        <w:right w:val="none" w:sz="0" w:space="0" w:color="auto"/>
      </w:divBdr>
      <w:divsChild>
        <w:div w:id="643002537">
          <w:marLeft w:val="0"/>
          <w:marRight w:val="0"/>
          <w:marTop w:val="0"/>
          <w:marBottom w:val="0"/>
          <w:divBdr>
            <w:top w:val="none" w:sz="0" w:space="0" w:color="auto"/>
            <w:left w:val="none" w:sz="0" w:space="0" w:color="auto"/>
            <w:bottom w:val="none" w:sz="0" w:space="0" w:color="auto"/>
            <w:right w:val="none" w:sz="0" w:space="0" w:color="auto"/>
          </w:divBdr>
        </w:div>
        <w:div w:id="754470620">
          <w:marLeft w:val="0"/>
          <w:marRight w:val="0"/>
          <w:marTop w:val="0"/>
          <w:marBottom w:val="0"/>
          <w:divBdr>
            <w:top w:val="none" w:sz="0" w:space="0" w:color="auto"/>
            <w:left w:val="none" w:sz="0" w:space="0" w:color="auto"/>
            <w:bottom w:val="none" w:sz="0" w:space="0" w:color="auto"/>
            <w:right w:val="none" w:sz="0" w:space="0" w:color="auto"/>
          </w:divBdr>
        </w:div>
        <w:div w:id="1499229256">
          <w:marLeft w:val="0"/>
          <w:marRight w:val="0"/>
          <w:marTop w:val="0"/>
          <w:marBottom w:val="0"/>
          <w:divBdr>
            <w:top w:val="none" w:sz="0" w:space="0" w:color="auto"/>
            <w:left w:val="none" w:sz="0" w:space="0" w:color="auto"/>
            <w:bottom w:val="none" w:sz="0" w:space="0" w:color="auto"/>
            <w:right w:val="none" w:sz="0" w:space="0" w:color="auto"/>
          </w:divBdr>
        </w:div>
        <w:div w:id="1571769742">
          <w:marLeft w:val="0"/>
          <w:marRight w:val="0"/>
          <w:marTop w:val="0"/>
          <w:marBottom w:val="0"/>
          <w:divBdr>
            <w:top w:val="none" w:sz="0" w:space="0" w:color="auto"/>
            <w:left w:val="none" w:sz="0" w:space="0" w:color="auto"/>
            <w:bottom w:val="none" w:sz="0" w:space="0" w:color="auto"/>
            <w:right w:val="none" w:sz="0" w:space="0" w:color="auto"/>
          </w:divBdr>
          <w:divsChild>
            <w:div w:id="386416630">
              <w:marLeft w:val="0"/>
              <w:marRight w:val="0"/>
              <w:marTop w:val="0"/>
              <w:marBottom w:val="0"/>
              <w:divBdr>
                <w:top w:val="none" w:sz="0" w:space="0" w:color="auto"/>
                <w:left w:val="none" w:sz="0" w:space="0" w:color="auto"/>
                <w:bottom w:val="none" w:sz="0" w:space="0" w:color="auto"/>
                <w:right w:val="none" w:sz="0" w:space="0" w:color="auto"/>
              </w:divBdr>
            </w:div>
            <w:div w:id="975452849">
              <w:marLeft w:val="0"/>
              <w:marRight w:val="0"/>
              <w:marTop w:val="0"/>
              <w:marBottom w:val="0"/>
              <w:divBdr>
                <w:top w:val="none" w:sz="0" w:space="0" w:color="auto"/>
                <w:left w:val="none" w:sz="0" w:space="0" w:color="auto"/>
                <w:bottom w:val="none" w:sz="0" w:space="0" w:color="auto"/>
                <w:right w:val="none" w:sz="0" w:space="0" w:color="auto"/>
              </w:divBdr>
            </w:div>
          </w:divsChild>
        </w:div>
        <w:div w:id="1678773985">
          <w:marLeft w:val="0"/>
          <w:marRight w:val="0"/>
          <w:marTop w:val="0"/>
          <w:marBottom w:val="0"/>
          <w:divBdr>
            <w:top w:val="none" w:sz="0" w:space="0" w:color="auto"/>
            <w:left w:val="none" w:sz="0" w:space="0" w:color="auto"/>
            <w:bottom w:val="none" w:sz="0" w:space="0" w:color="auto"/>
            <w:right w:val="none" w:sz="0" w:space="0" w:color="auto"/>
          </w:divBdr>
          <w:divsChild>
            <w:div w:id="703822256">
              <w:marLeft w:val="0"/>
              <w:marRight w:val="0"/>
              <w:marTop w:val="0"/>
              <w:marBottom w:val="0"/>
              <w:divBdr>
                <w:top w:val="none" w:sz="0" w:space="0" w:color="auto"/>
                <w:left w:val="none" w:sz="0" w:space="0" w:color="auto"/>
                <w:bottom w:val="none" w:sz="0" w:space="0" w:color="auto"/>
                <w:right w:val="none" w:sz="0" w:space="0" w:color="auto"/>
              </w:divBdr>
            </w:div>
            <w:div w:id="1630084609">
              <w:marLeft w:val="0"/>
              <w:marRight w:val="0"/>
              <w:marTop w:val="0"/>
              <w:marBottom w:val="0"/>
              <w:divBdr>
                <w:top w:val="none" w:sz="0" w:space="0" w:color="auto"/>
                <w:left w:val="none" w:sz="0" w:space="0" w:color="auto"/>
                <w:bottom w:val="none" w:sz="0" w:space="0" w:color="auto"/>
                <w:right w:val="none" w:sz="0" w:space="0" w:color="auto"/>
              </w:divBdr>
            </w:div>
            <w:div w:id="2041739251">
              <w:marLeft w:val="0"/>
              <w:marRight w:val="0"/>
              <w:marTop w:val="0"/>
              <w:marBottom w:val="0"/>
              <w:divBdr>
                <w:top w:val="none" w:sz="0" w:space="0" w:color="auto"/>
                <w:left w:val="none" w:sz="0" w:space="0" w:color="auto"/>
                <w:bottom w:val="none" w:sz="0" w:space="0" w:color="auto"/>
                <w:right w:val="none" w:sz="0" w:space="0" w:color="auto"/>
              </w:divBdr>
            </w:div>
            <w:div w:id="212071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pre.org.uk/about-us/cpre-media/planning-to-fail-net-zero-is-impossible-without-urgent-changes-to-planning/" TargetMode="External"/><Relationship Id="rId18" Type="http://schemas.openxmlformats.org/officeDocument/2006/relationships/hyperlink" Target="https://www.rtpi.org.uk/media/9379/tcpa-rtpi-climate-guide_oct-2021_final.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theccc.org.uk/publication/local-authorities-and-the-sixth-carbon-budget/" TargetMode="External"/><Relationship Id="rId7" Type="http://schemas.openxmlformats.org/officeDocument/2006/relationships/styles" Target="styles.xml"/><Relationship Id="rId12" Type="http://schemas.openxmlformats.org/officeDocument/2006/relationships/hyperlink" Target="https://www.theccc.org.uk/publications/" TargetMode="External"/><Relationship Id="rId17" Type="http://schemas.openxmlformats.org/officeDocument/2006/relationships/hyperlink" Target="https://adeptnet.org.uk/system/files/documents/Good%20Practice%20Guide%20ADEPT%202019f.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entreforcities.org/publication/net-zero-decarbonising-the-city/" TargetMode="External"/><Relationship Id="rId20" Type="http://schemas.openxmlformats.org/officeDocument/2006/relationships/hyperlink" Target="https://www.clarkewillmott.com/news/the-levelling-up-and-regeneration-bill-202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uk100.org/publications/power-shift"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localpartnerships.org.uk/wp-content/uploads/2021/12/Local_Partnerships_Climate_Adaptation_Toolkit_v1.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reen-alliance.org.uk/publication/the-local-climate-challenge-a-new-partnership-approach/"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F0CCFD04E08C694DAFDD521529755151" ma:contentTypeVersion="20" ma:contentTypeDescription="Create a new document." ma:contentTypeScope="" ma:versionID="1b62bdc48a78d9d954af1ee89b651ddc">
  <xsd:schema xmlns:xsd="http://www.w3.org/2001/XMLSchema" xmlns:xs="http://www.w3.org/2001/XMLSchema" xmlns:p="http://schemas.microsoft.com/office/2006/metadata/properties" xmlns:ns1="http://schemas.microsoft.com/sharepoint/v3" xmlns:ns2="662745e8-e224-48e8-a2e3-254862b8c2f5" xmlns:ns3="338d94ab-ff74-4226-88aa-c640d957cc97" xmlns:ns4="3964904f-5f85-4184-bdfc-bbe062de5a69" targetNamespace="http://schemas.microsoft.com/office/2006/metadata/properties" ma:root="true" ma:fieldsID="bf9b26e545f6a4b19b1aef4335bb68ba" ns1:_="" ns2:_="" ns3:_="" ns4:_="">
    <xsd:import namespace="http://schemas.microsoft.com/sharepoint/v3"/>
    <xsd:import namespace="662745e8-e224-48e8-a2e3-254862b8c2f5"/>
    <xsd:import namespace="338d94ab-ff74-4226-88aa-c640d957cc97"/>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1:_ip_UnifiedCompliancePolicyProperties" minOccurs="0"/>
                <xsd:element ref="ns1:_ip_UnifiedCompliancePolicyUIAction"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Corporat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8d94ab-ff74-4226-88aa-c640d957cc9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Location" ma:index="31" nillable="true" ma:displayName="Location" ma:internalName="MediaServiceLocation"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Corporate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_ip_UnifiedCompliancePolicyProperties xmlns="http://schemas.microsoft.com/sharepoint/v3" xsi:nil="true"/>
    <lcf76f155ced4ddcb4097134ff3c332f xmlns="338d94ab-ff74-4226-88aa-c640d957c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906C18-91CC-4CAD-A452-5789FE3F3DEB}">
  <ds:schemaRefs>
    <ds:schemaRef ds:uri="http://schemas.microsoft.com/sharepoint/v3/contenttype/forms"/>
  </ds:schemaRefs>
</ds:datastoreItem>
</file>

<file path=customXml/itemProps2.xml><?xml version="1.0" encoding="utf-8"?>
<ds:datastoreItem xmlns:ds="http://schemas.openxmlformats.org/officeDocument/2006/customXml" ds:itemID="{110DE035-0BEE-4BB5-94CF-9EC13199490A}">
  <ds:schemaRefs>
    <ds:schemaRef ds:uri="http://schemas.openxmlformats.org/officeDocument/2006/bibliography"/>
  </ds:schemaRefs>
</ds:datastoreItem>
</file>

<file path=customXml/itemProps3.xml><?xml version="1.0" encoding="utf-8"?>
<ds:datastoreItem xmlns:ds="http://schemas.openxmlformats.org/officeDocument/2006/customXml" ds:itemID="{72B96175-94C6-4738-83A4-438B93DB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338d94ab-ff74-4226-88aa-c640d957cc97"/>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B4899-C2E0-4994-8826-BA70E68D7EC6}">
  <ds:schemaRefs>
    <ds:schemaRef ds:uri="Microsoft.SharePoint.Taxonomy.ContentTypeSync"/>
  </ds:schemaRefs>
</ds:datastoreItem>
</file>

<file path=customXml/itemProps5.xml><?xml version="1.0" encoding="utf-8"?>
<ds:datastoreItem xmlns:ds="http://schemas.openxmlformats.org/officeDocument/2006/customXml" ds:itemID="{89FCEFFA-25AB-4D29-B990-B3631CBFECDD}">
  <ds:schemaRefs>
    <ds:schemaRef ds:uri="http://schemas.microsoft.com/office/2006/metadata/properties"/>
    <ds:schemaRef ds:uri="http://schemas.microsoft.com/office/infopath/2007/PartnerControls"/>
    <ds:schemaRef ds:uri="662745e8-e224-48e8-a2e3-254862b8c2f5"/>
    <ds:schemaRef ds:uri="http://schemas.microsoft.com/sharepoint/v3"/>
    <ds:schemaRef ds:uri="338d94ab-ff74-4226-88aa-c640d957cc9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3977</Words>
  <Characters>22672</Characters>
  <Application>Microsoft Office Word</Application>
  <DocSecurity>0</DocSecurity>
  <Lines>188</Lines>
  <Paragraphs>53</Paragraphs>
  <ScaleCrop>false</ScaleCrop>
  <Company>Microsoft</Company>
  <LinksUpToDate>false</LinksUpToDate>
  <CharactersWithSpaces>26596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Seera, Penny (ccc)</dc:creator>
  <cp:keywords/>
  <cp:lastModifiedBy>Taylor, Sean</cp:lastModifiedBy>
  <cp:revision>2</cp:revision>
  <dcterms:created xsi:type="dcterms:W3CDTF">2023-01-05T09:16:00Z</dcterms:created>
  <dcterms:modified xsi:type="dcterms:W3CDTF">2023-01-05T09:16:00Z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0x010100A5BF1C78D9F64B679A5EBDE1C6598EBC0100F0CCFD04E08C694DAFDD521529755151</vt:lpwstr>
  </property>
  <property fmtid="{D5CDD505-2E9C-101B-9397-08002B2CF9AE}" pid="3" name="Distribution">
    <vt:lpwstr>9;#Internal Defra Group|0867f7b3-e76e-40ca-bb1f-5ba341a49230</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8;#CCC|56fb4ae0-68c5-4508-b0e5-c5babc6316fa</vt:lpwstr>
  </property>
  <property fmtid="{D5CDD505-2E9C-101B-9397-08002B2CF9AE}" pid="8" name="InformationType">
    <vt:lpwstr/>
  </property>
  <property fmtid="{D5CDD505-2E9C-101B-9397-08002B2CF9AE}" pid="9" name="MediaServiceImageTags">
    <vt:lpwstr/>
  </property>
</Properties>
</file>