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A52F" w14:textId="77777777" w:rsidR="00727277" w:rsidRDefault="006E5DEC" w:rsidP="006E5DEC">
      <w:pPr>
        <w:pStyle w:val="Default"/>
        <w:rPr>
          <w:b/>
          <w:bCs/>
        </w:rPr>
      </w:pPr>
      <w:r w:rsidRPr="00727277">
        <w:rPr>
          <w:b/>
          <w:bCs/>
        </w:rPr>
        <w:t xml:space="preserve">Royal Navy Industry Engagement </w:t>
      </w:r>
    </w:p>
    <w:p w14:paraId="0CB728BA" w14:textId="77777777" w:rsidR="00727277" w:rsidRDefault="00727277" w:rsidP="006E5DEC">
      <w:pPr>
        <w:pStyle w:val="Default"/>
        <w:rPr>
          <w:b/>
          <w:bCs/>
        </w:rPr>
      </w:pPr>
    </w:p>
    <w:p w14:paraId="0216E295" w14:textId="617CD2FD" w:rsidR="006E5DEC" w:rsidRPr="00727277" w:rsidRDefault="006E5DEC" w:rsidP="006E5DEC">
      <w:pPr>
        <w:pStyle w:val="Default"/>
      </w:pPr>
      <w:r w:rsidRPr="00727277">
        <w:rPr>
          <w:b/>
          <w:bCs/>
        </w:rPr>
        <w:t>REPMUS 2</w:t>
      </w:r>
      <w:r w:rsidR="002030BC" w:rsidRPr="00727277">
        <w:rPr>
          <w:b/>
          <w:bCs/>
        </w:rPr>
        <w:t>3</w:t>
      </w:r>
      <w:r w:rsidRPr="00727277">
        <w:rPr>
          <w:b/>
          <w:bCs/>
        </w:rPr>
        <w:t xml:space="preserve"> (Robotic Experimentation and Prototyping using Maritime Unmanned Systems) and DYNAMIC MESSENGER 2</w:t>
      </w:r>
      <w:r w:rsidR="002030BC" w:rsidRPr="00727277">
        <w:rPr>
          <w:b/>
          <w:bCs/>
        </w:rPr>
        <w:t>3</w:t>
      </w:r>
      <w:r w:rsidRPr="00727277">
        <w:rPr>
          <w:b/>
          <w:bCs/>
        </w:rPr>
        <w:t xml:space="preserve"> – NATO Experimentation </w:t>
      </w:r>
    </w:p>
    <w:p w14:paraId="6403B9C4" w14:textId="77777777" w:rsidR="006E5DEC" w:rsidRDefault="006E5DEC" w:rsidP="006E5DEC">
      <w:pPr>
        <w:pStyle w:val="Default"/>
        <w:rPr>
          <w:sz w:val="22"/>
          <w:szCs w:val="22"/>
        </w:rPr>
      </w:pPr>
    </w:p>
    <w:p w14:paraId="434C9800" w14:textId="77777777" w:rsidR="002030BC" w:rsidRDefault="006E5DEC" w:rsidP="006E5DEC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 Royal Navy Develop Directorate will consider Industry applications for Royal Navy endorsement to attend </w:t>
      </w:r>
      <w:r>
        <w:rPr>
          <w:b/>
          <w:bCs/>
          <w:sz w:val="22"/>
          <w:szCs w:val="22"/>
        </w:rPr>
        <w:t>REPMUS 2</w:t>
      </w:r>
      <w:r w:rsidR="002030BC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DYNAMIC MESSENGER 2</w:t>
      </w:r>
      <w:r w:rsidR="002030BC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</w:p>
    <w:p w14:paraId="42FF0E93" w14:textId="3C73D8AF" w:rsidR="006E5DEC" w:rsidRDefault="006E5DEC" w:rsidP="006E5DE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DDEE9D5" w14:textId="3A2F406E" w:rsidR="006E5DEC" w:rsidRPr="00E674A0" w:rsidRDefault="006E5DEC" w:rsidP="006E5D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Develop Directorate will consider applications at a bespoke board on </w:t>
      </w:r>
      <w:r w:rsidR="001612F7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Feb 2</w:t>
      </w:r>
      <w:r w:rsidR="001612F7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in order to inform considerations at the Initial Planning Conference</w:t>
      </w:r>
      <w:r w:rsidR="001B5A4F">
        <w:rPr>
          <w:sz w:val="22"/>
          <w:szCs w:val="22"/>
        </w:rPr>
        <w:t>s</w:t>
      </w:r>
      <w:r>
        <w:rPr>
          <w:sz w:val="22"/>
          <w:szCs w:val="22"/>
        </w:rPr>
        <w:t xml:space="preserve"> (IPC) </w:t>
      </w:r>
      <w:r w:rsidR="001B5A4F">
        <w:rPr>
          <w:sz w:val="22"/>
          <w:szCs w:val="22"/>
        </w:rPr>
        <w:t>week commencing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</w:t>
      </w:r>
      <w:r w:rsidR="001612F7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Feb</w:t>
      </w:r>
      <w:r w:rsidR="001612F7">
        <w:rPr>
          <w:b/>
          <w:bCs/>
          <w:sz w:val="22"/>
          <w:szCs w:val="22"/>
        </w:rPr>
        <w:t xml:space="preserve"> 23</w:t>
      </w:r>
      <w:r>
        <w:rPr>
          <w:sz w:val="22"/>
          <w:szCs w:val="22"/>
        </w:rPr>
        <w:t xml:space="preserve">. </w:t>
      </w:r>
      <w:r w:rsidR="001612F7">
        <w:rPr>
          <w:sz w:val="22"/>
          <w:szCs w:val="22"/>
        </w:rPr>
        <w:t xml:space="preserve">Successful </w:t>
      </w:r>
      <w:r w:rsidR="001612F7" w:rsidRPr="00E674A0">
        <w:rPr>
          <w:sz w:val="22"/>
          <w:szCs w:val="22"/>
        </w:rPr>
        <w:t>applicants will be notified following the IPC.</w:t>
      </w:r>
    </w:p>
    <w:p w14:paraId="2426C2BC" w14:textId="77777777" w:rsidR="002030BC" w:rsidRPr="00E674A0" w:rsidRDefault="002030BC" w:rsidP="006E5DEC">
      <w:pPr>
        <w:pStyle w:val="Default"/>
        <w:rPr>
          <w:sz w:val="22"/>
          <w:szCs w:val="22"/>
        </w:rPr>
      </w:pPr>
    </w:p>
    <w:p w14:paraId="143D4555" w14:textId="77777777" w:rsidR="002136C2" w:rsidRDefault="006E5DEC" w:rsidP="006E5DEC">
      <w:pPr>
        <w:pStyle w:val="Default"/>
        <w:rPr>
          <w:sz w:val="22"/>
          <w:szCs w:val="22"/>
        </w:rPr>
      </w:pPr>
      <w:r w:rsidRPr="00E674A0">
        <w:rPr>
          <w:sz w:val="22"/>
          <w:szCs w:val="22"/>
        </w:rPr>
        <w:t xml:space="preserve">REPMUS and DYNAMIC MESSENGER are exercises, conducted in the North Atlantic Portuguese Exercise Areas, designed to push forward capability development of </w:t>
      </w:r>
      <w:r w:rsidR="001B5A4F" w:rsidRPr="00E674A0">
        <w:rPr>
          <w:sz w:val="22"/>
          <w:szCs w:val="22"/>
        </w:rPr>
        <w:t>NATO and partner nation</w:t>
      </w:r>
      <w:r w:rsidR="00653322">
        <w:rPr>
          <w:sz w:val="22"/>
          <w:szCs w:val="22"/>
        </w:rPr>
        <w:t>s</w:t>
      </w:r>
      <w:r w:rsidRPr="00E674A0">
        <w:rPr>
          <w:sz w:val="22"/>
          <w:szCs w:val="22"/>
        </w:rPr>
        <w:t xml:space="preserve"> Maritime Un</w:t>
      </w:r>
      <w:r w:rsidR="009C7BFC">
        <w:rPr>
          <w:sz w:val="22"/>
          <w:szCs w:val="22"/>
        </w:rPr>
        <w:t>manned</w:t>
      </w:r>
      <w:r w:rsidRPr="00E674A0">
        <w:rPr>
          <w:sz w:val="22"/>
          <w:szCs w:val="22"/>
        </w:rPr>
        <w:t xml:space="preserve"> Systems and to improve Interoperability of systems as they proceed through development and into operational service. Both exercises complement each other with the former having a technology development focus, whilst the </w:t>
      </w:r>
      <w:r w:rsidR="00E97F90">
        <w:rPr>
          <w:sz w:val="22"/>
          <w:szCs w:val="22"/>
        </w:rPr>
        <w:t xml:space="preserve">latter </w:t>
      </w:r>
      <w:r w:rsidR="001B5A4F" w:rsidRPr="00E674A0">
        <w:rPr>
          <w:sz w:val="22"/>
          <w:szCs w:val="22"/>
        </w:rPr>
        <w:t xml:space="preserve">is </w:t>
      </w:r>
      <w:r w:rsidRPr="00E674A0">
        <w:rPr>
          <w:sz w:val="22"/>
          <w:szCs w:val="22"/>
        </w:rPr>
        <w:t xml:space="preserve">focussed on integration of systems into operational task groups. Industry engagement is recognised as a key element and many industry entities are already significantly involved. </w:t>
      </w:r>
      <w:r w:rsidR="001B5A4F" w:rsidRPr="00E674A0">
        <w:rPr>
          <w:sz w:val="22"/>
          <w:szCs w:val="22"/>
        </w:rPr>
        <w:t xml:space="preserve"> </w:t>
      </w:r>
    </w:p>
    <w:p w14:paraId="56ADBE97" w14:textId="77777777" w:rsidR="002136C2" w:rsidRDefault="002136C2" w:rsidP="006E5DEC">
      <w:pPr>
        <w:pStyle w:val="Default"/>
        <w:rPr>
          <w:sz w:val="22"/>
          <w:szCs w:val="22"/>
        </w:rPr>
      </w:pPr>
    </w:p>
    <w:p w14:paraId="7BBD6558" w14:textId="0D998C73" w:rsidR="006E5DEC" w:rsidRPr="00E674A0" w:rsidRDefault="001B5A4F" w:rsidP="006E5DEC">
      <w:pPr>
        <w:pStyle w:val="Default"/>
        <w:rPr>
          <w:sz w:val="22"/>
          <w:szCs w:val="22"/>
        </w:rPr>
      </w:pPr>
      <w:r w:rsidRPr="00E674A0">
        <w:rPr>
          <w:sz w:val="22"/>
          <w:szCs w:val="22"/>
        </w:rPr>
        <w:t>Whilst the exercise</w:t>
      </w:r>
      <w:r w:rsidR="00E97F90">
        <w:rPr>
          <w:sz w:val="22"/>
          <w:szCs w:val="22"/>
        </w:rPr>
        <w:t>s</w:t>
      </w:r>
      <w:r w:rsidRPr="00E674A0">
        <w:rPr>
          <w:sz w:val="22"/>
          <w:szCs w:val="22"/>
        </w:rPr>
        <w:t xml:space="preserve"> present an opportunity to showcase technology and a Distinguished </w:t>
      </w:r>
      <w:r w:rsidR="00133B2B" w:rsidRPr="00E674A0">
        <w:rPr>
          <w:sz w:val="22"/>
          <w:szCs w:val="22"/>
        </w:rPr>
        <w:t>Visitor</w:t>
      </w:r>
      <w:r w:rsidRPr="00E674A0">
        <w:rPr>
          <w:sz w:val="22"/>
          <w:szCs w:val="22"/>
        </w:rPr>
        <w:t xml:space="preserve"> day is included, it must be understood that this is a development exercise and not </w:t>
      </w:r>
      <w:r w:rsidR="00513071" w:rsidRPr="00E674A0">
        <w:rPr>
          <w:sz w:val="22"/>
          <w:szCs w:val="22"/>
        </w:rPr>
        <w:t xml:space="preserve">in itself </w:t>
      </w:r>
      <w:r w:rsidRPr="00E674A0">
        <w:rPr>
          <w:sz w:val="22"/>
          <w:szCs w:val="22"/>
        </w:rPr>
        <w:t xml:space="preserve">a marketing opportunity. </w:t>
      </w:r>
    </w:p>
    <w:p w14:paraId="69C791A3" w14:textId="77777777" w:rsidR="001B5A4F" w:rsidRPr="00E674A0" w:rsidRDefault="001B5A4F" w:rsidP="006E5DEC">
      <w:pPr>
        <w:pStyle w:val="Default"/>
        <w:rPr>
          <w:sz w:val="22"/>
          <w:szCs w:val="22"/>
        </w:rPr>
      </w:pPr>
    </w:p>
    <w:p w14:paraId="515B3863" w14:textId="77777777" w:rsidR="002136C2" w:rsidRDefault="006E5DEC" w:rsidP="006E5DEC">
      <w:pPr>
        <w:pStyle w:val="Default"/>
        <w:rPr>
          <w:sz w:val="22"/>
          <w:szCs w:val="22"/>
        </w:rPr>
      </w:pPr>
      <w:r w:rsidRPr="00E674A0">
        <w:rPr>
          <w:sz w:val="22"/>
          <w:szCs w:val="22"/>
        </w:rPr>
        <w:t xml:space="preserve">Industry participation, outside of direct contracted support to </w:t>
      </w:r>
      <w:r w:rsidR="001B5A4F" w:rsidRPr="00E674A0">
        <w:rPr>
          <w:sz w:val="22"/>
          <w:szCs w:val="22"/>
        </w:rPr>
        <w:t xml:space="preserve">the </w:t>
      </w:r>
      <w:r w:rsidRPr="00E674A0">
        <w:rPr>
          <w:sz w:val="22"/>
          <w:szCs w:val="22"/>
        </w:rPr>
        <w:t xml:space="preserve">RN, requires national sponsorship to demonstrate or integrate a specific system for evaluation. </w:t>
      </w:r>
      <w:r w:rsidR="001B5A4F" w:rsidRPr="00E674A0">
        <w:rPr>
          <w:sz w:val="22"/>
          <w:szCs w:val="22"/>
        </w:rPr>
        <w:t xml:space="preserve"> </w:t>
      </w:r>
      <w:r w:rsidRPr="00E674A0">
        <w:rPr>
          <w:sz w:val="22"/>
          <w:szCs w:val="22"/>
        </w:rPr>
        <w:t>Industry participants must be headquartered in a NATO nation</w:t>
      </w:r>
      <w:r w:rsidR="001B5A4F" w:rsidRPr="00E674A0">
        <w:rPr>
          <w:sz w:val="22"/>
          <w:szCs w:val="22"/>
        </w:rPr>
        <w:t>.</w:t>
      </w:r>
      <w:r w:rsidRPr="00E674A0">
        <w:rPr>
          <w:sz w:val="22"/>
          <w:szCs w:val="22"/>
        </w:rPr>
        <w:t xml:space="preserve"> </w:t>
      </w:r>
      <w:r w:rsidR="001B5A4F" w:rsidRPr="00E674A0">
        <w:rPr>
          <w:sz w:val="22"/>
          <w:szCs w:val="22"/>
        </w:rPr>
        <w:t xml:space="preserve"> </w:t>
      </w:r>
      <w:r w:rsidR="00513071" w:rsidRPr="00E674A0">
        <w:rPr>
          <w:sz w:val="22"/>
          <w:szCs w:val="22"/>
        </w:rPr>
        <w:t xml:space="preserve">Participants will be </w:t>
      </w:r>
      <w:r w:rsidRPr="00E674A0">
        <w:rPr>
          <w:sz w:val="22"/>
          <w:szCs w:val="22"/>
        </w:rPr>
        <w:t>required to attend specific and pertinent planning and operational briefings</w:t>
      </w:r>
      <w:r w:rsidR="00E97F90">
        <w:rPr>
          <w:sz w:val="22"/>
          <w:szCs w:val="22"/>
        </w:rPr>
        <w:t xml:space="preserve"> and will need to contribute to a drumbeat of remote planning events in addition to the in-person conferences detailed below, this is a condition of acceptance </w:t>
      </w:r>
      <w:r w:rsidR="00653322">
        <w:rPr>
          <w:sz w:val="22"/>
          <w:szCs w:val="22"/>
        </w:rPr>
        <w:t xml:space="preserve">to ensure </w:t>
      </w:r>
      <w:r w:rsidR="00E97F90">
        <w:rPr>
          <w:sz w:val="22"/>
          <w:szCs w:val="22"/>
        </w:rPr>
        <w:t>successful planning</w:t>
      </w:r>
      <w:r w:rsidRPr="00E674A0">
        <w:rPr>
          <w:sz w:val="22"/>
          <w:szCs w:val="22"/>
        </w:rPr>
        <w:t xml:space="preserve">. </w:t>
      </w:r>
    </w:p>
    <w:p w14:paraId="11703868" w14:textId="77777777" w:rsidR="002136C2" w:rsidRDefault="002136C2" w:rsidP="006E5DEC">
      <w:pPr>
        <w:pStyle w:val="Default"/>
        <w:rPr>
          <w:sz w:val="22"/>
          <w:szCs w:val="22"/>
        </w:rPr>
      </w:pPr>
    </w:p>
    <w:p w14:paraId="2404A0E1" w14:textId="338F099A" w:rsidR="009F6D6F" w:rsidRPr="00EB1ADF" w:rsidRDefault="006E5DEC" w:rsidP="006E5DEC">
      <w:pPr>
        <w:pStyle w:val="Default"/>
        <w:rPr>
          <w:sz w:val="22"/>
          <w:szCs w:val="22"/>
        </w:rPr>
      </w:pPr>
      <w:r w:rsidRPr="00E674A0">
        <w:rPr>
          <w:sz w:val="22"/>
          <w:szCs w:val="22"/>
        </w:rPr>
        <w:t xml:space="preserve">Signature of a Non-Disclosure Agreement undertaking not to disclose sensitive or commercial </w:t>
      </w:r>
      <w:r w:rsidR="00ED0564">
        <w:rPr>
          <w:sz w:val="22"/>
          <w:szCs w:val="22"/>
        </w:rPr>
        <w:t xml:space="preserve">information </w:t>
      </w:r>
      <w:r w:rsidRPr="00E674A0">
        <w:rPr>
          <w:sz w:val="22"/>
          <w:szCs w:val="22"/>
        </w:rPr>
        <w:t>will be required and in some cases a Memorandum of Understanding (MOU) covering data sharing, IPR and liabilities</w:t>
      </w:r>
      <w:r w:rsidRPr="00E674A0">
        <w:rPr>
          <w:rFonts w:ascii="Arial" w:hAnsi="Arial" w:cs="Arial"/>
          <w:sz w:val="23"/>
          <w:szCs w:val="23"/>
        </w:rPr>
        <w:t xml:space="preserve">. </w:t>
      </w:r>
      <w:r w:rsidRPr="00E674A0">
        <w:rPr>
          <w:sz w:val="22"/>
          <w:szCs w:val="22"/>
        </w:rPr>
        <w:t xml:space="preserve">Applications will be considered against their ability to meet </w:t>
      </w:r>
      <w:r w:rsidRPr="00EB1ADF">
        <w:rPr>
          <w:sz w:val="22"/>
          <w:szCs w:val="22"/>
        </w:rPr>
        <w:t xml:space="preserve">the goals and objectives set out in </w:t>
      </w:r>
      <w:r w:rsidR="009F6D6F" w:rsidRPr="00EB1ADF">
        <w:rPr>
          <w:sz w:val="22"/>
          <w:szCs w:val="22"/>
        </w:rPr>
        <w:t>the attached NATO Information Document</w:t>
      </w:r>
      <w:r w:rsidR="00513071" w:rsidRPr="00EB1ADF">
        <w:rPr>
          <w:sz w:val="22"/>
          <w:szCs w:val="22"/>
        </w:rPr>
        <w:t xml:space="preserve"> and additionally, the</w:t>
      </w:r>
      <w:r w:rsidR="00653322" w:rsidRPr="00EB1ADF">
        <w:rPr>
          <w:sz w:val="22"/>
          <w:szCs w:val="22"/>
        </w:rPr>
        <w:t>i</w:t>
      </w:r>
      <w:r w:rsidR="00513071" w:rsidRPr="00EB1ADF">
        <w:rPr>
          <w:sz w:val="22"/>
          <w:szCs w:val="22"/>
        </w:rPr>
        <w:t xml:space="preserve">r ability to integrate and / or contribute to the exercise serials currently under development. </w:t>
      </w:r>
      <w:r w:rsidR="00E674A0" w:rsidRPr="00EB1ADF">
        <w:rPr>
          <w:sz w:val="22"/>
          <w:szCs w:val="22"/>
        </w:rPr>
        <w:t xml:space="preserve"> </w:t>
      </w:r>
    </w:p>
    <w:p w14:paraId="718703C9" w14:textId="77777777" w:rsidR="009F6D6F" w:rsidRPr="00EB1ADF" w:rsidRDefault="009F6D6F" w:rsidP="006E5DEC">
      <w:pPr>
        <w:pStyle w:val="Default"/>
        <w:rPr>
          <w:sz w:val="22"/>
          <w:szCs w:val="22"/>
        </w:rPr>
      </w:pPr>
    </w:p>
    <w:p w14:paraId="2CDF6807" w14:textId="6C7079DC" w:rsidR="006E5DEC" w:rsidRPr="00EB1ADF" w:rsidRDefault="00E674A0" w:rsidP="006E5DEC">
      <w:pPr>
        <w:pStyle w:val="Default"/>
        <w:rPr>
          <w:sz w:val="22"/>
          <w:szCs w:val="22"/>
        </w:rPr>
      </w:pPr>
      <w:r w:rsidRPr="00EB1ADF">
        <w:rPr>
          <w:sz w:val="22"/>
          <w:szCs w:val="22"/>
        </w:rPr>
        <w:t xml:space="preserve">This is an opportunity </w:t>
      </w:r>
      <w:r w:rsidR="00653322" w:rsidRPr="00EB1ADF">
        <w:rPr>
          <w:sz w:val="22"/>
          <w:szCs w:val="22"/>
        </w:rPr>
        <w:t xml:space="preserve">to submit </w:t>
      </w:r>
      <w:r w:rsidRPr="00EB1ADF">
        <w:rPr>
          <w:sz w:val="22"/>
          <w:szCs w:val="22"/>
        </w:rPr>
        <w:t xml:space="preserve">proposals, so all applications are welcome.  By no means a limiting factor, we </w:t>
      </w:r>
      <w:r w:rsidR="009F6D6F" w:rsidRPr="00EB1ADF">
        <w:rPr>
          <w:sz w:val="22"/>
          <w:szCs w:val="22"/>
        </w:rPr>
        <w:t>may be</w:t>
      </w:r>
      <w:r w:rsidRPr="00EB1ADF">
        <w:rPr>
          <w:sz w:val="22"/>
          <w:szCs w:val="22"/>
        </w:rPr>
        <w:t xml:space="preserve"> particularly interested in:</w:t>
      </w:r>
    </w:p>
    <w:p w14:paraId="6CAB1A9A" w14:textId="7B288A31" w:rsidR="00E674A0" w:rsidRPr="00EB1ADF" w:rsidRDefault="00E674A0" w:rsidP="006E5DEC">
      <w:pPr>
        <w:pStyle w:val="Default"/>
        <w:rPr>
          <w:sz w:val="22"/>
          <w:szCs w:val="22"/>
        </w:rPr>
      </w:pPr>
    </w:p>
    <w:p w14:paraId="0D2F5AE7" w14:textId="53A04AF7" w:rsidR="009C7BFC" w:rsidRPr="00EB1ADF" w:rsidRDefault="009C7BFC" w:rsidP="009C7BFC">
      <w:pPr>
        <w:pStyle w:val="ListParagraph"/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EB1ADF">
        <w:rPr>
          <w:rFonts w:eastAsia="Times New Roman"/>
        </w:rPr>
        <w:t>Advanced autonomous/un</w:t>
      </w:r>
      <w:r w:rsidR="009F6D6F" w:rsidRPr="00EB1ADF">
        <w:rPr>
          <w:rFonts w:eastAsia="Times New Roman"/>
        </w:rPr>
        <w:t>manned</w:t>
      </w:r>
      <w:r w:rsidRPr="00EB1ADF">
        <w:rPr>
          <w:rFonts w:eastAsia="Times New Roman"/>
        </w:rPr>
        <w:t xml:space="preserve"> solutions - capable of operating in a ‘system of systems’ maritime architecture</w:t>
      </w:r>
    </w:p>
    <w:p w14:paraId="6CBF0471" w14:textId="77777777" w:rsidR="009C7BFC" w:rsidRPr="00EB1ADF" w:rsidRDefault="009C7BFC" w:rsidP="009C7BFC">
      <w:pPr>
        <w:pStyle w:val="ListParagraph"/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EB1ADF">
        <w:rPr>
          <w:rFonts w:eastAsia="Times New Roman"/>
        </w:rPr>
        <w:t>Solutions to support ’system to system’ integration including across security domains</w:t>
      </w:r>
    </w:p>
    <w:p w14:paraId="771A498D" w14:textId="77777777" w:rsidR="009C7BFC" w:rsidRPr="00EB1ADF" w:rsidRDefault="009C7BFC" w:rsidP="009C7BFC">
      <w:pPr>
        <w:pStyle w:val="ListParagraph"/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EB1ADF">
        <w:rPr>
          <w:rFonts w:eastAsia="Times New Roman"/>
        </w:rPr>
        <w:t>AI &amp; ML to provide mission advantage</w:t>
      </w:r>
    </w:p>
    <w:p w14:paraId="468492A5" w14:textId="1381903A" w:rsidR="009C7BFC" w:rsidRPr="00EB1ADF" w:rsidRDefault="009C7BFC" w:rsidP="009C7BFC">
      <w:pPr>
        <w:pStyle w:val="ListParagraph"/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EB1ADF">
        <w:rPr>
          <w:rFonts w:eastAsia="Times New Roman"/>
        </w:rPr>
        <w:t xml:space="preserve">Novel </w:t>
      </w:r>
      <w:r w:rsidR="009F6D6F" w:rsidRPr="00EB1ADF">
        <w:rPr>
          <w:rFonts w:eastAsia="Times New Roman"/>
        </w:rPr>
        <w:t xml:space="preserve">communications </w:t>
      </w:r>
      <w:r w:rsidRPr="00EB1ADF">
        <w:rPr>
          <w:rFonts w:eastAsia="Times New Roman"/>
        </w:rPr>
        <w:t>solutions in bandwidth constrained environments (Acoustic and RF)</w:t>
      </w:r>
    </w:p>
    <w:p w14:paraId="66FA977C" w14:textId="508BE01C" w:rsidR="009C7BFC" w:rsidRPr="00EB1ADF" w:rsidRDefault="00BD1DA8" w:rsidP="009C7BFC">
      <w:pPr>
        <w:pStyle w:val="ListParagraph"/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EB1ADF">
        <w:rPr>
          <w:rFonts w:eastAsia="Times New Roman"/>
        </w:rPr>
        <w:t xml:space="preserve">Long endurance systems.  </w:t>
      </w:r>
      <w:r w:rsidR="009C7BFC" w:rsidRPr="00EB1ADF">
        <w:rPr>
          <w:rFonts w:eastAsia="Times New Roman"/>
        </w:rPr>
        <w:t>Solutions to enhance sensor and power performance</w:t>
      </w:r>
      <w:r w:rsidR="00351EB2">
        <w:rPr>
          <w:rFonts w:eastAsia="Times New Roman"/>
        </w:rPr>
        <w:t>.  N</w:t>
      </w:r>
      <w:r w:rsidR="009F6D6F" w:rsidRPr="00EB1ADF">
        <w:rPr>
          <w:rFonts w:eastAsia="Times New Roman"/>
        </w:rPr>
        <w:t>ovel power and energy solutions</w:t>
      </w:r>
    </w:p>
    <w:p w14:paraId="11DA5A42" w14:textId="77777777" w:rsidR="00351EB2" w:rsidRDefault="00BD1DA8" w:rsidP="009C7BFC">
      <w:pPr>
        <w:pStyle w:val="ListParagraph"/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EB1ADF">
        <w:rPr>
          <w:rFonts w:eastAsia="Times New Roman"/>
        </w:rPr>
        <w:t>Low signature autonomous/unmanned platforms</w:t>
      </w:r>
    </w:p>
    <w:p w14:paraId="1556E59D" w14:textId="31C9C31D" w:rsidR="00BD1DA8" w:rsidRDefault="00351EB2" w:rsidP="009C7BFC">
      <w:pPr>
        <w:pStyle w:val="ListParagraph"/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>Unmanned Surface Vessels with wide-area search capabilities</w:t>
      </w:r>
    </w:p>
    <w:p w14:paraId="36925E31" w14:textId="751E777F" w:rsidR="009C7BFC" w:rsidRPr="00EB1ADF" w:rsidRDefault="009C7BFC" w:rsidP="009C7BFC">
      <w:pPr>
        <w:pStyle w:val="ListParagraph"/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EB1ADF">
        <w:rPr>
          <w:rFonts w:eastAsia="Times New Roman"/>
        </w:rPr>
        <w:t>U</w:t>
      </w:r>
      <w:r w:rsidR="00ED0564">
        <w:rPr>
          <w:rFonts w:eastAsia="Times New Roman"/>
        </w:rPr>
        <w:t xml:space="preserve">nmanned </w:t>
      </w:r>
      <w:r w:rsidRPr="00EB1ADF">
        <w:rPr>
          <w:rFonts w:eastAsia="Times New Roman"/>
        </w:rPr>
        <w:t>s</w:t>
      </w:r>
      <w:r w:rsidR="00ED0564">
        <w:rPr>
          <w:rFonts w:eastAsia="Times New Roman"/>
        </w:rPr>
        <w:t>ystem</w:t>
      </w:r>
      <w:r w:rsidRPr="00EB1ADF">
        <w:rPr>
          <w:rFonts w:eastAsia="Times New Roman"/>
        </w:rPr>
        <w:t xml:space="preserve"> Launch and Recovery </w:t>
      </w:r>
    </w:p>
    <w:p w14:paraId="28345817" w14:textId="77777777" w:rsidR="009C7BFC" w:rsidRPr="00EB1ADF" w:rsidRDefault="009C7BFC" w:rsidP="009C7BFC">
      <w:pPr>
        <w:pStyle w:val="ListParagraph"/>
        <w:numPr>
          <w:ilvl w:val="0"/>
          <w:numId w:val="1"/>
        </w:numPr>
        <w:spacing w:line="252" w:lineRule="auto"/>
        <w:contextualSpacing/>
        <w:rPr>
          <w:rFonts w:eastAsia="Times New Roman"/>
        </w:rPr>
      </w:pPr>
      <w:r w:rsidRPr="00EB1ADF">
        <w:rPr>
          <w:rFonts w:eastAsia="Times New Roman"/>
        </w:rPr>
        <w:lastRenderedPageBreak/>
        <w:t>Data management solutions – harvesting/fusion/exploitation across data types</w:t>
      </w:r>
    </w:p>
    <w:p w14:paraId="6EA0F45E" w14:textId="2FCBA479" w:rsidR="00513071" w:rsidRPr="00EB1ADF" w:rsidRDefault="00513071" w:rsidP="006E5DEC">
      <w:pPr>
        <w:pStyle w:val="Default"/>
        <w:rPr>
          <w:sz w:val="22"/>
          <w:szCs w:val="22"/>
        </w:rPr>
      </w:pPr>
    </w:p>
    <w:p w14:paraId="365B58C4" w14:textId="5428D2D6" w:rsidR="009C7BFC" w:rsidRDefault="00BD1DA8" w:rsidP="006E5DEC">
      <w:pPr>
        <w:pStyle w:val="Default"/>
        <w:rPr>
          <w:sz w:val="22"/>
          <w:szCs w:val="22"/>
        </w:rPr>
      </w:pPr>
      <w:r w:rsidRPr="00EB1ADF">
        <w:rPr>
          <w:sz w:val="22"/>
          <w:szCs w:val="22"/>
        </w:rPr>
        <w:t>T</w:t>
      </w:r>
      <w:r w:rsidR="009C7BFC" w:rsidRPr="00EB1ADF">
        <w:rPr>
          <w:sz w:val="22"/>
          <w:szCs w:val="22"/>
        </w:rPr>
        <w:t>he ability of the Authority to support an activity will be an entry criterion</w:t>
      </w:r>
      <w:r w:rsidR="00ED0564">
        <w:rPr>
          <w:sz w:val="22"/>
          <w:szCs w:val="22"/>
        </w:rPr>
        <w:t>.  For example</w:t>
      </w:r>
      <w:r w:rsidR="009C7BFC" w:rsidRPr="00EB1ADF">
        <w:rPr>
          <w:sz w:val="22"/>
          <w:szCs w:val="22"/>
        </w:rPr>
        <w:t xml:space="preserve"> while </w:t>
      </w:r>
      <w:r w:rsidRPr="00EB1ADF">
        <w:rPr>
          <w:sz w:val="22"/>
          <w:szCs w:val="22"/>
        </w:rPr>
        <w:t>possession</w:t>
      </w:r>
      <w:r w:rsidR="009C7BFC" w:rsidRPr="00EB1ADF">
        <w:rPr>
          <w:sz w:val="22"/>
          <w:szCs w:val="22"/>
        </w:rPr>
        <w:t xml:space="preserve"> of a Security Clearance is not a mandatory requirement</w:t>
      </w:r>
      <w:r w:rsidR="009C7BFC">
        <w:rPr>
          <w:sz w:val="22"/>
          <w:szCs w:val="22"/>
        </w:rPr>
        <w:t xml:space="preserve">, personnel without clearance will require an escort at all times </w:t>
      </w:r>
      <w:r w:rsidR="00351EB2">
        <w:rPr>
          <w:sz w:val="22"/>
          <w:szCs w:val="22"/>
        </w:rPr>
        <w:t>which may be im</w:t>
      </w:r>
      <w:r w:rsidR="009C7BFC">
        <w:rPr>
          <w:sz w:val="22"/>
          <w:szCs w:val="22"/>
        </w:rPr>
        <w:t>practical</w:t>
      </w:r>
      <w:r w:rsidR="00ED0564">
        <w:rPr>
          <w:sz w:val="22"/>
          <w:szCs w:val="22"/>
        </w:rPr>
        <w:t xml:space="preserve"> and will be assessed on a case by case basis</w:t>
      </w:r>
      <w:r w:rsidR="009C7BFC">
        <w:rPr>
          <w:sz w:val="22"/>
          <w:szCs w:val="22"/>
        </w:rPr>
        <w:t xml:space="preserve">.  </w:t>
      </w:r>
    </w:p>
    <w:p w14:paraId="67941B20" w14:textId="77777777" w:rsidR="00BD1DA8" w:rsidRDefault="00BD1DA8" w:rsidP="006E5DEC">
      <w:pPr>
        <w:pStyle w:val="Default"/>
        <w:rPr>
          <w:sz w:val="22"/>
          <w:szCs w:val="22"/>
        </w:rPr>
      </w:pPr>
    </w:p>
    <w:p w14:paraId="32718635" w14:textId="3188AF1B" w:rsidR="00513071" w:rsidRDefault="00513071" w:rsidP="006E5D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 is recognised that deployments of this nature entail significant cost</w:t>
      </w:r>
      <w:r w:rsidR="00653322">
        <w:rPr>
          <w:sz w:val="22"/>
          <w:szCs w:val="22"/>
        </w:rPr>
        <w:t xml:space="preserve"> in workforce, logistics, travel and subsistence</w:t>
      </w:r>
      <w:r w:rsidR="00133B2B">
        <w:rPr>
          <w:sz w:val="22"/>
          <w:szCs w:val="22"/>
        </w:rPr>
        <w:t>.  In recognition of th</w:t>
      </w:r>
      <w:r w:rsidR="00653322">
        <w:rPr>
          <w:sz w:val="22"/>
          <w:szCs w:val="22"/>
        </w:rPr>
        <w:t>is</w:t>
      </w:r>
      <w:r w:rsidR="00133B2B">
        <w:rPr>
          <w:sz w:val="22"/>
          <w:szCs w:val="22"/>
        </w:rPr>
        <w:t>, the RN is open to discussions of how we can provide logistics support to companies that meet the government definition of a small enterprise</w:t>
      </w:r>
      <w:r w:rsidR="00133B2B">
        <w:rPr>
          <w:rStyle w:val="FootnoteReference"/>
          <w:sz w:val="22"/>
          <w:szCs w:val="22"/>
        </w:rPr>
        <w:footnoteReference w:id="1"/>
      </w:r>
      <w:r w:rsidR="00BD1DA8">
        <w:rPr>
          <w:sz w:val="22"/>
          <w:szCs w:val="22"/>
        </w:rPr>
        <w:t>, should they be selected.</w:t>
      </w:r>
    </w:p>
    <w:p w14:paraId="3B54A199" w14:textId="77777777" w:rsidR="001612F7" w:rsidRDefault="001612F7" w:rsidP="006E5DEC">
      <w:pPr>
        <w:pStyle w:val="Default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B5A4F" w14:paraId="0F217B48" w14:textId="77777777" w:rsidTr="001B5A4F">
        <w:tc>
          <w:tcPr>
            <w:tcW w:w="9016" w:type="dxa"/>
            <w:gridSpan w:val="2"/>
            <w:shd w:val="clear" w:color="auto" w:fill="A5A5A5" w:themeFill="accent3"/>
          </w:tcPr>
          <w:p w14:paraId="5E12B7C9" w14:textId="6C9397D0" w:rsidR="001B5A4F" w:rsidRPr="001B5A4F" w:rsidRDefault="001B5A4F" w:rsidP="001B5A4F">
            <w:pPr>
              <w:pStyle w:val="Default"/>
              <w:jc w:val="center"/>
              <w:rPr>
                <w:b/>
                <w:bCs/>
              </w:rPr>
            </w:pPr>
            <w:r w:rsidRPr="001B5A4F">
              <w:rPr>
                <w:b/>
                <w:bCs/>
              </w:rPr>
              <w:t>Outline Schedule – subject to change</w:t>
            </w:r>
          </w:p>
        </w:tc>
      </w:tr>
      <w:tr w:rsidR="001B5A4F" w14:paraId="3D8AD55E" w14:textId="77777777" w:rsidTr="009F6D6F">
        <w:tc>
          <w:tcPr>
            <w:tcW w:w="2263" w:type="dxa"/>
          </w:tcPr>
          <w:p w14:paraId="2A72246D" w14:textId="41FC2FE5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6 Feb 23 0900hrs</w:t>
            </w:r>
          </w:p>
        </w:tc>
        <w:tc>
          <w:tcPr>
            <w:tcW w:w="6753" w:type="dxa"/>
          </w:tcPr>
          <w:p w14:paraId="77EC411C" w14:textId="02C629E1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Register interest window closes</w:t>
            </w:r>
          </w:p>
        </w:tc>
      </w:tr>
      <w:tr w:rsidR="001B5A4F" w14:paraId="5E25C296" w14:textId="77777777" w:rsidTr="009F6D6F">
        <w:tc>
          <w:tcPr>
            <w:tcW w:w="2263" w:type="dxa"/>
          </w:tcPr>
          <w:p w14:paraId="12285D47" w14:textId="07414D5F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7 Feb</w:t>
            </w:r>
          </w:p>
        </w:tc>
        <w:tc>
          <w:tcPr>
            <w:tcW w:w="6753" w:type="dxa"/>
          </w:tcPr>
          <w:p w14:paraId="318F3660" w14:textId="0FCD29A7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 xml:space="preserve">Board </w:t>
            </w:r>
            <w:r w:rsidR="009B6431">
              <w:t>c</w:t>
            </w:r>
            <w:r w:rsidRPr="00D81993">
              <w:t>onsideration</w:t>
            </w:r>
          </w:p>
        </w:tc>
      </w:tr>
      <w:tr w:rsidR="001B5A4F" w14:paraId="72A197E1" w14:textId="77777777" w:rsidTr="009F6D6F">
        <w:tc>
          <w:tcPr>
            <w:tcW w:w="2263" w:type="dxa"/>
          </w:tcPr>
          <w:p w14:paraId="69A6D9CB" w14:textId="4DEA8235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13-17 Feb 23</w:t>
            </w:r>
          </w:p>
        </w:tc>
        <w:tc>
          <w:tcPr>
            <w:tcW w:w="6753" w:type="dxa"/>
          </w:tcPr>
          <w:p w14:paraId="40FE30C4" w14:textId="3891F968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IPC REPMUS23 &amp; DYMS23 (industry participation not required)</w:t>
            </w:r>
          </w:p>
        </w:tc>
      </w:tr>
      <w:tr w:rsidR="001B5A4F" w14:paraId="44364241" w14:textId="77777777" w:rsidTr="009F6D6F">
        <w:tc>
          <w:tcPr>
            <w:tcW w:w="2263" w:type="dxa"/>
          </w:tcPr>
          <w:p w14:paraId="3C4C9A49" w14:textId="68D94AC9" w:rsidR="001B5A4F" w:rsidRDefault="009F6D6F" w:rsidP="001B5A4F">
            <w:pPr>
              <w:pStyle w:val="Default"/>
              <w:rPr>
                <w:sz w:val="22"/>
                <w:szCs w:val="22"/>
              </w:rPr>
            </w:pPr>
            <w:r>
              <w:t>Feb/Mar</w:t>
            </w:r>
          </w:p>
        </w:tc>
        <w:tc>
          <w:tcPr>
            <w:tcW w:w="6753" w:type="dxa"/>
          </w:tcPr>
          <w:p w14:paraId="61C7AC9F" w14:textId="4FDD1253" w:rsidR="001B5A4F" w:rsidRDefault="009B6431" w:rsidP="001B5A4F">
            <w:pPr>
              <w:pStyle w:val="Default"/>
              <w:rPr>
                <w:sz w:val="22"/>
                <w:szCs w:val="22"/>
              </w:rPr>
            </w:pPr>
            <w:r>
              <w:t xml:space="preserve">Final selection board.  </w:t>
            </w:r>
            <w:r w:rsidR="001B5A4F" w:rsidRPr="00D81993">
              <w:t>Selected entities notified</w:t>
            </w:r>
            <w:r>
              <w:t>.</w:t>
            </w:r>
          </w:p>
        </w:tc>
      </w:tr>
      <w:tr w:rsidR="001B5A4F" w14:paraId="3ABD6E78" w14:textId="77777777" w:rsidTr="009F6D6F">
        <w:tc>
          <w:tcPr>
            <w:tcW w:w="2263" w:type="dxa"/>
          </w:tcPr>
          <w:p w14:paraId="70988011" w14:textId="11397568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15-19</w:t>
            </w:r>
            <w:r>
              <w:t xml:space="preserve"> </w:t>
            </w:r>
            <w:r w:rsidRPr="00D81993">
              <w:t>M</w:t>
            </w:r>
            <w:r>
              <w:t xml:space="preserve">ay </w:t>
            </w:r>
            <w:r w:rsidRPr="00D81993">
              <w:t>23</w:t>
            </w:r>
          </w:p>
        </w:tc>
        <w:tc>
          <w:tcPr>
            <w:tcW w:w="6753" w:type="dxa"/>
          </w:tcPr>
          <w:p w14:paraId="2575FED1" w14:textId="7493E1BA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MPC REPMUS23 &amp; DYMS23 (Lisbon).  Attendance mandatory for all participants.</w:t>
            </w:r>
          </w:p>
        </w:tc>
      </w:tr>
      <w:tr w:rsidR="001B5A4F" w14:paraId="602FCB81" w14:textId="77777777" w:rsidTr="009F6D6F">
        <w:tc>
          <w:tcPr>
            <w:tcW w:w="2263" w:type="dxa"/>
          </w:tcPr>
          <w:p w14:paraId="1043C392" w14:textId="50CAAF1F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3-7</w:t>
            </w:r>
            <w:r>
              <w:t xml:space="preserve"> </w:t>
            </w:r>
            <w:r w:rsidRPr="00D81993">
              <w:t>J</w:t>
            </w:r>
            <w:r>
              <w:t xml:space="preserve">ul </w:t>
            </w:r>
            <w:r w:rsidRPr="00D81993">
              <w:t>23</w:t>
            </w:r>
          </w:p>
        </w:tc>
        <w:tc>
          <w:tcPr>
            <w:tcW w:w="6753" w:type="dxa"/>
          </w:tcPr>
          <w:p w14:paraId="12B26094" w14:textId="1B0BEFA5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Final Coordination Conference REPMUS23 &amp; DYMS23 (Lisbon).  Attendance mandatory for all participants unless specifically agreed with the MOD.</w:t>
            </w:r>
          </w:p>
        </w:tc>
      </w:tr>
      <w:tr w:rsidR="001B5A4F" w14:paraId="78055D96" w14:textId="77777777" w:rsidTr="009F6D6F">
        <w:tc>
          <w:tcPr>
            <w:tcW w:w="2263" w:type="dxa"/>
          </w:tcPr>
          <w:p w14:paraId="249F077B" w14:textId="4A069925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4-8</w:t>
            </w:r>
            <w:r>
              <w:t xml:space="preserve"> </w:t>
            </w:r>
            <w:r w:rsidRPr="00D81993">
              <w:t>S</w:t>
            </w:r>
            <w:r>
              <w:t xml:space="preserve">ep </w:t>
            </w:r>
            <w:r w:rsidRPr="00D81993">
              <w:t>23</w:t>
            </w:r>
          </w:p>
        </w:tc>
        <w:tc>
          <w:tcPr>
            <w:tcW w:w="6753" w:type="dxa"/>
          </w:tcPr>
          <w:p w14:paraId="03EEB794" w14:textId="677503D6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EEP (Experimentation Enhancement Phase / Integration Week).  Attendance mandatory for all participants.</w:t>
            </w:r>
          </w:p>
        </w:tc>
      </w:tr>
      <w:tr w:rsidR="001B5A4F" w14:paraId="08D01C77" w14:textId="77777777" w:rsidTr="009F6D6F">
        <w:tc>
          <w:tcPr>
            <w:tcW w:w="2263" w:type="dxa"/>
          </w:tcPr>
          <w:p w14:paraId="00E445DF" w14:textId="415C8895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8</w:t>
            </w:r>
            <w:r>
              <w:t xml:space="preserve"> </w:t>
            </w:r>
            <w:r w:rsidRPr="00D81993">
              <w:t>S</w:t>
            </w:r>
            <w:r>
              <w:t xml:space="preserve">ep </w:t>
            </w:r>
            <w:r w:rsidRPr="00D81993">
              <w:t>23</w:t>
            </w:r>
          </w:p>
        </w:tc>
        <w:tc>
          <w:tcPr>
            <w:tcW w:w="6753" w:type="dxa"/>
          </w:tcPr>
          <w:p w14:paraId="50593196" w14:textId="03949B77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PRE-SAIL Conference</w:t>
            </w:r>
          </w:p>
        </w:tc>
      </w:tr>
      <w:tr w:rsidR="001B5A4F" w14:paraId="0DE7D7B3" w14:textId="77777777" w:rsidTr="009F6D6F">
        <w:tc>
          <w:tcPr>
            <w:tcW w:w="2263" w:type="dxa"/>
          </w:tcPr>
          <w:p w14:paraId="49401215" w14:textId="4D552C15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11-21</w:t>
            </w:r>
            <w:r>
              <w:t xml:space="preserve"> </w:t>
            </w:r>
            <w:r w:rsidRPr="00D81993">
              <w:t>S</w:t>
            </w:r>
            <w:r>
              <w:t xml:space="preserve">ep </w:t>
            </w:r>
            <w:r w:rsidRPr="00D81993">
              <w:t>23</w:t>
            </w:r>
          </w:p>
        </w:tc>
        <w:tc>
          <w:tcPr>
            <w:tcW w:w="6753" w:type="dxa"/>
          </w:tcPr>
          <w:p w14:paraId="3A028652" w14:textId="2769B97D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REPMUS23 execution</w:t>
            </w:r>
          </w:p>
        </w:tc>
      </w:tr>
      <w:tr w:rsidR="001B5A4F" w14:paraId="3FB46E7A" w14:textId="77777777" w:rsidTr="009F6D6F">
        <w:tc>
          <w:tcPr>
            <w:tcW w:w="2263" w:type="dxa"/>
          </w:tcPr>
          <w:p w14:paraId="16527C2C" w14:textId="1F7AE943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22</w:t>
            </w:r>
            <w:r>
              <w:t xml:space="preserve"> </w:t>
            </w:r>
            <w:r w:rsidRPr="00D81993">
              <w:t>S</w:t>
            </w:r>
            <w:r>
              <w:t xml:space="preserve">ep </w:t>
            </w:r>
            <w:r w:rsidRPr="00D81993">
              <w:t>23</w:t>
            </w:r>
          </w:p>
        </w:tc>
        <w:tc>
          <w:tcPr>
            <w:tcW w:w="6753" w:type="dxa"/>
          </w:tcPr>
          <w:p w14:paraId="75725F06" w14:textId="3E87C0EA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Distinguished Visitors Day (DV-DAY)</w:t>
            </w:r>
          </w:p>
        </w:tc>
      </w:tr>
      <w:tr w:rsidR="001B5A4F" w14:paraId="192C19BE" w14:textId="77777777" w:rsidTr="009F6D6F">
        <w:tc>
          <w:tcPr>
            <w:tcW w:w="2263" w:type="dxa"/>
          </w:tcPr>
          <w:p w14:paraId="49599231" w14:textId="331AB8DB" w:rsidR="001B5A4F" w:rsidRDefault="00133B2B" w:rsidP="001B5A4F">
            <w:pPr>
              <w:pStyle w:val="Default"/>
              <w:rPr>
                <w:sz w:val="22"/>
                <w:szCs w:val="22"/>
              </w:rPr>
            </w:pPr>
            <w:r>
              <w:t>23-29 Sep 22 (TBC)</w:t>
            </w:r>
          </w:p>
        </w:tc>
        <w:tc>
          <w:tcPr>
            <w:tcW w:w="6753" w:type="dxa"/>
          </w:tcPr>
          <w:p w14:paraId="0C4A4B01" w14:textId="56727E39" w:rsidR="001B5A4F" w:rsidRDefault="001B5A4F" w:rsidP="001B5A4F">
            <w:pPr>
              <w:pStyle w:val="Default"/>
              <w:rPr>
                <w:sz w:val="22"/>
                <w:szCs w:val="22"/>
              </w:rPr>
            </w:pPr>
            <w:r w:rsidRPr="00D81993">
              <w:t>DYNAMIC MESSENGER 23</w:t>
            </w:r>
          </w:p>
        </w:tc>
      </w:tr>
    </w:tbl>
    <w:p w14:paraId="2E9A7957" w14:textId="77777777" w:rsidR="001B5A4F" w:rsidRDefault="001B5A4F" w:rsidP="001612F7">
      <w:pPr>
        <w:pStyle w:val="Default"/>
        <w:rPr>
          <w:sz w:val="22"/>
          <w:szCs w:val="22"/>
        </w:rPr>
      </w:pPr>
    </w:p>
    <w:p w14:paraId="4D856D74" w14:textId="07DA2B05" w:rsidR="001612F7" w:rsidRDefault="001612F7" w:rsidP="006E5DEC">
      <w:pPr>
        <w:pStyle w:val="Default"/>
        <w:rPr>
          <w:sz w:val="22"/>
          <w:szCs w:val="22"/>
        </w:rPr>
      </w:pPr>
    </w:p>
    <w:p w14:paraId="5D58D8D1" w14:textId="400D11F2" w:rsidR="00E674A0" w:rsidRDefault="00E674A0" w:rsidP="006E5DEC">
      <w:r>
        <w:t xml:space="preserve">The host nation may levy a charge to cover support costs during the exercise, and this will be borne by the participants themselves.  </w:t>
      </w:r>
      <w:r w:rsidR="00BD1DA8">
        <w:t>I</w:t>
      </w:r>
      <w:r>
        <w:t>n 2022</w:t>
      </w:r>
      <w:r w:rsidR="00E97F90">
        <w:t xml:space="preserve"> </w:t>
      </w:r>
      <w:r w:rsidR="00BD1DA8">
        <w:t xml:space="preserve">this was </w:t>
      </w:r>
      <w:r w:rsidR="00BD1DA8">
        <w:rPr>
          <w:rFonts w:cstheme="minorHAnsi"/>
        </w:rPr>
        <w:t>€</w:t>
      </w:r>
      <w:r w:rsidR="00BD1DA8">
        <w:t xml:space="preserve">15 per day, per person </w:t>
      </w:r>
      <w:r w:rsidR="00E97F90">
        <w:t>but may change in 2023</w:t>
      </w:r>
      <w:r>
        <w:t xml:space="preserve">.  </w:t>
      </w:r>
    </w:p>
    <w:p w14:paraId="247DF723" w14:textId="3BAA57B1" w:rsidR="00BD1DA8" w:rsidRDefault="00E674A0" w:rsidP="006E5DEC">
      <w:r>
        <w:t xml:space="preserve">The May Mid Planning Conference will generate a relatively firm schedule of events </w:t>
      </w:r>
      <w:r w:rsidR="00476ABE">
        <w:t>- u</w:t>
      </w:r>
      <w:r>
        <w:t>ntil this stage, it is recognised that participants may wish to withdraw a</w:t>
      </w:r>
      <w:r w:rsidR="00BD1DA8">
        <w:t>s the activity matures</w:t>
      </w:r>
      <w:r>
        <w:t xml:space="preserve">.  </w:t>
      </w:r>
      <w:r w:rsidR="00EB1ADF">
        <w:t>After the MPC, participants will be expected to honour their commitments.</w:t>
      </w:r>
      <w:r w:rsidR="00BD1DA8">
        <w:t xml:space="preserve"> </w:t>
      </w:r>
      <w:r w:rsidR="00496DA0">
        <w:t xml:space="preserve">  </w:t>
      </w:r>
    </w:p>
    <w:p w14:paraId="60817647" w14:textId="62D285E5" w:rsidR="00E674A0" w:rsidRDefault="00EB1ADF" w:rsidP="006E5DEC">
      <w:r>
        <w:t>A</w:t>
      </w:r>
      <w:r w:rsidR="00496DA0">
        <w:t xml:space="preserve"> collegiate approach </w:t>
      </w:r>
      <w:r w:rsidR="000D50D3">
        <w:t xml:space="preserve">and </w:t>
      </w:r>
      <w:r w:rsidR="00496DA0">
        <w:t>high professional standards</w:t>
      </w:r>
      <w:r w:rsidR="000D50D3">
        <w:t xml:space="preserve"> are required</w:t>
      </w:r>
      <w:r>
        <w:t xml:space="preserve"> across the UK contingent</w:t>
      </w:r>
      <w:r w:rsidR="000D50D3">
        <w:t>.  A</w:t>
      </w:r>
      <w:r w:rsidR="00C02FF6">
        <w:t xml:space="preserve">t the sole discretion of the </w:t>
      </w:r>
      <w:r>
        <w:t>Authority</w:t>
      </w:r>
      <w:r w:rsidR="00C02FF6">
        <w:t xml:space="preserve">, </w:t>
      </w:r>
      <w:r w:rsidR="00496DA0">
        <w:t>endorsement to attend may be withdrawn</w:t>
      </w:r>
      <w:r w:rsidR="000377C1">
        <w:t xml:space="preserve"> at any stage</w:t>
      </w:r>
      <w:r w:rsidR="00496DA0">
        <w:t>.</w:t>
      </w:r>
      <w:r w:rsidR="001B563E">
        <w:t xml:space="preserve">  Entities retain responsibility to ensure their activies are safe at all times.</w:t>
      </w:r>
    </w:p>
    <w:p w14:paraId="0DE75FBA" w14:textId="77777777" w:rsidR="00DF7ED8" w:rsidRDefault="00DF7ED8" w:rsidP="00DF7ED8">
      <w:r>
        <w:t xml:space="preserve">We consider this activity within the scope of CONDO (Contractors on Deployed Operations), by submitting a capability idea industry agree that should they be invited to REPMUS/DYMS their personnel in country will follow DEFSTAN 05-129 (available online or request a copy from </w:t>
      </w:r>
      <w:r w:rsidRPr="00DF7ED8">
        <w:t>NAVYCOMRCL-MEPG@mod.gov.uk</w:t>
      </w:r>
      <w:r>
        <w:t>).</w:t>
      </w:r>
    </w:p>
    <w:p w14:paraId="71D87334" w14:textId="1D010EF1" w:rsidR="00351EB2" w:rsidRDefault="00351EB2" w:rsidP="006E5DEC">
      <w:r>
        <w:t xml:space="preserve">The attached </w:t>
      </w:r>
      <w:r w:rsidRPr="00351EB2">
        <w:t>NATO Information Document</w:t>
      </w:r>
      <w:r>
        <w:t xml:space="preserve"> provides further direction and guidance.</w:t>
      </w:r>
    </w:p>
    <w:p w14:paraId="2FC19248" w14:textId="057EBAFE" w:rsidR="00A7043E" w:rsidRDefault="006E5DEC" w:rsidP="006E5DEC">
      <w:r>
        <w:lastRenderedPageBreak/>
        <w:t xml:space="preserve">For the avoidance of doubt: </w:t>
      </w:r>
      <w:r>
        <w:rPr>
          <w:b/>
          <w:bCs/>
        </w:rPr>
        <w:t xml:space="preserve">Endorsement does not come with any financial or resource commitment from the Royal Navy or NATO. </w:t>
      </w:r>
      <w:r>
        <w:t>Any formal procurement process will be undertaken in accordance with the relevant Procurement Law. Nothing in the event or any other engagements with Industry prior to a formal procurement process, shall be construed as a representation as to the Authority’s ultimate decision in relation to any future requirement.</w:t>
      </w:r>
    </w:p>
    <w:p w14:paraId="46A53EE0" w14:textId="4E6D9251" w:rsidR="00607DAA" w:rsidRDefault="00F52ED6" w:rsidP="006E5DEC">
      <w:hyperlink r:id="rId7" w:history="1">
        <w:r w:rsidRPr="00F52ED6">
          <w:rPr>
            <w:rStyle w:val="Hyperlink"/>
          </w:rPr>
          <w:t>Please submit capabilities via this form.</w:t>
        </w:r>
      </w:hyperlink>
    </w:p>
    <w:p w14:paraId="0EDE33FC" w14:textId="77777777" w:rsidR="00F52ED6" w:rsidRDefault="00F52ED6" w:rsidP="006E5DEC"/>
    <w:sectPr w:rsidR="00F52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41B0" w14:textId="77777777" w:rsidR="00395ECC" w:rsidRDefault="00395ECC" w:rsidP="00133B2B">
      <w:pPr>
        <w:spacing w:after="0" w:line="240" w:lineRule="auto"/>
      </w:pPr>
      <w:r>
        <w:separator/>
      </w:r>
    </w:p>
  </w:endnote>
  <w:endnote w:type="continuationSeparator" w:id="0">
    <w:p w14:paraId="18055688" w14:textId="77777777" w:rsidR="00395ECC" w:rsidRDefault="00395ECC" w:rsidP="0013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BA8D" w14:textId="77777777" w:rsidR="00395ECC" w:rsidRDefault="00395ECC" w:rsidP="00133B2B">
      <w:pPr>
        <w:spacing w:after="0" w:line="240" w:lineRule="auto"/>
      </w:pPr>
      <w:r>
        <w:separator/>
      </w:r>
    </w:p>
  </w:footnote>
  <w:footnote w:type="continuationSeparator" w:id="0">
    <w:p w14:paraId="16480078" w14:textId="77777777" w:rsidR="00395ECC" w:rsidRDefault="00395ECC" w:rsidP="00133B2B">
      <w:pPr>
        <w:spacing w:after="0" w:line="240" w:lineRule="auto"/>
      </w:pPr>
      <w:r>
        <w:continuationSeparator/>
      </w:r>
    </w:p>
  </w:footnote>
  <w:footnote w:id="1">
    <w:p w14:paraId="0211348A" w14:textId="14685BA2" w:rsidR="00133B2B" w:rsidRPr="00133B2B" w:rsidRDefault="00133B2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133B2B">
        <w:t>Turnover or balance sheet total</w:t>
      </w:r>
      <w:r>
        <w:t xml:space="preserve"> </w:t>
      </w:r>
      <w:r w:rsidRPr="00133B2B">
        <w:t>less than or equal to €10 million or €10 million</w:t>
      </w:r>
      <w:r>
        <w:t>, headcount less than 50.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23F68"/>
    <w:multiLevelType w:val="hybridMultilevel"/>
    <w:tmpl w:val="CB90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EC"/>
    <w:rsid w:val="000377C1"/>
    <w:rsid w:val="000D04E7"/>
    <w:rsid w:val="000D50D3"/>
    <w:rsid w:val="00133B2B"/>
    <w:rsid w:val="001612F7"/>
    <w:rsid w:val="001B563E"/>
    <w:rsid w:val="001B5A4F"/>
    <w:rsid w:val="002030BC"/>
    <w:rsid w:val="002136C2"/>
    <w:rsid w:val="002F6E3F"/>
    <w:rsid w:val="003335CB"/>
    <w:rsid w:val="00351EB2"/>
    <w:rsid w:val="00395ECC"/>
    <w:rsid w:val="003E244A"/>
    <w:rsid w:val="003E7CCC"/>
    <w:rsid w:val="00476ABE"/>
    <w:rsid w:val="00496DA0"/>
    <w:rsid w:val="004E22DC"/>
    <w:rsid w:val="00513071"/>
    <w:rsid w:val="005E6C27"/>
    <w:rsid w:val="00607DAA"/>
    <w:rsid w:val="00653322"/>
    <w:rsid w:val="006A3418"/>
    <w:rsid w:val="006E5DEC"/>
    <w:rsid w:val="00727277"/>
    <w:rsid w:val="00797BF7"/>
    <w:rsid w:val="00815181"/>
    <w:rsid w:val="009B6431"/>
    <w:rsid w:val="009C7BFC"/>
    <w:rsid w:val="009F6D6F"/>
    <w:rsid w:val="00A7043E"/>
    <w:rsid w:val="00AA20DB"/>
    <w:rsid w:val="00AD05E2"/>
    <w:rsid w:val="00BD1DA8"/>
    <w:rsid w:val="00C02FF6"/>
    <w:rsid w:val="00C5406E"/>
    <w:rsid w:val="00CC6B38"/>
    <w:rsid w:val="00DF7ED8"/>
    <w:rsid w:val="00E004BF"/>
    <w:rsid w:val="00E674A0"/>
    <w:rsid w:val="00E97F90"/>
    <w:rsid w:val="00EA0373"/>
    <w:rsid w:val="00EB1ADF"/>
    <w:rsid w:val="00ED0564"/>
    <w:rsid w:val="00F30072"/>
    <w:rsid w:val="00F52ED6"/>
    <w:rsid w:val="00F5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E140"/>
  <w15:chartTrackingRefBased/>
  <w15:docId w15:val="{F6C08824-B3CB-4B79-B9D5-B45E7394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626"/>
    <w:pPr>
      <w:spacing w:after="200" w:line="276" w:lineRule="auto"/>
    </w:pPr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D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1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2F7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2F7"/>
    <w:rPr>
      <w:b/>
      <w:bCs/>
      <w:sz w:val="20"/>
      <w:szCs w:val="20"/>
    </w:rPr>
  </w:style>
  <w:style w:type="table" w:customStyle="1" w:styleId="Tabelacomgrelha1">
    <w:name w:val="Tabela com grelha1"/>
    <w:basedOn w:val="TableNormal"/>
    <w:uiPriority w:val="59"/>
    <w:rsid w:val="00F53626"/>
    <w:pPr>
      <w:spacing w:after="0" w:line="240" w:lineRule="auto"/>
    </w:pPr>
    <w:rPr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B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33B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B2B"/>
    <w:rPr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133B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7BFC"/>
    <w:pPr>
      <w:spacing w:after="0" w:line="240" w:lineRule="auto"/>
      <w:ind w:left="720"/>
    </w:pPr>
    <w:rPr>
      <w:rFonts w:ascii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DF7E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7WB3vlNZS0iuldChbfoJ5YYQkh3NJF9EpJBW6irBnIZUQUZRUEk3MTlUSTdQVUVNQU9MN1M0WkI2NS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Beaton</dc:creator>
  <cp:keywords/>
  <dc:description/>
  <cp:lastModifiedBy>Llewellyn, Louisa C2 (NAVY FD-COMRCL-Mgr4 Pre-Sourcing)</cp:lastModifiedBy>
  <cp:revision>6</cp:revision>
  <dcterms:created xsi:type="dcterms:W3CDTF">2023-01-16T09:59:00Z</dcterms:created>
  <dcterms:modified xsi:type="dcterms:W3CDTF">2023-01-16T11:53:00Z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2022-12-06T09:38:55Z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f05a0178-51a5-498c-b5a2-e6df48f189ad</vt:lpwstr>
  </property>
  <property fmtid="{D5CDD505-2E9C-101B-9397-08002B2CF9AE}" pid="8" name="MSIP_Label_d8a60473-494b-4586-a1bb-b0e663054676_ContentBits">
    <vt:lpwstr>0</vt:lpwstr>
  </property>
</Properties>
</file>