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Pr="005D7675" w:rsidRDefault="00045DB9" w:rsidP="00200E60">
      <w:pPr>
        <w:pStyle w:val="Heading2"/>
        <w:numPr>
          <w:ilvl w:val="0"/>
          <w:numId w:val="0"/>
        </w:numPr>
        <w:jc w:val="center"/>
        <w:rPr>
          <w:b/>
        </w:rPr>
      </w:pPr>
      <w:r>
        <w:rPr>
          <w:b/>
        </w:rPr>
        <w:t>NHS Arden &amp; GEM CSU</w:t>
      </w:r>
    </w:p>
    <w:p w:rsidR="00273B26" w:rsidRPr="005D7675" w:rsidRDefault="00273B26" w:rsidP="00200E60">
      <w:pPr>
        <w:pStyle w:val="Heading2"/>
        <w:numPr>
          <w:ilvl w:val="0"/>
          <w:numId w:val="0"/>
        </w:numPr>
        <w:jc w:val="center"/>
        <w:rPr>
          <w:b/>
        </w:rPr>
      </w:pPr>
    </w:p>
    <w:p w:rsidR="00200E60" w:rsidRPr="005D7675" w:rsidRDefault="00336D0E" w:rsidP="00200E60">
      <w:pPr>
        <w:pStyle w:val="Heading2"/>
        <w:numPr>
          <w:ilvl w:val="0"/>
          <w:numId w:val="0"/>
        </w:numPr>
        <w:jc w:val="center"/>
        <w:rPr>
          <w:b/>
        </w:rPr>
      </w:pPr>
      <w:r w:rsidRPr="005D7675">
        <w:rPr>
          <w:b/>
        </w:rPr>
        <w:t xml:space="preserve">Invitation to tender for </w:t>
      </w:r>
      <w:r w:rsidR="004D660D" w:rsidRPr="004D660D">
        <w:rPr>
          <w:b/>
        </w:rPr>
        <w:t>PBR Analysis and Recommendations</w:t>
      </w:r>
      <w:r w:rsidR="004D660D">
        <w:rPr>
          <w:b/>
        </w:rPr>
        <w:t xml:space="preserve"> </w:t>
      </w:r>
      <w:r w:rsidR="00045DB9" w:rsidRPr="00045DB9">
        <w:rPr>
          <w:b/>
        </w:rPr>
        <w:t>for NHS England</w:t>
      </w:r>
    </w:p>
    <w:p w:rsidR="00B45130" w:rsidRPr="005D7675" w:rsidRDefault="00B45130" w:rsidP="00200E60">
      <w:pPr>
        <w:pStyle w:val="Heading2"/>
        <w:numPr>
          <w:ilvl w:val="0"/>
          <w:numId w:val="0"/>
        </w:numPr>
        <w:jc w:val="center"/>
        <w:rPr>
          <w:b/>
        </w:rPr>
      </w:pPr>
    </w:p>
    <w:p w:rsidR="00AD1F28" w:rsidRPr="005D7675" w:rsidRDefault="00AD1F28" w:rsidP="00AD1F28">
      <w:pPr>
        <w:pStyle w:val="Heading2"/>
        <w:numPr>
          <w:ilvl w:val="0"/>
          <w:numId w:val="0"/>
        </w:numPr>
        <w:jc w:val="center"/>
        <w:rPr>
          <w:b/>
          <w:shd w:val="clear" w:color="auto" w:fill="FFFF66"/>
        </w:rPr>
      </w:pPr>
      <w:r w:rsidRPr="005D7675">
        <w:rPr>
          <w:b/>
        </w:rPr>
        <w:t xml:space="preserve">Date of advertisement on Contract Finder:  </w:t>
      </w:r>
      <w:r w:rsidR="007F7073">
        <w:rPr>
          <w:b/>
        </w:rPr>
        <w:t>26</w:t>
      </w:r>
      <w:r w:rsidR="007F7073">
        <w:rPr>
          <w:b/>
          <w:vertAlign w:val="superscript"/>
        </w:rPr>
        <w:t>th</w:t>
      </w:r>
      <w:r w:rsidR="004D660D">
        <w:rPr>
          <w:b/>
        </w:rPr>
        <w:t xml:space="preserve"> September 2017</w:t>
      </w:r>
    </w:p>
    <w:p w:rsidR="00AD1F28" w:rsidRPr="005D7675" w:rsidRDefault="00AD1F28" w:rsidP="00AD1F28">
      <w:pPr>
        <w:pStyle w:val="Heading2"/>
        <w:numPr>
          <w:ilvl w:val="0"/>
          <w:numId w:val="0"/>
        </w:numPr>
        <w:jc w:val="center"/>
        <w:rPr>
          <w:b/>
          <w:shd w:val="clear" w:color="auto" w:fill="FFFF66"/>
        </w:rPr>
      </w:pPr>
    </w:p>
    <w:p w:rsidR="00AD1F28" w:rsidRPr="005D7675" w:rsidRDefault="00AD1F28" w:rsidP="00AD1F28">
      <w:pPr>
        <w:pStyle w:val="Heading2"/>
        <w:numPr>
          <w:ilvl w:val="0"/>
          <w:numId w:val="0"/>
        </w:numPr>
        <w:jc w:val="center"/>
        <w:rPr>
          <w:b/>
          <w:shd w:val="clear" w:color="auto" w:fill="FFFF66"/>
        </w:rPr>
      </w:pPr>
    </w:p>
    <w:p w:rsidR="00AD1F28" w:rsidRPr="005D7675" w:rsidRDefault="008F4E47" w:rsidP="00AD1F28">
      <w:pPr>
        <w:pStyle w:val="Heading2"/>
        <w:numPr>
          <w:ilvl w:val="0"/>
          <w:numId w:val="0"/>
        </w:numPr>
        <w:jc w:val="center"/>
        <w:rPr>
          <w:b/>
        </w:rPr>
      </w:pPr>
      <w:r w:rsidRPr="005D7675">
        <w:rPr>
          <w:b/>
        </w:rPr>
        <w:t>Authority'</w:t>
      </w:r>
      <w:r w:rsidR="008B31FD" w:rsidRPr="005D7675">
        <w:rPr>
          <w:b/>
        </w:rPr>
        <w:t xml:space="preserve">s reference number:  </w:t>
      </w:r>
      <w:r w:rsidR="00C23BA6" w:rsidRPr="005D7675">
        <w:rPr>
          <w:b/>
        </w:rPr>
        <w:t>AGEMCSU/TRANS/1</w:t>
      </w:r>
      <w:r w:rsidR="00481FEF" w:rsidRPr="005D7675">
        <w:rPr>
          <w:b/>
        </w:rPr>
        <w:t>7</w:t>
      </w:r>
      <w:r w:rsidR="00045DB9">
        <w:rPr>
          <w:b/>
        </w:rPr>
        <w:t>/4</w:t>
      </w:r>
      <w:r w:rsidR="001F1B32">
        <w:rPr>
          <w:b/>
        </w:rPr>
        <w:t>67</w:t>
      </w:r>
      <w:bookmarkStart w:id="0" w:name="_GoBack"/>
      <w:bookmarkEnd w:id="0"/>
    </w:p>
    <w:p w:rsidR="00B45130" w:rsidRPr="005D7675" w:rsidRDefault="00B45130" w:rsidP="00200E60">
      <w:pPr>
        <w:pStyle w:val="Heading2"/>
        <w:numPr>
          <w:ilvl w:val="0"/>
          <w:numId w:val="0"/>
        </w:numPr>
        <w:jc w:val="center"/>
        <w:rPr>
          <w:b/>
        </w:rPr>
      </w:pPr>
    </w:p>
    <w:p w:rsidR="00AD1F28" w:rsidRPr="005D7675" w:rsidRDefault="00AD1F28" w:rsidP="00200E60">
      <w:pPr>
        <w:pStyle w:val="Heading2"/>
        <w:numPr>
          <w:ilvl w:val="0"/>
          <w:numId w:val="0"/>
        </w:numPr>
        <w:jc w:val="center"/>
        <w:rPr>
          <w:b/>
        </w:rPr>
      </w:pPr>
    </w:p>
    <w:p w:rsidR="00200E60" w:rsidRPr="005D7675" w:rsidRDefault="00200E60" w:rsidP="00200E60">
      <w:pPr>
        <w:pStyle w:val="Heading2"/>
        <w:numPr>
          <w:ilvl w:val="0"/>
          <w:numId w:val="0"/>
        </w:numPr>
        <w:jc w:val="center"/>
        <w:rPr>
          <w:b/>
        </w:rPr>
      </w:pPr>
      <w:r w:rsidRPr="005D7675">
        <w:rPr>
          <w:b/>
        </w:rPr>
        <w:t xml:space="preserve">Deadline for </w:t>
      </w:r>
      <w:r w:rsidR="005D7098" w:rsidRPr="005D7675">
        <w:rPr>
          <w:b/>
        </w:rPr>
        <w:t>Tenders</w:t>
      </w:r>
      <w:r w:rsidR="004E51D1" w:rsidRPr="005D7675">
        <w:rPr>
          <w:b/>
        </w:rPr>
        <w:t xml:space="preserve"> to be received:  </w:t>
      </w:r>
      <w:r w:rsidR="00481FEF" w:rsidRPr="005D7675">
        <w:rPr>
          <w:b/>
        </w:rPr>
        <w:t xml:space="preserve">5pm Friday </w:t>
      </w:r>
      <w:r w:rsidR="00045DB9">
        <w:rPr>
          <w:b/>
        </w:rPr>
        <w:t>1</w:t>
      </w:r>
      <w:r w:rsidR="00925004">
        <w:rPr>
          <w:b/>
        </w:rPr>
        <w:t>0</w:t>
      </w:r>
      <w:r w:rsidR="00481FEF" w:rsidRPr="005D7675">
        <w:rPr>
          <w:b/>
          <w:vertAlign w:val="superscript"/>
        </w:rPr>
        <w:t>th</w:t>
      </w:r>
      <w:r w:rsidR="00481FEF" w:rsidRPr="005D7675">
        <w:rPr>
          <w:b/>
        </w:rPr>
        <w:t xml:space="preserve"> </w:t>
      </w:r>
      <w:r w:rsidR="004D660D">
        <w:rPr>
          <w:b/>
        </w:rPr>
        <w:t xml:space="preserve">October </w:t>
      </w:r>
      <w:r w:rsidR="00481FEF" w:rsidRPr="005D7675">
        <w:rPr>
          <w:b/>
        </w:rPr>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1F1B32"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1F1B32"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1F1B32"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1F1B32"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1" w:name="_Toc403556501"/>
      <w:bookmarkStart w:id="2" w:name="_Toc403556506"/>
      <w:r w:rsidRPr="008F3D2C">
        <w:rPr>
          <w:sz w:val="20"/>
          <w:szCs w:val="20"/>
        </w:rPr>
        <w:lastRenderedPageBreak/>
        <w:t>INTRODUCTION AND BACKGROUND</w:t>
      </w:r>
      <w:bookmarkEnd w:id="1"/>
      <w:bookmarkEnd w:id="2"/>
    </w:p>
    <w:p w:rsidR="003E3276" w:rsidRPr="007724D1" w:rsidRDefault="00045DB9" w:rsidP="004D660D">
      <w:pPr>
        <w:pStyle w:val="MRNumberedHeading2"/>
      </w:pPr>
      <w:bookmarkStart w:id="3" w:name="_Toc403555077"/>
      <w:r>
        <w:t xml:space="preserve">NHS Arden &amp; GEM CSU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 xml:space="preserve">ender </w:t>
      </w:r>
      <w:r>
        <w:t xml:space="preserve">on behalf of NHS England </w:t>
      </w:r>
      <w:r w:rsidR="003E3276" w:rsidRPr="007724D1">
        <w:t>("</w:t>
      </w:r>
      <w:r w:rsidR="003E3276" w:rsidRPr="007724D1">
        <w:rPr>
          <w:b/>
        </w:rPr>
        <w:t>ITT</w:t>
      </w:r>
      <w:r w:rsidR="003E3276" w:rsidRPr="007724D1">
        <w:t xml:space="preserve">") in connection with </w:t>
      </w:r>
      <w:r w:rsidR="008F4E47">
        <w:t>the</w:t>
      </w:r>
      <w:bookmarkEnd w:id="3"/>
      <w:r w:rsidR="00481FEF">
        <w:t xml:space="preserve"> provision of </w:t>
      </w:r>
      <w:r w:rsidR="004D660D" w:rsidRPr="004D660D">
        <w:t>PBR Analysis and Recommendations</w:t>
      </w:r>
      <w:r>
        <w:t xml:space="preserve"> </w:t>
      </w:r>
      <w:r w:rsidR="00481FEF">
        <w:t>as set out within the Service Specification</w:t>
      </w:r>
    </w:p>
    <w:p w:rsidR="003E3276" w:rsidRPr="007724D1" w:rsidRDefault="003E3276" w:rsidP="006B54D6">
      <w:pPr>
        <w:pStyle w:val="MRNumberedHeading2"/>
      </w:pPr>
      <w:bookmarkStart w:id="4" w:name="_Toc403555078"/>
      <w:r w:rsidRPr="007724D1">
        <w:t xml:space="preserve">This ITT Section A contains further </w:t>
      </w:r>
      <w:r w:rsidRPr="003E3276">
        <w:t>information</w:t>
      </w:r>
      <w:r w:rsidRPr="007724D1">
        <w:t xml:space="preserve"> about the procurement process.</w:t>
      </w:r>
      <w:bookmarkEnd w:id="4"/>
      <w:r w:rsidRPr="007724D1">
        <w:t xml:space="preserve">  </w:t>
      </w:r>
    </w:p>
    <w:p w:rsidR="003E3276" w:rsidRDefault="003E3276" w:rsidP="006B54D6">
      <w:pPr>
        <w:pStyle w:val="MRNumberedHeading2"/>
      </w:pPr>
      <w:bookmarkStart w:id="5"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5"/>
    </w:p>
    <w:p w:rsidR="003E3276" w:rsidRPr="00FB2FE9" w:rsidRDefault="00336D0E" w:rsidP="006B54D6">
      <w:pPr>
        <w:pStyle w:val="MRNumberedHeading2"/>
      </w:pPr>
      <w:bookmarkStart w:id="6"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6"/>
    </w:p>
    <w:bookmarkStart w:id="7" w:name="_Toc403555081"/>
    <w:bookmarkStart w:id="8" w:name="_Ref406062423"/>
    <w:p w:rsidR="003E3276" w:rsidRPr="00C32150" w:rsidRDefault="004230E7" w:rsidP="002B7273">
      <w:pPr>
        <w:pStyle w:val="MRNumberedHeading2"/>
        <w:jc w:val="left"/>
      </w:pPr>
      <w:r w:rsidRPr="00C32150">
        <w:rPr>
          <w:noProof/>
        </w:rPr>
        <mc:AlternateContent>
          <mc:Choice Requires="wps">
            <w:drawing>
              <wp:anchor distT="0" distB="0" distL="114300" distR="114300" simplePos="0" relativeHeight="251721728" behindDoc="0" locked="0" layoutInCell="1" allowOverlap="1" wp14:anchorId="1995B0A5" wp14:editId="1EA674A6">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rsidRPr="00C32150">
        <w:t>The Authority is using the Bravo</w:t>
      </w:r>
      <w:r w:rsidR="00D66E43" w:rsidRPr="00C32150">
        <w:t xml:space="preserve"> e-t</w:t>
      </w:r>
      <w:r w:rsidR="0050545F" w:rsidRPr="00C32150">
        <w:t>endering</w:t>
      </w:r>
      <w:r w:rsidR="003E3276" w:rsidRPr="00C32150">
        <w:t xml:space="preserve"> </w:t>
      </w:r>
      <w:r w:rsidR="00D66E43" w:rsidRPr="00C32150">
        <w:t>p</w:t>
      </w:r>
      <w:r w:rsidRPr="00C32150">
        <w:t>ortal</w:t>
      </w:r>
      <w:r w:rsidR="003E3276" w:rsidRPr="00C32150">
        <w:t xml:space="preserve"> to conduct the procurement process</w:t>
      </w:r>
      <w:r w:rsidR="00A60BD1" w:rsidRPr="00C32150">
        <w:t xml:space="preserve"> ("</w:t>
      </w:r>
      <w:r w:rsidR="00A60BD1" w:rsidRPr="00C32150">
        <w:rPr>
          <w:b/>
        </w:rPr>
        <w:t xml:space="preserve">the </w:t>
      </w:r>
      <w:r w:rsidR="0050545F" w:rsidRPr="00C32150">
        <w:rPr>
          <w:b/>
        </w:rPr>
        <w:t xml:space="preserve">e-Tendering </w:t>
      </w:r>
      <w:r w:rsidR="00A60BD1" w:rsidRPr="00C32150">
        <w:rPr>
          <w:b/>
        </w:rPr>
        <w:t>Portal</w:t>
      </w:r>
      <w:r w:rsidR="00A60BD1" w:rsidRPr="00C32150">
        <w:t xml:space="preserve">"). The </w:t>
      </w:r>
      <w:r w:rsidR="0050545F" w:rsidRPr="00C32150">
        <w:t xml:space="preserve">e-Tendering </w:t>
      </w:r>
      <w:r w:rsidR="00A60BD1" w:rsidRPr="00C32150">
        <w:t>Portal</w:t>
      </w:r>
      <w:r w:rsidR="008F4E47" w:rsidRPr="00C32150">
        <w:t xml:space="preserve"> can be accessed </w:t>
      </w:r>
      <w:hyperlink r:id="rId13" w:history="1">
        <w:r w:rsidR="002B7273" w:rsidRPr="00C32150">
          <w:rPr>
            <w:rStyle w:val="Hyperlink"/>
          </w:rPr>
          <w:t>www.ardengemcsu.bravosolution.co.uk</w:t>
        </w:r>
      </w:hyperlink>
      <w:r w:rsidR="002B7273" w:rsidRPr="00C32150">
        <w:t xml:space="preserve">. </w:t>
      </w:r>
      <w:r w:rsidR="003E3276" w:rsidRPr="00C32150">
        <w:t>All communica</w:t>
      </w:r>
      <w:r w:rsidR="00336D0E" w:rsidRPr="00C32150">
        <w:t>tions (including submission of T</w:t>
      </w:r>
      <w:r w:rsidR="003E3276" w:rsidRPr="00C32150">
        <w:t xml:space="preserve">enders) should be carried out via the </w:t>
      </w:r>
      <w:r w:rsidR="0050545F" w:rsidRPr="00C32150">
        <w:t xml:space="preserve">e-Tendering </w:t>
      </w:r>
      <w:r w:rsidRPr="00C32150">
        <w:t>Portal</w:t>
      </w:r>
      <w:r w:rsidR="003E3276" w:rsidRPr="00C32150">
        <w:t>.</w:t>
      </w:r>
      <w:bookmarkEnd w:id="7"/>
      <w:bookmarkEnd w:id="8"/>
    </w:p>
    <w:p w:rsidR="006111AA" w:rsidRDefault="006111AA" w:rsidP="006B54D6">
      <w:pPr>
        <w:pStyle w:val="MRNumberedHeading2"/>
      </w:pPr>
      <w:r>
        <w:t>This procurement process</w:t>
      </w:r>
      <w:r w:rsidR="00481FEF">
        <w:t xml:space="preserve"> is a </w:t>
      </w:r>
      <w:r w:rsidR="00481FEF" w:rsidRPr="00481FEF">
        <w:rPr>
          <w:b/>
          <w:u w:val="single"/>
        </w:rPr>
        <w:t>below threshold procurement</w:t>
      </w:r>
      <w:r w:rsidR="00481FEF">
        <w:t xml:space="preserve"> and </w:t>
      </w:r>
      <w:r>
        <w:t>is not regulated by</w:t>
      </w:r>
      <w:r w:rsidR="00014E77">
        <w:t xml:space="preserve"> P</w:t>
      </w:r>
      <w:r w:rsidR="008C5577">
        <w:t>arts 2 and 3 of</w:t>
      </w:r>
      <w:r>
        <w:t xml:space="preserve"> the P</w:t>
      </w:r>
      <w:r w:rsidR="003B1EDB">
        <w:t>ublic Contracts Regulations 2015</w:t>
      </w:r>
      <w:r>
        <w:t>.</w:t>
      </w:r>
      <w:r w:rsidR="005D7675">
        <w:t xml:space="preserve">  </w:t>
      </w:r>
    </w:p>
    <w:p w:rsidR="00247F0F" w:rsidRPr="003E3276" w:rsidRDefault="00247F0F" w:rsidP="00337295">
      <w:pPr>
        <w:pStyle w:val="Heading1"/>
        <w:spacing w:before="240" w:after="0"/>
        <w:ind w:left="709"/>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rsidR="00AD3446" w:rsidRPr="003E3276" w:rsidRDefault="00AD3446" w:rsidP="006B54D6">
      <w:pPr>
        <w:pStyle w:val="MRNumberedHeading2"/>
        <w:rPr>
          <w:b/>
        </w:rPr>
      </w:pPr>
      <w:bookmarkStart w:id="10" w:name="_Toc403555083"/>
      <w:bookmarkStart w:id="11" w:name="_Ref405452631"/>
      <w:r>
        <w:t>This ITT document consists of:</w:t>
      </w:r>
      <w:bookmarkEnd w:id="10"/>
      <w:bookmarkEnd w:id="11"/>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2" w:name="_Ref405453364"/>
            <w:r>
              <w:t xml:space="preserve">Annex </w:t>
            </w:r>
            <w:r w:rsidR="006E3892">
              <w:t>A</w:t>
            </w:r>
            <w:r>
              <w:t>1</w:t>
            </w:r>
            <w:bookmarkEnd w:id="12"/>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3" w:name="handonesix"/>
            <w:bookmarkEnd w:id="13"/>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4" w:name="_Toc403555084"/>
      <w:r>
        <w:lastRenderedPageBreak/>
        <w:t xml:space="preserve">Introduction to the </w:t>
      </w:r>
      <w:r w:rsidR="00740C0F">
        <w:t>procurement</w:t>
      </w:r>
      <w:bookmarkEnd w:id="14"/>
      <w:r>
        <w:t xml:space="preserve"> </w:t>
      </w:r>
      <w:bookmarkStart w:id="15" w:name="_Toc403555085"/>
      <w:bookmarkStart w:id="16" w:name="_Ref405466279"/>
      <w:bookmarkStart w:id="17"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5"/>
      <w:bookmarkEnd w:id="16"/>
      <w:bookmarkEnd w:id="17"/>
      <w:r w:rsidR="00CF3C3F" w:rsidRPr="002D2E91">
        <w:t xml:space="preserve"> </w:t>
      </w:r>
    </w:p>
    <w:p w:rsidR="00603A0D" w:rsidRDefault="00603A0D" w:rsidP="006B54D6">
      <w:pPr>
        <w:pStyle w:val="MRNumberedHeading2"/>
      </w:pPr>
      <w:bookmarkStart w:id="18" w:name="_Toc403555087"/>
      <w:r w:rsidRPr="00533CB2">
        <w:t xml:space="preserve">Full details of the Authority's requirements are set out in the Specification in </w:t>
      </w:r>
      <w:r w:rsidR="007F5F02">
        <w:t>Annex B2</w:t>
      </w:r>
      <w:r w:rsidR="0050545F">
        <w:t xml:space="preserve"> of Section B</w:t>
      </w:r>
      <w:r w:rsidR="007F5F02">
        <w:t>.</w:t>
      </w:r>
      <w:bookmarkEnd w:id="18"/>
      <w:r w:rsidR="007F5F02">
        <w:t xml:space="preserve"> </w:t>
      </w:r>
    </w:p>
    <w:p w:rsidR="008F4E47" w:rsidRPr="008F4E47" w:rsidRDefault="00CF3C3F" w:rsidP="008F4E47">
      <w:pPr>
        <w:pStyle w:val="Heading1"/>
        <w:spacing w:before="240" w:after="0"/>
        <w:ind w:left="709"/>
        <w:rPr>
          <w:b w:val="0"/>
        </w:rPr>
      </w:pPr>
      <w:bookmarkStart w:id="19" w:name="_Toc403555088"/>
      <w:r w:rsidRPr="008F4E47">
        <w:rPr>
          <w:color w:val="auto"/>
          <w:szCs w:val="24"/>
        </w:rPr>
        <w:t>SMEs</w:t>
      </w:r>
      <w:bookmarkStart w:id="20" w:name="_Toc403555089"/>
      <w:bookmarkEnd w:id="19"/>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20"/>
      <w:r w:rsidRPr="00C816AC">
        <w:t xml:space="preserve">  </w:t>
      </w:r>
    </w:p>
    <w:bookmarkStart w:id="21" w:name="_Toc403555090"/>
    <w:bookmarkStart w:id="22"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1"/>
      <w:bookmarkEnd w:id="22"/>
    </w:p>
    <w:bookmarkStart w:id="23"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3"/>
    </w:p>
    <w:p w:rsidR="00A4489A" w:rsidRPr="009A3E29" w:rsidRDefault="00825FC5" w:rsidP="006B54D6">
      <w:pPr>
        <w:pStyle w:val="MRNumberedHeading2"/>
      </w:pPr>
      <w:bookmarkStart w:id="24" w:name="_Toc403555094"/>
      <w:bookmarkStart w:id="25" w:name="_Ref405452872"/>
      <w:r>
        <w:t>Yo</w:t>
      </w:r>
      <w:r w:rsidR="008B31FD">
        <w:t>u may submit, by no later than</w:t>
      </w:r>
      <w:r w:rsidR="00481FEF">
        <w:t xml:space="preserve"> </w:t>
      </w:r>
      <w:r w:rsidR="004D660D">
        <w:t>9</w:t>
      </w:r>
      <w:r w:rsidR="004D660D" w:rsidRPr="004D660D">
        <w:rPr>
          <w:vertAlign w:val="superscript"/>
        </w:rPr>
        <w:t>th</w:t>
      </w:r>
      <w:r w:rsidR="004D660D">
        <w:t xml:space="preserve"> October </w:t>
      </w:r>
      <w:r w:rsidR="00481FEF">
        <w:t>2017</w:t>
      </w:r>
      <w:r>
        <w:t xml:space="preserve"> any queries that you have relating to this ITT.  </w:t>
      </w:r>
      <w:r w:rsidRPr="006E1160">
        <w:t xml:space="preserve">Please submit such queries </w:t>
      </w:r>
      <w:r w:rsidR="00CF3C3F" w:rsidRPr="006E1160">
        <w:t>via the</w:t>
      </w:r>
      <w:r w:rsidR="0050545F" w:rsidRPr="006E1160">
        <w:t xml:space="preserve"> e-Tendering</w:t>
      </w:r>
      <w:r w:rsidR="00CF3C3F" w:rsidRPr="006E1160">
        <w:t xml:space="preserve"> </w:t>
      </w:r>
      <w:r w:rsidR="004230E7" w:rsidRPr="006E1160">
        <w:t>Portal</w:t>
      </w:r>
      <w:r w:rsidR="00CF3C3F">
        <w:t>.</w:t>
      </w:r>
      <w:bookmarkEnd w:id="24"/>
      <w:bookmarkEnd w:id="25"/>
    </w:p>
    <w:p w:rsidR="00825FC5" w:rsidRDefault="00825FC5" w:rsidP="006B54D6">
      <w:pPr>
        <w:pStyle w:val="MRNumberedHeading2"/>
      </w:pPr>
      <w:bookmarkStart w:id="26"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6"/>
    </w:p>
    <w:p w:rsidR="004E71FF" w:rsidRPr="005A2E47" w:rsidRDefault="00825FC5" w:rsidP="006B54D6">
      <w:pPr>
        <w:pStyle w:val="MRNumberedHeading2"/>
      </w:pPr>
      <w:bookmarkStart w:id="27"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7"/>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8" w:name="_Toc403556502"/>
      <w:bookmarkStart w:id="29" w:name="_Toc403556507"/>
      <w:r w:rsidRPr="008F3D2C">
        <w:rPr>
          <w:sz w:val="20"/>
          <w:szCs w:val="20"/>
        </w:rPr>
        <w:lastRenderedPageBreak/>
        <w:t>TENDER TIMETABLE</w:t>
      </w:r>
      <w:bookmarkEnd w:id="28"/>
      <w:bookmarkEnd w:id="29"/>
    </w:p>
    <w:p w:rsidR="008D3217" w:rsidRPr="00276E1B" w:rsidRDefault="008D3217" w:rsidP="00337295">
      <w:pPr>
        <w:pStyle w:val="Heading1"/>
        <w:spacing w:before="240" w:after="0"/>
        <w:ind w:left="709"/>
      </w:pPr>
      <w:bookmarkStart w:id="30" w:name="_Toc403555097"/>
      <w:r w:rsidRPr="00276E1B">
        <w:t>Key dates</w:t>
      </w:r>
      <w:bookmarkEnd w:id="30"/>
    </w:p>
    <w:p w:rsidR="008D3217" w:rsidRDefault="008D3217" w:rsidP="006B54D6">
      <w:pPr>
        <w:pStyle w:val="MRNumberedHeading2"/>
      </w:pPr>
      <w:bookmarkStart w:id="31"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1"/>
      <w:r w:rsidR="00B46DA5">
        <w:t xml:space="preserve"> </w:t>
      </w:r>
    </w:p>
    <w:p w:rsidR="00B46DA5" w:rsidRDefault="00FE07BA" w:rsidP="006B54D6">
      <w:pPr>
        <w:pStyle w:val="MRNumberedHeading2"/>
      </w:pPr>
      <w:bookmarkStart w:id="32" w:name="_Toc403555099"/>
      <w:bookmarkStart w:id="33" w:name="_Ref405452883"/>
      <w:bookmarkStart w:id="34" w:name="_Ref406061800"/>
      <w:bookmarkStart w:id="35" w:name="_Ref406062870"/>
      <w:r>
        <w:t>The key dates for this procurement are currently anticipated to be as follows:</w:t>
      </w:r>
      <w:bookmarkEnd w:id="32"/>
      <w:bookmarkEnd w:id="33"/>
      <w:bookmarkEnd w:id="34"/>
      <w:bookmarkEnd w:id="35"/>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2D2E91" w:rsidRDefault="007F7073" w:rsidP="004D660D">
            <w:pPr>
              <w:pStyle w:val="Heading2"/>
              <w:numPr>
                <w:ilvl w:val="0"/>
                <w:numId w:val="0"/>
              </w:numPr>
              <w:outlineLvl w:val="1"/>
            </w:pPr>
            <w:r>
              <w:t xml:space="preserve"> 26</w:t>
            </w:r>
            <w:r w:rsidRPr="007F7073">
              <w:rPr>
                <w:vertAlign w:val="superscript"/>
              </w:rPr>
              <w:t>th</w:t>
            </w:r>
            <w:r>
              <w:t xml:space="preserve"> September 2017 </w:t>
            </w: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3273D3" w:rsidRPr="002D2E91" w:rsidRDefault="007F7073" w:rsidP="004D660D">
            <w:pPr>
              <w:pStyle w:val="Heading2"/>
              <w:numPr>
                <w:ilvl w:val="0"/>
                <w:numId w:val="0"/>
              </w:numPr>
              <w:outlineLvl w:val="1"/>
            </w:pPr>
            <w:r>
              <w:t>6</w:t>
            </w:r>
            <w:r w:rsidR="004D660D" w:rsidRPr="004D660D">
              <w:rPr>
                <w:vertAlign w:val="superscript"/>
              </w:rPr>
              <w:t>th</w:t>
            </w:r>
            <w:r w:rsidR="004D660D">
              <w:t xml:space="preserve"> October </w:t>
            </w:r>
            <w:r w:rsidR="00045DB9">
              <w:t>20</w:t>
            </w:r>
            <w:r w:rsidR="00481FEF">
              <w:t>17</w:t>
            </w: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2D2E91" w:rsidRDefault="007F7073" w:rsidP="004D660D">
            <w:pPr>
              <w:pStyle w:val="Heading2"/>
              <w:numPr>
                <w:ilvl w:val="0"/>
                <w:numId w:val="0"/>
              </w:numPr>
              <w:tabs>
                <w:tab w:val="left" w:pos="1652"/>
              </w:tabs>
              <w:jc w:val="left"/>
              <w:outlineLvl w:val="1"/>
            </w:pPr>
            <w:r>
              <w:t>9</w:t>
            </w:r>
            <w:r w:rsidR="00045DB9" w:rsidRPr="00045DB9">
              <w:rPr>
                <w:vertAlign w:val="superscript"/>
              </w:rPr>
              <w:t>th</w:t>
            </w:r>
            <w:r w:rsidR="00045DB9">
              <w:t xml:space="preserve"> </w:t>
            </w:r>
            <w:r w:rsidR="004D660D">
              <w:t>October 2</w:t>
            </w:r>
            <w:r w:rsidR="00045DB9">
              <w:t>017</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481FEF" w:rsidRPr="002D2E91" w:rsidRDefault="007F7073" w:rsidP="004D660D">
            <w:pPr>
              <w:pStyle w:val="Heading2"/>
              <w:numPr>
                <w:ilvl w:val="0"/>
                <w:numId w:val="0"/>
              </w:numPr>
              <w:outlineLvl w:val="1"/>
            </w:pPr>
            <w:r>
              <w:t>10</w:t>
            </w:r>
            <w:r w:rsidR="004D660D" w:rsidRPr="004D660D">
              <w:rPr>
                <w:vertAlign w:val="superscript"/>
              </w:rPr>
              <w:t>th</w:t>
            </w:r>
            <w:r w:rsidR="004D660D">
              <w:t xml:space="preserve"> October </w:t>
            </w:r>
            <w:r w:rsidR="00045DB9">
              <w:t>2017</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3273D3" w:rsidRPr="002D2E91" w:rsidRDefault="00481FEF" w:rsidP="004D660D">
            <w:pPr>
              <w:pStyle w:val="Heading2"/>
              <w:numPr>
                <w:ilvl w:val="0"/>
                <w:numId w:val="0"/>
              </w:numPr>
              <w:outlineLvl w:val="1"/>
            </w:pPr>
            <w:proofErr w:type="gramStart"/>
            <w:r>
              <w:t>w/c</w:t>
            </w:r>
            <w:proofErr w:type="gramEnd"/>
            <w:r>
              <w:t xml:space="preserve"> </w:t>
            </w:r>
            <w:r w:rsidR="00045DB9">
              <w:t>1</w:t>
            </w:r>
            <w:r w:rsidR="004D660D">
              <w:t>6</w:t>
            </w:r>
            <w:r w:rsidR="007F7073">
              <w:rPr>
                <w:vertAlign w:val="superscript"/>
              </w:rPr>
              <w:t xml:space="preserve">th </w:t>
            </w:r>
            <w:r w:rsidR="00045DB9">
              <w:t xml:space="preserve"> </w:t>
            </w:r>
            <w:r w:rsidR="004D660D">
              <w:t xml:space="preserve">October </w:t>
            </w:r>
            <w:r w:rsidR="00045DB9">
              <w:t>2017</w:t>
            </w:r>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3273D3" w:rsidRPr="002D2E91" w:rsidRDefault="004D660D" w:rsidP="00045DB9">
            <w:pPr>
              <w:pStyle w:val="Heading2"/>
              <w:numPr>
                <w:ilvl w:val="0"/>
                <w:numId w:val="0"/>
              </w:numPr>
              <w:outlineLvl w:val="1"/>
            </w:pPr>
            <w:r>
              <w:t>October 2017</w:t>
            </w: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3273D3" w:rsidRPr="002D2E91" w:rsidRDefault="004D660D" w:rsidP="00FE07BA">
            <w:pPr>
              <w:pStyle w:val="Heading2"/>
              <w:numPr>
                <w:ilvl w:val="0"/>
                <w:numId w:val="0"/>
              </w:numPr>
              <w:outlineLvl w:val="1"/>
            </w:pPr>
            <w:r>
              <w:t>October 2017</w:t>
            </w:r>
          </w:p>
        </w:tc>
      </w:tr>
      <w:tr w:rsidR="00FE07BA" w:rsidTr="004D660D">
        <w:trPr>
          <w:trHeight w:val="215"/>
        </w:trPr>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3273D3" w:rsidRPr="002D2E91" w:rsidRDefault="004D660D" w:rsidP="00FE07BA">
            <w:pPr>
              <w:pStyle w:val="Heading2"/>
              <w:numPr>
                <w:ilvl w:val="0"/>
                <w:numId w:val="0"/>
              </w:numPr>
              <w:outlineLvl w:val="1"/>
            </w:pPr>
            <w:r>
              <w:t>November 2017</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7" w:name="handtwothree"/>
                    <w:bookmarkEnd w:id="37"/>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6" w:name="handtwoeleven"/>
                    <w:bookmarkEnd w:id="46"/>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w:t>
      </w:r>
      <w:r w:rsidR="005D7675">
        <w:t>y approvals are obtained</w:t>
      </w:r>
      <w:r w:rsidR="00E56F27">
        <w:t>, no c</w:t>
      </w:r>
      <w:r>
        <w:t>ontract(s) will be entered into.</w:t>
      </w:r>
      <w:bookmarkEnd w:id="49"/>
    </w:p>
    <w:bookmarkStart w:id="50" w:name="_Toc403555121"/>
    <w:bookmarkStart w:id="51" w:name="_Ref405452945"/>
    <w:p w:rsidR="004E71FF" w:rsidRPr="005A2E47"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07DABAAC" wp14:editId="6D37FB5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5" w:name="handtwoeighteen"/>
                    <w:bookmarkEnd w:id="55"/>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w:t>
      </w:r>
      <w:bookmarkEnd w:id="50"/>
      <w:bookmarkEnd w:id="51"/>
      <w:r w:rsidR="005D7675">
        <w:t>.</w:t>
      </w:r>
    </w:p>
    <w:p w:rsidR="008824CC" w:rsidRPr="008F3D2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lastRenderedPageBreak/>
        <w:t xml:space="preserve">INSTRUCTIONS TO </w:t>
      </w:r>
      <w:r w:rsidR="00E7163F" w:rsidRPr="008F3D2C">
        <w:rPr>
          <w:sz w:val="20"/>
          <w:szCs w:val="20"/>
        </w:rPr>
        <w:t>BIDDERS</w:t>
      </w:r>
      <w:bookmarkEnd w:id="53"/>
      <w:bookmarkEnd w:id="54"/>
      <w:r w:rsidRPr="008F3D2C">
        <w:rPr>
          <w:sz w:val="20"/>
          <w:szCs w:val="20"/>
        </w:rPr>
        <w:t xml:space="preserve"> </w:t>
      </w:r>
    </w:p>
    <w:p w:rsidR="006534CF" w:rsidRPr="00276E1B" w:rsidRDefault="00E41C42" w:rsidP="00337295">
      <w:pPr>
        <w:pStyle w:val="Heading1"/>
        <w:spacing w:before="240" w:after="0"/>
        <w:ind w:left="709"/>
      </w:pPr>
      <w:bookmarkStart w:id="55" w:name="_Toc403555122"/>
      <w:r w:rsidRPr="00276E1B">
        <w:t>Formalities for s</w:t>
      </w:r>
      <w:r w:rsidR="003E3EE7" w:rsidRPr="00276E1B">
        <w:t>ubmission of Tender</w:t>
      </w:r>
      <w:bookmarkEnd w:id="55"/>
      <w:r w:rsidR="00226AE3">
        <w:t>s</w:t>
      </w:r>
      <w:r w:rsidR="003E3EE7" w:rsidRPr="00276E1B">
        <w:t xml:space="preserve"> </w:t>
      </w:r>
    </w:p>
    <w:p w:rsidR="00EC14F3" w:rsidRPr="00C816AC" w:rsidRDefault="00E7163F" w:rsidP="006B54D6">
      <w:pPr>
        <w:pStyle w:val="MRNumberedHeading2"/>
      </w:pPr>
      <w:bookmarkStart w:id="56" w:name="_Toc403555123"/>
      <w:bookmarkStart w:id="57"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58" w:name="_Toc403555124"/>
      <w:bookmarkEnd w:id="56"/>
      <w:bookmarkEnd w:id="57"/>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58"/>
    </w:p>
    <w:p w:rsidR="00E62354" w:rsidRPr="00C816AC" w:rsidRDefault="00FC24F6" w:rsidP="006B54D6">
      <w:pPr>
        <w:pStyle w:val="MRNumberedHeading2"/>
        <w:rPr>
          <w:shd w:val="clear" w:color="auto" w:fill="FFFF66"/>
        </w:rPr>
      </w:pPr>
      <w:bookmarkStart w:id="59" w:name="_Toc403555125"/>
      <w:bookmarkStart w:id="60"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59"/>
      <w:bookmarkEnd w:id="60"/>
    </w:p>
    <w:p w:rsidR="00E62354" w:rsidRPr="005D7675" w:rsidRDefault="00C27CC2" w:rsidP="005D7675">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1"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1"/>
      <w:r>
        <w:t xml:space="preserve">  </w:t>
      </w:r>
    </w:p>
    <w:bookmarkStart w:id="62" w:name="_Toc403555127"/>
    <w:bookmarkStart w:id="63"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4" w:name="handthreefive"/>
                          <w:bookmarkEnd w:id="64"/>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8" w:name="handthreefive"/>
                    <w:bookmarkEnd w:id="68"/>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2"/>
      <w:bookmarkEnd w:id="63"/>
      <w:r w:rsidR="000E5C37">
        <w:t xml:space="preserve"> </w:t>
      </w:r>
    </w:p>
    <w:p w:rsidR="002471B4" w:rsidRDefault="00C27CC2" w:rsidP="006B54D6">
      <w:pPr>
        <w:pStyle w:val="MRNumberedHeading2"/>
      </w:pPr>
      <w:bookmarkStart w:id="65" w:name="_Toc403555128"/>
      <w:bookmarkStart w:id="66" w:name="_Ref413143046"/>
      <w:r>
        <w:t>Tenders will be evaluated on the basis o</w:t>
      </w:r>
      <w:r w:rsidR="00A7044C">
        <w:t>f information submitted by the d</w:t>
      </w:r>
      <w:r>
        <w:t>eadline.</w:t>
      </w:r>
      <w:bookmarkEnd w:id="65"/>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66"/>
      <w:r w:rsidR="008C5577">
        <w:t xml:space="preserve"> </w:t>
      </w:r>
    </w:p>
    <w:p w:rsidR="00C45A8E" w:rsidRDefault="0017043F" w:rsidP="006B54D6">
      <w:pPr>
        <w:pStyle w:val="MRNumberedHeading2"/>
      </w:pPr>
      <w:bookmarkStart w:id="67" w:name="_Toc403555129"/>
      <w:r>
        <w:t>The</w:t>
      </w:r>
      <w:r w:rsidR="00C27CC2">
        <w:t xml:space="preserve"> Tender must be signed by a duly authorised</w:t>
      </w:r>
      <w:r>
        <w:t xml:space="preserve"> representative of the </w:t>
      </w:r>
      <w:r w:rsidR="00637C62">
        <w:t>Bidder.</w:t>
      </w:r>
      <w:bookmarkEnd w:id="67"/>
      <w:r w:rsidR="00637C62">
        <w:t xml:space="preserve">  </w:t>
      </w:r>
    </w:p>
    <w:p w:rsidR="006534CF" w:rsidRPr="00276E1B" w:rsidRDefault="001375C3" w:rsidP="00337295">
      <w:pPr>
        <w:pStyle w:val="Heading1"/>
        <w:spacing w:before="240" w:after="0"/>
        <w:ind w:left="709"/>
      </w:pPr>
      <w:bookmarkStart w:id="68" w:name="_Toc403555130"/>
      <w:r w:rsidRPr="00276E1B">
        <w:t>Modification and withdrawal of Tenders</w:t>
      </w:r>
      <w:bookmarkEnd w:id="68"/>
    </w:p>
    <w:p w:rsidR="004251F8" w:rsidRDefault="00AE400B" w:rsidP="006B54D6">
      <w:pPr>
        <w:pStyle w:val="MRNumberedHeading2"/>
      </w:pPr>
      <w:bookmarkStart w:id="69"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69"/>
    </w:p>
    <w:bookmarkStart w:id="70" w:name="_Toc403555132"/>
    <w:bookmarkStart w:id="71" w:name="_Ref405453207"/>
    <w:p w:rsidR="004251F8" w:rsidRPr="00EC14F3" w:rsidRDefault="006676B9" w:rsidP="006B54D6">
      <w:pPr>
        <w:pStyle w:val="MRNumberedHeading2"/>
      </w:pPr>
      <w:r w:rsidRPr="00EC14F3">
        <w:rPr>
          <w:noProof/>
        </w:rPr>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2" w:name="handthreenine"/>
                          <w:bookmarkEnd w:id="72"/>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7" w:name="handthreenine"/>
                    <w:bookmarkEnd w:id="7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0"/>
      <w:bookmarkEnd w:id="71"/>
      <w:r w:rsidR="001375C3" w:rsidRPr="00EC14F3">
        <w:t xml:space="preserve"> </w:t>
      </w:r>
    </w:p>
    <w:p w:rsidR="00BA173E" w:rsidRPr="00276E1B" w:rsidRDefault="00430158" w:rsidP="00337295">
      <w:pPr>
        <w:pStyle w:val="Heading1"/>
        <w:spacing w:before="240" w:after="0"/>
        <w:ind w:left="709"/>
      </w:pPr>
      <w:bookmarkStart w:id="73" w:name="_Toc403555134"/>
      <w:r w:rsidRPr="00276E1B">
        <w:rPr>
          <w:bCs/>
        </w:rPr>
        <w:t>Terms and conditions</w:t>
      </w:r>
      <w:bookmarkEnd w:id="73"/>
    </w:p>
    <w:p w:rsidR="00B00C70" w:rsidRPr="00BA173E" w:rsidRDefault="00746CCF" w:rsidP="006B54D6">
      <w:pPr>
        <w:pStyle w:val="MRNumberedHeading2"/>
        <w:rPr>
          <w:rFonts w:cs="Arial"/>
        </w:rPr>
      </w:pPr>
      <w:bookmarkStart w:id="74"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4"/>
    </w:p>
    <w:p w:rsidR="002F23DC" w:rsidRPr="00276E1B" w:rsidRDefault="002F23DC" w:rsidP="00337295">
      <w:pPr>
        <w:pStyle w:val="Heading1"/>
        <w:spacing w:before="240" w:after="0"/>
        <w:ind w:left="709"/>
      </w:pPr>
      <w:bookmarkStart w:id="75" w:name="_Toc403555136"/>
      <w:r w:rsidRPr="00276E1B">
        <w:lastRenderedPageBreak/>
        <w:t>Consortia and subcontractors</w:t>
      </w:r>
      <w:bookmarkEnd w:id="75"/>
      <w:r w:rsidRPr="00276E1B">
        <w:t xml:space="preserve"> </w:t>
      </w:r>
    </w:p>
    <w:p w:rsidR="00BA173E" w:rsidRDefault="00746CCF" w:rsidP="006B54D6">
      <w:pPr>
        <w:pStyle w:val="MRNumberedHeading2"/>
      </w:pPr>
      <w:bookmarkStart w:id="76" w:name="_Toc403555137"/>
      <w:bookmarkStart w:id="77" w:name="_Ref405453227"/>
      <w:r w:rsidRPr="003E3276">
        <w:t>If</w:t>
      </w:r>
      <w:r>
        <w:t xml:space="preserve"> the Bidder is a consortium or will rely on sub-contractors to deliver the contract, it must explain in its Tender precisely which entities will be the supplier.</w:t>
      </w:r>
      <w:bookmarkEnd w:id="76"/>
      <w:bookmarkEnd w:id="77"/>
    </w:p>
    <w:p w:rsidR="00746CCF" w:rsidRPr="008E6BB3" w:rsidRDefault="00746CCF" w:rsidP="006B54D6">
      <w:pPr>
        <w:pStyle w:val="MRNumberedHeading2"/>
      </w:pPr>
      <w:bookmarkStart w:id="78"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78"/>
    </w:p>
    <w:p w:rsidR="002F23DC" w:rsidRPr="00276E1B" w:rsidRDefault="002F23DC" w:rsidP="00337295">
      <w:pPr>
        <w:pStyle w:val="Heading1"/>
        <w:spacing w:before="240" w:after="0"/>
        <w:ind w:left="709"/>
      </w:pPr>
      <w:bookmarkStart w:id="79" w:name="_Toc403555140"/>
      <w:r w:rsidRPr="00276E1B">
        <w:t>Warnings and disclaimers</w:t>
      </w:r>
      <w:bookmarkEnd w:id="79"/>
    </w:p>
    <w:p w:rsidR="001B5F4F" w:rsidRDefault="001B5F4F" w:rsidP="006B54D6">
      <w:pPr>
        <w:pStyle w:val="MRNumberedHeading2"/>
      </w:pPr>
      <w:bookmarkStart w:id="80"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0"/>
    </w:p>
    <w:p w:rsidR="001B5F4F" w:rsidRDefault="001B5F4F" w:rsidP="006B54D6">
      <w:pPr>
        <w:pStyle w:val="MRNumberedHeading2"/>
      </w:pPr>
      <w:bookmarkStart w:id="81"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1"/>
    </w:p>
    <w:p w:rsidR="001B5F4F" w:rsidRDefault="001B5F4F" w:rsidP="006B54D6">
      <w:pPr>
        <w:pStyle w:val="MRNumberedHeading2"/>
      </w:pPr>
      <w:bookmarkStart w:id="82" w:name="_Toc403555143"/>
      <w:r>
        <w:t>Neither the issue of this ITT, nor any of the information presented in it, should be regarded as a commitment or representation on the part of the Authority (or any other person) to enter into a contractual arrangement.</w:t>
      </w:r>
      <w:bookmarkEnd w:id="82"/>
    </w:p>
    <w:p w:rsidR="002F23DC" w:rsidRPr="00276E1B" w:rsidRDefault="001B5F4F" w:rsidP="00337295">
      <w:pPr>
        <w:pStyle w:val="Heading1"/>
        <w:spacing w:before="240" w:after="0"/>
        <w:ind w:left="709"/>
      </w:pPr>
      <w:bookmarkStart w:id="83" w:name="_Toc403555144"/>
      <w:r w:rsidRPr="00276E1B">
        <w:t>Freedom of Information Act 2000</w:t>
      </w:r>
      <w:r w:rsidR="008A56A2" w:rsidRPr="00276E1B">
        <w:t xml:space="preserve"> and Environmental Information Regulations 2004</w:t>
      </w:r>
      <w:bookmarkEnd w:id="83"/>
    </w:p>
    <w:p w:rsidR="001664D9" w:rsidRPr="001375C3" w:rsidRDefault="001664D9" w:rsidP="006B54D6">
      <w:pPr>
        <w:pStyle w:val="MRNumberedHeading2"/>
      </w:pPr>
      <w:bookmarkStart w:id="84"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5"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4"/>
      <w:r w:rsidRPr="001375C3">
        <w:t xml:space="preserve"> </w:t>
      </w:r>
      <w:bookmarkEnd w:id="85"/>
    </w:p>
    <w:p w:rsidR="001664D9" w:rsidRPr="001375C3" w:rsidRDefault="0079187F" w:rsidP="006B54D6">
      <w:pPr>
        <w:pStyle w:val="MRNumberedHeading2"/>
      </w:pPr>
      <w:bookmarkStart w:id="86"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86"/>
    </w:p>
    <w:p w:rsidR="001664D9" w:rsidRPr="001375C3" w:rsidRDefault="001664D9" w:rsidP="006B54D6">
      <w:pPr>
        <w:pStyle w:val="MRNumberedHeading2"/>
      </w:pPr>
      <w:bookmarkStart w:id="87" w:name="_Ref149547621"/>
      <w:bookmarkStart w:id="88"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7"/>
      <w:r w:rsidR="001C747B">
        <w:t>or otherwise exempt.</w:t>
      </w:r>
      <w:bookmarkEnd w:id="88"/>
    </w:p>
    <w:p w:rsidR="00491808" w:rsidRPr="00276E1B" w:rsidRDefault="00491808" w:rsidP="00337295">
      <w:pPr>
        <w:pStyle w:val="Heading1"/>
        <w:spacing w:before="240" w:after="0"/>
        <w:ind w:left="709"/>
      </w:pPr>
      <w:bookmarkStart w:id="89" w:name="_Toc403555149"/>
      <w:r w:rsidRPr="00276E1B">
        <w:t>Publicity</w:t>
      </w:r>
      <w:bookmarkEnd w:id="89"/>
    </w:p>
    <w:p w:rsidR="00491808" w:rsidRPr="00541CDA" w:rsidRDefault="00645517" w:rsidP="006B54D6">
      <w:pPr>
        <w:pStyle w:val="MRNumberedHeading2"/>
      </w:pPr>
      <w:bookmarkStart w:id="90"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0"/>
    </w:p>
    <w:p w:rsidR="00491808" w:rsidRPr="00276E1B" w:rsidRDefault="00785DDF" w:rsidP="00337295">
      <w:pPr>
        <w:pStyle w:val="Heading1"/>
        <w:spacing w:before="240" w:after="0"/>
        <w:ind w:left="709"/>
      </w:pPr>
      <w:bookmarkStart w:id="91" w:name="a699927"/>
      <w:bookmarkStart w:id="92" w:name="_Toc403555151"/>
      <w:bookmarkEnd w:id="91"/>
      <w:r w:rsidRPr="00276E1B">
        <w:t>Bidder</w:t>
      </w:r>
      <w:r w:rsidR="00491808" w:rsidRPr="00276E1B">
        <w:t xml:space="preserve"> conduct and conflicts of interest</w:t>
      </w:r>
      <w:bookmarkEnd w:id="92"/>
    </w:p>
    <w:p w:rsidR="00491808" w:rsidRPr="00491808" w:rsidRDefault="00491808" w:rsidP="006B54D6">
      <w:pPr>
        <w:pStyle w:val="MRNumberedHeading2"/>
      </w:pPr>
      <w:bookmarkStart w:id="93"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3"/>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 xml:space="preserve">ender, or offer to pay any sum of money or valuable </w:t>
      </w:r>
      <w:r w:rsidR="00491808" w:rsidRPr="007301E9">
        <w:rPr>
          <w:bCs/>
        </w:rPr>
        <w:lastRenderedPageBreak/>
        <w:t>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r>
        <w:rPr>
          <w:bCs/>
        </w:rPr>
        <w:t>a</w:t>
      </w:r>
      <w:r w:rsidRPr="007301E9">
        <w:rPr>
          <w:bCs/>
        </w:rPr>
        <w:t>ttempt</w:t>
      </w:r>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4"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4"/>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5" w:name="a582432"/>
      <w:bookmarkStart w:id="96" w:name="_Toc403555154"/>
      <w:bookmarkEnd w:id="95"/>
      <w:r w:rsidRPr="00491808">
        <w:t>Authority's rights</w:t>
      </w:r>
      <w:bookmarkEnd w:id="96"/>
    </w:p>
    <w:p w:rsidR="00491808" w:rsidRPr="00491808" w:rsidRDefault="008D2128" w:rsidP="006B54D6">
      <w:pPr>
        <w:pStyle w:val="MRNumberedHeading2"/>
      </w:pPr>
      <w:bookmarkStart w:id="97" w:name="_Toc403555155"/>
      <w:r>
        <w:t>Subject to its obligations to act in a transparent, proportionate and non-discriminatory manner, t</w:t>
      </w:r>
      <w:r w:rsidR="00491808" w:rsidRPr="00491808">
        <w:t>he Authority reserves the right to:</w:t>
      </w:r>
      <w:bookmarkEnd w:id="97"/>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98" w:name="a934916"/>
      <w:bookmarkStart w:id="99" w:name="_Toc403555156"/>
      <w:bookmarkEnd w:id="98"/>
      <w:r w:rsidRPr="00491808">
        <w:t>Bid costs</w:t>
      </w:r>
      <w:bookmarkEnd w:id="99"/>
    </w:p>
    <w:p w:rsidR="0022652F" w:rsidRDefault="00491808" w:rsidP="006B54D6">
      <w:pPr>
        <w:pStyle w:val="MRNumberedHeading2"/>
      </w:pPr>
      <w:bookmarkStart w:id="100"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0"/>
    </w:p>
    <w:p w:rsidR="00491808" w:rsidRPr="00276E1B" w:rsidRDefault="00491808" w:rsidP="00337295">
      <w:pPr>
        <w:pStyle w:val="Heading1"/>
        <w:spacing w:before="240" w:after="0"/>
        <w:ind w:left="709"/>
      </w:pPr>
      <w:bookmarkStart w:id="101" w:name="_Toc403555158"/>
      <w:r w:rsidRPr="00276E1B">
        <w:t>Language</w:t>
      </w:r>
      <w:bookmarkEnd w:id="101"/>
    </w:p>
    <w:p w:rsidR="006534CF" w:rsidRDefault="00491808" w:rsidP="006B54D6">
      <w:pPr>
        <w:pStyle w:val="MRNumberedHeading2"/>
      </w:pPr>
      <w:bookmarkStart w:id="102" w:name="_Toc403555159"/>
      <w:r w:rsidRPr="00A24900">
        <w:t xml:space="preserve">Tenders, all documents and all </w:t>
      </w:r>
      <w:r w:rsidR="003219DA">
        <w:t>correspondence relating to the T</w:t>
      </w:r>
      <w:r w:rsidRPr="00A24900">
        <w:t>ender must be written in English.</w:t>
      </w:r>
      <w:bookmarkEnd w:id="102"/>
    </w:p>
    <w:bookmarkStart w:id="103"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4" w:name="handthreetwentyeight"/>
                          <w:bookmarkEnd w:id="104"/>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10" w:name="handthreetwentyeight"/>
                    <w:bookmarkEnd w:id="110"/>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3"/>
      <w:r w:rsidR="00F35E09" w:rsidRPr="00276E1B">
        <w:t xml:space="preserve">  </w:t>
      </w:r>
    </w:p>
    <w:p w:rsidR="00F35E09" w:rsidRDefault="00F35E09" w:rsidP="006B54D6">
      <w:pPr>
        <w:pStyle w:val="MRNumberedHeading2"/>
      </w:pPr>
      <w:bookmarkStart w:id="105" w:name="_Toc403555161"/>
      <w:bookmarkStart w:id="106"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05"/>
      <w:bookmarkEnd w:id="106"/>
      <w:r w:rsidR="0050545F">
        <w:t xml:space="preserve">'s Contracts Finder portal. </w:t>
      </w:r>
    </w:p>
    <w:p w:rsidR="00236A55" w:rsidRPr="00276E1B" w:rsidRDefault="00236A55" w:rsidP="00337295">
      <w:pPr>
        <w:pStyle w:val="Heading1"/>
        <w:spacing w:before="240" w:after="0"/>
        <w:ind w:left="709"/>
      </w:pPr>
      <w:bookmarkStart w:id="107" w:name="_Toc403555162"/>
      <w:r w:rsidRPr="00276E1B">
        <w:lastRenderedPageBreak/>
        <w:t>Governing Law and Jurisdiction</w:t>
      </w:r>
      <w:bookmarkEnd w:id="107"/>
      <w:r w:rsidRPr="00276E1B">
        <w:t xml:space="preserve"> </w:t>
      </w:r>
    </w:p>
    <w:p w:rsidR="004E71FF" w:rsidRPr="005A2E47" w:rsidRDefault="00236A55" w:rsidP="006B54D6">
      <w:pPr>
        <w:pStyle w:val="MRNumberedHeading2"/>
      </w:pPr>
      <w:bookmarkStart w:id="108" w:name="_Toc403555163"/>
      <w:r>
        <w:t>This ITT and any dispute concerning it (including non-contractual disputes or claims) shall be governed by English law and subject to the jurisdiction of the English Courts</w:t>
      </w:r>
      <w:bookmarkEnd w:id="108"/>
      <w:r w:rsidR="007A3602">
        <w:t>.</w:t>
      </w:r>
    </w:p>
    <w:p w:rsidR="0079187F" w:rsidRDefault="0079187F">
      <w:pPr>
        <w:spacing w:after="240"/>
        <w:jc w:val="left"/>
        <w:rPr>
          <w:rFonts w:eastAsia="Calibri" w:cs="Arial"/>
          <w:b/>
          <w:lang w:eastAsia="en-GB"/>
        </w:rPr>
      </w:pPr>
      <w:bookmarkStart w:id="109" w:name="_Toc403556504"/>
      <w:bookmarkStart w:id="110"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09"/>
      <w:bookmarkEnd w:id="110"/>
      <w:r w:rsidRPr="008F3D2C">
        <w:rPr>
          <w:sz w:val="20"/>
          <w:szCs w:val="20"/>
        </w:rPr>
        <w:t xml:space="preserve"> </w:t>
      </w:r>
    </w:p>
    <w:p w:rsidR="008824CC" w:rsidRDefault="00277BB6" w:rsidP="00337295">
      <w:pPr>
        <w:pStyle w:val="Heading1"/>
        <w:spacing w:before="240" w:after="0"/>
        <w:ind w:left="709"/>
      </w:pPr>
      <w:bookmarkStart w:id="111" w:name="_Toc403555164"/>
      <w:r>
        <w:t>Overview</w:t>
      </w:r>
      <w:bookmarkEnd w:id="111"/>
    </w:p>
    <w:p w:rsidR="00BF48A1" w:rsidRDefault="00BF48A1" w:rsidP="006B54D6">
      <w:pPr>
        <w:pStyle w:val="MRNumberedHeading2"/>
      </w:pPr>
      <w:bookmarkStart w:id="112" w:name="_Toc403555165"/>
      <w:r>
        <w:t>T</w:t>
      </w:r>
      <w:r w:rsidRPr="003E3276">
        <w:t>h</w:t>
      </w:r>
      <w:r>
        <w:t>is section of the ITT sets out the criteria that the Authority will use to ev</w:t>
      </w:r>
      <w:r w:rsidR="006A3BFB">
        <w:t>aluate Tenders</w:t>
      </w:r>
      <w:r w:rsidR="00FB21E9">
        <w:t>.</w:t>
      </w:r>
      <w:bookmarkEnd w:id="112"/>
    </w:p>
    <w:p w:rsidR="00FB21E9" w:rsidRDefault="00FB21E9" w:rsidP="006B54D6">
      <w:pPr>
        <w:pStyle w:val="MRNumberedHeading2"/>
      </w:pPr>
      <w:bookmarkStart w:id="113"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3"/>
    </w:p>
    <w:p w:rsidR="00C14AA9" w:rsidRDefault="00C14AA9" w:rsidP="006B54D6">
      <w:pPr>
        <w:pStyle w:val="MRNumberedHeading2"/>
      </w:pPr>
      <w:bookmarkStart w:id="114" w:name="_Toc403555167"/>
      <w:r>
        <w:t>The Authority will award the contract to the Tender that scores the highest marks, applying the methodology below. Scoring will be carried out as follows:</w:t>
      </w:r>
      <w:bookmarkEnd w:id="114"/>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15"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15"/>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16" w:name="_Toc403555169"/>
      <w:r>
        <w:t>Criteria – Eligibility Questions</w:t>
      </w:r>
      <w:bookmarkEnd w:id="116"/>
    </w:p>
    <w:p w:rsidR="00B44E25" w:rsidRDefault="00C14AA9" w:rsidP="006B54D6">
      <w:pPr>
        <w:pStyle w:val="MRNumberedHeading2"/>
      </w:pPr>
      <w:bookmarkStart w:id="117" w:name="_Ref403484377"/>
      <w:bookmarkStart w:id="118" w:name="_Toc403555170"/>
      <w:r>
        <w:t>The Authority will score Eligibility Questions on the following basis:</w:t>
      </w:r>
      <w:bookmarkEnd w:id="117"/>
      <w:bookmarkEnd w:id="118"/>
    </w:p>
    <w:p w:rsidR="00B44E25" w:rsidRPr="002B7273" w:rsidRDefault="002B7273" w:rsidP="002B7273">
      <w:pPr>
        <w:pStyle w:val="MRNumberedHeading2"/>
        <w:numPr>
          <w:ilvl w:val="0"/>
          <w:numId w:val="0"/>
        </w:numPr>
        <w:ind w:left="720"/>
      </w:pPr>
      <w:r w:rsidRPr="00820DEA">
        <w:t>Section 1 is for information only.  Sections 2, 3, 4 and 5 (a, b, c</w:t>
      </w:r>
      <w:r w:rsidR="00820DEA">
        <w:t xml:space="preserve">, d </w:t>
      </w:r>
      <w:r w:rsidRPr="00820DEA">
        <w:t xml:space="preserve">and </w:t>
      </w:r>
      <w:r w:rsidR="00820DEA">
        <w:t>e</w:t>
      </w:r>
      <w:r w:rsidRPr="00820DEA">
        <w:t>) will be scored on a Pass or Fail basis</w:t>
      </w:r>
    </w:p>
    <w:p w:rsidR="007C2F2F" w:rsidRPr="007C2F2F" w:rsidRDefault="007C2F2F" w:rsidP="006B54D6">
      <w:pPr>
        <w:pStyle w:val="MRNumberedHeading2"/>
        <w:rPr>
          <w:i/>
        </w:rPr>
      </w:pPr>
      <w:bookmarkStart w:id="119"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19"/>
    </w:p>
    <w:p w:rsidR="00B44E25" w:rsidRPr="005D7675" w:rsidRDefault="00B44E25" w:rsidP="006B54D6">
      <w:pPr>
        <w:pStyle w:val="MRNumberedHeading2"/>
        <w:rPr>
          <w:i/>
        </w:rPr>
      </w:pPr>
      <w:bookmarkStart w:id="120" w:name="_Ref403484379"/>
      <w:bookmarkStart w:id="121" w:name="_Toc403555172"/>
      <w:r w:rsidRPr="00B44E25">
        <w:t xml:space="preserve">Where a Bidder scores a "fail" for any question, </w:t>
      </w:r>
      <w:r w:rsidR="00C14AA9">
        <w:t>the Authority will treat the Tender as non-compliant and it will not award a mark for the Scored Questions.</w:t>
      </w:r>
      <w:bookmarkEnd w:id="120"/>
      <w:bookmarkEnd w:id="121"/>
      <w:r w:rsidR="00C14AA9">
        <w:t xml:space="preserve"> </w:t>
      </w:r>
    </w:p>
    <w:bookmarkStart w:id="122" w:name="_Toc403555173"/>
    <w:p w:rsidR="00BF48A1" w:rsidRPr="00820DEA" w:rsidRDefault="00F23ECD" w:rsidP="005D7675">
      <w:pPr>
        <w:pStyle w:val="MRNumberedHeading2"/>
        <w:rPr>
          <w:i/>
        </w:rPr>
      </w:pPr>
      <w:r>
        <w:rPr>
          <w:noProof/>
        </w:rPr>
        <mc:AlternateContent>
          <mc:Choice Requires="wps">
            <w:drawing>
              <wp:anchor distT="0" distB="0" distL="114300" distR="114300" simplePos="0" relativeHeight="251720704" behindDoc="0" locked="0" layoutInCell="1" allowOverlap="1" wp14:anchorId="30C92438" wp14:editId="2F7F3975">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2"/>
    </w:p>
    <w:p w:rsidR="00820DEA" w:rsidRPr="006E6097" w:rsidRDefault="00820DEA" w:rsidP="00820DEA">
      <w:pPr>
        <w:widowControl w:val="0"/>
        <w:spacing w:before="240" w:after="60"/>
        <w:ind w:left="851" w:hanging="851"/>
        <w:outlineLvl w:val="1"/>
        <w:rPr>
          <w:rFonts w:eastAsia="Times New Roman" w:cs="Arial"/>
          <w:b/>
          <w:bCs/>
          <w:i/>
          <w:iCs/>
        </w:rPr>
      </w:pPr>
      <w:r w:rsidRPr="006E6097">
        <w:rPr>
          <w:rFonts w:eastAsia="Arial" w:cs="Arial"/>
          <w:b/>
          <w:bCs/>
          <w:i/>
          <w:iCs/>
          <w:color w:val="000000"/>
          <w:shd w:val="clear" w:color="auto" w:fill="DBE5F1"/>
        </w:rPr>
        <w:t xml:space="preserve">(A - </w:t>
      </w:r>
      <w:proofErr w:type="gramStart"/>
      <w:r w:rsidRPr="006E6097">
        <w:rPr>
          <w:rFonts w:eastAsia="Arial" w:cs="Arial"/>
          <w:b/>
          <w:bCs/>
          <w:i/>
          <w:iCs/>
          <w:color w:val="000000"/>
          <w:shd w:val="clear" w:color="auto" w:fill="DBE5F1"/>
        </w:rPr>
        <w:t>Insurance )</w:t>
      </w:r>
      <w:proofErr w:type="gramEnd"/>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601"/>
        <w:gridCol w:w="7162"/>
        <w:gridCol w:w="1417"/>
      </w:tblGrid>
      <w:tr w:rsidR="00820DEA" w:rsidRPr="006E6097" w:rsidTr="006B37B0">
        <w:trPr>
          <w:trHeight w:val="2880"/>
        </w:trPr>
        <w:tc>
          <w:tcPr>
            <w:tcW w:w="601" w:type="dxa"/>
            <w:shd w:val="clear" w:color="auto" w:fill="FFFFFF" w:themeFill="background1"/>
          </w:tcPr>
          <w:p w:rsidR="00820DEA" w:rsidRPr="006E6097" w:rsidRDefault="00820DEA" w:rsidP="00820DEA">
            <w:pPr>
              <w:tabs>
                <w:tab w:val="center" w:pos="4005"/>
              </w:tabs>
              <w:jc w:val="left"/>
              <w:rPr>
                <w:rFonts w:cs="Arial"/>
              </w:rPr>
            </w:pPr>
            <w:r w:rsidRPr="006E6097">
              <w:rPr>
                <w:rFonts w:eastAsia="Arial" w:cs="Arial"/>
              </w:rPr>
              <w:t>1.</w:t>
            </w:r>
          </w:p>
          <w:p w:rsidR="00820DEA" w:rsidRPr="006E6097" w:rsidRDefault="00820DEA" w:rsidP="00820DEA">
            <w:pPr>
              <w:tabs>
                <w:tab w:val="center" w:pos="4005"/>
              </w:tabs>
              <w:jc w:val="left"/>
              <w:rPr>
                <w:rFonts w:cs="Arial"/>
              </w:rPr>
            </w:pPr>
          </w:p>
        </w:tc>
        <w:tc>
          <w:tcPr>
            <w:tcW w:w="7162" w:type="dxa"/>
            <w:shd w:val="clear" w:color="auto" w:fill="FFFFFF" w:themeFill="background1"/>
          </w:tcPr>
          <w:p w:rsidR="00820DEA" w:rsidRPr="006E6097" w:rsidRDefault="00820DEA" w:rsidP="00820DEA">
            <w:pPr>
              <w:tabs>
                <w:tab w:val="center" w:pos="4005"/>
              </w:tabs>
              <w:jc w:val="left"/>
              <w:rPr>
                <w:rFonts w:cs="Arial"/>
              </w:rPr>
            </w:pPr>
            <w:r w:rsidRPr="006E6097">
              <w:rPr>
                <w:rFonts w:eastAsia="Arial" w:cs="Arial"/>
              </w:rPr>
              <w:t>Please self-certify whether you already have, or can commit to obtain, prior to the commencement of the contract, the levels of insurance cover indicated below:</w:t>
            </w:r>
          </w:p>
          <w:p w:rsidR="00820DEA" w:rsidRPr="006E6097" w:rsidRDefault="00820DEA" w:rsidP="00820DEA">
            <w:pPr>
              <w:tabs>
                <w:tab w:val="center" w:pos="4005"/>
              </w:tabs>
              <w:jc w:val="left"/>
              <w:rPr>
                <w:rFonts w:cs="Arial"/>
              </w:rPr>
            </w:pPr>
          </w:p>
          <w:p w:rsidR="00820DEA" w:rsidRPr="006E6097" w:rsidRDefault="00820DEA" w:rsidP="00820DEA">
            <w:pPr>
              <w:tabs>
                <w:tab w:val="center" w:pos="4005"/>
              </w:tabs>
              <w:jc w:val="left"/>
              <w:rPr>
                <w:rFonts w:eastAsia="Arial" w:cs="Arial"/>
              </w:rPr>
            </w:pPr>
            <w:r w:rsidRPr="006E6097">
              <w:rPr>
                <w:rFonts w:eastAsia="Arial" w:cs="Arial"/>
              </w:rPr>
              <w:t xml:space="preserve">Employer’s (Compulsory) Liability Insurance  = </w:t>
            </w:r>
            <w:r w:rsidRPr="006E6097">
              <w:rPr>
                <w:rFonts w:eastAsia="Arial" w:cs="Arial"/>
                <w:shd w:val="clear" w:color="auto" w:fill="FFFFFF" w:themeFill="background1"/>
              </w:rPr>
              <w:t>[£5million</w:t>
            </w:r>
            <w:r w:rsidRPr="006E6097">
              <w:rPr>
                <w:rFonts w:eastAsia="Arial" w:cs="Arial"/>
              </w:rPr>
              <w:t>] </w:t>
            </w:r>
            <w:r w:rsidRPr="006E6097">
              <w:rPr>
                <w:rFonts w:eastAsia="Arial" w:cs="Arial"/>
              </w:rPr>
              <w:br/>
              <w:t>Public Liability Insurance = [£5million]</w:t>
            </w:r>
            <w:r w:rsidRPr="006E6097">
              <w:rPr>
                <w:rFonts w:eastAsia="Arial" w:cs="Arial"/>
              </w:rPr>
              <w:br/>
              <w:t xml:space="preserve">Professional Indemnity Insurance = [£5million] </w:t>
            </w:r>
          </w:p>
          <w:p w:rsidR="00820DEA" w:rsidRPr="006E6097" w:rsidRDefault="00820DEA" w:rsidP="00820DEA">
            <w:pPr>
              <w:tabs>
                <w:tab w:val="center" w:pos="4005"/>
              </w:tabs>
              <w:jc w:val="left"/>
              <w:rPr>
                <w:rFonts w:cs="Arial"/>
              </w:rPr>
            </w:pPr>
            <w:r w:rsidRPr="006E6097">
              <w:rPr>
                <w:rFonts w:eastAsia="Arial" w:cs="Arial"/>
              </w:rPr>
              <w:t>Product Liability Insurance = [£5million]</w:t>
            </w:r>
          </w:p>
          <w:p w:rsidR="00820DEA" w:rsidRPr="006E6097" w:rsidRDefault="00820DEA" w:rsidP="00820DEA">
            <w:pPr>
              <w:tabs>
                <w:tab w:val="center" w:pos="4005"/>
              </w:tabs>
              <w:jc w:val="left"/>
              <w:rPr>
                <w:rFonts w:cs="Arial"/>
              </w:rPr>
            </w:pPr>
          </w:p>
          <w:p w:rsidR="00820DEA" w:rsidRPr="006E6097" w:rsidRDefault="00820DEA" w:rsidP="00820DEA">
            <w:pPr>
              <w:tabs>
                <w:tab w:val="center" w:pos="4005"/>
              </w:tabs>
              <w:jc w:val="left"/>
              <w:rPr>
                <w:rFonts w:cs="Arial"/>
              </w:rPr>
            </w:pPr>
            <w:r w:rsidRPr="006E6097">
              <w:rPr>
                <w:rFonts w:eastAsia="Arial" w:cs="Arial"/>
              </w:rPr>
              <w:t>* It is a legal requirement that all companies hold Employer’s (Compulsory) Liability Insurance of £5 million as a minimum. Please note this requirement is not applicable to Sole Traders.</w:t>
            </w: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tabs>
                <w:tab w:val="center" w:pos="4005"/>
              </w:tabs>
              <w:jc w:val="left"/>
              <w:rPr>
                <w:rFonts w:cs="Arial"/>
              </w:rPr>
            </w:pPr>
            <w:r w:rsidRPr="006E6097">
              <w:rPr>
                <w:rFonts w:eastAsia="Arial" w:cs="Arial"/>
              </w:rPr>
              <w:sym w:font="Wingdings" w:char="F06F"/>
            </w:r>
            <w:r w:rsidRPr="006E6097">
              <w:rPr>
                <w:rFonts w:eastAsia="Arial" w:cs="Arial"/>
              </w:rPr>
              <w:t xml:space="preserve">   No    </w:t>
            </w:r>
          </w:p>
        </w:tc>
      </w:tr>
    </w:tbl>
    <w:p w:rsidR="00820DEA" w:rsidRPr="006E6097" w:rsidRDefault="00820DEA" w:rsidP="00820DEA">
      <w:pPr>
        <w:widowControl w:val="0"/>
        <w:spacing w:before="240" w:after="60"/>
        <w:ind w:left="851" w:hanging="851"/>
        <w:outlineLvl w:val="1"/>
        <w:rPr>
          <w:rFonts w:eastAsia="Times New Roman" w:cs="Arial"/>
          <w:b/>
          <w:bCs/>
          <w:i/>
          <w:iCs/>
        </w:rPr>
      </w:pPr>
      <w:r w:rsidRPr="006E6097">
        <w:rPr>
          <w:rFonts w:eastAsia="Arial" w:cs="Arial"/>
          <w:b/>
          <w:bCs/>
          <w:i/>
          <w:iCs/>
          <w:color w:val="000000"/>
          <w:shd w:val="clear" w:color="auto" w:fill="DBE5F1"/>
        </w:rPr>
        <w:t xml:space="preserve">(B – Compliance with equality legislation)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578"/>
        <w:gridCol w:w="7185"/>
        <w:gridCol w:w="1417"/>
      </w:tblGrid>
      <w:tr w:rsidR="00820DEA" w:rsidRPr="006E6097" w:rsidTr="006B37B0">
        <w:trPr>
          <w:trHeight w:val="120"/>
        </w:trPr>
        <w:tc>
          <w:tcPr>
            <w:tcW w:w="9180" w:type="dxa"/>
            <w:gridSpan w:val="3"/>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For organisations working outside of the UK please refer to equivalent legislation in the country that you are located.</w:t>
            </w:r>
          </w:p>
        </w:tc>
      </w:tr>
      <w:tr w:rsidR="00820DEA" w:rsidRPr="006E6097" w:rsidTr="006B37B0">
        <w:trPr>
          <w:trHeight w:val="120"/>
        </w:trPr>
        <w:tc>
          <w:tcPr>
            <w:tcW w:w="578" w:type="dxa"/>
            <w:shd w:val="clear" w:color="auto" w:fill="FFFFFF" w:themeFill="background1"/>
          </w:tcPr>
          <w:p w:rsidR="00820DEA" w:rsidRPr="006E6097" w:rsidRDefault="00820DEA" w:rsidP="00820DEA">
            <w:pPr>
              <w:tabs>
                <w:tab w:val="left" w:pos="360"/>
                <w:tab w:val="left" w:pos="720"/>
                <w:tab w:val="left" w:pos="1440"/>
                <w:tab w:val="left" w:pos="2880"/>
              </w:tabs>
              <w:spacing w:after="120"/>
              <w:jc w:val="left"/>
              <w:rPr>
                <w:rFonts w:cs="Arial"/>
              </w:rPr>
            </w:pPr>
            <w:r w:rsidRPr="006E6097">
              <w:rPr>
                <w:rFonts w:eastAsia="Arial" w:cs="Arial"/>
              </w:rPr>
              <w:lastRenderedPageBreak/>
              <w:t>1.</w:t>
            </w:r>
          </w:p>
        </w:tc>
        <w:tc>
          <w:tcPr>
            <w:tcW w:w="7185"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820DEA" w:rsidRPr="006E6097" w:rsidRDefault="00820DEA" w:rsidP="00820DEA">
            <w:pPr>
              <w:tabs>
                <w:tab w:val="center" w:pos="4513"/>
                <w:tab w:val="right" w:pos="9026"/>
              </w:tabs>
              <w:jc w:val="left"/>
              <w:rPr>
                <w:rFonts w:cs="Arial"/>
              </w:rPr>
            </w:pP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jc w:val="left"/>
              <w:rPr>
                <w:rFonts w:cs="Arial"/>
              </w:rPr>
            </w:pPr>
            <w:r w:rsidRPr="006E6097">
              <w:rPr>
                <w:rFonts w:eastAsia="Arial" w:cs="Arial"/>
              </w:rPr>
              <w:sym w:font="Wingdings" w:char="F06F"/>
            </w:r>
            <w:r w:rsidRPr="006E6097">
              <w:rPr>
                <w:rFonts w:eastAsia="Arial" w:cs="Arial"/>
              </w:rPr>
              <w:t xml:space="preserve">   No    </w:t>
            </w:r>
          </w:p>
        </w:tc>
      </w:tr>
      <w:tr w:rsidR="00820DEA" w:rsidRPr="006E6097" w:rsidTr="006B37B0">
        <w:trPr>
          <w:trHeight w:val="120"/>
        </w:trPr>
        <w:tc>
          <w:tcPr>
            <w:tcW w:w="578"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2.</w:t>
            </w:r>
          </w:p>
        </w:tc>
        <w:tc>
          <w:tcPr>
            <w:tcW w:w="7185"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820DEA" w:rsidRPr="006E6097" w:rsidRDefault="00820DEA" w:rsidP="00820DEA">
            <w:pPr>
              <w:tabs>
                <w:tab w:val="center" w:pos="4513"/>
                <w:tab w:val="right" w:pos="9026"/>
              </w:tabs>
              <w:jc w:val="left"/>
              <w:rPr>
                <w:rFonts w:cs="Arial"/>
              </w:rPr>
            </w:pPr>
          </w:p>
          <w:p w:rsidR="00820DEA" w:rsidRPr="006E6097" w:rsidRDefault="00820DEA" w:rsidP="00820DEA">
            <w:pPr>
              <w:tabs>
                <w:tab w:val="center" w:pos="4513"/>
                <w:tab w:val="right" w:pos="9026"/>
              </w:tabs>
              <w:jc w:val="left"/>
              <w:rPr>
                <w:rFonts w:cs="Arial"/>
              </w:rPr>
            </w:pPr>
            <w:r w:rsidRPr="006E6097">
              <w:rPr>
                <w:rFonts w:eastAsia="Arial" w:cs="Arial"/>
              </w:rPr>
              <w:t>If you have answered “yes” to one or both of the questions in this section, please provide, as a separate Appendix, a summary of the nature of the investigation and an explanation of the outcome of the investigation to date.</w:t>
            </w:r>
          </w:p>
          <w:p w:rsidR="00820DEA" w:rsidRPr="006E6097" w:rsidRDefault="00820DEA" w:rsidP="00820DEA">
            <w:pPr>
              <w:tabs>
                <w:tab w:val="center" w:pos="4513"/>
                <w:tab w:val="right" w:pos="9026"/>
              </w:tabs>
              <w:jc w:val="left"/>
              <w:rPr>
                <w:rFonts w:cs="Arial"/>
              </w:rPr>
            </w:pPr>
          </w:p>
          <w:p w:rsidR="00820DEA" w:rsidRPr="006E6097" w:rsidRDefault="00820DEA" w:rsidP="00820DEA">
            <w:pPr>
              <w:tabs>
                <w:tab w:val="center" w:pos="4513"/>
                <w:tab w:val="right" w:pos="9026"/>
              </w:tabs>
              <w:jc w:val="left"/>
              <w:rPr>
                <w:rFonts w:cs="Arial"/>
              </w:rPr>
            </w:pPr>
            <w:r w:rsidRPr="006E6097">
              <w:rPr>
                <w:rFonts w:eastAsia="Arial" w:cs="Arial"/>
              </w:rPr>
              <w:t>If the investigation upheld the complaint against your organisation, please use the Appendix to explain what action (if any) you have taken to prevent unlawful discrimination from reoccurring.</w:t>
            </w:r>
          </w:p>
          <w:p w:rsidR="00820DEA" w:rsidRPr="006E6097" w:rsidRDefault="00820DEA" w:rsidP="00820DEA">
            <w:pPr>
              <w:tabs>
                <w:tab w:val="center" w:pos="4513"/>
                <w:tab w:val="right" w:pos="9026"/>
              </w:tabs>
              <w:jc w:val="left"/>
              <w:rPr>
                <w:rFonts w:cs="Arial"/>
              </w:rPr>
            </w:pPr>
            <w:r w:rsidRPr="006E6097">
              <w:rPr>
                <w:rFonts w:eastAsia="Arial" w:cs="Arial"/>
              </w:rPr>
              <w:t xml:space="preserve">You may be excluded if you are unable to demonstrate to the Authority’s satisfaction that appropriate remedial action has been taken to prevent similar unlawful discrimination reoccurring.    </w:t>
            </w:r>
          </w:p>
          <w:p w:rsidR="00820DEA" w:rsidRPr="006E6097" w:rsidRDefault="00820DEA" w:rsidP="00820DEA">
            <w:pPr>
              <w:tabs>
                <w:tab w:val="center" w:pos="4513"/>
                <w:tab w:val="right" w:pos="9026"/>
              </w:tabs>
              <w:jc w:val="left"/>
              <w:rPr>
                <w:rFonts w:cs="Arial"/>
              </w:rPr>
            </w:pP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No</w:t>
            </w:r>
          </w:p>
          <w:p w:rsidR="00820DEA" w:rsidRPr="006E6097" w:rsidRDefault="00820DEA" w:rsidP="00820DEA">
            <w:pPr>
              <w:tabs>
                <w:tab w:val="center" w:pos="4513"/>
                <w:tab w:val="right" w:pos="9026"/>
              </w:tabs>
              <w:jc w:val="left"/>
              <w:rPr>
                <w:rFonts w:cs="Arial"/>
              </w:rPr>
            </w:pPr>
          </w:p>
          <w:p w:rsidR="00820DEA" w:rsidRPr="006E6097" w:rsidRDefault="00820DEA" w:rsidP="00820DEA">
            <w:pPr>
              <w:tabs>
                <w:tab w:val="center" w:pos="4513"/>
                <w:tab w:val="right" w:pos="9026"/>
              </w:tabs>
              <w:jc w:val="left"/>
              <w:rPr>
                <w:rFonts w:cs="Arial"/>
              </w:rPr>
            </w:pPr>
          </w:p>
          <w:p w:rsidR="00820DEA" w:rsidRPr="006E6097" w:rsidRDefault="00820DEA" w:rsidP="00820DEA">
            <w:pPr>
              <w:tabs>
                <w:tab w:val="center" w:pos="4513"/>
                <w:tab w:val="right" w:pos="9026"/>
              </w:tabs>
              <w:jc w:val="left"/>
              <w:rPr>
                <w:rFonts w:cs="Arial"/>
              </w:rPr>
            </w:pPr>
          </w:p>
        </w:tc>
      </w:tr>
      <w:tr w:rsidR="00820DEA" w:rsidRPr="006E6097" w:rsidTr="006B37B0">
        <w:trPr>
          <w:trHeight w:val="120"/>
        </w:trPr>
        <w:tc>
          <w:tcPr>
            <w:tcW w:w="578" w:type="dxa"/>
            <w:shd w:val="clear" w:color="auto" w:fill="FFFFFF" w:themeFill="background1"/>
          </w:tcPr>
          <w:p w:rsidR="00820DEA" w:rsidRPr="006E6097" w:rsidRDefault="00820DEA" w:rsidP="00820DEA">
            <w:pPr>
              <w:tabs>
                <w:tab w:val="center" w:pos="4513"/>
                <w:tab w:val="right" w:pos="9026"/>
              </w:tabs>
              <w:jc w:val="left"/>
              <w:rPr>
                <w:rFonts w:eastAsia="Arial" w:cs="Arial"/>
              </w:rPr>
            </w:pPr>
            <w:r w:rsidRPr="006E6097">
              <w:rPr>
                <w:rFonts w:eastAsia="Arial" w:cs="Arial"/>
              </w:rPr>
              <w:t>3.</w:t>
            </w:r>
          </w:p>
        </w:tc>
        <w:tc>
          <w:tcPr>
            <w:tcW w:w="7185" w:type="dxa"/>
            <w:shd w:val="clear" w:color="auto" w:fill="FFFFFF" w:themeFill="background1"/>
          </w:tcPr>
          <w:p w:rsidR="00820DEA" w:rsidRPr="006E6097" w:rsidRDefault="00820DEA" w:rsidP="00820DEA">
            <w:pPr>
              <w:tabs>
                <w:tab w:val="center" w:pos="4513"/>
                <w:tab w:val="right" w:pos="9026"/>
              </w:tabs>
              <w:jc w:val="left"/>
              <w:rPr>
                <w:rFonts w:eastAsia="Arial" w:cs="Arial"/>
              </w:rPr>
            </w:pPr>
            <w:r w:rsidRPr="006E6097">
              <w:rPr>
                <w:rFonts w:eastAsia="Arial" w:cs="Arial"/>
              </w:rPr>
              <w:t>If you use sub-contractors, do you have processes in place to check whether any of the above circumstances apply to these other organisations?</w:t>
            </w:r>
          </w:p>
        </w:tc>
        <w:tc>
          <w:tcPr>
            <w:tcW w:w="1417" w:type="dxa"/>
            <w:shd w:val="clear" w:color="auto" w:fill="FFFFFF" w:themeFill="background1"/>
          </w:tcPr>
          <w:p w:rsidR="00820DEA" w:rsidRPr="006E6097" w:rsidRDefault="00820DEA" w:rsidP="00820DEA">
            <w:pPr>
              <w:tabs>
                <w:tab w:val="center" w:pos="4513"/>
                <w:tab w:val="right" w:pos="9026"/>
              </w:tabs>
              <w:jc w:val="left"/>
              <w:rPr>
                <w:rFonts w:eastAsia="Arial"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tabs>
                <w:tab w:val="center" w:pos="4513"/>
                <w:tab w:val="right" w:pos="9026"/>
              </w:tabs>
              <w:jc w:val="left"/>
              <w:rPr>
                <w:rFonts w:eastAsia="Arial" w:cs="Arial"/>
              </w:rPr>
            </w:pPr>
            <w:r w:rsidRPr="006E6097">
              <w:rPr>
                <w:rFonts w:eastAsia="Arial" w:cs="Arial"/>
              </w:rPr>
              <w:sym w:font="Wingdings" w:char="F06F"/>
            </w:r>
            <w:r w:rsidRPr="006E6097">
              <w:rPr>
                <w:rFonts w:eastAsia="Arial" w:cs="Arial"/>
              </w:rPr>
              <w:t xml:space="preserve">   No    </w:t>
            </w:r>
          </w:p>
        </w:tc>
      </w:tr>
    </w:tbl>
    <w:p w:rsidR="00820DEA" w:rsidRPr="006E6097" w:rsidRDefault="00820DEA" w:rsidP="00820DEA">
      <w:pPr>
        <w:spacing w:after="240"/>
        <w:jc w:val="left"/>
        <w:rPr>
          <w:rFonts w:eastAsia="Arial" w:cs="Arial"/>
          <w:b/>
          <w:i/>
          <w:color w:val="000000"/>
          <w:shd w:val="clear" w:color="auto" w:fill="DBE5F1"/>
        </w:rPr>
      </w:pPr>
    </w:p>
    <w:p w:rsidR="00820DEA" w:rsidRPr="006E6097" w:rsidRDefault="00820DEA" w:rsidP="00820DEA">
      <w:pPr>
        <w:spacing w:after="240"/>
        <w:jc w:val="left"/>
        <w:rPr>
          <w:rFonts w:eastAsia="Arial" w:cs="Arial"/>
          <w:b/>
          <w:i/>
          <w:color w:val="000000"/>
          <w:shd w:val="clear" w:color="auto" w:fill="DBE5F1"/>
        </w:rPr>
      </w:pPr>
      <w:r w:rsidRPr="006E6097">
        <w:rPr>
          <w:rFonts w:eastAsia="Arial" w:cs="Arial"/>
          <w:b/>
          <w:i/>
          <w:color w:val="000000"/>
          <w:shd w:val="clear" w:color="auto" w:fill="DBE5F1"/>
        </w:rPr>
        <w:t xml:space="preserve">(C - Environmental Management)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503"/>
        <w:gridCol w:w="7260"/>
        <w:gridCol w:w="1417"/>
      </w:tblGrid>
      <w:tr w:rsidR="00820DEA" w:rsidRPr="006E6097" w:rsidTr="006B37B0">
        <w:trPr>
          <w:trHeight w:val="140"/>
        </w:trPr>
        <w:tc>
          <w:tcPr>
            <w:tcW w:w="503" w:type="dxa"/>
            <w:shd w:val="clear" w:color="auto" w:fill="FFFFFF" w:themeFill="background1"/>
          </w:tcPr>
          <w:p w:rsidR="00820DEA" w:rsidRPr="006E6097" w:rsidRDefault="00820DEA" w:rsidP="00820DEA">
            <w:pPr>
              <w:tabs>
                <w:tab w:val="left" w:pos="360"/>
                <w:tab w:val="left" w:pos="720"/>
                <w:tab w:val="left" w:pos="1440"/>
                <w:tab w:val="left" w:pos="2880"/>
              </w:tabs>
              <w:spacing w:after="120"/>
              <w:jc w:val="left"/>
              <w:rPr>
                <w:rFonts w:cs="Arial"/>
              </w:rPr>
            </w:pPr>
            <w:r w:rsidRPr="006E6097">
              <w:rPr>
                <w:rFonts w:eastAsia="Arial" w:cs="Arial"/>
              </w:rPr>
              <w:t>1.</w:t>
            </w:r>
          </w:p>
        </w:tc>
        <w:tc>
          <w:tcPr>
            <w:tcW w:w="7260" w:type="dxa"/>
            <w:shd w:val="clear" w:color="auto" w:fill="FFFFFF" w:themeFill="background1"/>
          </w:tcPr>
          <w:p w:rsidR="00820DEA" w:rsidRPr="006E6097" w:rsidRDefault="00820DEA" w:rsidP="00820DEA">
            <w:pPr>
              <w:jc w:val="left"/>
              <w:rPr>
                <w:rFonts w:cs="Arial"/>
              </w:rPr>
            </w:pPr>
            <w:r w:rsidRPr="006E6097">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820DEA" w:rsidRPr="006E6097" w:rsidRDefault="00820DEA" w:rsidP="00820DEA">
            <w:pPr>
              <w:jc w:val="left"/>
              <w:rPr>
                <w:rFonts w:cs="Arial"/>
              </w:rPr>
            </w:pPr>
            <w:r w:rsidRPr="006E6097">
              <w:rPr>
                <w:rFonts w:eastAsia="Arial" w:cs="Arial"/>
              </w:rPr>
              <w:t>If your answer to the this question is “Yes”, please provide details in a separate Appendix of the conviction or notice and details of any remedial action or changes you have made as a result of conviction or notices served.</w:t>
            </w:r>
          </w:p>
          <w:p w:rsidR="00820DEA" w:rsidRPr="006E6097" w:rsidRDefault="00820DEA" w:rsidP="00820DEA">
            <w:pPr>
              <w:jc w:val="left"/>
              <w:rPr>
                <w:rFonts w:cs="Arial"/>
              </w:rPr>
            </w:pPr>
            <w:r w:rsidRPr="006E6097">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jc w:val="left"/>
              <w:rPr>
                <w:rFonts w:cs="Arial"/>
              </w:rPr>
            </w:pPr>
            <w:r w:rsidRPr="006E6097">
              <w:rPr>
                <w:rFonts w:eastAsia="Arial" w:cs="Arial"/>
              </w:rPr>
              <w:sym w:font="Wingdings" w:char="F06F"/>
            </w:r>
            <w:r w:rsidRPr="006E6097">
              <w:rPr>
                <w:rFonts w:eastAsia="Arial" w:cs="Arial"/>
              </w:rPr>
              <w:t xml:space="preserve">   No</w:t>
            </w:r>
          </w:p>
        </w:tc>
      </w:tr>
      <w:tr w:rsidR="00820DEA" w:rsidRPr="006E6097" w:rsidTr="006B37B0">
        <w:trPr>
          <w:trHeight w:val="943"/>
        </w:trPr>
        <w:tc>
          <w:tcPr>
            <w:tcW w:w="503" w:type="dxa"/>
            <w:shd w:val="clear" w:color="auto" w:fill="FFFFFF" w:themeFill="background1"/>
          </w:tcPr>
          <w:p w:rsidR="00820DEA" w:rsidRPr="006E6097" w:rsidRDefault="00820DEA" w:rsidP="00820DEA">
            <w:pPr>
              <w:tabs>
                <w:tab w:val="left" w:pos="360"/>
                <w:tab w:val="left" w:pos="720"/>
                <w:tab w:val="left" w:pos="1440"/>
                <w:tab w:val="left" w:pos="2880"/>
              </w:tabs>
              <w:spacing w:after="120"/>
              <w:jc w:val="left"/>
              <w:rPr>
                <w:rFonts w:cs="Arial"/>
              </w:rPr>
            </w:pPr>
            <w:r w:rsidRPr="006E6097">
              <w:rPr>
                <w:rFonts w:eastAsia="Arial" w:cs="Arial"/>
              </w:rPr>
              <w:t>2.</w:t>
            </w:r>
          </w:p>
          <w:p w:rsidR="00820DEA" w:rsidRPr="006E6097" w:rsidRDefault="00820DEA" w:rsidP="00820DEA">
            <w:pPr>
              <w:jc w:val="left"/>
              <w:rPr>
                <w:rFonts w:cs="Arial"/>
              </w:rPr>
            </w:pPr>
          </w:p>
          <w:p w:rsidR="00820DEA" w:rsidRPr="006E6097" w:rsidRDefault="00820DEA" w:rsidP="00820DEA">
            <w:pPr>
              <w:jc w:val="left"/>
              <w:rPr>
                <w:rFonts w:cs="Arial"/>
              </w:rPr>
            </w:pPr>
          </w:p>
          <w:p w:rsidR="00820DEA" w:rsidRPr="006E6097" w:rsidRDefault="00820DEA" w:rsidP="00820DEA">
            <w:pPr>
              <w:jc w:val="left"/>
              <w:rPr>
                <w:rFonts w:cs="Arial"/>
              </w:rPr>
            </w:pPr>
          </w:p>
        </w:tc>
        <w:tc>
          <w:tcPr>
            <w:tcW w:w="7260" w:type="dxa"/>
            <w:shd w:val="clear" w:color="auto" w:fill="FFFFFF" w:themeFill="background1"/>
          </w:tcPr>
          <w:p w:rsidR="00820DEA" w:rsidRPr="006E6097" w:rsidRDefault="00820DEA" w:rsidP="00820DEA">
            <w:pPr>
              <w:jc w:val="left"/>
              <w:rPr>
                <w:rFonts w:cs="Arial"/>
              </w:rPr>
            </w:pPr>
            <w:r w:rsidRPr="006E6097">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jc w:val="left"/>
              <w:rPr>
                <w:rFonts w:cs="Arial"/>
              </w:rPr>
            </w:pPr>
            <w:r w:rsidRPr="006E6097">
              <w:rPr>
                <w:rFonts w:eastAsia="Arial" w:cs="Arial"/>
              </w:rPr>
              <w:sym w:font="Wingdings" w:char="F06F"/>
            </w:r>
            <w:r w:rsidRPr="006E6097">
              <w:rPr>
                <w:rFonts w:eastAsia="Arial" w:cs="Arial"/>
              </w:rPr>
              <w:t xml:space="preserve">   No    </w:t>
            </w:r>
          </w:p>
        </w:tc>
      </w:tr>
    </w:tbl>
    <w:p w:rsidR="00820DEA" w:rsidRPr="006E6097" w:rsidRDefault="00820DEA" w:rsidP="00820DEA">
      <w:pPr>
        <w:widowControl w:val="0"/>
        <w:spacing w:before="240" w:after="60"/>
        <w:ind w:left="851" w:hanging="851"/>
        <w:outlineLvl w:val="1"/>
        <w:rPr>
          <w:rFonts w:eastAsia="Times New Roman" w:cs="Arial"/>
          <w:b/>
          <w:bCs/>
          <w:i/>
          <w:iCs/>
        </w:rPr>
      </w:pPr>
      <w:r w:rsidRPr="006E6097">
        <w:rPr>
          <w:rFonts w:eastAsia="Arial" w:cs="Arial"/>
          <w:b/>
          <w:bCs/>
          <w:i/>
          <w:iCs/>
          <w:color w:val="000000"/>
          <w:shd w:val="clear" w:color="auto" w:fill="DBE5F1"/>
        </w:rPr>
        <w:t>(D - Health and Safety)</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446"/>
        <w:gridCol w:w="7317"/>
        <w:gridCol w:w="1417"/>
      </w:tblGrid>
      <w:tr w:rsidR="00820DEA" w:rsidRPr="006E6097" w:rsidTr="006B37B0">
        <w:trPr>
          <w:trHeight w:val="120"/>
        </w:trPr>
        <w:tc>
          <w:tcPr>
            <w:tcW w:w="446" w:type="dxa"/>
            <w:shd w:val="clear" w:color="auto" w:fill="FFFFFF" w:themeFill="background1"/>
          </w:tcPr>
          <w:p w:rsidR="00820DEA" w:rsidRPr="006E6097" w:rsidRDefault="00820DEA" w:rsidP="00820DEA">
            <w:pPr>
              <w:tabs>
                <w:tab w:val="left" w:pos="360"/>
                <w:tab w:val="left" w:pos="720"/>
                <w:tab w:val="left" w:pos="1440"/>
                <w:tab w:val="left" w:pos="2880"/>
              </w:tabs>
              <w:spacing w:after="120"/>
              <w:jc w:val="left"/>
              <w:rPr>
                <w:rFonts w:cs="Arial"/>
              </w:rPr>
            </w:pPr>
            <w:r w:rsidRPr="006E6097">
              <w:rPr>
                <w:rFonts w:eastAsia="Arial" w:cs="Arial"/>
              </w:rPr>
              <w:t>1.</w:t>
            </w:r>
          </w:p>
        </w:tc>
        <w:tc>
          <w:tcPr>
            <w:tcW w:w="7317" w:type="dxa"/>
            <w:shd w:val="clear" w:color="auto" w:fill="FFFFFF" w:themeFill="background1"/>
          </w:tcPr>
          <w:p w:rsidR="00820DEA" w:rsidRPr="006E6097" w:rsidRDefault="00820DEA" w:rsidP="00820DEA">
            <w:pPr>
              <w:jc w:val="left"/>
              <w:rPr>
                <w:rFonts w:cs="Arial"/>
              </w:rPr>
            </w:pPr>
            <w:r w:rsidRPr="006E6097">
              <w:rPr>
                <w:rFonts w:eastAsia="Arial" w:cs="Arial"/>
              </w:rPr>
              <w:t xml:space="preserve">Please self-certify that your organisation has a Health and Safety Policy that complies with current legislative requirements. </w:t>
            </w: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jc w:val="left"/>
              <w:rPr>
                <w:rFonts w:cs="Arial"/>
              </w:rPr>
            </w:pPr>
            <w:r w:rsidRPr="006E6097">
              <w:rPr>
                <w:rFonts w:eastAsia="Arial" w:cs="Arial"/>
              </w:rPr>
              <w:sym w:font="Wingdings" w:char="F06F"/>
            </w:r>
            <w:r w:rsidRPr="006E6097">
              <w:rPr>
                <w:rFonts w:eastAsia="Arial" w:cs="Arial"/>
              </w:rPr>
              <w:t xml:space="preserve">   No    </w:t>
            </w:r>
          </w:p>
          <w:p w:rsidR="00820DEA" w:rsidRPr="006E6097" w:rsidRDefault="00820DEA" w:rsidP="00820DEA">
            <w:pPr>
              <w:jc w:val="left"/>
              <w:rPr>
                <w:rFonts w:cs="Arial"/>
              </w:rPr>
            </w:pPr>
          </w:p>
        </w:tc>
      </w:tr>
      <w:tr w:rsidR="00820DEA" w:rsidRPr="006E6097" w:rsidTr="006B37B0">
        <w:trPr>
          <w:trHeight w:val="120"/>
        </w:trPr>
        <w:tc>
          <w:tcPr>
            <w:tcW w:w="446" w:type="dxa"/>
            <w:shd w:val="clear" w:color="auto" w:fill="FFFFFF" w:themeFill="background1"/>
          </w:tcPr>
          <w:p w:rsidR="00820DEA" w:rsidRPr="006E6097" w:rsidRDefault="00820DEA" w:rsidP="00820DEA">
            <w:pPr>
              <w:tabs>
                <w:tab w:val="left" w:pos="360"/>
                <w:tab w:val="left" w:pos="720"/>
                <w:tab w:val="left" w:pos="1440"/>
                <w:tab w:val="left" w:pos="2880"/>
              </w:tabs>
              <w:spacing w:after="120"/>
              <w:jc w:val="left"/>
              <w:rPr>
                <w:rFonts w:cs="Arial"/>
              </w:rPr>
            </w:pPr>
            <w:r w:rsidRPr="006E6097">
              <w:rPr>
                <w:rFonts w:eastAsia="Arial" w:cs="Arial"/>
              </w:rPr>
              <w:t>2.</w:t>
            </w:r>
          </w:p>
        </w:tc>
        <w:tc>
          <w:tcPr>
            <w:tcW w:w="73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820DEA" w:rsidRPr="006E6097" w:rsidRDefault="00820DEA" w:rsidP="00820DEA">
            <w:pPr>
              <w:tabs>
                <w:tab w:val="center" w:pos="4513"/>
                <w:tab w:val="right" w:pos="9026"/>
              </w:tabs>
              <w:jc w:val="left"/>
              <w:rPr>
                <w:rFonts w:cs="Arial"/>
              </w:rPr>
            </w:pPr>
          </w:p>
          <w:p w:rsidR="00820DEA" w:rsidRPr="006E6097" w:rsidRDefault="00820DEA" w:rsidP="00820DEA">
            <w:pPr>
              <w:tabs>
                <w:tab w:val="center" w:pos="4513"/>
                <w:tab w:val="right" w:pos="9026"/>
              </w:tabs>
              <w:jc w:val="left"/>
              <w:rPr>
                <w:rFonts w:cs="Arial"/>
              </w:rPr>
            </w:pPr>
            <w:r w:rsidRPr="006E6097">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820DEA" w:rsidRPr="006E6097" w:rsidRDefault="00820DEA" w:rsidP="00820DEA">
            <w:pPr>
              <w:tabs>
                <w:tab w:val="center" w:pos="4513"/>
                <w:tab w:val="right" w:pos="9026"/>
              </w:tabs>
              <w:jc w:val="left"/>
              <w:rPr>
                <w:rFonts w:cs="Arial"/>
              </w:rPr>
            </w:pPr>
            <w:r w:rsidRPr="006E6097">
              <w:rPr>
                <w:rFonts w:eastAsia="Arial" w:cs="Arial"/>
              </w:rPr>
              <w:t xml:space="preserve"> </w:t>
            </w:r>
          </w:p>
          <w:p w:rsidR="00820DEA" w:rsidRPr="006E6097" w:rsidRDefault="00820DEA" w:rsidP="00820DEA">
            <w:pPr>
              <w:jc w:val="left"/>
              <w:rPr>
                <w:rFonts w:cs="Arial"/>
              </w:rPr>
            </w:pPr>
            <w:r w:rsidRPr="006E6097">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sym w:font="Wingdings" w:char="F06F"/>
            </w:r>
            <w:r w:rsidRPr="006E6097">
              <w:rPr>
                <w:rFonts w:eastAsia="Arial" w:cs="Arial"/>
              </w:rPr>
              <w:t xml:space="preserve">   Yes</w:t>
            </w:r>
          </w:p>
          <w:p w:rsidR="00820DEA" w:rsidRPr="006E6097" w:rsidRDefault="00820DEA" w:rsidP="00820DEA">
            <w:pPr>
              <w:jc w:val="center"/>
              <w:rPr>
                <w:rFonts w:cs="Arial"/>
              </w:rPr>
            </w:pPr>
          </w:p>
          <w:p w:rsidR="00820DEA" w:rsidRPr="006E6097" w:rsidRDefault="00820DEA" w:rsidP="00820DEA">
            <w:pPr>
              <w:jc w:val="left"/>
              <w:rPr>
                <w:rFonts w:cs="Arial"/>
              </w:rPr>
            </w:pPr>
            <w:r w:rsidRPr="006E6097">
              <w:rPr>
                <w:rFonts w:eastAsia="Arial" w:cs="Arial"/>
              </w:rPr>
              <w:sym w:font="Wingdings" w:char="F06F"/>
            </w:r>
            <w:r w:rsidRPr="006E6097">
              <w:rPr>
                <w:rFonts w:eastAsia="Arial" w:cs="Arial"/>
              </w:rPr>
              <w:t xml:space="preserve">   No    </w:t>
            </w:r>
          </w:p>
        </w:tc>
      </w:tr>
      <w:tr w:rsidR="00820DEA" w:rsidRPr="006E6097" w:rsidTr="006B37B0">
        <w:trPr>
          <w:trHeight w:val="120"/>
        </w:trPr>
        <w:tc>
          <w:tcPr>
            <w:tcW w:w="446"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3.</w:t>
            </w:r>
          </w:p>
        </w:tc>
        <w:tc>
          <w:tcPr>
            <w:tcW w:w="73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t xml:space="preserve">If you use sub-contractors, do you have processes in place to check whether </w:t>
            </w:r>
            <w:r w:rsidRPr="006E6097">
              <w:rPr>
                <w:rFonts w:eastAsia="Arial" w:cs="Arial"/>
              </w:rPr>
              <w:lastRenderedPageBreak/>
              <w:t>any of the above circumstances apply to these other organisations?</w:t>
            </w:r>
          </w:p>
          <w:p w:rsidR="00820DEA" w:rsidRPr="006E6097" w:rsidRDefault="00820DEA" w:rsidP="00820DEA">
            <w:pPr>
              <w:tabs>
                <w:tab w:val="center" w:pos="4513"/>
                <w:tab w:val="right" w:pos="9026"/>
              </w:tabs>
              <w:jc w:val="left"/>
              <w:rPr>
                <w:rFonts w:cs="Arial"/>
              </w:rPr>
            </w:pPr>
          </w:p>
        </w:tc>
        <w:tc>
          <w:tcPr>
            <w:tcW w:w="1417" w:type="dxa"/>
            <w:shd w:val="clear" w:color="auto" w:fill="FFFFFF" w:themeFill="background1"/>
          </w:tcPr>
          <w:p w:rsidR="00820DEA" w:rsidRPr="006E6097" w:rsidRDefault="00820DEA" w:rsidP="00820DEA">
            <w:pPr>
              <w:tabs>
                <w:tab w:val="center" w:pos="4513"/>
                <w:tab w:val="right" w:pos="9026"/>
              </w:tabs>
              <w:jc w:val="left"/>
              <w:rPr>
                <w:rFonts w:cs="Arial"/>
              </w:rPr>
            </w:pPr>
            <w:r w:rsidRPr="006E6097">
              <w:rPr>
                <w:rFonts w:eastAsia="Arial" w:cs="Arial"/>
              </w:rPr>
              <w:lastRenderedPageBreak/>
              <w:sym w:font="Wingdings" w:char="F06F"/>
            </w:r>
            <w:r w:rsidRPr="006E6097">
              <w:rPr>
                <w:rFonts w:eastAsia="Arial" w:cs="Arial"/>
              </w:rPr>
              <w:t xml:space="preserve">   Yes</w:t>
            </w:r>
          </w:p>
          <w:p w:rsidR="00820DEA" w:rsidRPr="006E6097" w:rsidRDefault="00820DEA" w:rsidP="00820DEA">
            <w:pPr>
              <w:tabs>
                <w:tab w:val="center" w:pos="4513"/>
                <w:tab w:val="right" w:pos="9026"/>
              </w:tabs>
              <w:jc w:val="left"/>
              <w:rPr>
                <w:rFonts w:cs="Arial"/>
              </w:rPr>
            </w:pPr>
            <w:r w:rsidRPr="006E6097">
              <w:rPr>
                <w:rFonts w:eastAsia="Arial" w:cs="Arial"/>
              </w:rPr>
              <w:lastRenderedPageBreak/>
              <w:sym w:font="Wingdings" w:char="F06F"/>
            </w:r>
            <w:r w:rsidRPr="006E6097">
              <w:rPr>
                <w:rFonts w:eastAsia="Arial" w:cs="Arial"/>
              </w:rPr>
              <w:t xml:space="preserve">   No    </w:t>
            </w:r>
          </w:p>
        </w:tc>
      </w:tr>
    </w:tbl>
    <w:p w:rsidR="00820DEA" w:rsidRPr="006E6097" w:rsidRDefault="00820DEA" w:rsidP="00820DEA">
      <w:pPr>
        <w:jc w:val="left"/>
        <w:rPr>
          <w:rFonts w:cs="Arial"/>
        </w:rPr>
      </w:pPr>
    </w:p>
    <w:tbl>
      <w:tblPr>
        <w:tblW w:w="9225" w:type="dxa"/>
        <w:jc w:val="center"/>
        <w:tblCellMar>
          <w:left w:w="0" w:type="dxa"/>
          <w:right w:w="0" w:type="dxa"/>
        </w:tblCellMar>
        <w:tblLook w:val="04A0" w:firstRow="1" w:lastRow="0" w:firstColumn="1" w:lastColumn="0" w:noHBand="0" w:noVBand="1"/>
      </w:tblPr>
      <w:tblGrid>
        <w:gridCol w:w="1552"/>
        <w:gridCol w:w="8"/>
        <w:gridCol w:w="4350"/>
        <w:gridCol w:w="8"/>
        <w:gridCol w:w="3219"/>
        <w:gridCol w:w="88"/>
      </w:tblGrid>
      <w:tr w:rsidR="00820DEA" w:rsidRPr="006E6097" w:rsidTr="006B37B0">
        <w:trPr>
          <w:jc w:val="center"/>
        </w:trPr>
        <w:tc>
          <w:tcPr>
            <w:tcW w:w="155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Criteria Number</w:t>
            </w:r>
          </w:p>
        </w:tc>
        <w:tc>
          <w:tcPr>
            <w:tcW w:w="435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Award Criteria</w:t>
            </w:r>
          </w:p>
        </w:tc>
        <w:tc>
          <w:tcPr>
            <w:tcW w:w="3315"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 xml:space="preserve">Percentage Weightings </w:t>
            </w:r>
          </w:p>
        </w:tc>
      </w:tr>
      <w:tr w:rsidR="00820DEA" w:rsidRPr="006E6097" w:rsidTr="006B37B0">
        <w:trPr>
          <w:jc w:val="center"/>
        </w:trPr>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jc w:val="center"/>
              <w:rPr>
                <w:rFonts w:cs="Arial"/>
                <w:lang w:eastAsia="zh-CN"/>
              </w:rPr>
            </w:pPr>
            <w:r w:rsidRPr="006E6097">
              <w:rPr>
                <w:rFonts w:cs="Arial"/>
                <w:lang w:eastAsia="zh-CN"/>
              </w:rPr>
              <w:t>1</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rPr>
                <w:rFonts w:cs="Arial"/>
              </w:rPr>
            </w:pPr>
            <w:r w:rsidRPr="006E6097">
              <w:rPr>
                <w:rFonts w:cs="Arial"/>
              </w:rPr>
              <w:t>Quality</w:t>
            </w:r>
          </w:p>
        </w:tc>
        <w:tc>
          <w:tcPr>
            <w:tcW w:w="33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overflowPunct w:val="0"/>
              <w:autoSpaceDE w:val="0"/>
              <w:autoSpaceDN w:val="0"/>
              <w:spacing w:before="60" w:after="60"/>
              <w:jc w:val="center"/>
              <w:rPr>
                <w:rFonts w:cs="Arial"/>
              </w:rPr>
            </w:pPr>
            <w:r w:rsidRPr="006E6097">
              <w:rPr>
                <w:rFonts w:cs="Arial"/>
                <w:caps/>
              </w:rPr>
              <w:t>60%</w:t>
            </w:r>
          </w:p>
        </w:tc>
      </w:tr>
      <w:tr w:rsidR="00820DEA" w:rsidRPr="006E6097" w:rsidTr="006B37B0">
        <w:trPr>
          <w:jc w:val="center"/>
        </w:trPr>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jc w:val="center"/>
              <w:rPr>
                <w:rFonts w:cs="Arial"/>
                <w:lang w:eastAsia="zh-CN"/>
              </w:rPr>
            </w:pPr>
            <w:r w:rsidRPr="006E6097">
              <w:rPr>
                <w:rFonts w:cs="Arial"/>
                <w:lang w:eastAsia="zh-CN"/>
              </w:rPr>
              <w:t>2</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rPr>
                <w:rFonts w:cs="Arial"/>
                <w:lang w:eastAsia="zh-CN"/>
              </w:rPr>
            </w:pPr>
            <w:r w:rsidRPr="006E6097">
              <w:rPr>
                <w:rFonts w:cs="Arial"/>
              </w:rPr>
              <w:t>Price</w:t>
            </w:r>
          </w:p>
        </w:tc>
        <w:tc>
          <w:tcPr>
            <w:tcW w:w="33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overflowPunct w:val="0"/>
              <w:autoSpaceDE w:val="0"/>
              <w:autoSpaceDN w:val="0"/>
              <w:spacing w:before="60" w:after="60"/>
              <w:jc w:val="center"/>
              <w:rPr>
                <w:rFonts w:cs="Arial"/>
              </w:rPr>
            </w:pPr>
            <w:r w:rsidRPr="006E6097">
              <w:rPr>
                <w:rFonts w:cs="Arial"/>
                <w:caps/>
              </w:rPr>
              <w:t>40%</w:t>
            </w:r>
          </w:p>
        </w:tc>
      </w:tr>
      <w:tr w:rsidR="00820DEA" w:rsidRPr="006E6097" w:rsidTr="006B37B0">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r w:rsidRPr="006E6097">
              <w:rPr>
                <w:rFonts w:cs="Arial"/>
                <w:b/>
                <w:bCs/>
                <w:lang w:eastAsia="zh-CN"/>
              </w:rPr>
              <w:t xml:space="preserve">Quality </w:t>
            </w:r>
          </w:p>
        </w:tc>
        <w:tc>
          <w:tcPr>
            <w:tcW w:w="4358" w:type="dxa"/>
            <w:gridSpan w:val="2"/>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p>
        </w:tc>
        <w:tc>
          <w:tcPr>
            <w:tcW w:w="32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tcPr>
          <w:p w:rsidR="00820DEA" w:rsidRPr="006E6097" w:rsidRDefault="00820DEA" w:rsidP="00820DEA">
            <w:pPr>
              <w:keepNext/>
              <w:overflowPunct w:val="0"/>
              <w:autoSpaceDE w:val="0"/>
              <w:autoSpaceDN w:val="0"/>
              <w:spacing w:before="240"/>
              <w:ind w:left="142"/>
              <w:jc w:val="center"/>
              <w:textAlignment w:val="baseline"/>
              <w:rPr>
                <w:rFonts w:cs="Arial"/>
                <w:b/>
                <w:bCs/>
                <w:lang w:eastAsia="zh-CN"/>
              </w:rPr>
            </w:pPr>
            <w:r w:rsidRPr="006E6097">
              <w:rPr>
                <w:rFonts w:cs="Arial"/>
                <w:b/>
                <w:bCs/>
                <w:lang w:eastAsia="zh-CN"/>
              </w:rPr>
              <w:t>60%</w:t>
            </w:r>
          </w:p>
        </w:tc>
      </w:tr>
      <w:tr w:rsidR="00820DEA" w:rsidRPr="006E6097" w:rsidTr="006B37B0">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a</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left"/>
              <w:textAlignment w:val="baseline"/>
              <w:rPr>
                <w:rFonts w:cs="Arial"/>
                <w:lang w:eastAsia="zh-CN"/>
              </w:rPr>
            </w:pPr>
            <w:r w:rsidRPr="006E6097">
              <w:rPr>
                <w:rFonts w:cs="Arial"/>
                <w:lang w:eastAsia="zh-CN"/>
              </w:rPr>
              <w:t>Your understanding of our requirements</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10%</w:t>
            </w:r>
          </w:p>
        </w:tc>
      </w:tr>
      <w:tr w:rsidR="00820DEA" w:rsidRPr="006E6097" w:rsidTr="006B37B0">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b</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left"/>
              <w:textAlignment w:val="baseline"/>
              <w:rPr>
                <w:rFonts w:cs="Arial"/>
                <w:lang w:eastAsia="zh-CN"/>
              </w:rPr>
            </w:pPr>
            <w:r w:rsidRPr="006E6097">
              <w:rPr>
                <w:rFonts w:cs="Arial"/>
                <w:lang w:eastAsia="zh-CN"/>
              </w:rPr>
              <w:t>Your proposed methodology and project plan</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30%</w:t>
            </w:r>
          </w:p>
        </w:tc>
      </w:tr>
      <w:tr w:rsidR="00820DEA" w:rsidRPr="006E6097" w:rsidTr="006B37B0">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c</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left"/>
              <w:textAlignment w:val="baseline"/>
              <w:rPr>
                <w:rFonts w:cs="Arial"/>
                <w:lang w:eastAsia="zh-CN"/>
              </w:rPr>
            </w:pPr>
            <w:r w:rsidRPr="006E6097">
              <w:rPr>
                <w:rFonts w:cs="Arial"/>
                <w:lang w:eastAsia="zh-CN"/>
              </w:rPr>
              <w:t>Your proposed team and their specific experience relative to the required services</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10%</w:t>
            </w:r>
          </w:p>
        </w:tc>
      </w:tr>
      <w:tr w:rsidR="00820DEA" w:rsidRPr="006E6097" w:rsidTr="006B37B0">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d</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left"/>
              <w:textAlignment w:val="baseline"/>
              <w:rPr>
                <w:rFonts w:cs="Arial"/>
                <w:lang w:eastAsia="zh-CN"/>
              </w:rPr>
            </w:pPr>
            <w:r w:rsidRPr="006E6097">
              <w:rPr>
                <w:rFonts w:cs="Arial"/>
                <w:lang w:eastAsia="zh-CN"/>
              </w:rPr>
              <w:t>Case studies relevant to the specific criteria set out in the section titled “Relevant experience required” above</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10%</w:t>
            </w:r>
          </w:p>
        </w:tc>
      </w:tr>
      <w:tr w:rsidR="00820DEA" w:rsidRPr="006E6097" w:rsidTr="006B37B0">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r w:rsidRPr="006E6097">
              <w:rPr>
                <w:rFonts w:cs="Arial"/>
                <w:b/>
                <w:bCs/>
                <w:lang w:eastAsia="zh-CN"/>
              </w:rPr>
              <w:t>Price</w:t>
            </w:r>
          </w:p>
        </w:tc>
        <w:tc>
          <w:tcPr>
            <w:tcW w:w="4358" w:type="dxa"/>
            <w:gridSpan w:val="2"/>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p>
        </w:tc>
        <w:tc>
          <w:tcPr>
            <w:tcW w:w="32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ind w:left="142"/>
              <w:jc w:val="center"/>
              <w:textAlignment w:val="baseline"/>
              <w:rPr>
                <w:rFonts w:cs="Arial"/>
                <w:b/>
                <w:bCs/>
                <w:lang w:eastAsia="zh-CN"/>
              </w:rPr>
            </w:pPr>
            <w:r w:rsidRPr="006E6097">
              <w:rPr>
                <w:rFonts w:cs="Arial"/>
                <w:b/>
                <w:bCs/>
                <w:lang w:eastAsia="zh-CN"/>
              </w:rPr>
              <w:t>40%</w:t>
            </w:r>
          </w:p>
        </w:tc>
      </w:tr>
      <w:tr w:rsidR="00820DEA" w:rsidRPr="006E6097" w:rsidTr="006B37B0">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e</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left"/>
              <w:textAlignment w:val="baseline"/>
              <w:rPr>
                <w:rFonts w:cs="Arial"/>
                <w:lang w:eastAsia="zh-CN"/>
              </w:rPr>
            </w:pPr>
            <w:r w:rsidRPr="006E6097">
              <w:rPr>
                <w:rFonts w:cs="Arial"/>
                <w:lang w:eastAsia="zh-CN"/>
              </w:rPr>
              <w:t xml:space="preserve">Please provide full costs of your proposed service. </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after="120"/>
              <w:ind w:left="142"/>
              <w:jc w:val="center"/>
              <w:textAlignment w:val="baseline"/>
              <w:rPr>
                <w:rFonts w:cs="Arial"/>
                <w:lang w:eastAsia="zh-CN"/>
              </w:rPr>
            </w:pPr>
            <w:r w:rsidRPr="006E6097">
              <w:rPr>
                <w:rFonts w:cs="Arial"/>
                <w:lang w:eastAsia="zh-CN"/>
              </w:rPr>
              <w:t>40%</w:t>
            </w:r>
          </w:p>
        </w:tc>
      </w:tr>
    </w:tbl>
    <w:p w:rsidR="00273B26" w:rsidRPr="006E6097" w:rsidRDefault="00273B26" w:rsidP="002B7273">
      <w:pPr>
        <w:pStyle w:val="Heading2"/>
        <w:numPr>
          <w:ilvl w:val="0"/>
          <w:numId w:val="0"/>
        </w:numPr>
        <w:rPr>
          <w:rFonts w:cs="Arial"/>
          <w:b/>
        </w:rPr>
      </w:pPr>
    </w:p>
    <w:p w:rsidR="00273B26" w:rsidRDefault="00273B26" w:rsidP="002B7273">
      <w:pPr>
        <w:pStyle w:val="Heading2"/>
        <w:numPr>
          <w:ilvl w:val="0"/>
          <w:numId w:val="0"/>
        </w:numPr>
        <w:rPr>
          <w:b/>
        </w:rPr>
      </w:pPr>
      <w:r w:rsidRPr="00273B26">
        <w:rPr>
          <w:b/>
        </w:rPr>
        <w:t>The criteria will be tested by assessment of the bid deliverables, at interview and with reference sites</w:t>
      </w:r>
    </w:p>
    <w:p w:rsidR="007C2F2F" w:rsidRPr="007C2F2F" w:rsidRDefault="007C2F2F" w:rsidP="00DD4504">
      <w:pPr>
        <w:pStyle w:val="Heading1"/>
        <w:spacing w:before="240" w:after="0"/>
        <w:ind w:left="709"/>
      </w:pPr>
      <w:bookmarkStart w:id="123" w:name="_Toc403555175"/>
      <w:r w:rsidRPr="007C2F2F">
        <w:t>Criteria – Scored Questions</w:t>
      </w:r>
      <w:r>
        <w:t>:  pricing evaluation</w:t>
      </w:r>
      <w:bookmarkEnd w:id="123"/>
    </w:p>
    <w:p w:rsidR="007C364A" w:rsidRPr="00C816AC" w:rsidRDefault="008E7F55" w:rsidP="006B54D6">
      <w:pPr>
        <w:pStyle w:val="MRNumberedHeading2"/>
        <w:rPr>
          <w:shd w:val="clear" w:color="auto" w:fill="FFFF66"/>
        </w:rPr>
      </w:pPr>
      <w:bookmarkStart w:id="124" w:name="_Toc403555176"/>
      <w:bookmarkStart w:id="125"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820DEA">
        <w:t>4</w:t>
      </w:r>
      <w:r w:rsidR="00C816AC" w:rsidRPr="00C816AC">
        <w:t>0% 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24"/>
      <w:bookmarkEnd w:id="125"/>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C816AC">
        <w:rPr>
          <w:noProof/>
          <w:color w:val="auto"/>
          <w:szCs w:val="24"/>
        </w:rPr>
        <mc:AlternateContent>
          <mc:Choice Requires="wps">
            <w:drawing>
              <wp:anchor distT="0" distB="0" distL="114300" distR="114300" simplePos="0" relativeHeight="251680768" behindDoc="0" locked="0" layoutInCell="1" allowOverlap="1" wp14:anchorId="0E053769" wp14:editId="792B600D">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6" w:name="handnine"/>
                          <w:bookmarkEnd w:id="126"/>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3" w:name="handnine"/>
                    <w:bookmarkEnd w:id="133"/>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820DEA">
        <w:rPr>
          <w:color w:val="auto"/>
          <w:szCs w:val="24"/>
        </w:rPr>
        <w:t>(A / B) x 4</w:t>
      </w:r>
      <w:r w:rsidR="005D7675">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bookmarkStart w:id="127" w:name="_Toc403555177"/>
    <w:bookmarkStart w:id="128" w:name="_Ref405453293"/>
    <w:p w:rsidR="006C1E7E" w:rsidRPr="00C816AC" w:rsidRDefault="00D146E1" w:rsidP="006B54D6">
      <w:pPr>
        <w:pStyle w:val="MRNumberedHeading2"/>
      </w:pPr>
      <w:r w:rsidRPr="004C5086">
        <w:rPr>
          <w:b/>
          <w:noProof/>
        </w:rPr>
        <mc:AlternateContent>
          <mc:Choice Requires="wps">
            <w:drawing>
              <wp:anchor distT="0" distB="0" distL="114300" distR="114300" simplePos="0" relativeHeight="251695104" behindDoc="0" locked="0" layoutInCell="1" allowOverlap="1" wp14:anchorId="789966EA" wp14:editId="300E1B8A">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9" w:name="handfourten"/>
                          <w:bookmarkEnd w:id="129"/>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7" w:name="handfourten"/>
                    <w:bookmarkEnd w:id="137"/>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bookmarkEnd w:id="127"/>
      <w:bookmarkEnd w:id="128"/>
      <w:r w:rsidR="004C5086" w:rsidRPr="004C5086">
        <w:rPr>
          <w:b/>
        </w:rPr>
        <w:t>This is a below Threshold Procurement and we ask that bidders submit their most competitive offer below the EU threshold</w:t>
      </w:r>
      <w:r w:rsidR="00345D5C">
        <w:t xml:space="preserve">.  We have included a budget of 60k plus vat </w:t>
      </w:r>
      <w:r w:rsidR="00255AB0">
        <w:t>and ask</w:t>
      </w:r>
      <w:r w:rsidR="004C5086">
        <w:t xml:space="preserve"> that bidders consider their most competitive proposed solution.</w:t>
      </w:r>
      <w:r w:rsidR="00255AB0">
        <w:t xml:space="preserve"> Any bid </w:t>
      </w:r>
      <w:proofErr w:type="gramStart"/>
      <w:r w:rsidR="00255AB0">
        <w:t>that  exceeds</w:t>
      </w:r>
      <w:proofErr w:type="gramEnd"/>
      <w:r w:rsidR="00255AB0">
        <w:t xml:space="preserve"> this cost</w:t>
      </w:r>
      <w:r w:rsidR="00345D5C">
        <w:t xml:space="preserve"> will be excluded from this process.</w:t>
      </w:r>
    </w:p>
    <w:p w:rsidR="007C2F2F" w:rsidRPr="0025200C" w:rsidRDefault="007C2F2F" w:rsidP="006B54D6">
      <w:pPr>
        <w:pStyle w:val="MRNumberedHeading2"/>
      </w:pPr>
      <w:bookmarkStart w:id="130"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0"/>
    </w:p>
    <w:p w:rsidR="00A77338" w:rsidRPr="007C2F2F" w:rsidRDefault="00A77338" w:rsidP="00DD4504">
      <w:pPr>
        <w:pStyle w:val="Heading1"/>
        <w:spacing w:before="240" w:after="0"/>
        <w:ind w:left="709"/>
      </w:pPr>
      <w:bookmarkStart w:id="131" w:name="_Toc403555179"/>
      <w:r w:rsidRPr="007C2F2F">
        <w:lastRenderedPageBreak/>
        <w:t>Criteria – Scored Questions</w:t>
      </w:r>
      <w:r>
        <w:t>:  technical and quality evaluation</w:t>
      </w:r>
      <w:bookmarkEnd w:id="131"/>
    </w:p>
    <w:p w:rsidR="006C1E7E" w:rsidRDefault="006C1E7E" w:rsidP="006B54D6">
      <w:pPr>
        <w:pStyle w:val="MRNumberedHeading2"/>
      </w:pPr>
      <w:bookmarkStart w:id="132" w:name="_Toc403555180"/>
      <w:bookmarkStart w:id="133" w:name="_Ref405453301"/>
      <w:bookmarkStart w:id="134" w:name="_Ref408579700"/>
      <w:r>
        <w:t xml:space="preserve">The </w:t>
      </w:r>
      <w:r w:rsidR="006A7F8F">
        <w:t>technical evaluation will be scored in accordance with the table below:</w:t>
      </w:r>
      <w:bookmarkEnd w:id="132"/>
      <w:bookmarkEnd w:id="133"/>
      <w:bookmarkEnd w:id="134"/>
      <w:r w:rsidR="006A7F8F">
        <w:t xml:space="preserve"> </w:t>
      </w:r>
    </w:p>
    <w:p w:rsidR="00C816AC" w:rsidRPr="00521CF8" w:rsidRDefault="00C816AC" w:rsidP="006B54D6">
      <w:pPr>
        <w:pStyle w:val="MRNumberedHeading2"/>
      </w:pPr>
      <w:r w:rsidRPr="00521CF8">
        <w:t xml:space="preserve">There are </w:t>
      </w:r>
      <w:r w:rsidR="00820DEA">
        <w:t>4</w:t>
      </w:r>
      <w:r w:rsidRPr="00521CF8">
        <w:t xml:space="preserve"> quality questions which have each </w:t>
      </w:r>
      <w:r w:rsidR="004D3C1A" w:rsidRPr="00521CF8">
        <w:t>been assigned a weighting</w:t>
      </w:r>
      <w:r w:rsidRPr="00521CF8">
        <w:t>.  Each question will be scored on the basis of the 0-5 table below, t</w:t>
      </w:r>
      <w:r w:rsidR="004D3C1A" w:rsidRPr="00521CF8">
        <w:t xml:space="preserve">he maximum quality score being </w:t>
      </w:r>
      <w:r w:rsidR="00820DEA">
        <w:t>360</w:t>
      </w:r>
      <w:r w:rsidR="004D3C1A" w:rsidRPr="00521CF8">
        <w:t xml:space="preserve"> (</w:t>
      </w:r>
      <w:r w:rsidR="00820DEA">
        <w:t>4</w:t>
      </w:r>
      <w:r w:rsidR="00521CF8" w:rsidRPr="00521CF8">
        <w:t xml:space="preserve"> questions with a </w:t>
      </w:r>
      <w:r w:rsidR="004D3C1A" w:rsidRPr="00521CF8">
        <w:t xml:space="preserve">weighting of </w:t>
      </w:r>
      <w:r w:rsidR="00820DEA">
        <w:t>60</w:t>
      </w:r>
      <w:r w:rsidR="004D3C1A" w:rsidRPr="00521CF8">
        <w:t xml:space="preserve"> </w:t>
      </w:r>
      <w:r w:rsidRPr="00521CF8">
        <w:t xml:space="preserve">x max score per question of </w:t>
      </w:r>
      <w:r w:rsidR="00820DEA">
        <w:t>4</w:t>
      </w:r>
      <w:r w:rsidRPr="00521CF8">
        <w:t>).</w:t>
      </w:r>
    </w:p>
    <w:p w:rsidR="00C816AC" w:rsidRPr="00521CF8" w:rsidRDefault="00C816AC" w:rsidP="00C816AC">
      <w:pPr>
        <w:pStyle w:val="MRNumberedHeading2"/>
        <w:numPr>
          <w:ilvl w:val="0"/>
          <w:numId w:val="0"/>
        </w:numPr>
        <w:ind w:left="720"/>
      </w:pPr>
      <w:r w:rsidRPr="00521CF8">
        <w:t>Example:</w:t>
      </w:r>
    </w:p>
    <w:p w:rsidR="00C816AC" w:rsidRPr="00521CF8" w:rsidRDefault="004D3C1A" w:rsidP="00C816AC">
      <w:pPr>
        <w:pStyle w:val="MRNumberedHeading2"/>
        <w:numPr>
          <w:ilvl w:val="0"/>
          <w:numId w:val="0"/>
        </w:numPr>
        <w:ind w:left="720"/>
      </w:pPr>
      <w:r w:rsidRPr="00521CF8">
        <w:t xml:space="preserve">A bidder scoring the full </w:t>
      </w:r>
      <w:r w:rsidR="00820DEA">
        <w:t>36</w:t>
      </w:r>
      <w:r w:rsidR="005D7675">
        <w:t>0</w:t>
      </w:r>
      <w:r w:rsidR="00C816AC" w:rsidRPr="00521CF8">
        <w:t xml:space="preserve"> </w:t>
      </w:r>
      <w:r w:rsidRPr="00521CF8">
        <w:t xml:space="preserve">points will be scored the full </w:t>
      </w:r>
      <w:r w:rsidR="00820DEA">
        <w:t>6</w:t>
      </w:r>
      <w:r w:rsidR="00FD5D53" w:rsidRPr="00521CF8">
        <w:t>0</w:t>
      </w:r>
      <w:r w:rsidR="00C816AC" w:rsidRPr="00521CF8">
        <w:t>%</w:t>
      </w:r>
    </w:p>
    <w:p w:rsidR="00C816AC" w:rsidRPr="00521CF8" w:rsidRDefault="004D3C1A" w:rsidP="00C816AC">
      <w:pPr>
        <w:pStyle w:val="MRNumberedHeading2"/>
        <w:numPr>
          <w:ilvl w:val="0"/>
          <w:numId w:val="0"/>
        </w:numPr>
        <w:ind w:left="720"/>
      </w:pPr>
      <w:r w:rsidRPr="00521CF8">
        <w:t xml:space="preserve">A bidder scoring </w:t>
      </w:r>
      <w:r w:rsidR="00820DEA">
        <w:t>300</w:t>
      </w:r>
      <w:r w:rsidRPr="00521CF8">
        <w:t xml:space="preserve"> points will be score</w:t>
      </w:r>
      <w:r w:rsidR="00820DEA">
        <w:t>d 5</w:t>
      </w:r>
      <w:r w:rsidR="005D7675">
        <w:t>0% (3</w:t>
      </w:r>
      <w:r w:rsidR="00820DEA">
        <w:t>0</w:t>
      </w:r>
      <w:r w:rsidR="005D7675">
        <w:t>0/</w:t>
      </w:r>
      <w:r w:rsidR="00820DEA">
        <w:t>360</w:t>
      </w:r>
      <w:r w:rsidRPr="00521CF8">
        <w:t>*</w:t>
      </w:r>
      <w:r w:rsidR="00820DEA">
        <w:t>6</w:t>
      </w:r>
      <w:r w:rsidR="00C816AC" w:rsidRPr="00521CF8">
        <w:t>0)</w:t>
      </w:r>
    </w:p>
    <w:p w:rsidR="00C816AC" w:rsidRPr="00521CF8" w:rsidRDefault="004D3C1A" w:rsidP="00C816AC">
      <w:pPr>
        <w:pStyle w:val="MRNumberedHeading2"/>
        <w:numPr>
          <w:ilvl w:val="0"/>
          <w:numId w:val="0"/>
        </w:numPr>
        <w:ind w:left="720"/>
      </w:pPr>
      <w:r w:rsidRPr="00521CF8">
        <w:t>A bidder sco</w:t>
      </w:r>
      <w:r w:rsidR="00820DEA">
        <w:t>ring 240 points will be scored 40% (240/36</w:t>
      </w:r>
      <w:r w:rsidR="005D7675">
        <w:t>0</w:t>
      </w:r>
      <w:r w:rsidR="00C816AC" w:rsidRPr="00521CF8">
        <w:t>*</w:t>
      </w:r>
      <w:r w:rsidR="00820DEA">
        <w:t>6</w:t>
      </w:r>
      <w:r w:rsidR="00C816AC" w:rsidRPr="00521CF8">
        <w:t>0)</w:t>
      </w:r>
    </w:p>
    <w:p w:rsidR="003E3276" w:rsidRDefault="00C816AC" w:rsidP="005D7675">
      <w:pPr>
        <w:pStyle w:val="MRNumberedHeading2"/>
        <w:numPr>
          <w:ilvl w:val="0"/>
          <w:numId w:val="0"/>
        </w:numPr>
        <w:ind w:left="720"/>
      </w:pPr>
      <w:r w:rsidRPr="00521CF8">
        <w:t>Any bidder scoring less than 60% of the</w:t>
      </w:r>
      <w:r w:rsidR="004D3C1A" w:rsidRPr="00521CF8">
        <w:t xml:space="preserve"> quality </w:t>
      </w:r>
      <w:r w:rsidR="005D7675">
        <w:t xml:space="preserve">score i.e. less than </w:t>
      </w:r>
      <w:r w:rsidR="00820DEA">
        <w:t>216</w:t>
      </w:r>
      <w:r w:rsidRPr="00521CF8">
        <w:t xml:space="preserve"> points will be excluded from further consideration and will not have their financial submission evaluated</w:t>
      </w:r>
    </w:p>
    <w:p w:rsidR="002B7273" w:rsidRDefault="002B7273" w:rsidP="00282C77">
      <w:pPr>
        <w:pStyle w:val="MRNumberedHeading2"/>
        <w:numPr>
          <w:ilvl w:val="0"/>
          <w:numId w:val="0"/>
        </w:numPr>
      </w:pPr>
    </w:p>
    <w:tbl>
      <w:tblPr>
        <w:tblW w:w="10284" w:type="dxa"/>
        <w:jc w:val="center"/>
        <w:tblCellMar>
          <w:left w:w="0" w:type="dxa"/>
          <w:right w:w="0" w:type="dxa"/>
        </w:tblCellMar>
        <w:tblLook w:val="04A0" w:firstRow="1" w:lastRow="0" w:firstColumn="1" w:lastColumn="0" w:noHBand="0" w:noVBand="1"/>
      </w:tblPr>
      <w:tblGrid>
        <w:gridCol w:w="1671"/>
        <w:gridCol w:w="1466"/>
        <w:gridCol w:w="7147"/>
      </w:tblGrid>
      <w:tr w:rsidR="005D7675" w:rsidRPr="00CA017C" w:rsidTr="005D7675">
        <w:trPr>
          <w:jc w:val="center"/>
        </w:trPr>
        <w:tc>
          <w:tcPr>
            <w:tcW w:w="1671"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tabs>
                <w:tab w:val="center" w:pos="756"/>
              </w:tabs>
              <w:spacing w:before="120" w:after="120"/>
              <w:rPr>
                <w:rFonts w:cs="Arial"/>
                <w:b/>
                <w:bCs/>
              </w:rPr>
            </w:pPr>
            <w:r w:rsidRPr="005D7675">
              <w:rPr>
                <w:rFonts w:eastAsia="Times New Roman" w:cs="Arial"/>
              </w:rPr>
              <w:br w:type="page"/>
            </w:r>
            <w:r w:rsidRPr="005D7675">
              <w:rPr>
                <w:rFonts w:eastAsia="Times New Roman" w:cs="Arial"/>
              </w:rPr>
              <w:br w:type="page"/>
            </w:r>
            <w:r w:rsidRPr="005D7675">
              <w:rPr>
                <w:rFonts w:eastAsia="Times New Roman" w:cs="Arial"/>
                <w:b/>
                <w:bCs/>
              </w:rPr>
              <w:tab/>
              <w:t>Assessment</w:t>
            </w:r>
          </w:p>
        </w:tc>
        <w:tc>
          <w:tcPr>
            <w:tcW w:w="1466"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spacing w:before="120" w:after="120"/>
              <w:jc w:val="center"/>
              <w:rPr>
                <w:rFonts w:cs="Arial"/>
                <w:b/>
                <w:bCs/>
              </w:rPr>
            </w:pPr>
            <w:r w:rsidRPr="005D7675">
              <w:rPr>
                <w:rFonts w:eastAsia="Times New Roman" w:cs="Arial"/>
                <w:b/>
                <w:bCs/>
              </w:rPr>
              <w:t>Score</w:t>
            </w:r>
          </w:p>
        </w:tc>
        <w:tc>
          <w:tcPr>
            <w:tcW w:w="7147"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5D7675" w:rsidRDefault="005D7675" w:rsidP="00916918">
            <w:pPr>
              <w:spacing w:before="120" w:after="120"/>
              <w:jc w:val="center"/>
              <w:rPr>
                <w:rFonts w:cs="Arial"/>
                <w:b/>
                <w:bCs/>
              </w:rPr>
            </w:pPr>
            <w:r w:rsidRPr="005D7675">
              <w:rPr>
                <w:rFonts w:eastAsia="Times New Roman" w:cs="Arial"/>
                <w:b/>
                <w:bCs/>
              </w:rPr>
              <w:t>Interpretation</w:t>
            </w:r>
          </w:p>
        </w:tc>
      </w:tr>
      <w:tr w:rsidR="005D7675" w:rsidRPr="00CA017C" w:rsidTr="005D7675">
        <w:trPr>
          <w:trHeight w:val="1043"/>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Excellent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5</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Exceeds the requirement.   Exceptional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Good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4</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3</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Demonstration by the supplier of the relevant ability, understanding, experience, skills, resource and quality measures required to provide the services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Minor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2</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minor reservations.   Some minor reservations of the supplier’s relevant ability, understanding, experience, skills, resource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Serious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1</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 xml:space="preserve">Satisfies the requirement with major reservations.  Considerable reservations of the supplier’s relevant ability, understanding, experience, skills, resource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 xml:space="preserve">Unacceptable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jc w:val="center"/>
              <w:rPr>
                <w:rFonts w:cs="Arial"/>
              </w:rPr>
            </w:pPr>
            <w:r w:rsidRPr="005D7675">
              <w:rPr>
                <w:rFonts w:eastAsia="Times New Roman" w:cs="Arial"/>
              </w:rPr>
              <w:t>0</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916918">
            <w:pPr>
              <w:spacing w:before="120" w:after="120"/>
              <w:rPr>
                <w:rFonts w:cs="Arial"/>
              </w:rPr>
            </w:pPr>
            <w:r w:rsidRPr="005D7675">
              <w:rPr>
                <w:rFonts w:eastAsia="Times New Roman"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35" w:name="_Ref403489615"/>
      <w:r>
        <w:br w:type="page"/>
      </w:r>
    </w:p>
    <w:p w:rsidR="005E4E9D" w:rsidRPr="005B59B7" w:rsidRDefault="005E4E9D" w:rsidP="00401FF0">
      <w:pPr>
        <w:pStyle w:val="MainHeading"/>
        <w:spacing w:line="480" w:lineRule="auto"/>
        <w:ind w:left="0"/>
        <w:jc w:val="center"/>
        <w:rPr>
          <w:b/>
        </w:rPr>
      </w:pPr>
      <w:bookmarkStart w:id="136" w:name="_Toc403556511"/>
      <w:bookmarkEnd w:id="135"/>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37" w:name="handannexone"/>
                          <w:bookmarkEnd w:id="137"/>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6" w:name="handannexone"/>
                    <w:bookmarkEnd w:id="146"/>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36"/>
    </w:p>
    <w:p w:rsidR="005E4E9D" w:rsidRPr="00C816AC" w:rsidRDefault="005E4E9D" w:rsidP="005E4E9D">
      <w:pPr>
        <w:pStyle w:val="Body1"/>
        <w:ind w:left="0"/>
      </w:pPr>
      <w:r w:rsidRPr="00C816AC">
        <w:t>The Authority intends to enter into a contract wi</w:t>
      </w:r>
      <w:r w:rsidR="007F7073">
        <w:t>th the successful Bidder on the NHS Terms and Conditions for the supply of services.</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1F1B32">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0C" w:rsidRDefault="00A5140C" w:rsidP="00C82318">
      <w:r>
        <w:separator/>
      </w:r>
    </w:p>
  </w:endnote>
  <w:endnote w:type="continuationSeparator" w:id="0">
    <w:p w:rsidR="00A5140C" w:rsidRDefault="00A5140C"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1F1B32">
          <w:rPr>
            <w:noProof/>
          </w:rPr>
          <w:t>12</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1F1B32">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0C" w:rsidRDefault="00A5140C" w:rsidP="00C82318">
      <w:r>
        <w:separator/>
      </w:r>
    </w:p>
  </w:footnote>
  <w:footnote w:type="continuationSeparator" w:id="0">
    <w:p w:rsidR="00A5140C" w:rsidRDefault="00A5140C"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1287"/>
        </w:tabs>
        <w:ind w:left="1287"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7">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7"/>
  </w:num>
  <w:num w:numId="4">
    <w:abstractNumId w:val="18"/>
  </w:num>
  <w:num w:numId="5">
    <w:abstractNumId w:val="18"/>
  </w:num>
  <w:num w:numId="6">
    <w:abstractNumId w:val="3"/>
  </w:num>
  <w:num w:numId="7">
    <w:abstractNumId w:val="9"/>
  </w:num>
  <w:num w:numId="8">
    <w:abstractNumId w:val="22"/>
  </w:num>
  <w:num w:numId="9">
    <w:abstractNumId w:val="0"/>
  </w:num>
  <w:num w:numId="10">
    <w:abstractNumId w:val="25"/>
  </w:num>
  <w:num w:numId="11">
    <w:abstractNumId w:val="19"/>
  </w:num>
  <w:num w:numId="12">
    <w:abstractNumId w:val="20"/>
  </w:num>
  <w:num w:numId="13">
    <w:abstractNumId w:val="24"/>
  </w:num>
  <w:num w:numId="14">
    <w:abstractNumId w:val="8"/>
  </w:num>
  <w:num w:numId="15">
    <w:abstractNumId w:val="10"/>
  </w:num>
  <w:num w:numId="16">
    <w:abstractNumId w:val="26"/>
  </w:num>
  <w:num w:numId="17">
    <w:abstractNumId w:val="14"/>
  </w:num>
  <w:num w:numId="18">
    <w:abstractNumId w:val="23"/>
  </w:num>
  <w:num w:numId="19">
    <w:abstractNumId w:val="1"/>
  </w:num>
  <w:num w:numId="20">
    <w:abstractNumId w:val="4"/>
  </w:num>
  <w:num w:numId="21">
    <w:abstractNumId w:val="15"/>
  </w:num>
  <w:num w:numId="22">
    <w:abstractNumId w:val="2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13"/>
  </w:num>
  <w:num w:numId="28">
    <w:abstractNumId w:val="18"/>
  </w:num>
  <w:num w:numId="29">
    <w:abstractNumId w:val="18"/>
  </w:num>
  <w:num w:numId="30">
    <w:abstractNumId w:val="13"/>
  </w:num>
  <w:num w:numId="31">
    <w:abstractNumId w:val="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3"/>
  </w:num>
  <w:num w:numId="39">
    <w:abstractNumId w:val="18"/>
  </w:num>
  <w:num w:numId="40">
    <w:abstractNumId w:val="13"/>
  </w:num>
  <w:num w:numId="41">
    <w:abstractNumId w:val="16"/>
  </w:num>
  <w:num w:numId="42">
    <w:abstractNumId w:val="12"/>
  </w:num>
  <w:num w:numId="43">
    <w:abstractNumId w:val="2"/>
  </w:num>
  <w:num w:numId="4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45DB9"/>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1B32"/>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5AB0"/>
    <w:rsid w:val="00257686"/>
    <w:rsid w:val="00257EF9"/>
    <w:rsid w:val="0026116A"/>
    <w:rsid w:val="00262D1B"/>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0230"/>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D5C"/>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C673C"/>
    <w:rsid w:val="003D6B24"/>
    <w:rsid w:val="003D791D"/>
    <w:rsid w:val="003E1425"/>
    <w:rsid w:val="003E3276"/>
    <w:rsid w:val="003E3454"/>
    <w:rsid w:val="003E3EE7"/>
    <w:rsid w:val="004010FB"/>
    <w:rsid w:val="00401301"/>
    <w:rsid w:val="00401FF0"/>
    <w:rsid w:val="004164C8"/>
    <w:rsid w:val="004230E7"/>
    <w:rsid w:val="004244F2"/>
    <w:rsid w:val="00424769"/>
    <w:rsid w:val="004251F8"/>
    <w:rsid w:val="00430158"/>
    <w:rsid w:val="004339CA"/>
    <w:rsid w:val="004411D8"/>
    <w:rsid w:val="00452E14"/>
    <w:rsid w:val="00453A99"/>
    <w:rsid w:val="00456FE6"/>
    <w:rsid w:val="00457D9A"/>
    <w:rsid w:val="00461A05"/>
    <w:rsid w:val="00465EF9"/>
    <w:rsid w:val="00481FEF"/>
    <w:rsid w:val="004834F5"/>
    <w:rsid w:val="00486F32"/>
    <w:rsid w:val="004900DB"/>
    <w:rsid w:val="00491808"/>
    <w:rsid w:val="00496B53"/>
    <w:rsid w:val="004A129B"/>
    <w:rsid w:val="004B1A24"/>
    <w:rsid w:val="004B6544"/>
    <w:rsid w:val="004C3605"/>
    <w:rsid w:val="004C3B98"/>
    <w:rsid w:val="004C5086"/>
    <w:rsid w:val="004C58D8"/>
    <w:rsid w:val="004D1477"/>
    <w:rsid w:val="004D33A7"/>
    <w:rsid w:val="004D3C1A"/>
    <w:rsid w:val="004D660D"/>
    <w:rsid w:val="004E1ABD"/>
    <w:rsid w:val="004E51D1"/>
    <w:rsid w:val="004E71FF"/>
    <w:rsid w:val="004E775C"/>
    <w:rsid w:val="004F391B"/>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2B9F"/>
    <w:rsid w:val="005B39A7"/>
    <w:rsid w:val="005B4FA2"/>
    <w:rsid w:val="005B59B7"/>
    <w:rsid w:val="005C16F0"/>
    <w:rsid w:val="005C423B"/>
    <w:rsid w:val="005C47BD"/>
    <w:rsid w:val="005C55FB"/>
    <w:rsid w:val="005C5973"/>
    <w:rsid w:val="005C64CE"/>
    <w:rsid w:val="005D52ED"/>
    <w:rsid w:val="005D6EB1"/>
    <w:rsid w:val="005D7098"/>
    <w:rsid w:val="005D7675"/>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1900"/>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1160"/>
    <w:rsid w:val="006E2D76"/>
    <w:rsid w:val="006E3892"/>
    <w:rsid w:val="006E500B"/>
    <w:rsid w:val="006E6097"/>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7F7073"/>
    <w:rsid w:val="00807CF7"/>
    <w:rsid w:val="00811FA0"/>
    <w:rsid w:val="00814588"/>
    <w:rsid w:val="00815813"/>
    <w:rsid w:val="00816028"/>
    <w:rsid w:val="00820DEA"/>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B5E6A"/>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004"/>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140C"/>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27643"/>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3E5A"/>
    <w:rsid w:val="00C1440D"/>
    <w:rsid w:val="00C14AA9"/>
    <w:rsid w:val="00C14D48"/>
    <w:rsid w:val="00C158D5"/>
    <w:rsid w:val="00C20330"/>
    <w:rsid w:val="00C2061F"/>
    <w:rsid w:val="00C2319B"/>
    <w:rsid w:val="00C23B02"/>
    <w:rsid w:val="00C23BA6"/>
    <w:rsid w:val="00C259A7"/>
    <w:rsid w:val="00C261A8"/>
    <w:rsid w:val="00C26BAF"/>
    <w:rsid w:val="00C27CC2"/>
    <w:rsid w:val="00C32150"/>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0C85"/>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07C4"/>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D0968"/>
    <w:rsid w:val="00ED2376"/>
    <w:rsid w:val="00EE1D9C"/>
    <w:rsid w:val="00EE2496"/>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006"/>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9798724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F17A-F37D-4DCD-91F3-0B2D4AAE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Didcock Mark (0DE) Arden &amp; GEM CSU</cp:lastModifiedBy>
  <cp:revision>3</cp:revision>
  <cp:lastPrinted>2015-01-12T17:15:00Z</cp:lastPrinted>
  <dcterms:created xsi:type="dcterms:W3CDTF">2017-09-26T14:59:00Z</dcterms:created>
  <dcterms:modified xsi:type="dcterms:W3CDTF">2017-09-26T15:10:00Z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