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97" w:rsidRDefault="00196195">
      <w:r w:rsidRPr="00945897">
        <w:rPr>
          <w:noProof/>
          <w:lang w:eastAsia="en-GB"/>
        </w:rPr>
        <w:drawing>
          <wp:anchor distT="0" distB="0" distL="114300" distR="114300" simplePos="0" relativeHeight="251660800" behindDoc="0" locked="0" layoutInCell="1" allowOverlap="1" wp14:anchorId="5C2D36BF" wp14:editId="4D9A2FCD">
            <wp:simplePos x="0" y="0"/>
            <wp:positionH relativeFrom="margin">
              <wp:align>center</wp:align>
            </wp:positionH>
            <wp:positionV relativeFrom="margin">
              <wp:align>top</wp:align>
            </wp:positionV>
            <wp:extent cx="1210310" cy="1162050"/>
            <wp:effectExtent l="19050" t="0" r="8890" b="0"/>
            <wp:wrapSquare wrapText="bothSides"/>
            <wp:docPr id="1" name="Picture 1" descr="\\data.newforestnpa.gov.uk\users$\david.illsley\Documents\Sensitive\Photos, Maps &amp; 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newforestnpa.gov.uk\users$\david.illsley\Documents\Sensitive\Photos, Maps &amp; Imag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310" cy="1162050"/>
                    </a:xfrm>
                    <a:prstGeom prst="rect">
                      <a:avLst/>
                    </a:prstGeom>
                    <a:noFill/>
                    <a:ln>
                      <a:noFill/>
                    </a:ln>
                  </pic:spPr>
                </pic:pic>
              </a:graphicData>
            </a:graphic>
          </wp:anchor>
        </w:drawing>
      </w:r>
    </w:p>
    <w:p w:rsidR="00945897" w:rsidRDefault="00945897"/>
    <w:p w:rsidR="00945897" w:rsidRDefault="00945897"/>
    <w:p w:rsidR="00945897" w:rsidRDefault="00945897" w:rsidP="00945897">
      <w:pPr>
        <w:spacing w:after="0" w:line="240" w:lineRule="auto"/>
      </w:pPr>
    </w:p>
    <w:p w:rsidR="00945897" w:rsidRPr="00C55E2E" w:rsidRDefault="00945897" w:rsidP="00945897">
      <w:pPr>
        <w:spacing w:after="0" w:line="240" w:lineRule="auto"/>
        <w:rPr>
          <w:sz w:val="20"/>
          <w:szCs w:val="20"/>
        </w:rPr>
      </w:pPr>
    </w:p>
    <w:p w:rsidR="00945897" w:rsidRPr="00B8438D" w:rsidRDefault="00945897" w:rsidP="00945897">
      <w:pPr>
        <w:spacing w:after="0" w:line="240" w:lineRule="auto"/>
        <w:jc w:val="center"/>
        <w:rPr>
          <w:b/>
          <w:sz w:val="28"/>
          <w:szCs w:val="28"/>
        </w:rPr>
      </w:pPr>
      <w:r w:rsidRPr="00B8438D">
        <w:rPr>
          <w:b/>
          <w:sz w:val="28"/>
          <w:szCs w:val="28"/>
        </w:rPr>
        <w:t>Sustainability Appraisal</w:t>
      </w:r>
      <w:r w:rsidR="00C55E2E">
        <w:rPr>
          <w:b/>
          <w:sz w:val="28"/>
          <w:szCs w:val="28"/>
        </w:rPr>
        <w:t xml:space="preserve"> / SEA</w:t>
      </w:r>
    </w:p>
    <w:p w:rsidR="00945897" w:rsidRPr="00C55E2E" w:rsidRDefault="00945897" w:rsidP="00945897">
      <w:pPr>
        <w:spacing w:after="0" w:line="240" w:lineRule="auto"/>
        <w:jc w:val="center"/>
        <w:rPr>
          <w:b/>
          <w:sz w:val="16"/>
          <w:szCs w:val="16"/>
        </w:rPr>
      </w:pPr>
    </w:p>
    <w:p w:rsidR="00945897" w:rsidRDefault="00945897" w:rsidP="00945897">
      <w:pPr>
        <w:spacing w:after="0" w:line="240" w:lineRule="auto"/>
        <w:jc w:val="center"/>
        <w:rPr>
          <w:b/>
          <w:sz w:val="28"/>
          <w:szCs w:val="28"/>
        </w:rPr>
      </w:pPr>
      <w:r w:rsidRPr="00B8438D">
        <w:rPr>
          <w:b/>
          <w:sz w:val="28"/>
          <w:szCs w:val="28"/>
        </w:rPr>
        <w:t xml:space="preserve">Project Brief and Invitation to </w:t>
      </w:r>
      <w:r w:rsidR="001721C6">
        <w:rPr>
          <w:b/>
          <w:sz w:val="28"/>
          <w:szCs w:val="28"/>
        </w:rPr>
        <w:t xml:space="preserve">Quote </w:t>
      </w:r>
      <w:r w:rsidR="007D58AE">
        <w:rPr>
          <w:b/>
          <w:sz w:val="28"/>
          <w:szCs w:val="28"/>
        </w:rPr>
        <w:t>(</w:t>
      </w:r>
      <w:r w:rsidR="0012001A">
        <w:rPr>
          <w:b/>
          <w:sz w:val="28"/>
          <w:szCs w:val="28"/>
        </w:rPr>
        <w:t xml:space="preserve">NFNPA </w:t>
      </w:r>
      <w:r w:rsidR="007D58AE">
        <w:rPr>
          <w:b/>
          <w:sz w:val="28"/>
          <w:szCs w:val="28"/>
        </w:rPr>
        <w:t>–</w:t>
      </w:r>
      <w:r w:rsidR="0012001A">
        <w:rPr>
          <w:b/>
          <w:sz w:val="28"/>
          <w:szCs w:val="28"/>
        </w:rPr>
        <w:t xml:space="preserve"> 0028</w:t>
      </w:r>
      <w:r w:rsidR="007D58AE">
        <w:rPr>
          <w:b/>
          <w:sz w:val="28"/>
          <w:szCs w:val="28"/>
        </w:rPr>
        <w:t>)</w:t>
      </w:r>
      <w:r w:rsidRPr="00B8438D">
        <w:rPr>
          <w:b/>
          <w:sz w:val="28"/>
          <w:szCs w:val="28"/>
        </w:rPr>
        <w:t xml:space="preserve"> </w:t>
      </w:r>
    </w:p>
    <w:p w:rsidR="00196195" w:rsidRPr="00C55E2E" w:rsidRDefault="00196195" w:rsidP="00945897">
      <w:pPr>
        <w:spacing w:after="0" w:line="240" w:lineRule="auto"/>
        <w:jc w:val="center"/>
        <w:rPr>
          <w:b/>
          <w:sz w:val="16"/>
          <w:szCs w:val="16"/>
        </w:rPr>
      </w:pPr>
    </w:p>
    <w:p w:rsidR="00196195" w:rsidRPr="00B8438D" w:rsidRDefault="00196195" w:rsidP="00945897">
      <w:pPr>
        <w:spacing w:after="0" w:line="240" w:lineRule="auto"/>
        <w:jc w:val="center"/>
        <w:rPr>
          <w:b/>
          <w:sz w:val="28"/>
          <w:szCs w:val="28"/>
        </w:rPr>
      </w:pPr>
      <w:r>
        <w:rPr>
          <w:b/>
          <w:sz w:val="28"/>
          <w:szCs w:val="28"/>
        </w:rPr>
        <w:t xml:space="preserve">February 2016 </w:t>
      </w:r>
    </w:p>
    <w:p w:rsidR="00945897" w:rsidRDefault="00945897" w:rsidP="00945897">
      <w:pPr>
        <w:spacing w:after="0" w:line="240" w:lineRule="auto"/>
        <w:rPr>
          <w:b/>
        </w:rPr>
      </w:pPr>
    </w:p>
    <w:p w:rsidR="00B8438D" w:rsidRDefault="00945897" w:rsidP="00B8438D">
      <w:pPr>
        <w:pStyle w:val="ListParagraph"/>
        <w:numPr>
          <w:ilvl w:val="0"/>
          <w:numId w:val="1"/>
        </w:numPr>
        <w:spacing w:after="0" w:line="240" w:lineRule="auto"/>
        <w:ind w:left="567" w:hanging="567"/>
        <w:rPr>
          <w:b/>
        </w:rPr>
      </w:pPr>
      <w:r>
        <w:rPr>
          <w:b/>
        </w:rPr>
        <w:t xml:space="preserve">Introduction </w:t>
      </w:r>
    </w:p>
    <w:p w:rsidR="00634C17" w:rsidRPr="00C55E2E" w:rsidRDefault="00634C17" w:rsidP="00C55E2E">
      <w:pPr>
        <w:spacing w:after="0" w:line="240" w:lineRule="auto"/>
        <w:rPr>
          <w:b/>
          <w:sz w:val="20"/>
          <w:szCs w:val="20"/>
        </w:rPr>
      </w:pPr>
    </w:p>
    <w:p w:rsidR="00B8438D" w:rsidRDefault="00B8438D" w:rsidP="007749DA">
      <w:pPr>
        <w:pStyle w:val="ListParagraph"/>
        <w:numPr>
          <w:ilvl w:val="1"/>
          <w:numId w:val="1"/>
        </w:numPr>
        <w:spacing w:after="0" w:line="240" w:lineRule="auto"/>
        <w:ind w:left="567" w:hanging="567"/>
        <w:jc w:val="both"/>
      </w:pPr>
      <w:r>
        <w:t xml:space="preserve">The New Forest National Park Authority invites tenders from suitably experienced consultants to </w:t>
      </w:r>
      <w:r w:rsidR="007749DA">
        <w:t xml:space="preserve">undertake </w:t>
      </w:r>
      <w:r>
        <w:t xml:space="preserve">a Sustainability Appraisal </w:t>
      </w:r>
      <w:r w:rsidR="00AF16E1">
        <w:t xml:space="preserve">(SA) </w:t>
      </w:r>
      <w:r w:rsidR="007749DA">
        <w:t xml:space="preserve">and Strategic Environmental Assessment (SEA) </w:t>
      </w:r>
      <w:r>
        <w:t xml:space="preserve">which will shape and support the review of the Authority’s Local Plan. </w:t>
      </w:r>
      <w:r w:rsidR="007749DA">
        <w:t xml:space="preserve">These assessments are required by the </w:t>
      </w:r>
      <w:r w:rsidR="007749DA" w:rsidRPr="007749DA">
        <w:rPr>
          <w:i/>
        </w:rPr>
        <w:t>Planning &amp; Compulsory Purchase Act 2004</w:t>
      </w:r>
      <w:r w:rsidR="007749DA">
        <w:t xml:space="preserve"> and the European Directive 2001/42/EC (the Strategic Environmental Assessment or SEA Directive). </w:t>
      </w:r>
      <w:r>
        <w:t xml:space="preserve"> </w:t>
      </w:r>
    </w:p>
    <w:p w:rsidR="00B8438D" w:rsidRPr="00C55E2E" w:rsidRDefault="00B8438D" w:rsidP="00B8438D">
      <w:pPr>
        <w:spacing w:after="0" w:line="240" w:lineRule="auto"/>
        <w:ind w:left="567" w:hanging="567"/>
        <w:jc w:val="both"/>
        <w:rPr>
          <w:sz w:val="20"/>
          <w:szCs w:val="20"/>
        </w:rPr>
      </w:pPr>
    </w:p>
    <w:p w:rsidR="00B8438D" w:rsidRDefault="007749DA" w:rsidP="00B8438D">
      <w:pPr>
        <w:spacing w:after="0" w:line="240" w:lineRule="auto"/>
        <w:ind w:left="567" w:hanging="567"/>
        <w:jc w:val="both"/>
      </w:pPr>
      <w:r>
        <w:t>1.2</w:t>
      </w:r>
      <w:r w:rsidR="00B8438D">
        <w:tab/>
        <w:t xml:space="preserve">The project brief outlines what the National Park Authority expects of its Sustainability Appraisal </w:t>
      </w:r>
      <w:r w:rsidR="00AF16E1">
        <w:t xml:space="preserve">/ SEA </w:t>
      </w:r>
      <w:r w:rsidR="00B8438D">
        <w:t xml:space="preserve">and the requirements for Tender proposals.  </w:t>
      </w:r>
    </w:p>
    <w:p w:rsidR="00B70018" w:rsidRPr="00C55E2E" w:rsidRDefault="00B70018" w:rsidP="00B8438D">
      <w:pPr>
        <w:spacing w:after="0" w:line="240" w:lineRule="auto"/>
        <w:ind w:left="567" w:hanging="567"/>
        <w:jc w:val="both"/>
        <w:rPr>
          <w:sz w:val="20"/>
          <w:szCs w:val="20"/>
        </w:rPr>
      </w:pPr>
    </w:p>
    <w:p w:rsidR="00B70018" w:rsidRDefault="00B70018" w:rsidP="00B70018">
      <w:pPr>
        <w:pStyle w:val="ListParagraph"/>
        <w:numPr>
          <w:ilvl w:val="0"/>
          <w:numId w:val="1"/>
        </w:numPr>
        <w:spacing w:after="0" w:line="240" w:lineRule="auto"/>
        <w:ind w:left="567" w:hanging="567"/>
        <w:jc w:val="both"/>
        <w:rPr>
          <w:b/>
        </w:rPr>
      </w:pPr>
      <w:r w:rsidRPr="00B70018">
        <w:rPr>
          <w:b/>
        </w:rPr>
        <w:t xml:space="preserve">Background </w:t>
      </w:r>
    </w:p>
    <w:p w:rsidR="00B70018" w:rsidRPr="00C55E2E" w:rsidRDefault="00B70018" w:rsidP="00B70018">
      <w:pPr>
        <w:spacing w:after="0" w:line="240" w:lineRule="auto"/>
        <w:jc w:val="both"/>
        <w:rPr>
          <w:b/>
          <w:sz w:val="20"/>
          <w:szCs w:val="20"/>
        </w:rPr>
      </w:pPr>
    </w:p>
    <w:p w:rsidR="00196195" w:rsidRDefault="00B70018" w:rsidP="00196195">
      <w:pPr>
        <w:pStyle w:val="ListParagraph"/>
        <w:numPr>
          <w:ilvl w:val="1"/>
          <w:numId w:val="1"/>
        </w:numPr>
        <w:spacing w:after="0" w:line="240" w:lineRule="auto"/>
        <w:ind w:left="567" w:hanging="567"/>
        <w:jc w:val="both"/>
      </w:pPr>
      <w:r>
        <w:t xml:space="preserve">The New Forest National Park Authority adopted its first set of Park-wide planning policies in the </w:t>
      </w:r>
      <w:r w:rsidRPr="007749DA">
        <w:rPr>
          <w:i/>
        </w:rPr>
        <w:t xml:space="preserve">Core Strategy &amp; Development Management Policies DPD </w:t>
      </w:r>
      <w:r>
        <w:t xml:space="preserve">in December 2010. </w:t>
      </w:r>
      <w:r w:rsidR="00196195">
        <w:t xml:space="preserve">The planning system plays a key role in the delivery of the two statutory National Park purposes </w:t>
      </w:r>
      <w:r w:rsidR="001140C2">
        <w:t>(</w:t>
      </w:r>
      <w:r w:rsidR="00196195">
        <w:t>and related socio-economic duty</w:t>
      </w:r>
      <w:r w:rsidR="001140C2">
        <w:t>) and the</w:t>
      </w:r>
      <w:r w:rsidR="00196195">
        <w:t xml:space="preserve"> adopted Core Strategy has provided a clear planning policy framework for the </w:t>
      </w:r>
      <w:r w:rsidR="001140C2">
        <w:t xml:space="preserve">New Forest </w:t>
      </w:r>
      <w:r w:rsidR="00196195">
        <w:t>National Park over the last 5 years.</w:t>
      </w:r>
    </w:p>
    <w:p w:rsidR="00196195" w:rsidRPr="00C55E2E" w:rsidRDefault="00196195" w:rsidP="00196195">
      <w:pPr>
        <w:spacing w:after="0" w:line="240" w:lineRule="auto"/>
        <w:jc w:val="both"/>
        <w:rPr>
          <w:sz w:val="20"/>
          <w:szCs w:val="20"/>
        </w:rPr>
      </w:pPr>
    </w:p>
    <w:p w:rsidR="00196195" w:rsidRDefault="00AF16E1" w:rsidP="00196195">
      <w:pPr>
        <w:pStyle w:val="ListParagraph"/>
        <w:numPr>
          <w:ilvl w:val="1"/>
          <w:numId w:val="1"/>
        </w:numPr>
        <w:spacing w:after="0" w:line="240" w:lineRule="auto"/>
        <w:ind w:left="567" w:hanging="567"/>
        <w:jc w:val="both"/>
      </w:pPr>
      <w:r>
        <w:t>T</w:t>
      </w:r>
      <w:r w:rsidR="00196195">
        <w:t>he publication of the National Planning Policy Framework (NPPF) in 2012, allied to changes</w:t>
      </w:r>
      <w:r w:rsidR="001140C2">
        <w:t xml:space="preserve"> in national Permitted Development R</w:t>
      </w:r>
      <w:r w:rsidR="00196195">
        <w:t xml:space="preserve">ights and the experiences of apply the adopted planning policies over the </w:t>
      </w:r>
      <w:r w:rsidR="001140C2">
        <w:t xml:space="preserve">last 5 years, means </w:t>
      </w:r>
      <w:r w:rsidR="00196195">
        <w:t>that now is an opp</w:t>
      </w:r>
      <w:r w:rsidR="001140C2">
        <w:t>ortune time to review the planning policies for the</w:t>
      </w:r>
      <w:r w:rsidR="007749DA">
        <w:t xml:space="preserve"> </w:t>
      </w:r>
      <w:r w:rsidR="00196195">
        <w:t>Park.</w:t>
      </w:r>
    </w:p>
    <w:p w:rsidR="00196195" w:rsidRPr="00C55E2E" w:rsidRDefault="00196195" w:rsidP="00196195">
      <w:pPr>
        <w:spacing w:after="0" w:line="240" w:lineRule="auto"/>
        <w:jc w:val="both"/>
        <w:rPr>
          <w:sz w:val="20"/>
          <w:szCs w:val="20"/>
        </w:rPr>
      </w:pPr>
    </w:p>
    <w:p w:rsidR="00A44D29" w:rsidRDefault="00196195" w:rsidP="00196195">
      <w:pPr>
        <w:pStyle w:val="ListParagraph"/>
        <w:numPr>
          <w:ilvl w:val="1"/>
          <w:numId w:val="1"/>
        </w:numPr>
        <w:spacing w:after="0" w:line="240" w:lineRule="auto"/>
        <w:ind w:left="567" w:hanging="567"/>
        <w:jc w:val="both"/>
      </w:pPr>
      <w:r>
        <w:t>A Strategic Housing Market Area Assessment for the New Forest National Park (and</w:t>
      </w:r>
      <w:r w:rsidR="007749DA">
        <w:t xml:space="preserve"> surrounding areas within N</w:t>
      </w:r>
      <w:r>
        <w:t>ew Forest District Cou</w:t>
      </w:r>
      <w:r w:rsidR="00AF16E1">
        <w:t xml:space="preserve">ncil’s planning remit) was </w:t>
      </w:r>
      <w:r>
        <w:t xml:space="preserve">completed in 2014; as was a Gypsy &amp; Traveller Accommodation Assessment covering the National Park in 2013. Further evidence base studies are currently being undertaken and we </w:t>
      </w:r>
      <w:r w:rsidR="001140C2">
        <w:t xml:space="preserve">have recently started </w:t>
      </w:r>
      <w:r>
        <w:t xml:space="preserve">working with our neighbouring planning authority New Forest District Council and Land Use Consultants </w:t>
      </w:r>
      <w:r w:rsidR="001140C2">
        <w:t xml:space="preserve">(LUC) </w:t>
      </w:r>
      <w:r>
        <w:t>on a Habitats Regulations Assessment</w:t>
      </w:r>
      <w:r w:rsidR="007749DA">
        <w:t xml:space="preserve"> (HRA)</w:t>
      </w:r>
      <w:r>
        <w:t xml:space="preserve">. </w:t>
      </w:r>
      <w:r w:rsidR="00363EB4">
        <w:t>The f</w:t>
      </w:r>
      <w:r w:rsidR="00363EB4" w:rsidRPr="00363EB4">
        <w:t>indings of the emerging HRA will need to be incorporated into the Sustainability Appraisal process.</w:t>
      </w:r>
    </w:p>
    <w:p w:rsidR="00A44D29" w:rsidRDefault="00A44D29" w:rsidP="00A44D29">
      <w:pPr>
        <w:pStyle w:val="ListParagraph"/>
      </w:pPr>
    </w:p>
    <w:p w:rsidR="00196195" w:rsidRDefault="00196195" w:rsidP="00196195">
      <w:pPr>
        <w:pStyle w:val="ListParagraph"/>
        <w:numPr>
          <w:ilvl w:val="1"/>
          <w:numId w:val="1"/>
        </w:numPr>
        <w:spacing w:after="0" w:line="240" w:lineRule="auto"/>
        <w:ind w:left="567" w:hanging="567"/>
        <w:jc w:val="both"/>
      </w:pPr>
      <w:r w:rsidRPr="00196195">
        <w:t xml:space="preserve">We undertook an initial </w:t>
      </w:r>
      <w:r w:rsidR="007749DA">
        <w:t xml:space="preserve">high-level </w:t>
      </w:r>
      <w:r w:rsidRPr="00196195">
        <w:t xml:space="preserve">Regulation 18 consultation on the scope of the </w:t>
      </w:r>
      <w:r w:rsidR="00887351">
        <w:t xml:space="preserve">Local Plan </w:t>
      </w:r>
      <w:r w:rsidR="00A44D29">
        <w:t>R</w:t>
      </w:r>
      <w:r w:rsidRPr="00196195">
        <w:t xml:space="preserve">eview in late 2015 and continue to liaise with our local communities and interest groups on the range of issues to be addressed </w:t>
      </w:r>
      <w:r w:rsidRPr="00196195">
        <w:lastRenderedPageBreak/>
        <w:t>through the review.</w:t>
      </w:r>
      <w:r w:rsidR="00A44D29">
        <w:t xml:space="preserve"> </w:t>
      </w:r>
      <w:r w:rsidR="00FC497B">
        <w:t>We intend to publish a consultation ‘draft’ of the emerging Local Plan in October 2016, prior to the publication of the Submission draft Local Plan in S</w:t>
      </w:r>
      <w:r w:rsidR="0034474D">
        <w:t xml:space="preserve">ummer </w:t>
      </w:r>
      <w:r w:rsidR="00FC497B">
        <w:t xml:space="preserve">2017 and submission to the Secretary of State for independent examination in </w:t>
      </w:r>
      <w:r w:rsidR="0034474D">
        <w:t xml:space="preserve">Autumn </w:t>
      </w:r>
      <w:r w:rsidR="00FC497B">
        <w:t xml:space="preserve">2017. </w:t>
      </w:r>
    </w:p>
    <w:p w:rsidR="00196195" w:rsidRDefault="00196195" w:rsidP="00196195">
      <w:pPr>
        <w:spacing w:after="0" w:line="240" w:lineRule="auto"/>
        <w:jc w:val="both"/>
      </w:pPr>
    </w:p>
    <w:p w:rsidR="00196195" w:rsidRDefault="00196195" w:rsidP="00196195">
      <w:pPr>
        <w:spacing w:after="0" w:line="240" w:lineRule="auto"/>
        <w:ind w:left="567" w:hanging="567"/>
        <w:jc w:val="both"/>
        <w:rPr>
          <w:b/>
        </w:rPr>
      </w:pPr>
      <w:r>
        <w:rPr>
          <w:b/>
        </w:rPr>
        <w:t>3</w:t>
      </w:r>
      <w:r w:rsidR="00F46096">
        <w:rPr>
          <w:b/>
        </w:rPr>
        <w:t>.</w:t>
      </w:r>
      <w:r>
        <w:rPr>
          <w:b/>
        </w:rPr>
        <w:tab/>
        <w:t>The Study Area</w:t>
      </w:r>
    </w:p>
    <w:p w:rsidR="00196195" w:rsidRDefault="00196195" w:rsidP="00196195">
      <w:pPr>
        <w:spacing w:after="0" w:line="240" w:lineRule="auto"/>
        <w:ind w:left="567" w:hanging="567"/>
        <w:jc w:val="both"/>
        <w:rPr>
          <w:b/>
        </w:rPr>
      </w:pPr>
    </w:p>
    <w:p w:rsidR="00556E3E" w:rsidRDefault="00196195" w:rsidP="00556E3E">
      <w:pPr>
        <w:spacing w:after="0" w:line="240" w:lineRule="auto"/>
        <w:ind w:left="567" w:hanging="567"/>
        <w:jc w:val="both"/>
      </w:pPr>
      <w:r>
        <w:t>3.1</w:t>
      </w:r>
      <w:r>
        <w:tab/>
      </w:r>
      <w:r w:rsidR="00D27B43">
        <w:t xml:space="preserve">The study area is the </w:t>
      </w:r>
      <w:r w:rsidR="00887351">
        <w:t xml:space="preserve">whole of the </w:t>
      </w:r>
      <w:r w:rsidR="00D27B43">
        <w:t>New Forest National Park. The 220 square mile National Park w</w:t>
      </w:r>
      <w:r w:rsidR="00AF16E1">
        <w:t xml:space="preserve">as designated </w:t>
      </w:r>
      <w:r w:rsidR="00D27B43">
        <w:t xml:space="preserve">in 2005 and includes land within the counties of Hampshire and Wiltshire. As with all of the English and Welsh National Parks, the New Forest has two statutory </w:t>
      </w:r>
      <w:r w:rsidR="00556E3E">
        <w:t>purposes:</w:t>
      </w:r>
    </w:p>
    <w:p w:rsidR="00556E3E" w:rsidRDefault="00556E3E" w:rsidP="00196195">
      <w:pPr>
        <w:spacing w:after="0" w:line="240" w:lineRule="auto"/>
        <w:ind w:left="567" w:hanging="567"/>
        <w:jc w:val="both"/>
      </w:pPr>
    </w:p>
    <w:p w:rsidR="00556E3E" w:rsidRDefault="00556E3E" w:rsidP="00556E3E">
      <w:pPr>
        <w:pStyle w:val="ListParagraph"/>
        <w:numPr>
          <w:ilvl w:val="0"/>
          <w:numId w:val="3"/>
        </w:numPr>
        <w:spacing w:after="0" w:line="240" w:lineRule="auto"/>
        <w:jc w:val="both"/>
      </w:pPr>
      <w:r>
        <w:t xml:space="preserve">To conserve and enhance the natural beauty, wildlife and cultural heritage of the Park; and </w:t>
      </w:r>
    </w:p>
    <w:p w:rsidR="00196195" w:rsidRPr="00196195" w:rsidRDefault="00556E3E" w:rsidP="00556E3E">
      <w:pPr>
        <w:pStyle w:val="ListParagraph"/>
        <w:numPr>
          <w:ilvl w:val="0"/>
          <w:numId w:val="3"/>
        </w:numPr>
        <w:spacing w:after="0" w:line="240" w:lineRule="auto"/>
        <w:jc w:val="both"/>
      </w:pPr>
      <w:r w:rsidRPr="00556E3E">
        <w:t>To promote opportunities for the understanding and enjoyment of the special qualities of the Park by the public</w:t>
      </w:r>
    </w:p>
    <w:p w:rsidR="00556E3E" w:rsidRDefault="00556E3E" w:rsidP="00556E3E">
      <w:pPr>
        <w:spacing w:after="0" w:line="240" w:lineRule="auto"/>
        <w:jc w:val="both"/>
      </w:pPr>
    </w:p>
    <w:p w:rsidR="00196195" w:rsidRDefault="00556E3E" w:rsidP="00556E3E">
      <w:pPr>
        <w:spacing w:after="0" w:line="240" w:lineRule="auto"/>
        <w:ind w:left="570" w:hanging="570"/>
        <w:jc w:val="both"/>
      </w:pPr>
      <w:r>
        <w:t>3.2</w:t>
      </w:r>
      <w:r>
        <w:tab/>
      </w:r>
      <w:r w:rsidRPr="00556E3E">
        <w:t>Working in partnership with other organisations</w:t>
      </w:r>
      <w:r w:rsidR="00880539">
        <w:t>,</w:t>
      </w:r>
      <w:r w:rsidRPr="00556E3E">
        <w:t xml:space="preserve"> it is also the Authority's duty to seek to foster the economic and social well-being of the local communities within the </w:t>
      </w:r>
      <w:r w:rsidR="001140C2">
        <w:t>New Forest</w:t>
      </w:r>
      <w:r w:rsidRPr="00556E3E">
        <w:t>.</w:t>
      </w:r>
      <w:r w:rsidR="00880539">
        <w:t xml:space="preserve"> National Parks are recognised within the NPPF as having the highest level of protection in relation to landscape</w:t>
      </w:r>
      <w:r w:rsidR="001140C2">
        <w:t xml:space="preserve"> and scenic beauty (paragraph 11</w:t>
      </w:r>
      <w:r w:rsidR="00880539">
        <w:t>5)</w:t>
      </w:r>
      <w:r w:rsidR="00887351">
        <w:t xml:space="preserve"> and are identified as areas of restraint with</w:t>
      </w:r>
      <w:r w:rsidR="00AF16E1">
        <w:t>in</w:t>
      </w:r>
      <w:r w:rsidR="00887351">
        <w:t xml:space="preserve"> paragraph 14 of the NPPF. </w:t>
      </w:r>
      <w:r w:rsidR="007749DA">
        <w:t>Since the designation of the National Park in 2005, a</w:t>
      </w:r>
      <w:r w:rsidR="001140C2">
        <w:t>n</w:t>
      </w:r>
      <w:r w:rsidR="007749DA">
        <w:t xml:space="preserve"> average of 20 new dwellings (net) per annum have been completed within the National Park, with housing and employment development currently delivered through positively worded enabling policies, rather than land allocations.   </w:t>
      </w:r>
    </w:p>
    <w:p w:rsidR="00556E3E" w:rsidRDefault="00556E3E" w:rsidP="00556E3E">
      <w:pPr>
        <w:spacing w:after="0" w:line="240" w:lineRule="auto"/>
        <w:ind w:left="570" w:hanging="570"/>
        <w:jc w:val="both"/>
      </w:pPr>
    </w:p>
    <w:p w:rsidR="007749DA" w:rsidRDefault="00556E3E" w:rsidP="00556E3E">
      <w:pPr>
        <w:spacing w:after="0" w:line="240" w:lineRule="auto"/>
        <w:ind w:left="570" w:hanging="570"/>
        <w:jc w:val="both"/>
      </w:pPr>
      <w:r>
        <w:t>3.3</w:t>
      </w:r>
      <w:r>
        <w:tab/>
      </w:r>
      <w:r w:rsidR="00880539" w:rsidRPr="00880539">
        <w:t>56% of the New Forest National Park is designated as being of national or international importance for nature conservation – the highest proportion of an</w:t>
      </w:r>
      <w:r w:rsidR="00880539">
        <w:t>y</w:t>
      </w:r>
      <w:r w:rsidR="00880539" w:rsidRPr="00880539">
        <w:t xml:space="preserve"> local planning authority’s area in the country. It is also a living-working</w:t>
      </w:r>
      <w:r w:rsidR="00880539">
        <w:t xml:space="preserve"> landscape</w:t>
      </w:r>
      <w:r w:rsidR="00AF16E1">
        <w:t>,</w:t>
      </w:r>
      <w:r w:rsidR="00880539" w:rsidRPr="00880539">
        <w:t xml:space="preserve"> with </w:t>
      </w:r>
      <w:r w:rsidRPr="00556E3E">
        <w:t>a resident p</w:t>
      </w:r>
      <w:r w:rsidR="001140C2">
        <w:t>opulation of 35,000 which makes</w:t>
      </w:r>
      <w:r w:rsidRPr="00556E3E">
        <w:t xml:space="preserve"> it one of the most densely populated National Parks in the country.</w:t>
      </w:r>
      <w:r w:rsidR="00880539">
        <w:t xml:space="preserve"> The New Forest has a variety of settlements, with no villages larger than 3,500 people, and the National Park is home to around 2,300 local businesses.</w:t>
      </w:r>
      <w:r w:rsidR="00887351">
        <w:t xml:space="preserve"> The Authority deals with around 1,000 planning appl</w:t>
      </w:r>
      <w:r w:rsidR="00AF16E1">
        <w:t>ications per annum</w:t>
      </w:r>
      <w:r w:rsidR="00887351">
        <w:t xml:space="preserve">.  </w:t>
      </w:r>
      <w:r w:rsidR="00880539">
        <w:t xml:space="preserve"> </w:t>
      </w:r>
    </w:p>
    <w:p w:rsidR="007749DA" w:rsidRDefault="007749DA" w:rsidP="00556E3E">
      <w:pPr>
        <w:spacing w:after="0" w:line="240" w:lineRule="auto"/>
        <w:ind w:left="570" w:hanging="570"/>
        <w:jc w:val="both"/>
      </w:pPr>
    </w:p>
    <w:p w:rsidR="00556E3E" w:rsidRDefault="007749DA" w:rsidP="00556E3E">
      <w:pPr>
        <w:spacing w:after="0" w:line="240" w:lineRule="auto"/>
        <w:ind w:left="570" w:hanging="570"/>
        <w:jc w:val="both"/>
      </w:pPr>
      <w:r>
        <w:t>3.4</w:t>
      </w:r>
      <w:r>
        <w:tab/>
        <w:t xml:space="preserve">With the reforms to national planning policy, the review of the Authority’s local planning policies will consider the allocation of land within the New Forest for specific uses for the first time since the National Park was designated in 2005. The Authority has recently undertaken a ‘call for sites’ process and the results of this will feed into the review of the Local Plan. </w:t>
      </w:r>
      <w:r w:rsidR="00880539">
        <w:t xml:space="preserve">  </w:t>
      </w:r>
    </w:p>
    <w:p w:rsidR="00880539" w:rsidRDefault="00880539" w:rsidP="00556E3E">
      <w:pPr>
        <w:spacing w:after="0" w:line="240" w:lineRule="auto"/>
        <w:ind w:left="570" w:hanging="570"/>
        <w:jc w:val="both"/>
      </w:pPr>
    </w:p>
    <w:p w:rsidR="00880539" w:rsidRDefault="00880539" w:rsidP="00556E3E">
      <w:pPr>
        <w:spacing w:after="0" w:line="240" w:lineRule="auto"/>
        <w:ind w:left="570" w:hanging="570"/>
        <w:jc w:val="both"/>
        <w:rPr>
          <w:b/>
        </w:rPr>
      </w:pPr>
      <w:r w:rsidRPr="00F14807">
        <w:rPr>
          <w:b/>
        </w:rPr>
        <w:t>4.</w:t>
      </w:r>
      <w:r w:rsidRPr="00F14807">
        <w:rPr>
          <w:b/>
        </w:rPr>
        <w:tab/>
      </w:r>
      <w:r w:rsidR="00F14807">
        <w:rPr>
          <w:b/>
        </w:rPr>
        <w:t xml:space="preserve">Project Description </w:t>
      </w:r>
    </w:p>
    <w:p w:rsidR="00F14807" w:rsidRDefault="00F14807" w:rsidP="00556E3E">
      <w:pPr>
        <w:spacing w:after="0" w:line="240" w:lineRule="auto"/>
        <w:ind w:left="570" w:hanging="570"/>
        <w:jc w:val="both"/>
        <w:rPr>
          <w:b/>
        </w:rPr>
      </w:pPr>
    </w:p>
    <w:p w:rsidR="00F14807" w:rsidRDefault="00F14807" w:rsidP="00556E3E">
      <w:pPr>
        <w:spacing w:after="0" w:line="240" w:lineRule="auto"/>
        <w:ind w:left="570" w:hanging="570"/>
        <w:jc w:val="both"/>
      </w:pPr>
      <w:r>
        <w:t>4.1</w:t>
      </w:r>
      <w:r>
        <w:tab/>
        <w:t>The</w:t>
      </w:r>
      <w:r w:rsidR="00887351">
        <w:t xml:space="preserve"> </w:t>
      </w:r>
      <w:r>
        <w:t xml:space="preserve">National Park Authority is looking to engage consultants to undertake </w:t>
      </w:r>
      <w:r w:rsidR="00887351">
        <w:t xml:space="preserve">stages A, B, C and D of </w:t>
      </w:r>
      <w:r>
        <w:t>the Sustainability Appraisal and Strategic Environmental Assessment of the revised Local Plan in accordance with the latest Government guidance and best practice (including the National Planning Practice Guidance</w:t>
      </w:r>
      <w:r w:rsidR="00AA1FF8">
        <w:t xml:space="preserve"> (NPPG)</w:t>
      </w:r>
      <w:r>
        <w:t xml:space="preserve"> resource). This involves the following key stages. </w:t>
      </w:r>
    </w:p>
    <w:p w:rsidR="00F14807" w:rsidRDefault="00F14807" w:rsidP="00556E3E">
      <w:pPr>
        <w:spacing w:after="0" w:line="240" w:lineRule="auto"/>
        <w:ind w:left="570" w:hanging="570"/>
        <w:jc w:val="both"/>
      </w:pPr>
    </w:p>
    <w:p w:rsidR="001140C2" w:rsidRDefault="001140C2" w:rsidP="00556E3E">
      <w:pPr>
        <w:spacing w:after="0" w:line="240" w:lineRule="auto"/>
        <w:ind w:left="570" w:hanging="570"/>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672"/>
      </w:tblGrid>
      <w:tr w:rsidR="00F14807" w:rsidTr="00DD2620">
        <w:tc>
          <w:tcPr>
            <w:tcW w:w="8672" w:type="dxa"/>
            <w:shd w:val="clear" w:color="auto" w:fill="D9D9D9" w:themeFill="background1" w:themeFillShade="D9"/>
          </w:tcPr>
          <w:p w:rsidR="00F14807" w:rsidRPr="000E3F6F" w:rsidRDefault="00F14807" w:rsidP="00CA651C">
            <w:pPr>
              <w:jc w:val="center"/>
              <w:rPr>
                <w:b/>
                <w:szCs w:val="24"/>
              </w:rPr>
            </w:pPr>
            <w:r w:rsidRPr="000E3F6F">
              <w:rPr>
                <w:b/>
                <w:szCs w:val="24"/>
              </w:rPr>
              <w:t>Stage A: Setting the context and objectives, establishing the baseline and deciding on the scope</w:t>
            </w:r>
          </w:p>
          <w:p w:rsidR="00F14807" w:rsidRPr="000E3F6F" w:rsidRDefault="00F14807" w:rsidP="00556E3E">
            <w:pPr>
              <w:jc w:val="both"/>
              <w:rPr>
                <w:szCs w:val="24"/>
              </w:rPr>
            </w:pPr>
          </w:p>
          <w:p w:rsidR="00F14807" w:rsidRPr="000E3F6F" w:rsidRDefault="00F14807" w:rsidP="00F14807">
            <w:pPr>
              <w:pStyle w:val="ListParagraph"/>
              <w:numPr>
                <w:ilvl w:val="0"/>
                <w:numId w:val="4"/>
              </w:numPr>
              <w:jc w:val="both"/>
              <w:rPr>
                <w:szCs w:val="24"/>
              </w:rPr>
            </w:pPr>
            <w:r w:rsidRPr="000E3F6F">
              <w:rPr>
                <w:szCs w:val="24"/>
              </w:rPr>
              <w:t>Identify ot</w:t>
            </w:r>
            <w:r w:rsidR="00CA651C" w:rsidRPr="000E3F6F">
              <w:rPr>
                <w:szCs w:val="24"/>
              </w:rPr>
              <w:t>her relevant policies, plans &amp; programmes &amp;</w:t>
            </w:r>
            <w:r w:rsidRPr="000E3F6F">
              <w:rPr>
                <w:szCs w:val="24"/>
              </w:rPr>
              <w:t xml:space="preserve"> sustainability objectives </w:t>
            </w:r>
          </w:p>
          <w:p w:rsidR="00F14807" w:rsidRPr="000E3F6F" w:rsidRDefault="00F14807" w:rsidP="00F14807">
            <w:pPr>
              <w:pStyle w:val="ListParagraph"/>
              <w:numPr>
                <w:ilvl w:val="0"/>
                <w:numId w:val="4"/>
              </w:numPr>
              <w:jc w:val="both"/>
              <w:rPr>
                <w:szCs w:val="24"/>
              </w:rPr>
            </w:pPr>
            <w:r w:rsidRPr="000E3F6F">
              <w:rPr>
                <w:szCs w:val="24"/>
              </w:rPr>
              <w:t>Collect baseline information</w:t>
            </w:r>
          </w:p>
          <w:p w:rsidR="00F14807" w:rsidRPr="000E3F6F" w:rsidRDefault="00F14807" w:rsidP="00F14807">
            <w:pPr>
              <w:pStyle w:val="ListParagraph"/>
              <w:numPr>
                <w:ilvl w:val="0"/>
                <w:numId w:val="4"/>
              </w:numPr>
              <w:jc w:val="both"/>
              <w:rPr>
                <w:szCs w:val="24"/>
              </w:rPr>
            </w:pPr>
            <w:r w:rsidRPr="000E3F6F">
              <w:rPr>
                <w:szCs w:val="24"/>
              </w:rPr>
              <w:t>Identify sustainability issues and problems</w:t>
            </w:r>
          </w:p>
          <w:p w:rsidR="00F14807" w:rsidRPr="000E3F6F" w:rsidRDefault="00F14807" w:rsidP="00F14807">
            <w:pPr>
              <w:pStyle w:val="ListParagraph"/>
              <w:numPr>
                <w:ilvl w:val="0"/>
                <w:numId w:val="4"/>
              </w:numPr>
              <w:jc w:val="both"/>
              <w:rPr>
                <w:szCs w:val="24"/>
              </w:rPr>
            </w:pPr>
            <w:r w:rsidRPr="000E3F6F">
              <w:rPr>
                <w:szCs w:val="24"/>
              </w:rPr>
              <w:t xml:space="preserve">Develop the sustainability appraisal framework </w:t>
            </w:r>
          </w:p>
          <w:p w:rsidR="00F14807" w:rsidRDefault="00F14807" w:rsidP="00F14807">
            <w:pPr>
              <w:pStyle w:val="ListParagraph"/>
              <w:numPr>
                <w:ilvl w:val="0"/>
                <w:numId w:val="4"/>
              </w:numPr>
              <w:jc w:val="both"/>
            </w:pPr>
            <w:r w:rsidRPr="000E3F6F">
              <w:rPr>
                <w:szCs w:val="24"/>
              </w:rPr>
              <w:t>Consult the consultation bodies on the scope of the sustainability appraisal</w:t>
            </w:r>
          </w:p>
        </w:tc>
      </w:tr>
    </w:tbl>
    <w:p w:rsidR="00F14807" w:rsidRDefault="00F14807" w:rsidP="00556E3E">
      <w:pPr>
        <w:spacing w:after="0" w:line="240" w:lineRule="auto"/>
        <w:ind w:left="570" w:hanging="570"/>
        <w:jc w:val="both"/>
      </w:pPr>
    </w:p>
    <w:p w:rsidR="000E3F6F" w:rsidRDefault="00C640EC" w:rsidP="00556E3E">
      <w:pPr>
        <w:spacing w:after="0" w:line="240" w:lineRule="auto"/>
        <w:ind w:left="570" w:hanging="570"/>
        <w:jc w:val="both"/>
      </w:pPr>
      <w:r>
        <w:t>4.2</w:t>
      </w:r>
      <w:r>
        <w:tab/>
      </w:r>
      <w:r w:rsidR="000E3F6F">
        <w:t xml:space="preserve">The </w:t>
      </w:r>
      <w:r w:rsidR="000E3F6F" w:rsidRPr="00C640EC">
        <w:rPr>
          <w:b/>
        </w:rPr>
        <w:t>Sustainability Appraisal Scoping Report</w:t>
      </w:r>
      <w:r w:rsidR="000E3F6F">
        <w:t xml:space="preserve"> will need to be consulted on with the three statutory consultation bodies (and any other organisations c</w:t>
      </w:r>
      <w:r w:rsidR="00AF16E1">
        <w:t xml:space="preserve">onsidered necessary). After </w:t>
      </w:r>
      <w:r w:rsidR="000E3F6F">
        <w:t>co</w:t>
      </w:r>
      <w:r w:rsidR="00AF16E1">
        <w:t>nsultation</w:t>
      </w:r>
      <w:r w:rsidR="000E3F6F">
        <w:t xml:space="preserve">, any comments received will need to be reviewed and the </w:t>
      </w:r>
      <w:r w:rsidR="00AF16E1">
        <w:t xml:space="preserve">Scoping </w:t>
      </w:r>
      <w:r w:rsidR="000E3F6F">
        <w:t xml:space="preserve">Report amended accordingly. </w:t>
      </w:r>
    </w:p>
    <w:p w:rsidR="00CA651C" w:rsidRDefault="00CA651C" w:rsidP="00556E3E">
      <w:pPr>
        <w:spacing w:after="0" w:line="240" w:lineRule="auto"/>
        <w:ind w:left="570" w:hanging="570"/>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672"/>
      </w:tblGrid>
      <w:tr w:rsidR="00CA651C" w:rsidTr="00DD2620">
        <w:tc>
          <w:tcPr>
            <w:tcW w:w="9242" w:type="dxa"/>
            <w:shd w:val="clear" w:color="auto" w:fill="D9D9D9" w:themeFill="background1" w:themeFillShade="D9"/>
          </w:tcPr>
          <w:p w:rsidR="00CA651C" w:rsidRPr="000E3F6F" w:rsidRDefault="00CA651C" w:rsidP="000E3F6F">
            <w:pPr>
              <w:jc w:val="center"/>
              <w:rPr>
                <w:b/>
                <w:szCs w:val="24"/>
              </w:rPr>
            </w:pPr>
            <w:r w:rsidRPr="000E3F6F">
              <w:rPr>
                <w:b/>
                <w:szCs w:val="24"/>
              </w:rPr>
              <w:t>Stage B: Developing and refining alternatives and assessing effects</w:t>
            </w:r>
          </w:p>
          <w:p w:rsidR="00CA651C" w:rsidRPr="000E3F6F" w:rsidRDefault="00CA651C" w:rsidP="00556E3E">
            <w:pPr>
              <w:jc w:val="both"/>
              <w:rPr>
                <w:szCs w:val="24"/>
              </w:rPr>
            </w:pPr>
          </w:p>
          <w:p w:rsidR="00CA651C" w:rsidRPr="000E3F6F" w:rsidRDefault="00CA651C" w:rsidP="00CA651C">
            <w:pPr>
              <w:pStyle w:val="ListParagraph"/>
              <w:numPr>
                <w:ilvl w:val="0"/>
                <w:numId w:val="5"/>
              </w:numPr>
              <w:jc w:val="both"/>
              <w:rPr>
                <w:szCs w:val="24"/>
              </w:rPr>
            </w:pPr>
            <w:r w:rsidRPr="000E3F6F">
              <w:rPr>
                <w:szCs w:val="24"/>
              </w:rPr>
              <w:t xml:space="preserve">Test the Local Plan objectives against the sustainability appraisal framework </w:t>
            </w:r>
          </w:p>
          <w:p w:rsidR="00CA651C" w:rsidRPr="000E3F6F" w:rsidRDefault="00CA651C" w:rsidP="00CA651C">
            <w:pPr>
              <w:pStyle w:val="ListParagraph"/>
              <w:numPr>
                <w:ilvl w:val="0"/>
                <w:numId w:val="5"/>
              </w:numPr>
              <w:jc w:val="both"/>
              <w:rPr>
                <w:szCs w:val="24"/>
              </w:rPr>
            </w:pPr>
            <w:r w:rsidRPr="000E3F6F">
              <w:rPr>
                <w:szCs w:val="24"/>
              </w:rPr>
              <w:t xml:space="preserve">Develop the Local Plan options including reasonable alternatives </w:t>
            </w:r>
          </w:p>
          <w:p w:rsidR="00CA651C" w:rsidRPr="000E3F6F" w:rsidRDefault="00CA651C" w:rsidP="00CA651C">
            <w:pPr>
              <w:pStyle w:val="ListParagraph"/>
              <w:numPr>
                <w:ilvl w:val="0"/>
                <w:numId w:val="5"/>
              </w:numPr>
              <w:jc w:val="both"/>
              <w:rPr>
                <w:szCs w:val="24"/>
              </w:rPr>
            </w:pPr>
            <w:r w:rsidRPr="000E3F6F">
              <w:rPr>
                <w:szCs w:val="24"/>
              </w:rPr>
              <w:t xml:space="preserve">Evaluate the likely effects of the Local Plan and alternatives </w:t>
            </w:r>
          </w:p>
          <w:p w:rsidR="00CA651C" w:rsidRPr="000E3F6F" w:rsidRDefault="00CA651C" w:rsidP="00CA651C">
            <w:pPr>
              <w:pStyle w:val="ListParagraph"/>
              <w:numPr>
                <w:ilvl w:val="0"/>
                <w:numId w:val="5"/>
              </w:numPr>
              <w:jc w:val="both"/>
              <w:rPr>
                <w:szCs w:val="24"/>
              </w:rPr>
            </w:pPr>
            <w:r w:rsidRPr="000E3F6F">
              <w:rPr>
                <w:szCs w:val="24"/>
              </w:rPr>
              <w:t>Consider ways of mitigating adverse effects and maximising beneficial effects</w:t>
            </w:r>
          </w:p>
          <w:p w:rsidR="00CA651C" w:rsidRDefault="00CA651C" w:rsidP="00CA651C">
            <w:pPr>
              <w:pStyle w:val="ListParagraph"/>
              <w:numPr>
                <w:ilvl w:val="0"/>
                <w:numId w:val="5"/>
              </w:numPr>
              <w:jc w:val="both"/>
            </w:pPr>
            <w:r w:rsidRPr="000E3F6F">
              <w:rPr>
                <w:szCs w:val="24"/>
              </w:rPr>
              <w:t>Propose measures to monitor the significant effects of implementing the Local Plan</w:t>
            </w:r>
            <w:r>
              <w:t xml:space="preserve"> </w:t>
            </w:r>
          </w:p>
        </w:tc>
      </w:tr>
    </w:tbl>
    <w:p w:rsidR="00CA651C" w:rsidRDefault="00CA651C" w:rsidP="00556E3E">
      <w:pPr>
        <w:spacing w:after="0" w:line="240" w:lineRule="auto"/>
        <w:ind w:left="570" w:hanging="570"/>
        <w:jc w:val="both"/>
      </w:pPr>
    </w:p>
    <w:p w:rsidR="00D437E8" w:rsidRDefault="00C640EC" w:rsidP="000E3F6F">
      <w:pPr>
        <w:spacing w:after="0" w:line="240" w:lineRule="auto"/>
        <w:ind w:left="570" w:hanging="570"/>
        <w:jc w:val="both"/>
      </w:pPr>
      <w:r>
        <w:t>4.3</w:t>
      </w:r>
      <w:r>
        <w:tab/>
      </w:r>
      <w:r w:rsidR="00D437E8">
        <w:t>The National Park Author</w:t>
      </w:r>
      <w:r>
        <w:t>ity intends to publish a non-statutory</w:t>
      </w:r>
      <w:r w:rsidR="00D437E8">
        <w:t xml:space="preserve"> version of the </w:t>
      </w:r>
      <w:r>
        <w:t xml:space="preserve">draft </w:t>
      </w:r>
      <w:r w:rsidR="00D437E8">
        <w:t xml:space="preserve">Local Plan in October 2016 </w:t>
      </w:r>
      <w:r>
        <w:t xml:space="preserve">for public consultation </w:t>
      </w:r>
      <w:r w:rsidR="00D437E8">
        <w:t xml:space="preserve">and a </w:t>
      </w:r>
      <w:r w:rsidR="00D437E8" w:rsidRPr="00C640EC">
        <w:rPr>
          <w:b/>
        </w:rPr>
        <w:t>draft Sustainability Appraisal Report</w:t>
      </w:r>
      <w:r w:rsidR="00D437E8">
        <w:t xml:space="preserve"> will be publ</w:t>
      </w:r>
      <w:r>
        <w:t xml:space="preserve">ished alongside it. </w:t>
      </w:r>
      <w:r w:rsidR="00AF16E1">
        <w:t xml:space="preserve">This will include an assessment of the alternative policy options.  </w:t>
      </w:r>
    </w:p>
    <w:p w:rsidR="00D437E8" w:rsidRDefault="00D437E8" w:rsidP="00556E3E">
      <w:pPr>
        <w:spacing w:after="0" w:line="240" w:lineRule="auto"/>
        <w:ind w:left="570" w:hanging="570"/>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672"/>
      </w:tblGrid>
      <w:tr w:rsidR="00CA651C" w:rsidTr="00DD2620">
        <w:tc>
          <w:tcPr>
            <w:tcW w:w="9242" w:type="dxa"/>
            <w:shd w:val="clear" w:color="auto" w:fill="D9D9D9" w:themeFill="background1" w:themeFillShade="D9"/>
          </w:tcPr>
          <w:p w:rsidR="00CA651C" w:rsidRDefault="00CA651C" w:rsidP="000E3F6F">
            <w:pPr>
              <w:jc w:val="center"/>
              <w:rPr>
                <w:b/>
                <w:szCs w:val="24"/>
              </w:rPr>
            </w:pPr>
            <w:r w:rsidRPr="000E3F6F">
              <w:rPr>
                <w:b/>
                <w:szCs w:val="24"/>
              </w:rPr>
              <w:t>Stage C: Prepare the Sustainability Appraisal Report</w:t>
            </w:r>
          </w:p>
          <w:p w:rsidR="000E3F6F" w:rsidRPr="000E3F6F" w:rsidRDefault="000E3F6F" w:rsidP="00556E3E">
            <w:pPr>
              <w:jc w:val="both"/>
              <w:rPr>
                <w:b/>
                <w:szCs w:val="24"/>
              </w:rPr>
            </w:pPr>
          </w:p>
        </w:tc>
      </w:tr>
    </w:tbl>
    <w:p w:rsidR="00CA651C" w:rsidRDefault="00CA651C" w:rsidP="00556E3E">
      <w:pPr>
        <w:spacing w:after="0" w:line="240" w:lineRule="auto"/>
        <w:ind w:left="570" w:hanging="570"/>
        <w:jc w:val="both"/>
      </w:pPr>
    </w:p>
    <w:p w:rsidR="00F4092C" w:rsidRDefault="00C640EC" w:rsidP="00C7377C">
      <w:pPr>
        <w:spacing w:after="0" w:line="240" w:lineRule="auto"/>
        <w:ind w:left="570" w:hanging="570"/>
        <w:jc w:val="both"/>
      </w:pPr>
      <w:r>
        <w:t>4.4</w:t>
      </w:r>
      <w:r>
        <w:tab/>
      </w:r>
      <w:r w:rsidR="00C7377C">
        <w:t>In</w:t>
      </w:r>
      <w:r w:rsidR="00D437E8">
        <w:t xml:space="preserve"> line with Government guidance in the NPPG, the </w:t>
      </w:r>
      <w:r w:rsidR="00D437E8" w:rsidRPr="00C55E2E">
        <w:rPr>
          <w:b/>
        </w:rPr>
        <w:t xml:space="preserve">Sustainability Appraisal Report </w:t>
      </w:r>
      <w:r w:rsidR="00D437E8">
        <w:t xml:space="preserve">should </w:t>
      </w:r>
      <w:r w:rsidR="00D3736F">
        <w:t>focus on the likely significant effects of the Local Plan</w:t>
      </w:r>
      <w:r w:rsidR="00C7377C">
        <w:t xml:space="preserve"> and focus on the policies that require a more detailed analysis. </w:t>
      </w:r>
      <w:r w:rsidR="00F4092C">
        <w:t xml:space="preserve">The Sustainability Appraisal </w:t>
      </w:r>
      <w:r w:rsidR="00C7377C">
        <w:t xml:space="preserve">Report </w:t>
      </w:r>
      <w:r w:rsidR="00AF16E1">
        <w:t>should be accompanied by a Non-T</w:t>
      </w:r>
      <w:r w:rsidR="00F4092C">
        <w:t xml:space="preserve">echnical Summary.  </w:t>
      </w:r>
    </w:p>
    <w:p w:rsidR="00CA651C" w:rsidRDefault="00CA651C" w:rsidP="00556E3E">
      <w:pPr>
        <w:spacing w:after="0" w:line="240" w:lineRule="auto"/>
        <w:ind w:left="570" w:hanging="570"/>
        <w:jc w:val="both"/>
      </w:pPr>
    </w:p>
    <w:tbl>
      <w:tblPr>
        <w:tblStyle w:val="TableGrid"/>
        <w:tblW w:w="0" w:type="auto"/>
        <w:tblInd w:w="570" w:type="dxa"/>
        <w:shd w:val="clear" w:color="auto" w:fill="D9D9D9" w:themeFill="background1" w:themeFillShade="D9"/>
        <w:tblLook w:val="04A0" w:firstRow="1" w:lastRow="0" w:firstColumn="1" w:lastColumn="0" w:noHBand="0" w:noVBand="1"/>
      </w:tblPr>
      <w:tblGrid>
        <w:gridCol w:w="8672"/>
      </w:tblGrid>
      <w:tr w:rsidR="00CA651C" w:rsidTr="00DD2620">
        <w:tc>
          <w:tcPr>
            <w:tcW w:w="9242" w:type="dxa"/>
            <w:shd w:val="clear" w:color="auto" w:fill="D9D9D9" w:themeFill="background1" w:themeFillShade="D9"/>
          </w:tcPr>
          <w:p w:rsidR="00CA651C" w:rsidRPr="00C7377C" w:rsidRDefault="00CA651C" w:rsidP="00C7377C">
            <w:pPr>
              <w:jc w:val="center"/>
              <w:rPr>
                <w:b/>
                <w:szCs w:val="24"/>
              </w:rPr>
            </w:pPr>
            <w:r w:rsidRPr="00C7377C">
              <w:rPr>
                <w:b/>
                <w:szCs w:val="24"/>
              </w:rPr>
              <w:t>Stage D: Seek representations on the sustainability appraisal report from consultation bodies and the public</w:t>
            </w:r>
          </w:p>
        </w:tc>
      </w:tr>
    </w:tbl>
    <w:p w:rsidR="00CA651C" w:rsidRDefault="00CA651C" w:rsidP="00556E3E">
      <w:pPr>
        <w:spacing w:after="0" w:line="240" w:lineRule="auto"/>
        <w:ind w:left="570" w:hanging="570"/>
        <w:jc w:val="both"/>
      </w:pPr>
    </w:p>
    <w:p w:rsidR="00C640EC" w:rsidRDefault="00C640EC" w:rsidP="00556E3E">
      <w:pPr>
        <w:spacing w:after="0" w:line="240" w:lineRule="auto"/>
        <w:ind w:left="570" w:hanging="570"/>
        <w:jc w:val="both"/>
      </w:pPr>
      <w:r>
        <w:t>4.5</w:t>
      </w:r>
      <w:r>
        <w:tab/>
      </w:r>
      <w:r w:rsidR="00FC497B">
        <w:t>The Authority intends to publish its Submission draft Local Plan in S</w:t>
      </w:r>
      <w:r w:rsidR="0034474D">
        <w:t xml:space="preserve">ummer </w:t>
      </w:r>
      <w:r w:rsidR="00FC497B">
        <w:t xml:space="preserve">2017 and at this stage the </w:t>
      </w:r>
      <w:r w:rsidR="00FC497B" w:rsidRPr="00FC497B">
        <w:rPr>
          <w:b/>
        </w:rPr>
        <w:t>Sustainability Appraisal Report</w:t>
      </w:r>
      <w:r w:rsidR="00FC497B">
        <w:t xml:space="preserve"> of the Plan must also be published (including a Non-Technical Summary) and ultimately then submitted for independent examination. </w:t>
      </w:r>
      <w:r>
        <w:t xml:space="preserve"> </w:t>
      </w:r>
    </w:p>
    <w:p w:rsidR="00CA651C" w:rsidRDefault="00CA651C" w:rsidP="00C640EC">
      <w:pPr>
        <w:spacing w:after="0" w:line="240" w:lineRule="auto"/>
        <w:jc w:val="both"/>
      </w:pPr>
    </w:p>
    <w:p w:rsidR="00C82D73" w:rsidRDefault="00C82D73" w:rsidP="00C640EC">
      <w:pPr>
        <w:spacing w:after="0" w:line="240" w:lineRule="auto"/>
        <w:jc w:val="both"/>
      </w:pPr>
    </w:p>
    <w:p w:rsidR="00C82D73" w:rsidRDefault="00C82D73" w:rsidP="00C640EC">
      <w:pPr>
        <w:spacing w:after="0" w:line="240" w:lineRule="auto"/>
        <w:jc w:val="both"/>
      </w:pPr>
    </w:p>
    <w:p w:rsidR="000E3F6F" w:rsidRPr="000E3F6F" w:rsidRDefault="000E3F6F" w:rsidP="00556E3E">
      <w:pPr>
        <w:spacing w:after="0" w:line="240" w:lineRule="auto"/>
        <w:ind w:left="570" w:hanging="570"/>
        <w:jc w:val="both"/>
        <w:rPr>
          <w:b/>
        </w:rPr>
      </w:pPr>
      <w:r w:rsidRPr="000E3F6F">
        <w:rPr>
          <w:b/>
        </w:rPr>
        <w:lastRenderedPageBreak/>
        <w:t>5</w:t>
      </w:r>
      <w:r w:rsidR="00F46096">
        <w:rPr>
          <w:b/>
        </w:rPr>
        <w:t>.</w:t>
      </w:r>
      <w:r w:rsidRPr="000E3F6F">
        <w:rPr>
          <w:b/>
        </w:rPr>
        <w:tab/>
        <w:t xml:space="preserve">Relevant Studies </w:t>
      </w:r>
    </w:p>
    <w:p w:rsidR="000E3F6F" w:rsidRDefault="000E3F6F" w:rsidP="00556E3E">
      <w:pPr>
        <w:spacing w:after="0" w:line="240" w:lineRule="auto"/>
        <w:ind w:left="570" w:hanging="570"/>
        <w:jc w:val="both"/>
      </w:pPr>
    </w:p>
    <w:p w:rsidR="00D3736F" w:rsidRDefault="000E3F6F" w:rsidP="000E3F6F">
      <w:pPr>
        <w:spacing w:after="0" w:line="240" w:lineRule="auto"/>
        <w:ind w:left="567" w:hanging="567"/>
        <w:jc w:val="both"/>
      </w:pPr>
      <w:r>
        <w:t>5.1</w:t>
      </w:r>
      <w:r>
        <w:tab/>
      </w:r>
      <w:r w:rsidR="00D3736F">
        <w:t xml:space="preserve">There are several published documents which will be of relevance and assistance to the production of the Sustainability Appraisal </w:t>
      </w:r>
      <w:r>
        <w:t>for the revised Local Plan</w:t>
      </w:r>
      <w:r w:rsidR="00671495">
        <w:t xml:space="preserve">. </w:t>
      </w:r>
      <w:r w:rsidR="00363EB4" w:rsidRPr="00363EB4">
        <w:t>We have undertaken Sustainability Appraisal work for the last ten years and relevant existing assessments and reports include:</w:t>
      </w:r>
    </w:p>
    <w:p w:rsidR="00D3736F" w:rsidRDefault="00D3736F" w:rsidP="00556E3E">
      <w:pPr>
        <w:spacing w:after="0" w:line="240" w:lineRule="auto"/>
        <w:ind w:left="570" w:hanging="570"/>
        <w:jc w:val="both"/>
      </w:pPr>
    </w:p>
    <w:p w:rsidR="00D3736F" w:rsidRDefault="00D3736F" w:rsidP="000E3F6F">
      <w:pPr>
        <w:pStyle w:val="ListParagraph"/>
        <w:numPr>
          <w:ilvl w:val="0"/>
          <w:numId w:val="8"/>
        </w:numPr>
        <w:spacing w:after="0" w:line="240" w:lineRule="auto"/>
        <w:ind w:left="1134" w:hanging="567"/>
        <w:jc w:val="both"/>
      </w:pPr>
      <w:r>
        <w:t xml:space="preserve">New Forest National Park Core Strategy Sustainability Appraisal Report (Scott Wilson, 2010) </w:t>
      </w:r>
    </w:p>
    <w:p w:rsidR="00D3736F" w:rsidRDefault="00410A11" w:rsidP="000E3F6F">
      <w:pPr>
        <w:pStyle w:val="ListParagraph"/>
        <w:numPr>
          <w:ilvl w:val="0"/>
          <w:numId w:val="8"/>
        </w:numPr>
        <w:spacing w:after="0" w:line="240" w:lineRule="auto"/>
        <w:ind w:left="1134" w:hanging="567"/>
        <w:jc w:val="both"/>
      </w:pPr>
      <w:hyperlink r:id="rId10" w:history="1">
        <w:r w:rsidR="00D3736F" w:rsidRPr="00DD2620">
          <w:rPr>
            <w:rStyle w:val="Hyperlink"/>
          </w:rPr>
          <w:t>New Forest National Park Management Plan Update Sustainability Appraisal 2015-2020</w:t>
        </w:r>
      </w:hyperlink>
      <w:r w:rsidR="00D3736F">
        <w:t xml:space="preserve"> (2015)</w:t>
      </w:r>
    </w:p>
    <w:p w:rsidR="00F4092C" w:rsidRPr="00C640EC" w:rsidRDefault="00410A11" w:rsidP="00C640EC">
      <w:pPr>
        <w:pStyle w:val="ListParagraph"/>
        <w:numPr>
          <w:ilvl w:val="0"/>
          <w:numId w:val="8"/>
        </w:numPr>
        <w:spacing w:after="0" w:line="240" w:lineRule="auto"/>
        <w:ind w:left="1134" w:hanging="567"/>
        <w:jc w:val="both"/>
        <w:rPr>
          <w:b/>
        </w:rPr>
      </w:pPr>
      <w:hyperlink r:id="rId11" w:history="1">
        <w:r w:rsidR="000E3F6F" w:rsidRPr="00DD2620">
          <w:rPr>
            <w:rStyle w:val="Hyperlink"/>
          </w:rPr>
          <w:t>The New Forest National Park State of the Park Report (</w:t>
        </w:r>
      </w:hyperlink>
      <w:r w:rsidR="000E3F6F">
        <w:t>NFNPA, 2015)</w:t>
      </w:r>
    </w:p>
    <w:p w:rsidR="00C640EC" w:rsidRPr="00C640EC" w:rsidRDefault="00C640EC" w:rsidP="00C640EC">
      <w:pPr>
        <w:spacing w:after="0" w:line="240" w:lineRule="auto"/>
        <w:jc w:val="both"/>
        <w:rPr>
          <w:b/>
        </w:rPr>
      </w:pPr>
    </w:p>
    <w:p w:rsidR="00C640EC" w:rsidRDefault="00C640EC" w:rsidP="00C640EC">
      <w:pPr>
        <w:spacing w:after="0" w:line="240" w:lineRule="auto"/>
        <w:ind w:left="567" w:hanging="567"/>
        <w:jc w:val="both"/>
        <w:rPr>
          <w:b/>
        </w:rPr>
      </w:pPr>
      <w:r w:rsidRPr="00C640EC">
        <w:rPr>
          <w:b/>
        </w:rPr>
        <w:t>6</w:t>
      </w:r>
      <w:r w:rsidR="00F46096">
        <w:rPr>
          <w:b/>
        </w:rPr>
        <w:t>.</w:t>
      </w:r>
      <w:r w:rsidRPr="00C640EC">
        <w:rPr>
          <w:b/>
        </w:rPr>
        <w:tab/>
        <w:t xml:space="preserve">Notes on the format and status of the data </w:t>
      </w:r>
    </w:p>
    <w:p w:rsidR="00C640EC" w:rsidRDefault="00C640EC" w:rsidP="00C640EC">
      <w:pPr>
        <w:spacing w:after="0" w:line="240" w:lineRule="auto"/>
        <w:jc w:val="both"/>
        <w:rPr>
          <w:b/>
        </w:rPr>
      </w:pPr>
    </w:p>
    <w:p w:rsidR="00C640EC" w:rsidRDefault="00C640EC" w:rsidP="00C640EC">
      <w:pPr>
        <w:spacing w:after="0" w:line="240" w:lineRule="auto"/>
        <w:ind w:left="567" w:hanging="567"/>
        <w:jc w:val="both"/>
      </w:pPr>
      <w:r>
        <w:t>6.1</w:t>
      </w:r>
      <w:r>
        <w:tab/>
      </w:r>
      <w:r w:rsidR="005240A0">
        <w:t xml:space="preserve">The report should be provided in a format that can be uploaded onto the National Park Authority’s website, preferably in PDF. </w:t>
      </w:r>
    </w:p>
    <w:p w:rsidR="005240A0" w:rsidRDefault="005240A0" w:rsidP="00C640EC">
      <w:pPr>
        <w:spacing w:after="0" w:line="240" w:lineRule="auto"/>
        <w:ind w:left="567" w:hanging="567"/>
        <w:jc w:val="both"/>
      </w:pPr>
    </w:p>
    <w:p w:rsidR="005240A0" w:rsidRDefault="005240A0" w:rsidP="00C640EC">
      <w:pPr>
        <w:spacing w:after="0" w:line="240" w:lineRule="auto"/>
        <w:ind w:left="567" w:hanging="567"/>
        <w:jc w:val="both"/>
      </w:pPr>
      <w:r>
        <w:t>6.2</w:t>
      </w:r>
      <w:r>
        <w:tab/>
      </w:r>
      <w:r w:rsidRPr="00363EB4">
        <w:t xml:space="preserve">The use of the Authority’s Ordnance Survey mapping, or data derived from it, will be subject to the signing of a </w:t>
      </w:r>
      <w:r w:rsidR="00C82D73" w:rsidRPr="00363EB4">
        <w:t>Contractor’s</w:t>
      </w:r>
      <w:r w:rsidRPr="00363EB4">
        <w:t xml:space="preserve"> Licence as provided under the Public Sector Mapping Agreement.</w:t>
      </w:r>
      <w:r>
        <w:t xml:space="preserve"> </w:t>
      </w:r>
    </w:p>
    <w:p w:rsidR="005240A0" w:rsidRDefault="005240A0" w:rsidP="005240A0">
      <w:pPr>
        <w:spacing w:after="0" w:line="240" w:lineRule="auto"/>
        <w:jc w:val="both"/>
      </w:pPr>
    </w:p>
    <w:p w:rsidR="005240A0" w:rsidRDefault="005240A0" w:rsidP="005240A0">
      <w:pPr>
        <w:spacing w:after="0" w:line="240" w:lineRule="auto"/>
        <w:ind w:left="567" w:hanging="567"/>
        <w:jc w:val="both"/>
        <w:rPr>
          <w:b/>
        </w:rPr>
      </w:pPr>
      <w:r>
        <w:rPr>
          <w:b/>
        </w:rPr>
        <w:t>7</w:t>
      </w:r>
      <w:r w:rsidR="00F46096">
        <w:rPr>
          <w:b/>
        </w:rPr>
        <w:t>.</w:t>
      </w:r>
      <w:r>
        <w:rPr>
          <w:b/>
        </w:rPr>
        <w:tab/>
        <w:t xml:space="preserve">Final Reports </w:t>
      </w:r>
    </w:p>
    <w:p w:rsidR="005240A0" w:rsidRDefault="005240A0" w:rsidP="005240A0">
      <w:pPr>
        <w:spacing w:after="0" w:line="240" w:lineRule="auto"/>
        <w:jc w:val="both"/>
        <w:rPr>
          <w:b/>
        </w:rPr>
      </w:pPr>
    </w:p>
    <w:p w:rsidR="005240A0" w:rsidRDefault="005240A0" w:rsidP="005240A0">
      <w:pPr>
        <w:spacing w:after="0" w:line="240" w:lineRule="auto"/>
        <w:ind w:left="567" w:hanging="567"/>
        <w:jc w:val="both"/>
      </w:pPr>
      <w:r w:rsidRPr="005240A0">
        <w:t>7.1</w:t>
      </w:r>
      <w:r w:rsidRPr="005240A0">
        <w:tab/>
      </w:r>
      <w:r>
        <w:t>At each stage of the process a draft version of the relevant report should be</w:t>
      </w:r>
      <w:r w:rsidR="00AF16E1">
        <w:t xml:space="preserve"> submitted in confidence to the </w:t>
      </w:r>
      <w:r>
        <w:t xml:space="preserve">Authority prior to completion of the final report. Once the final draft has </w:t>
      </w:r>
      <w:r w:rsidR="00AF16E1">
        <w:t xml:space="preserve">been approved the </w:t>
      </w:r>
      <w:r>
        <w:t>Authority will require:</w:t>
      </w:r>
    </w:p>
    <w:p w:rsidR="005240A0" w:rsidRDefault="005240A0" w:rsidP="005240A0">
      <w:pPr>
        <w:spacing w:after="0" w:line="240" w:lineRule="auto"/>
        <w:ind w:left="567" w:hanging="567"/>
        <w:jc w:val="both"/>
      </w:pPr>
    </w:p>
    <w:p w:rsidR="005240A0" w:rsidRDefault="005240A0" w:rsidP="005240A0">
      <w:pPr>
        <w:pStyle w:val="ListParagraph"/>
        <w:numPr>
          <w:ilvl w:val="0"/>
          <w:numId w:val="9"/>
        </w:numPr>
        <w:spacing w:after="0" w:line="240" w:lineRule="auto"/>
        <w:jc w:val="both"/>
      </w:pPr>
      <w:r>
        <w:t xml:space="preserve">2 paper copies of each final report, including any Executive Summary or Non-Technical Summary; and </w:t>
      </w:r>
    </w:p>
    <w:p w:rsidR="005240A0" w:rsidRDefault="005240A0" w:rsidP="005240A0">
      <w:pPr>
        <w:pStyle w:val="ListParagraph"/>
        <w:numPr>
          <w:ilvl w:val="0"/>
          <w:numId w:val="9"/>
        </w:numPr>
        <w:spacing w:after="0" w:line="240" w:lineRule="auto"/>
        <w:jc w:val="both"/>
      </w:pPr>
      <w:r>
        <w:t xml:space="preserve">Electronic copies, in Word and PDF format. </w:t>
      </w:r>
    </w:p>
    <w:p w:rsidR="005240A0" w:rsidRDefault="005240A0" w:rsidP="005240A0">
      <w:pPr>
        <w:spacing w:after="0" w:line="240" w:lineRule="auto"/>
        <w:jc w:val="both"/>
      </w:pPr>
    </w:p>
    <w:p w:rsidR="005240A0" w:rsidRPr="005240A0" w:rsidRDefault="005240A0" w:rsidP="005240A0">
      <w:pPr>
        <w:spacing w:after="0" w:line="240" w:lineRule="auto"/>
        <w:ind w:left="567" w:hanging="567"/>
        <w:jc w:val="both"/>
      </w:pPr>
      <w:r>
        <w:t>7.2</w:t>
      </w:r>
      <w:r>
        <w:tab/>
      </w:r>
      <w:r w:rsidR="00FC497B">
        <w:t>The appointed consultants may also be required to give evidence on behalf of the National Park Authority at the L</w:t>
      </w:r>
      <w:r>
        <w:t>ocal Plan Examination in Pub</w:t>
      </w:r>
      <w:r w:rsidR="00FC497B">
        <w:t>lic.</w:t>
      </w:r>
      <w:r>
        <w:t xml:space="preserve"> </w:t>
      </w:r>
    </w:p>
    <w:p w:rsidR="005240A0" w:rsidRPr="005240A0" w:rsidRDefault="005240A0" w:rsidP="005240A0">
      <w:pPr>
        <w:spacing w:after="0" w:line="240" w:lineRule="auto"/>
        <w:jc w:val="both"/>
        <w:rPr>
          <w:b/>
        </w:rPr>
      </w:pPr>
    </w:p>
    <w:p w:rsidR="00F4092C" w:rsidRPr="000A3982" w:rsidRDefault="000A3982" w:rsidP="000A3982">
      <w:pPr>
        <w:spacing w:after="0" w:line="240" w:lineRule="auto"/>
        <w:ind w:left="567" w:hanging="567"/>
        <w:jc w:val="both"/>
        <w:rPr>
          <w:b/>
        </w:rPr>
      </w:pPr>
      <w:r w:rsidRPr="000A3982">
        <w:rPr>
          <w:b/>
        </w:rPr>
        <w:t>8</w:t>
      </w:r>
      <w:r w:rsidR="00F46096">
        <w:rPr>
          <w:b/>
        </w:rPr>
        <w:t>.</w:t>
      </w:r>
      <w:r w:rsidRPr="000A3982">
        <w:rPr>
          <w:b/>
        </w:rPr>
        <w:tab/>
      </w:r>
      <w:r w:rsidR="00F4092C" w:rsidRPr="000A3982">
        <w:rPr>
          <w:b/>
        </w:rPr>
        <w:t xml:space="preserve">Timescales </w:t>
      </w:r>
    </w:p>
    <w:p w:rsidR="00F4092C" w:rsidRDefault="00F4092C" w:rsidP="00F4092C">
      <w:pPr>
        <w:spacing w:after="0" w:line="240" w:lineRule="auto"/>
        <w:ind w:left="360"/>
        <w:jc w:val="both"/>
        <w:rPr>
          <w:b/>
          <w:u w:val="single"/>
        </w:rPr>
      </w:pPr>
    </w:p>
    <w:p w:rsidR="000A3982" w:rsidRDefault="000A3982" w:rsidP="000A3982">
      <w:pPr>
        <w:spacing w:after="0" w:line="240" w:lineRule="auto"/>
        <w:ind w:left="567" w:hanging="567"/>
        <w:jc w:val="both"/>
      </w:pPr>
      <w:r>
        <w:t>8.1</w:t>
      </w:r>
      <w:r>
        <w:tab/>
      </w:r>
      <w:r w:rsidR="00FC497B">
        <w:t xml:space="preserve">The Authority must produce the Sustainability Appraisal to ensure the timely delivery of the Local Plan. </w:t>
      </w:r>
      <w:r>
        <w:t xml:space="preserve">The proposed </w:t>
      </w:r>
      <w:r w:rsidR="00C82D73">
        <w:t xml:space="preserve">project </w:t>
      </w:r>
      <w:r>
        <w:t xml:space="preserve">timetable is set out below. </w:t>
      </w:r>
    </w:p>
    <w:p w:rsidR="000A3982" w:rsidRDefault="000A3982" w:rsidP="000A3982">
      <w:pPr>
        <w:spacing w:after="0" w:line="240" w:lineRule="auto"/>
        <w:jc w:val="both"/>
      </w:pPr>
    </w:p>
    <w:tbl>
      <w:tblPr>
        <w:tblStyle w:val="TableGrid"/>
        <w:tblW w:w="0" w:type="auto"/>
        <w:tblInd w:w="567" w:type="dxa"/>
        <w:tblLook w:val="04A0" w:firstRow="1" w:lastRow="0" w:firstColumn="1" w:lastColumn="0" w:noHBand="0" w:noVBand="1"/>
      </w:tblPr>
      <w:tblGrid>
        <w:gridCol w:w="2376"/>
        <w:gridCol w:w="3828"/>
        <w:gridCol w:w="2471"/>
      </w:tblGrid>
      <w:tr w:rsidR="000A3982" w:rsidRPr="00FC497B" w:rsidTr="00FC497B">
        <w:tc>
          <w:tcPr>
            <w:tcW w:w="2376" w:type="dxa"/>
            <w:shd w:val="clear" w:color="auto" w:fill="BFBFBF" w:themeFill="background1" w:themeFillShade="BF"/>
          </w:tcPr>
          <w:p w:rsidR="000A3982" w:rsidRPr="00FC497B" w:rsidRDefault="000A3982" w:rsidP="000A3982">
            <w:pPr>
              <w:jc w:val="center"/>
              <w:rPr>
                <w:b/>
                <w:szCs w:val="24"/>
              </w:rPr>
            </w:pPr>
            <w:r w:rsidRPr="00FC497B">
              <w:rPr>
                <w:b/>
                <w:szCs w:val="24"/>
              </w:rPr>
              <w:t>Date / Deadline</w:t>
            </w:r>
          </w:p>
        </w:tc>
        <w:tc>
          <w:tcPr>
            <w:tcW w:w="3828" w:type="dxa"/>
            <w:shd w:val="clear" w:color="auto" w:fill="BFBFBF" w:themeFill="background1" w:themeFillShade="BF"/>
          </w:tcPr>
          <w:p w:rsidR="000A3982" w:rsidRPr="00FC497B" w:rsidRDefault="000A3982" w:rsidP="000A3982">
            <w:pPr>
              <w:jc w:val="center"/>
              <w:rPr>
                <w:b/>
                <w:szCs w:val="24"/>
              </w:rPr>
            </w:pPr>
            <w:r w:rsidRPr="00FC497B">
              <w:rPr>
                <w:b/>
                <w:szCs w:val="24"/>
              </w:rPr>
              <w:t>Stage</w:t>
            </w:r>
          </w:p>
        </w:tc>
        <w:tc>
          <w:tcPr>
            <w:tcW w:w="2471" w:type="dxa"/>
            <w:shd w:val="clear" w:color="auto" w:fill="BFBFBF" w:themeFill="background1" w:themeFillShade="BF"/>
          </w:tcPr>
          <w:p w:rsidR="000A3982" w:rsidRPr="00FC497B" w:rsidRDefault="000A3982" w:rsidP="000A3982">
            <w:pPr>
              <w:jc w:val="center"/>
              <w:rPr>
                <w:b/>
                <w:szCs w:val="24"/>
              </w:rPr>
            </w:pPr>
            <w:r w:rsidRPr="00FC497B">
              <w:rPr>
                <w:b/>
                <w:szCs w:val="24"/>
              </w:rPr>
              <w:t>Who by</w:t>
            </w:r>
          </w:p>
        </w:tc>
      </w:tr>
      <w:tr w:rsidR="000A3982" w:rsidRPr="00FC497B" w:rsidTr="00FC497B">
        <w:tc>
          <w:tcPr>
            <w:tcW w:w="2376" w:type="dxa"/>
          </w:tcPr>
          <w:p w:rsidR="000A3982" w:rsidRPr="00FC497B" w:rsidRDefault="00227BD7" w:rsidP="000A3982">
            <w:pPr>
              <w:jc w:val="both"/>
              <w:rPr>
                <w:szCs w:val="24"/>
              </w:rPr>
            </w:pPr>
            <w:r>
              <w:rPr>
                <w:szCs w:val="24"/>
              </w:rPr>
              <w:t xml:space="preserve">Noon </w:t>
            </w:r>
            <w:r w:rsidR="009D657E" w:rsidRPr="00FC497B">
              <w:rPr>
                <w:szCs w:val="24"/>
              </w:rPr>
              <w:t>14</w:t>
            </w:r>
            <w:r w:rsidR="000A3982" w:rsidRPr="00FC497B">
              <w:rPr>
                <w:szCs w:val="24"/>
              </w:rPr>
              <w:t xml:space="preserve"> March 2016 </w:t>
            </w:r>
          </w:p>
        </w:tc>
        <w:tc>
          <w:tcPr>
            <w:tcW w:w="3828" w:type="dxa"/>
          </w:tcPr>
          <w:p w:rsidR="000A3982" w:rsidRPr="00FC497B" w:rsidRDefault="000A3982" w:rsidP="000A3982">
            <w:pPr>
              <w:jc w:val="both"/>
              <w:rPr>
                <w:szCs w:val="24"/>
              </w:rPr>
            </w:pPr>
            <w:r w:rsidRPr="00FC497B">
              <w:rPr>
                <w:szCs w:val="24"/>
              </w:rPr>
              <w:t xml:space="preserve">Deadline for tenders to be submitted </w:t>
            </w:r>
          </w:p>
        </w:tc>
        <w:tc>
          <w:tcPr>
            <w:tcW w:w="2471" w:type="dxa"/>
          </w:tcPr>
          <w:p w:rsidR="000A3982" w:rsidRPr="00FC497B" w:rsidRDefault="000A3982" w:rsidP="000A3982">
            <w:pPr>
              <w:jc w:val="both"/>
              <w:rPr>
                <w:szCs w:val="24"/>
              </w:rPr>
            </w:pPr>
            <w:r w:rsidRPr="00FC497B">
              <w:rPr>
                <w:szCs w:val="24"/>
              </w:rPr>
              <w:t xml:space="preserve">Consultants </w:t>
            </w:r>
          </w:p>
        </w:tc>
      </w:tr>
      <w:tr w:rsidR="000A3982" w:rsidRPr="00FC497B" w:rsidTr="00FC497B">
        <w:tc>
          <w:tcPr>
            <w:tcW w:w="2376" w:type="dxa"/>
          </w:tcPr>
          <w:p w:rsidR="000A3982" w:rsidRPr="00FC497B" w:rsidRDefault="009D657E" w:rsidP="000A3982">
            <w:pPr>
              <w:jc w:val="both"/>
              <w:rPr>
                <w:szCs w:val="24"/>
              </w:rPr>
            </w:pPr>
            <w:r w:rsidRPr="00FC497B">
              <w:rPr>
                <w:szCs w:val="24"/>
              </w:rPr>
              <w:t>18</w:t>
            </w:r>
            <w:r w:rsidR="000A3982" w:rsidRPr="00FC497B">
              <w:rPr>
                <w:szCs w:val="24"/>
              </w:rPr>
              <w:t xml:space="preserve"> March 2016 </w:t>
            </w:r>
          </w:p>
        </w:tc>
        <w:tc>
          <w:tcPr>
            <w:tcW w:w="3828" w:type="dxa"/>
          </w:tcPr>
          <w:p w:rsidR="000A3982" w:rsidRPr="00FC497B" w:rsidRDefault="000A3982" w:rsidP="000A3982">
            <w:pPr>
              <w:jc w:val="both"/>
              <w:rPr>
                <w:szCs w:val="24"/>
              </w:rPr>
            </w:pPr>
            <w:r w:rsidRPr="00FC497B">
              <w:rPr>
                <w:szCs w:val="24"/>
              </w:rPr>
              <w:t xml:space="preserve">Consultants appointed </w:t>
            </w:r>
          </w:p>
        </w:tc>
        <w:tc>
          <w:tcPr>
            <w:tcW w:w="2471" w:type="dxa"/>
          </w:tcPr>
          <w:p w:rsidR="000A3982" w:rsidRPr="00FC497B" w:rsidRDefault="000A3982" w:rsidP="000A3982">
            <w:pPr>
              <w:jc w:val="both"/>
              <w:rPr>
                <w:szCs w:val="24"/>
              </w:rPr>
            </w:pPr>
            <w:r w:rsidRPr="00FC497B">
              <w:rPr>
                <w:szCs w:val="24"/>
              </w:rPr>
              <w:t>NFNPA</w:t>
            </w:r>
          </w:p>
        </w:tc>
      </w:tr>
      <w:tr w:rsidR="000A3982" w:rsidRPr="00FC497B" w:rsidTr="00FC497B">
        <w:tc>
          <w:tcPr>
            <w:tcW w:w="2376" w:type="dxa"/>
          </w:tcPr>
          <w:p w:rsidR="000A3982" w:rsidRPr="00FC497B" w:rsidRDefault="00CD0164" w:rsidP="000A3982">
            <w:pPr>
              <w:jc w:val="both"/>
              <w:rPr>
                <w:szCs w:val="24"/>
              </w:rPr>
            </w:pPr>
            <w:r w:rsidRPr="00FC497B">
              <w:rPr>
                <w:szCs w:val="24"/>
              </w:rPr>
              <w:t xml:space="preserve">23 or </w:t>
            </w:r>
            <w:r w:rsidR="009D657E" w:rsidRPr="00FC497B">
              <w:rPr>
                <w:szCs w:val="24"/>
              </w:rPr>
              <w:t>24 March 2016</w:t>
            </w:r>
          </w:p>
        </w:tc>
        <w:tc>
          <w:tcPr>
            <w:tcW w:w="3828" w:type="dxa"/>
          </w:tcPr>
          <w:p w:rsidR="000A3982" w:rsidRPr="00FC497B" w:rsidRDefault="009D657E" w:rsidP="000A3982">
            <w:pPr>
              <w:jc w:val="both"/>
              <w:rPr>
                <w:szCs w:val="24"/>
              </w:rPr>
            </w:pPr>
            <w:r w:rsidRPr="00FC497B">
              <w:rPr>
                <w:szCs w:val="24"/>
              </w:rPr>
              <w:t xml:space="preserve">Inception meeting held at NFNPA offices, Lymington </w:t>
            </w:r>
          </w:p>
        </w:tc>
        <w:tc>
          <w:tcPr>
            <w:tcW w:w="2471" w:type="dxa"/>
          </w:tcPr>
          <w:p w:rsidR="000A3982" w:rsidRPr="00FC497B" w:rsidRDefault="009D657E" w:rsidP="000A3982">
            <w:pPr>
              <w:jc w:val="both"/>
              <w:rPr>
                <w:szCs w:val="24"/>
              </w:rPr>
            </w:pPr>
            <w:r w:rsidRPr="00FC497B">
              <w:rPr>
                <w:szCs w:val="24"/>
              </w:rPr>
              <w:t xml:space="preserve">NFNPA / Consultant </w:t>
            </w:r>
          </w:p>
        </w:tc>
      </w:tr>
      <w:tr w:rsidR="000A3982" w:rsidRPr="00FC497B" w:rsidTr="00FC497B">
        <w:tc>
          <w:tcPr>
            <w:tcW w:w="2376" w:type="dxa"/>
          </w:tcPr>
          <w:p w:rsidR="000A3982" w:rsidRPr="00FC497B" w:rsidRDefault="00C55E2E" w:rsidP="000A3982">
            <w:pPr>
              <w:jc w:val="both"/>
              <w:rPr>
                <w:szCs w:val="24"/>
              </w:rPr>
            </w:pPr>
            <w:r w:rsidRPr="00FC497B">
              <w:rPr>
                <w:szCs w:val="24"/>
              </w:rPr>
              <w:t>April 2016</w:t>
            </w:r>
          </w:p>
        </w:tc>
        <w:tc>
          <w:tcPr>
            <w:tcW w:w="3828" w:type="dxa"/>
          </w:tcPr>
          <w:p w:rsidR="000A3982" w:rsidRPr="00FC497B" w:rsidRDefault="009D657E" w:rsidP="000A3982">
            <w:pPr>
              <w:jc w:val="both"/>
              <w:rPr>
                <w:szCs w:val="24"/>
              </w:rPr>
            </w:pPr>
            <w:r w:rsidRPr="00FC497B">
              <w:rPr>
                <w:szCs w:val="24"/>
              </w:rPr>
              <w:t xml:space="preserve">Stage A work – Production of SA Scoping Report </w:t>
            </w:r>
          </w:p>
        </w:tc>
        <w:tc>
          <w:tcPr>
            <w:tcW w:w="2471" w:type="dxa"/>
          </w:tcPr>
          <w:p w:rsidR="000A3982" w:rsidRPr="00FC497B" w:rsidRDefault="00C55E2E" w:rsidP="000A3982">
            <w:pPr>
              <w:jc w:val="both"/>
              <w:rPr>
                <w:szCs w:val="24"/>
              </w:rPr>
            </w:pPr>
            <w:r w:rsidRPr="00FC497B">
              <w:rPr>
                <w:szCs w:val="24"/>
              </w:rPr>
              <w:t xml:space="preserve">Consultant </w:t>
            </w:r>
          </w:p>
        </w:tc>
      </w:tr>
      <w:tr w:rsidR="000A3982" w:rsidRPr="00FC497B" w:rsidTr="00FC497B">
        <w:tc>
          <w:tcPr>
            <w:tcW w:w="2376" w:type="dxa"/>
          </w:tcPr>
          <w:p w:rsidR="000A3982" w:rsidRPr="00FC497B" w:rsidRDefault="00C55E2E" w:rsidP="000A3982">
            <w:pPr>
              <w:jc w:val="both"/>
              <w:rPr>
                <w:szCs w:val="24"/>
              </w:rPr>
            </w:pPr>
            <w:r w:rsidRPr="00FC497B">
              <w:rPr>
                <w:szCs w:val="24"/>
              </w:rPr>
              <w:t>May 2016</w:t>
            </w:r>
          </w:p>
        </w:tc>
        <w:tc>
          <w:tcPr>
            <w:tcW w:w="3828" w:type="dxa"/>
          </w:tcPr>
          <w:p w:rsidR="000A3982" w:rsidRPr="00FC497B" w:rsidRDefault="009D657E" w:rsidP="000A3982">
            <w:pPr>
              <w:jc w:val="both"/>
              <w:rPr>
                <w:szCs w:val="24"/>
              </w:rPr>
            </w:pPr>
            <w:r w:rsidRPr="00FC497B">
              <w:rPr>
                <w:szCs w:val="24"/>
              </w:rPr>
              <w:t>SA Scoping Report published for consultation (5 weeks)</w:t>
            </w:r>
          </w:p>
        </w:tc>
        <w:tc>
          <w:tcPr>
            <w:tcW w:w="2471" w:type="dxa"/>
          </w:tcPr>
          <w:p w:rsidR="000A3982" w:rsidRPr="00FC497B" w:rsidRDefault="009D657E" w:rsidP="000A3982">
            <w:pPr>
              <w:jc w:val="both"/>
              <w:rPr>
                <w:szCs w:val="24"/>
              </w:rPr>
            </w:pPr>
            <w:r w:rsidRPr="00FC497B">
              <w:rPr>
                <w:szCs w:val="24"/>
              </w:rPr>
              <w:t>NFNPA</w:t>
            </w:r>
          </w:p>
        </w:tc>
      </w:tr>
      <w:tr w:rsidR="000A3982" w:rsidRPr="00FC497B" w:rsidTr="00FC497B">
        <w:tc>
          <w:tcPr>
            <w:tcW w:w="2376" w:type="dxa"/>
          </w:tcPr>
          <w:p w:rsidR="000A3982" w:rsidRPr="00FC497B" w:rsidRDefault="00C55E2E" w:rsidP="000A3982">
            <w:pPr>
              <w:jc w:val="both"/>
              <w:rPr>
                <w:szCs w:val="24"/>
              </w:rPr>
            </w:pPr>
            <w:r w:rsidRPr="00FC497B">
              <w:rPr>
                <w:szCs w:val="24"/>
              </w:rPr>
              <w:lastRenderedPageBreak/>
              <w:t>June 2016</w:t>
            </w:r>
          </w:p>
        </w:tc>
        <w:tc>
          <w:tcPr>
            <w:tcW w:w="3828" w:type="dxa"/>
          </w:tcPr>
          <w:p w:rsidR="000A3982" w:rsidRPr="00FC497B" w:rsidRDefault="009D657E" w:rsidP="000A3982">
            <w:pPr>
              <w:jc w:val="both"/>
              <w:rPr>
                <w:szCs w:val="24"/>
              </w:rPr>
            </w:pPr>
            <w:r w:rsidRPr="00FC497B">
              <w:rPr>
                <w:szCs w:val="24"/>
              </w:rPr>
              <w:t xml:space="preserve">Review SA Scoping Report comments and amend report </w:t>
            </w:r>
          </w:p>
        </w:tc>
        <w:tc>
          <w:tcPr>
            <w:tcW w:w="2471" w:type="dxa"/>
          </w:tcPr>
          <w:p w:rsidR="000A3982" w:rsidRPr="00FC497B" w:rsidRDefault="00C55E2E" w:rsidP="000A3982">
            <w:pPr>
              <w:jc w:val="both"/>
              <w:rPr>
                <w:szCs w:val="24"/>
              </w:rPr>
            </w:pPr>
            <w:r w:rsidRPr="00FC497B">
              <w:rPr>
                <w:szCs w:val="24"/>
              </w:rPr>
              <w:t xml:space="preserve">Consultant </w:t>
            </w:r>
          </w:p>
        </w:tc>
      </w:tr>
      <w:tr w:rsidR="000A3982" w:rsidRPr="00FC497B" w:rsidTr="00FC497B">
        <w:tc>
          <w:tcPr>
            <w:tcW w:w="2376" w:type="dxa"/>
          </w:tcPr>
          <w:p w:rsidR="000A3982" w:rsidRPr="00FC497B" w:rsidRDefault="00C55E2E" w:rsidP="000A3982">
            <w:pPr>
              <w:jc w:val="both"/>
              <w:rPr>
                <w:szCs w:val="24"/>
              </w:rPr>
            </w:pPr>
            <w:r w:rsidRPr="00FC497B">
              <w:rPr>
                <w:szCs w:val="24"/>
              </w:rPr>
              <w:t>Summer 2016</w:t>
            </w:r>
          </w:p>
        </w:tc>
        <w:tc>
          <w:tcPr>
            <w:tcW w:w="3828" w:type="dxa"/>
          </w:tcPr>
          <w:p w:rsidR="000A3982" w:rsidRPr="00FC497B" w:rsidRDefault="009D657E" w:rsidP="000A3982">
            <w:pPr>
              <w:jc w:val="both"/>
              <w:rPr>
                <w:szCs w:val="24"/>
              </w:rPr>
            </w:pPr>
            <w:r w:rsidRPr="00FC497B">
              <w:rPr>
                <w:szCs w:val="24"/>
              </w:rPr>
              <w:t xml:space="preserve">Assess policy options against agreed SA Objectives and produce Stage B SA Report </w:t>
            </w:r>
          </w:p>
        </w:tc>
        <w:tc>
          <w:tcPr>
            <w:tcW w:w="2471" w:type="dxa"/>
          </w:tcPr>
          <w:p w:rsidR="000A3982" w:rsidRPr="00FC497B" w:rsidRDefault="00C55E2E" w:rsidP="000A3982">
            <w:pPr>
              <w:jc w:val="both"/>
              <w:rPr>
                <w:szCs w:val="24"/>
              </w:rPr>
            </w:pPr>
            <w:r w:rsidRPr="00FC497B">
              <w:rPr>
                <w:szCs w:val="24"/>
              </w:rPr>
              <w:t xml:space="preserve">Consultant </w:t>
            </w:r>
          </w:p>
        </w:tc>
      </w:tr>
      <w:tr w:rsidR="009D657E" w:rsidRPr="00FC497B" w:rsidTr="00FC497B">
        <w:tc>
          <w:tcPr>
            <w:tcW w:w="2376" w:type="dxa"/>
          </w:tcPr>
          <w:p w:rsidR="009D657E" w:rsidRPr="00FC497B" w:rsidRDefault="00C55E2E" w:rsidP="000A3982">
            <w:pPr>
              <w:jc w:val="both"/>
              <w:rPr>
                <w:szCs w:val="24"/>
              </w:rPr>
            </w:pPr>
            <w:r w:rsidRPr="00FC497B">
              <w:rPr>
                <w:szCs w:val="24"/>
              </w:rPr>
              <w:t>October 2016</w:t>
            </w:r>
          </w:p>
        </w:tc>
        <w:tc>
          <w:tcPr>
            <w:tcW w:w="3828" w:type="dxa"/>
          </w:tcPr>
          <w:p w:rsidR="009D657E" w:rsidRPr="00FC497B" w:rsidRDefault="00CD0164" w:rsidP="007A4097">
            <w:pPr>
              <w:jc w:val="both"/>
              <w:rPr>
                <w:szCs w:val="24"/>
              </w:rPr>
            </w:pPr>
            <w:r w:rsidRPr="00FC497B">
              <w:rPr>
                <w:szCs w:val="24"/>
              </w:rPr>
              <w:t xml:space="preserve">Draft Local Plan and Stage B </w:t>
            </w:r>
            <w:r w:rsidR="002D6A2A" w:rsidRPr="00FC497B">
              <w:rPr>
                <w:szCs w:val="24"/>
              </w:rPr>
              <w:t xml:space="preserve">SA Report published for consultation </w:t>
            </w:r>
            <w:r w:rsidRPr="00FC497B">
              <w:rPr>
                <w:szCs w:val="24"/>
              </w:rPr>
              <w:t xml:space="preserve"> </w:t>
            </w:r>
          </w:p>
        </w:tc>
        <w:tc>
          <w:tcPr>
            <w:tcW w:w="2471" w:type="dxa"/>
          </w:tcPr>
          <w:p w:rsidR="009D657E" w:rsidRPr="00FC497B" w:rsidRDefault="00C55E2E" w:rsidP="000A3982">
            <w:pPr>
              <w:jc w:val="both"/>
              <w:rPr>
                <w:szCs w:val="24"/>
              </w:rPr>
            </w:pPr>
            <w:r w:rsidRPr="00FC497B">
              <w:rPr>
                <w:szCs w:val="24"/>
              </w:rPr>
              <w:t xml:space="preserve">NFNPA/Consultant </w:t>
            </w:r>
          </w:p>
        </w:tc>
      </w:tr>
      <w:tr w:rsidR="009D657E" w:rsidRPr="00FC497B" w:rsidTr="00FC497B">
        <w:tc>
          <w:tcPr>
            <w:tcW w:w="2376" w:type="dxa"/>
          </w:tcPr>
          <w:p w:rsidR="009D657E" w:rsidRPr="00FC497B" w:rsidRDefault="007A4097" w:rsidP="000A3982">
            <w:pPr>
              <w:jc w:val="both"/>
              <w:rPr>
                <w:szCs w:val="24"/>
              </w:rPr>
            </w:pPr>
            <w:r>
              <w:rPr>
                <w:szCs w:val="24"/>
              </w:rPr>
              <w:t>July</w:t>
            </w:r>
            <w:r w:rsidR="00C55E2E" w:rsidRPr="00FC497B">
              <w:rPr>
                <w:szCs w:val="24"/>
              </w:rPr>
              <w:t xml:space="preserve"> 2017</w:t>
            </w:r>
          </w:p>
        </w:tc>
        <w:tc>
          <w:tcPr>
            <w:tcW w:w="3828" w:type="dxa"/>
          </w:tcPr>
          <w:p w:rsidR="009D657E" w:rsidRPr="00FC497B" w:rsidRDefault="002D6A2A" w:rsidP="000A3982">
            <w:pPr>
              <w:jc w:val="both"/>
              <w:rPr>
                <w:szCs w:val="24"/>
              </w:rPr>
            </w:pPr>
            <w:r w:rsidRPr="00FC497B">
              <w:rPr>
                <w:szCs w:val="24"/>
              </w:rPr>
              <w:t xml:space="preserve">Publication of Submission draft Local Plan and Stage C SA Report </w:t>
            </w:r>
          </w:p>
        </w:tc>
        <w:tc>
          <w:tcPr>
            <w:tcW w:w="2471" w:type="dxa"/>
          </w:tcPr>
          <w:p w:rsidR="009D657E" w:rsidRPr="00FC497B" w:rsidRDefault="00C55E2E" w:rsidP="000A3982">
            <w:pPr>
              <w:jc w:val="both"/>
              <w:rPr>
                <w:szCs w:val="24"/>
              </w:rPr>
            </w:pPr>
            <w:r w:rsidRPr="00FC497B">
              <w:rPr>
                <w:szCs w:val="24"/>
              </w:rPr>
              <w:t>NFNPA/Consultant</w:t>
            </w:r>
          </w:p>
        </w:tc>
      </w:tr>
      <w:tr w:rsidR="009D657E" w:rsidRPr="00FC497B" w:rsidTr="00FC497B">
        <w:tc>
          <w:tcPr>
            <w:tcW w:w="2376" w:type="dxa"/>
          </w:tcPr>
          <w:p w:rsidR="009D657E" w:rsidRPr="00DD2620" w:rsidRDefault="00DD2620" w:rsidP="000A3982">
            <w:pPr>
              <w:jc w:val="both"/>
              <w:rPr>
                <w:szCs w:val="24"/>
              </w:rPr>
            </w:pPr>
            <w:r w:rsidRPr="00DD2620">
              <w:rPr>
                <w:szCs w:val="24"/>
              </w:rPr>
              <w:t>Autumn 2017</w:t>
            </w:r>
          </w:p>
        </w:tc>
        <w:tc>
          <w:tcPr>
            <w:tcW w:w="3828" w:type="dxa"/>
          </w:tcPr>
          <w:p w:rsidR="009D657E" w:rsidRPr="00FC497B" w:rsidRDefault="002D6A2A" w:rsidP="000A3982">
            <w:pPr>
              <w:jc w:val="both"/>
              <w:rPr>
                <w:szCs w:val="24"/>
              </w:rPr>
            </w:pPr>
            <w:r w:rsidRPr="00FC497B">
              <w:rPr>
                <w:szCs w:val="24"/>
              </w:rPr>
              <w:t>Submission of Local Plan to the Secretary of State (with Stage D final SA Report)</w:t>
            </w:r>
          </w:p>
        </w:tc>
        <w:tc>
          <w:tcPr>
            <w:tcW w:w="2471" w:type="dxa"/>
          </w:tcPr>
          <w:p w:rsidR="009D657E" w:rsidRPr="00FC497B" w:rsidRDefault="00C55E2E" w:rsidP="000A3982">
            <w:pPr>
              <w:jc w:val="both"/>
              <w:rPr>
                <w:szCs w:val="24"/>
              </w:rPr>
            </w:pPr>
            <w:r w:rsidRPr="00FC497B">
              <w:rPr>
                <w:szCs w:val="24"/>
              </w:rPr>
              <w:t xml:space="preserve">NFNPA/Consultant </w:t>
            </w:r>
          </w:p>
        </w:tc>
      </w:tr>
      <w:tr w:rsidR="009D657E" w:rsidRPr="00FC497B" w:rsidTr="00FC497B">
        <w:tc>
          <w:tcPr>
            <w:tcW w:w="2376" w:type="dxa"/>
          </w:tcPr>
          <w:p w:rsidR="009D657E" w:rsidRPr="00DD2620" w:rsidRDefault="00DD2620" w:rsidP="000A3982">
            <w:pPr>
              <w:jc w:val="both"/>
              <w:rPr>
                <w:szCs w:val="24"/>
              </w:rPr>
            </w:pPr>
            <w:r w:rsidRPr="00DD2620">
              <w:rPr>
                <w:szCs w:val="24"/>
              </w:rPr>
              <w:t xml:space="preserve">Winter 2017 </w:t>
            </w:r>
          </w:p>
        </w:tc>
        <w:tc>
          <w:tcPr>
            <w:tcW w:w="3828" w:type="dxa"/>
          </w:tcPr>
          <w:p w:rsidR="009D657E" w:rsidRPr="00FC497B" w:rsidRDefault="002D6A2A" w:rsidP="000A3982">
            <w:pPr>
              <w:jc w:val="both"/>
              <w:rPr>
                <w:szCs w:val="24"/>
              </w:rPr>
            </w:pPr>
            <w:r w:rsidRPr="00FC497B">
              <w:rPr>
                <w:szCs w:val="24"/>
              </w:rPr>
              <w:t xml:space="preserve">Local Plan Examination hearings </w:t>
            </w:r>
          </w:p>
        </w:tc>
        <w:tc>
          <w:tcPr>
            <w:tcW w:w="2471" w:type="dxa"/>
          </w:tcPr>
          <w:p w:rsidR="009D657E" w:rsidRPr="00FC497B" w:rsidRDefault="009D657E" w:rsidP="000A3982">
            <w:pPr>
              <w:jc w:val="both"/>
              <w:rPr>
                <w:szCs w:val="24"/>
              </w:rPr>
            </w:pPr>
          </w:p>
        </w:tc>
      </w:tr>
      <w:tr w:rsidR="002D6A2A" w:rsidRPr="00FC497B" w:rsidTr="00FC497B">
        <w:tc>
          <w:tcPr>
            <w:tcW w:w="2376" w:type="dxa"/>
          </w:tcPr>
          <w:p w:rsidR="002D6A2A" w:rsidRPr="00FC497B" w:rsidRDefault="00C55E2E" w:rsidP="000A3982">
            <w:pPr>
              <w:jc w:val="both"/>
              <w:rPr>
                <w:szCs w:val="24"/>
              </w:rPr>
            </w:pPr>
            <w:r w:rsidRPr="00FC497B">
              <w:rPr>
                <w:szCs w:val="24"/>
              </w:rPr>
              <w:t>March 2018</w:t>
            </w:r>
          </w:p>
        </w:tc>
        <w:tc>
          <w:tcPr>
            <w:tcW w:w="3828" w:type="dxa"/>
          </w:tcPr>
          <w:p w:rsidR="002D6A2A" w:rsidRPr="00FC497B" w:rsidRDefault="002D6A2A" w:rsidP="000A3982">
            <w:pPr>
              <w:jc w:val="both"/>
              <w:rPr>
                <w:szCs w:val="24"/>
              </w:rPr>
            </w:pPr>
            <w:r w:rsidRPr="00FC497B">
              <w:rPr>
                <w:szCs w:val="24"/>
              </w:rPr>
              <w:t xml:space="preserve">Target for adoption of Local Plan </w:t>
            </w:r>
          </w:p>
        </w:tc>
        <w:tc>
          <w:tcPr>
            <w:tcW w:w="2471" w:type="dxa"/>
          </w:tcPr>
          <w:p w:rsidR="002D6A2A" w:rsidRPr="00FC497B" w:rsidRDefault="002D6A2A" w:rsidP="000A3982">
            <w:pPr>
              <w:jc w:val="both"/>
              <w:rPr>
                <w:szCs w:val="24"/>
              </w:rPr>
            </w:pPr>
          </w:p>
        </w:tc>
      </w:tr>
    </w:tbl>
    <w:p w:rsidR="00F4092C" w:rsidRDefault="00F4092C" w:rsidP="000A3982">
      <w:pPr>
        <w:spacing w:after="0" w:line="240" w:lineRule="auto"/>
        <w:ind w:left="567" w:hanging="567"/>
        <w:jc w:val="both"/>
      </w:pPr>
      <w:r>
        <w:t xml:space="preserve"> </w:t>
      </w:r>
    </w:p>
    <w:p w:rsidR="000A3982" w:rsidRDefault="000A3982" w:rsidP="000A3982">
      <w:pPr>
        <w:spacing w:after="0" w:line="240" w:lineRule="auto"/>
        <w:ind w:left="567" w:hanging="567"/>
        <w:jc w:val="both"/>
      </w:pPr>
      <w:r>
        <w:t>8.2</w:t>
      </w:r>
      <w:r>
        <w:tab/>
        <w:t xml:space="preserve">It is expected that at least two update meetings will be held during the course of the Sustainability Appraisal preparation. It will also be necessary to </w:t>
      </w:r>
      <w:r w:rsidR="00C82D73">
        <w:t>provide regular updates on the A</w:t>
      </w:r>
      <w:r>
        <w:t xml:space="preserve">ssessment’s progress either by phone or email. </w:t>
      </w:r>
      <w:r w:rsidR="00671495" w:rsidRPr="00671495">
        <w:t xml:space="preserve">The Sustainability Appraisal / SEA is an iterative process and will require on-going communication with the Authority throughout this process.    </w:t>
      </w:r>
    </w:p>
    <w:p w:rsidR="000A3982" w:rsidRDefault="000A3982" w:rsidP="000A3982">
      <w:pPr>
        <w:spacing w:after="0" w:line="240" w:lineRule="auto"/>
        <w:ind w:left="567" w:hanging="567"/>
        <w:jc w:val="both"/>
      </w:pPr>
    </w:p>
    <w:p w:rsidR="000A3982" w:rsidRDefault="000A3982" w:rsidP="000A3982">
      <w:pPr>
        <w:spacing w:after="0" w:line="240" w:lineRule="auto"/>
        <w:ind w:left="567" w:hanging="567"/>
        <w:jc w:val="both"/>
      </w:pPr>
      <w:r>
        <w:t>8.3</w:t>
      </w:r>
      <w:r>
        <w:tab/>
        <w:t>The final timetable for the project will be reviewed if necessary and a</w:t>
      </w:r>
      <w:r w:rsidR="00AF16E1">
        <w:t xml:space="preserve">greed between the </w:t>
      </w:r>
      <w:r>
        <w:t xml:space="preserve">Authority and the successful consultant. </w:t>
      </w:r>
    </w:p>
    <w:p w:rsidR="00F4092C" w:rsidRDefault="00F4092C" w:rsidP="00F4092C">
      <w:pPr>
        <w:spacing w:after="0" w:line="240" w:lineRule="auto"/>
        <w:ind w:left="360"/>
        <w:jc w:val="both"/>
      </w:pPr>
    </w:p>
    <w:p w:rsidR="00F4092C" w:rsidRPr="000A3982" w:rsidRDefault="000A3982" w:rsidP="000A3982">
      <w:pPr>
        <w:spacing w:after="0" w:line="240" w:lineRule="auto"/>
        <w:ind w:left="567" w:hanging="567"/>
        <w:jc w:val="both"/>
        <w:rPr>
          <w:b/>
        </w:rPr>
      </w:pPr>
      <w:r>
        <w:rPr>
          <w:b/>
        </w:rPr>
        <w:t>9</w:t>
      </w:r>
      <w:r w:rsidR="00F46096">
        <w:rPr>
          <w:b/>
        </w:rPr>
        <w:t>.</w:t>
      </w:r>
      <w:r>
        <w:rPr>
          <w:b/>
        </w:rPr>
        <w:tab/>
      </w:r>
      <w:r w:rsidR="00F4092C" w:rsidRPr="000A3982">
        <w:rPr>
          <w:b/>
        </w:rPr>
        <w:t>The Tender Proposal</w:t>
      </w:r>
    </w:p>
    <w:p w:rsidR="00F4092C" w:rsidRDefault="00F4092C" w:rsidP="000A3982">
      <w:pPr>
        <w:spacing w:after="0" w:line="240" w:lineRule="auto"/>
        <w:jc w:val="both"/>
      </w:pPr>
    </w:p>
    <w:p w:rsidR="000A3982" w:rsidRDefault="000A3982" w:rsidP="000A3982">
      <w:pPr>
        <w:spacing w:after="0" w:line="240" w:lineRule="auto"/>
        <w:ind w:left="567" w:hanging="567"/>
        <w:jc w:val="both"/>
      </w:pPr>
      <w:r>
        <w:t>9.1</w:t>
      </w:r>
      <w:r>
        <w:tab/>
        <w:t>Consultants tendering for this contract should include in their proposals:</w:t>
      </w:r>
    </w:p>
    <w:p w:rsidR="000A3982" w:rsidRDefault="000A3982" w:rsidP="000A3982">
      <w:pPr>
        <w:spacing w:after="0" w:line="240" w:lineRule="auto"/>
        <w:ind w:left="567" w:hanging="567"/>
        <w:jc w:val="both"/>
      </w:pPr>
    </w:p>
    <w:p w:rsidR="00A73E9B" w:rsidRDefault="00A73E9B" w:rsidP="000A3982">
      <w:pPr>
        <w:pStyle w:val="ListParagraph"/>
        <w:numPr>
          <w:ilvl w:val="0"/>
          <w:numId w:val="10"/>
        </w:numPr>
        <w:spacing w:after="0" w:line="240" w:lineRule="auto"/>
        <w:jc w:val="both"/>
      </w:pPr>
      <w:r>
        <w:t xml:space="preserve">An outline of their approach to the work which should meet the requirements of the relevant guidance, including the NPPG; </w:t>
      </w:r>
    </w:p>
    <w:p w:rsidR="000A3982" w:rsidRDefault="000A3982" w:rsidP="000A3982">
      <w:pPr>
        <w:pStyle w:val="ListParagraph"/>
        <w:numPr>
          <w:ilvl w:val="0"/>
          <w:numId w:val="10"/>
        </w:numPr>
        <w:spacing w:after="0" w:line="240" w:lineRule="auto"/>
        <w:jc w:val="both"/>
      </w:pPr>
      <w:r>
        <w:t xml:space="preserve">A programme and timetable for the undertaking of the assessment reflecting the target dates listed above; </w:t>
      </w:r>
    </w:p>
    <w:p w:rsidR="000A3982" w:rsidRDefault="000A3982" w:rsidP="000A3982">
      <w:pPr>
        <w:pStyle w:val="ListParagraph"/>
        <w:numPr>
          <w:ilvl w:val="0"/>
          <w:numId w:val="10"/>
        </w:numPr>
        <w:spacing w:after="0" w:line="240" w:lineRule="auto"/>
        <w:jc w:val="both"/>
      </w:pPr>
      <w:r>
        <w:t xml:space="preserve">Details of the consultancy’s experience in the area of Sustainability Appraisal / SEA, together with two contacts for references relevant to the study; </w:t>
      </w:r>
    </w:p>
    <w:p w:rsidR="000A3982" w:rsidRDefault="000A3982" w:rsidP="000A3982">
      <w:pPr>
        <w:pStyle w:val="ListParagraph"/>
        <w:numPr>
          <w:ilvl w:val="0"/>
          <w:numId w:val="10"/>
        </w:numPr>
        <w:spacing w:after="0" w:line="240" w:lineRule="auto"/>
        <w:jc w:val="both"/>
      </w:pPr>
      <w:r>
        <w:t xml:space="preserve">Details of the qualifications and experience of the team who would be undertaking the project; </w:t>
      </w:r>
    </w:p>
    <w:p w:rsidR="000A3982" w:rsidRDefault="000A3982" w:rsidP="000A3982">
      <w:pPr>
        <w:pStyle w:val="ListParagraph"/>
        <w:numPr>
          <w:ilvl w:val="0"/>
          <w:numId w:val="10"/>
        </w:numPr>
        <w:spacing w:after="0" w:line="240" w:lineRule="auto"/>
        <w:jc w:val="both"/>
      </w:pPr>
      <w:r>
        <w:t xml:space="preserve">Confirmation that undertaking this project would not give rise to conflicts of interest; </w:t>
      </w:r>
    </w:p>
    <w:p w:rsidR="000A3982" w:rsidRDefault="009A03EF" w:rsidP="000A3982">
      <w:pPr>
        <w:pStyle w:val="ListParagraph"/>
        <w:numPr>
          <w:ilvl w:val="0"/>
          <w:numId w:val="10"/>
        </w:numPr>
        <w:spacing w:after="0" w:line="240" w:lineRule="auto"/>
        <w:jc w:val="both"/>
      </w:pPr>
      <w:r>
        <w:t xml:space="preserve">Full details of the pricing structure to be applied to the work. The pricing structure should show costs for each of the major elements in this study, including expected time spent on the work, personnel involved, rates charged and limits applied to expenses; and </w:t>
      </w:r>
    </w:p>
    <w:p w:rsidR="009A03EF" w:rsidRPr="00363EB4" w:rsidRDefault="009A03EF" w:rsidP="000A3982">
      <w:pPr>
        <w:pStyle w:val="ListParagraph"/>
        <w:numPr>
          <w:ilvl w:val="0"/>
          <w:numId w:val="10"/>
        </w:numPr>
        <w:spacing w:after="0" w:line="240" w:lineRule="auto"/>
        <w:jc w:val="both"/>
      </w:pPr>
      <w:r w:rsidRPr="00363EB4">
        <w:t>Particulars of public liability and professional indemnity insurances. Public Liability Insurance is required, with a limit of indemnity of not less than £</w:t>
      </w:r>
      <w:r w:rsidR="009776A8" w:rsidRPr="00363EB4">
        <w:t>1</w:t>
      </w:r>
      <w:r w:rsidRPr="00363EB4">
        <w:t>,000,000 (</w:t>
      </w:r>
      <w:r w:rsidR="009776A8" w:rsidRPr="00363EB4">
        <w:t xml:space="preserve">one </w:t>
      </w:r>
      <w:r w:rsidRPr="00363EB4">
        <w:t>million pounds) per claim or series of claims. I</w:t>
      </w:r>
      <w:r w:rsidR="00DD2620" w:rsidRPr="00363EB4">
        <w:t>n</w:t>
      </w:r>
      <w:r w:rsidRPr="00363EB4">
        <w:t xml:space="preserve"> addition, the National Park Authority require the appointed consultants to have Professional Indemnity Insurance with a limit of indemnity of not less than £</w:t>
      </w:r>
      <w:r w:rsidR="009776A8" w:rsidRPr="00363EB4">
        <w:t>5</w:t>
      </w:r>
      <w:r w:rsidRPr="00363EB4">
        <w:t>00,000 (</w:t>
      </w:r>
      <w:r w:rsidR="009776A8" w:rsidRPr="00363EB4">
        <w:t>five hundred thousand</w:t>
      </w:r>
      <w:r w:rsidRPr="00363EB4">
        <w:t xml:space="preserve"> pounds) per claim or series of claims </w:t>
      </w:r>
    </w:p>
    <w:p w:rsidR="00AF16E1" w:rsidRDefault="00AF16E1" w:rsidP="00AF16E1">
      <w:pPr>
        <w:shd w:val="clear" w:color="auto" w:fill="FFFFFF" w:themeFill="background1"/>
        <w:spacing w:after="0" w:line="240" w:lineRule="auto"/>
        <w:ind w:left="567" w:hanging="567"/>
        <w:jc w:val="both"/>
      </w:pPr>
      <w:r w:rsidRPr="00AF16E1">
        <w:lastRenderedPageBreak/>
        <w:t>9.2</w:t>
      </w:r>
      <w:r w:rsidRPr="00AF16E1">
        <w:tab/>
        <w:t xml:space="preserve">Fixed price tenders should be all inclusive with VAT charges show separately. </w:t>
      </w:r>
      <w:r w:rsidRPr="00363EB4">
        <w:t xml:space="preserve">Please note that the anticipated budget from this work is in the region of </w:t>
      </w:r>
      <w:r w:rsidR="00363EB4" w:rsidRPr="00363EB4">
        <w:t>£9</w:t>
      </w:r>
      <w:r w:rsidRPr="00363EB4">
        <w:t xml:space="preserve">,000 - £12,000. </w:t>
      </w:r>
    </w:p>
    <w:p w:rsidR="00AF16E1" w:rsidRDefault="00AF16E1" w:rsidP="00AF16E1">
      <w:pPr>
        <w:shd w:val="clear" w:color="auto" w:fill="FFFFFF" w:themeFill="background1"/>
        <w:spacing w:after="0" w:line="240" w:lineRule="auto"/>
        <w:ind w:left="567" w:hanging="567"/>
        <w:jc w:val="both"/>
      </w:pPr>
    </w:p>
    <w:p w:rsidR="002F2137" w:rsidRDefault="00AF16E1" w:rsidP="00363EB4">
      <w:pPr>
        <w:pStyle w:val="Default"/>
        <w:ind w:left="567" w:hanging="567"/>
        <w:rPr>
          <w:rFonts w:asciiTheme="majorHAnsi" w:hAnsiTheme="majorHAnsi" w:cstheme="majorHAnsi"/>
          <w:b/>
          <w:bCs/>
          <w:szCs w:val="22"/>
        </w:rPr>
      </w:pPr>
      <w:r>
        <w:t>9.3</w:t>
      </w:r>
      <w:r>
        <w:tab/>
      </w:r>
      <w:r w:rsidR="002F2137">
        <w:rPr>
          <w:rFonts w:asciiTheme="majorHAnsi" w:hAnsiTheme="majorHAnsi" w:cstheme="majorHAnsi"/>
          <w:szCs w:val="22"/>
        </w:rPr>
        <w:t>All submissions must</w:t>
      </w:r>
      <w:r w:rsidR="002F2137" w:rsidRPr="00C65916">
        <w:rPr>
          <w:rFonts w:asciiTheme="majorHAnsi" w:hAnsiTheme="majorHAnsi" w:cstheme="majorHAnsi"/>
          <w:szCs w:val="22"/>
        </w:rPr>
        <w:t xml:space="preserve"> be made via our e-Procurement portal </w:t>
      </w:r>
      <w:hyperlink r:id="rId12" w:history="1">
        <w:r w:rsidR="002F2137" w:rsidRPr="00C65916">
          <w:rPr>
            <w:rStyle w:val="Hyperlink"/>
            <w:rFonts w:asciiTheme="majorHAnsi" w:hAnsiTheme="majorHAnsi" w:cstheme="majorHAnsi"/>
            <w:szCs w:val="22"/>
          </w:rPr>
          <w:t>In-tend</w:t>
        </w:r>
      </w:hyperlink>
      <w:r w:rsidR="002F2137" w:rsidRPr="00C65916">
        <w:rPr>
          <w:rFonts w:asciiTheme="majorHAnsi" w:hAnsiTheme="majorHAnsi" w:cstheme="majorHAnsi"/>
          <w:szCs w:val="22"/>
        </w:rPr>
        <w:t xml:space="preserve"> and must be submitted by </w:t>
      </w:r>
      <w:r w:rsidR="002F2137" w:rsidRPr="00C65916">
        <w:rPr>
          <w:rFonts w:asciiTheme="majorHAnsi" w:hAnsiTheme="majorHAnsi" w:cstheme="majorHAnsi"/>
          <w:b/>
          <w:szCs w:val="22"/>
        </w:rPr>
        <w:t>12</w:t>
      </w:r>
      <w:r w:rsidR="00363EB4">
        <w:rPr>
          <w:rFonts w:asciiTheme="majorHAnsi" w:hAnsiTheme="majorHAnsi" w:cstheme="majorHAnsi"/>
          <w:b/>
          <w:szCs w:val="22"/>
        </w:rPr>
        <w:t xml:space="preserve"> </w:t>
      </w:r>
      <w:r w:rsidR="002F2137" w:rsidRPr="00C65916">
        <w:rPr>
          <w:rFonts w:asciiTheme="majorHAnsi" w:hAnsiTheme="majorHAnsi" w:cstheme="majorHAnsi"/>
          <w:b/>
          <w:szCs w:val="22"/>
        </w:rPr>
        <w:t xml:space="preserve">noon </w:t>
      </w:r>
      <w:r w:rsidR="00363EB4">
        <w:rPr>
          <w:rFonts w:asciiTheme="majorHAnsi" w:hAnsiTheme="majorHAnsi" w:cstheme="majorHAnsi"/>
          <w:b/>
          <w:szCs w:val="22"/>
        </w:rPr>
        <w:t xml:space="preserve">on </w:t>
      </w:r>
      <w:r w:rsidR="002F2137">
        <w:rPr>
          <w:rFonts w:asciiTheme="majorHAnsi" w:hAnsiTheme="majorHAnsi" w:cstheme="majorHAnsi"/>
          <w:b/>
          <w:bCs/>
          <w:szCs w:val="22"/>
        </w:rPr>
        <w:t>Monday 14 March 2016</w:t>
      </w:r>
      <w:r w:rsidR="002F2137" w:rsidRPr="00C65916">
        <w:rPr>
          <w:rFonts w:asciiTheme="majorHAnsi" w:hAnsiTheme="majorHAnsi" w:cstheme="majorHAnsi"/>
          <w:b/>
          <w:bCs/>
          <w:szCs w:val="22"/>
        </w:rPr>
        <w:t>.</w:t>
      </w:r>
    </w:p>
    <w:p w:rsidR="00421AB3" w:rsidRDefault="00421AB3" w:rsidP="00363EB4">
      <w:pPr>
        <w:shd w:val="clear" w:color="auto" w:fill="FFFFFF" w:themeFill="background1"/>
        <w:spacing w:after="0" w:line="240" w:lineRule="auto"/>
        <w:jc w:val="both"/>
      </w:pPr>
    </w:p>
    <w:p w:rsidR="00421AB3" w:rsidRDefault="00421AB3" w:rsidP="00AF16E1">
      <w:pPr>
        <w:shd w:val="clear" w:color="auto" w:fill="FFFFFF" w:themeFill="background1"/>
        <w:spacing w:after="0" w:line="240" w:lineRule="auto"/>
        <w:ind w:left="567" w:hanging="567"/>
        <w:jc w:val="both"/>
      </w:pPr>
      <w:r>
        <w:t>9.4</w:t>
      </w:r>
      <w:r>
        <w:tab/>
        <w:t xml:space="preserve">The contract will be awarded on the basis of the criteria including (i) price; (ii) relevant experience; (iii) understanding of the brief. While cost is obviously an important consideration for the Authority, the contract will not necessarily be awarded to the lowest price. The overall objective will be to appoint the consultant that offers the best overall value for money. </w:t>
      </w:r>
    </w:p>
    <w:p w:rsidR="00421AB3" w:rsidRDefault="00421AB3" w:rsidP="00AF16E1">
      <w:pPr>
        <w:shd w:val="clear" w:color="auto" w:fill="FFFFFF" w:themeFill="background1"/>
        <w:spacing w:after="0" w:line="240" w:lineRule="auto"/>
        <w:ind w:left="567" w:hanging="567"/>
        <w:jc w:val="both"/>
      </w:pPr>
    </w:p>
    <w:p w:rsidR="00421AB3" w:rsidRDefault="00421AB3" w:rsidP="00AF16E1">
      <w:pPr>
        <w:shd w:val="clear" w:color="auto" w:fill="FFFFFF" w:themeFill="background1"/>
        <w:spacing w:after="0" w:line="240" w:lineRule="auto"/>
        <w:ind w:left="567" w:hanging="567"/>
        <w:jc w:val="both"/>
        <w:rPr>
          <w:b/>
        </w:rPr>
      </w:pPr>
      <w:r>
        <w:rPr>
          <w:b/>
        </w:rPr>
        <w:t>10</w:t>
      </w:r>
      <w:r w:rsidR="00F46096">
        <w:rPr>
          <w:b/>
        </w:rPr>
        <w:t>.</w:t>
      </w:r>
      <w:r>
        <w:rPr>
          <w:b/>
        </w:rPr>
        <w:tab/>
        <w:t>Contract</w:t>
      </w:r>
    </w:p>
    <w:p w:rsidR="00C82D73" w:rsidRDefault="00C82D73" w:rsidP="00AF16E1">
      <w:pPr>
        <w:shd w:val="clear" w:color="auto" w:fill="FFFFFF" w:themeFill="background1"/>
        <w:spacing w:after="0" w:line="240" w:lineRule="auto"/>
        <w:ind w:left="567" w:hanging="567"/>
        <w:jc w:val="both"/>
        <w:rPr>
          <w:b/>
        </w:rPr>
      </w:pPr>
    </w:p>
    <w:p w:rsidR="00421AB3" w:rsidRDefault="00421AB3" w:rsidP="00AF16E1">
      <w:pPr>
        <w:shd w:val="clear" w:color="auto" w:fill="FFFFFF" w:themeFill="background1"/>
        <w:spacing w:after="0" w:line="240" w:lineRule="auto"/>
        <w:ind w:left="567" w:hanging="567"/>
        <w:jc w:val="both"/>
      </w:pPr>
      <w:r>
        <w:t>10.1</w:t>
      </w:r>
      <w:r>
        <w:tab/>
        <w:t xml:space="preserve">The contract will be let on a fixed price basis including all appropriate expenses and costs. </w:t>
      </w:r>
    </w:p>
    <w:p w:rsidR="00421AB3" w:rsidRDefault="00421AB3" w:rsidP="00AF16E1">
      <w:pPr>
        <w:shd w:val="clear" w:color="auto" w:fill="FFFFFF" w:themeFill="background1"/>
        <w:spacing w:after="0" w:line="240" w:lineRule="auto"/>
        <w:ind w:left="567" w:hanging="567"/>
        <w:jc w:val="both"/>
      </w:pPr>
    </w:p>
    <w:p w:rsidR="00F563B7" w:rsidRDefault="00421AB3" w:rsidP="00363EB4">
      <w:pPr>
        <w:spacing w:after="0" w:line="240" w:lineRule="auto"/>
        <w:ind w:left="567" w:hanging="567"/>
        <w:rPr>
          <w:rFonts w:cstheme="minorHAnsi"/>
          <w:szCs w:val="24"/>
        </w:rPr>
      </w:pPr>
      <w:r>
        <w:t>10.2</w:t>
      </w:r>
      <w:r>
        <w:tab/>
      </w:r>
      <w:r w:rsidR="00F563B7" w:rsidRPr="00894709">
        <w:rPr>
          <w:rFonts w:cstheme="minorHAnsi"/>
          <w:szCs w:val="24"/>
        </w:rPr>
        <w:t xml:space="preserve">All submissions are required to comply with the New Forest National Park Authority ‘Standard Conditions of Contract for Services’ (attached) which will be used to draw up the contract with the winning contractor. </w:t>
      </w:r>
    </w:p>
    <w:p w:rsidR="00F563B7" w:rsidRDefault="00F563B7" w:rsidP="00AF16E1">
      <w:pPr>
        <w:shd w:val="clear" w:color="auto" w:fill="FFFFFF" w:themeFill="background1"/>
        <w:spacing w:after="0" w:line="240" w:lineRule="auto"/>
        <w:ind w:left="567" w:hanging="567"/>
        <w:jc w:val="both"/>
      </w:pPr>
      <w:r>
        <w:tab/>
      </w:r>
      <w:bookmarkStart w:id="0" w:name="_MON_1517661969"/>
      <w:bookmarkEnd w:id="0"/>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8" ShapeID="_x0000_i1025" DrawAspect="Icon" ObjectID="_1517740438" r:id="rId14">
            <o:FieldCodes>\s</o:FieldCodes>
          </o:OLEObject>
        </w:object>
      </w:r>
    </w:p>
    <w:p w:rsidR="00421AB3" w:rsidRDefault="00421AB3" w:rsidP="00AF16E1">
      <w:pPr>
        <w:shd w:val="clear" w:color="auto" w:fill="FFFFFF" w:themeFill="background1"/>
        <w:spacing w:after="0" w:line="240" w:lineRule="auto"/>
        <w:ind w:left="567" w:hanging="567"/>
        <w:jc w:val="both"/>
      </w:pPr>
    </w:p>
    <w:p w:rsidR="00421AB3" w:rsidRDefault="00421AB3" w:rsidP="00AF16E1">
      <w:pPr>
        <w:shd w:val="clear" w:color="auto" w:fill="FFFFFF" w:themeFill="background1"/>
        <w:spacing w:after="0" w:line="240" w:lineRule="auto"/>
        <w:ind w:left="567" w:hanging="567"/>
        <w:jc w:val="both"/>
      </w:pPr>
      <w:r>
        <w:t>10.3</w:t>
      </w:r>
      <w:r>
        <w:tab/>
        <w:t xml:space="preserve">Payment will be made in five stages: 20% on receipt of the final report at each of Stages A to D and the final 20% upon the completion of the Post Adoption Statement, each to the satisfaction of the National Park Authority. </w:t>
      </w:r>
    </w:p>
    <w:p w:rsidR="00421AB3" w:rsidRDefault="00421AB3" w:rsidP="00AF16E1">
      <w:pPr>
        <w:shd w:val="clear" w:color="auto" w:fill="FFFFFF" w:themeFill="background1"/>
        <w:spacing w:after="0" w:line="240" w:lineRule="auto"/>
        <w:ind w:left="567" w:hanging="567"/>
        <w:jc w:val="both"/>
      </w:pPr>
    </w:p>
    <w:p w:rsidR="00421AB3" w:rsidRDefault="00421AB3" w:rsidP="00AF16E1">
      <w:pPr>
        <w:shd w:val="clear" w:color="auto" w:fill="FFFFFF" w:themeFill="background1"/>
        <w:spacing w:after="0" w:line="240" w:lineRule="auto"/>
        <w:ind w:left="567" w:hanging="567"/>
        <w:jc w:val="both"/>
      </w:pPr>
      <w:r>
        <w:t>10.4</w:t>
      </w:r>
      <w:r>
        <w:tab/>
        <w:t xml:space="preserve">The copyright of the final reports and any appendices or other supporting information / outputs (including associated databases) will reside with the New Forest National Park Authority. </w:t>
      </w:r>
    </w:p>
    <w:p w:rsidR="002E766D" w:rsidRDefault="002E766D" w:rsidP="00AF16E1">
      <w:pPr>
        <w:shd w:val="clear" w:color="auto" w:fill="FFFFFF" w:themeFill="background1"/>
        <w:spacing w:after="0" w:line="240" w:lineRule="auto"/>
        <w:ind w:left="567" w:hanging="567"/>
        <w:jc w:val="both"/>
      </w:pPr>
    </w:p>
    <w:p w:rsidR="005870F0" w:rsidRDefault="002E766D" w:rsidP="00410A11">
      <w:pPr>
        <w:shd w:val="clear" w:color="auto" w:fill="FFFFFF" w:themeFill="background1"/>
        <w:spacing w:after="0" w:line="240" w:lineRule="auto"/>
        <w:ind w:left="567" w:hanging="567"/>
        <w:jc w:val="both"/>
      </w:pPr>
      <w:r>
        <w:t>10.5</w:t>
      </w:r>
      <w:r>
        <w:tab/>
        <w:t>The Authority reserves the right to withdraw this contract opportunity without notice and will not be liable for any costs incurred by suppliers during any stage of the process</w:t>
      </w:r>
    </w:p>
    <w:p w:rsidR="005870F0" w:rsidRDefault="005870F0"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p>
    <w:p w:rsidR="00410A11" w:rsidRDefault="00410A11" w:rsidP="00AF16E1">
      <w:pPr>
        <w:shd w:val="clear" w:color="auto" w:fill="FFFFFF" w:themeFill="background1"/>
        <w:spacing w:after="0" w:line="240" w:lineRule="auto"/>
        <w:ind w:left="567" w:hanging="567"/>
        <w:jc w:val="both"/>
      </w:pPr>
      <w:bookmarkStart w:id="1" w:name="_GoBack"/>
      <w:bookmarkEnd w:id="1"/>
    </w:p>
    <w:p w:rsidR="00421AB3" w:rsidRPr="00421AB3" w:rsidRDefault="00421AB3" w:rsidP="00AF16E1">
      <w:pPr>
        <w:shd w:val="clear" w:color="auto" w:fill="FFFFFF" w:themeFill="background1"/>
        <w:spacing w:after="0" w:line="240" w:lineRule="auto"/>
        <w:ind w:left="567" w:hanging="567"/>
        <w:jc w:val="both"/>
        <w:rPr>
          <w:b/>
        </w:rPr>
      </w:pPr>
      <w:r>
        <w:rPr>
          <w:b/>
        </w:rPr>
        <w:lastRenderedPageBreak/>
        <w:t>11</w:t>
      </w:r>
      <w:r w:rsidR="00F46096">
        <w:rPr>
          <w:b/>
        </w:rPr>
        <w:t>.</w:t>
      </w:r>
      <w:r>
        <w:rPr>
          <w:b/>
        </w:rPr>
        <w:tab/>
        <w:t xml:space="preserve">Project Management </w:t>
      </w:r>
    </w:p>
    <w:p w:rsidR="009A03EF" w:rsidRDefault="009A03EF" w:rsidP="009A03EF">
      <w:pPr>
        <w:spacing w:after="0" w:line="240" w:lineRule="auto"/>
        <w:jc w:val="both"/>
        <w:rPr>
          <w:highlight w:val="yellow"/>
        </w:rPr>
      </w:pPr>
    </w:p>
    <w:p w:rsidR="00421AB3" w:rsidRPr="00421AB3" w:rsidRDefault="00421AB3" w:rsidP="00421AB3">
      <w:pPr>
        <w:spacing w:after="0" w:line="240" w:lineRule="auto"/>
        <w:ind w:left="567" w:hanging="567"/>
        <w:jc w:val="both"/>
      </w:pPr>
      <w:r w:rsidRPr="00421AB3">
        <w:t>11.1</w:t>
      </w:r>
      <w:r w:rsidRPr="00421AB3">
        <w:tab/>
        <w:t xml:space="preserve">Initial contact should be made </w:t>
      </w:r>
      <w:r>
        <w:t>with:</w:t>
      </w:r>
    </w:p>
    <w:p w:rsidR="008F7826" w:rsidRDefault="008F7826" w:rsidP="00421AB3">
      <w:pPr>
        <w:spacing w:after="0" w:line="240" w:lineRule="auto"/>
        <w:jc w:val="both"/>
        <w:sectPr w:rsidR="008F7826" w:rsidSect="00396EF7">
          <w:footerReference w:type="default" r:id="rId15"/>
          <w:pgSz w:w="11906" w:h="16838" w:code="9"/>
          <w:pgMar w:top="1440" w:right="1440" w:bottom="1440" w:left="1440" w:header="708" w:footer="708" w:gutter="0"/>
          <w:cols w:space="708"/>
          <w:docGrid w:linePitch="360"/>
        </w:sectPr>
      </w:pPr>
    </w:p>
    <w:p w:rsidR="00887351" w:rsidRDefault="00887351" w:rsidP="00421AB3">
      <w:pPr>
        <w:spacing w:after="0" w:line="240" w:lineRule="auto"/>
        <w:jc w:val="both"/>
      </w:pPr>
    </w:p>
    <w:p w:rsidR="00887351" w:rsidRDefault="00887351" w:rsidP="00421AB3">
      <w:pPr>
        <w:spacing w:after="0" w:line="240" w:lineRule="auto"/>
        <w:ind w:left="360" w:firstLine="207"/>
        <w:jc w:val="both"/>
      </w:pPr>
      <w:r>
        <w:t xml:space="preserve">David Illsley </w:t>
      </w:r>
    </w:p>
    <w:p w:rsidR="00887351" w:rsidRDefault="00887351" w:rsidP="00421AB3">
      <w:pPr>
        <w:spacing w:after="0" w:line="240" w:lineRule="auto"/>
        <w:ind w:left="360" w:firstLine="207"/>
        <w:jc w:val="both"/>
      </w:pPr>
      <w:r>
        <w:t xml:space="preserve">Planning Policy Manager </w:t>
      </w:r>
    </w:p>
    <w:p w:rsidR="00887351" w:rsidRDefault="00887351" w:rsidP="00421AB3">
      <w:pPr>
        <w:spacing w:after="0" w:line="240" w:lineRule="auto"/>
        <w:ind w:left="360" w:firstLine="207"/>
        <w:jc w:val="both"/>
      </w:pPr>
      <w:r>
        <w:t xml:space="preserve">New Forest </w:t>
      </w:r>
      <w:r w:rsidR="00F76D15">
        <w:t>NPA</w:t>
      </w:r>
      <w:r>
        <w:t xml:space="preserve"> </w:t>
      </w:r>
    </w:p>
    <w:p w:rsidR="00421AB3" w:rsidRDefault="00421AB3" w:rsidP="00421AB3">
      <w:pPr>
        <w:spacing w:after="0" w:line="240" w:lineRule="auto"/>
        <w:ind w:left="360" w:firstLine="207"/>
        <w:jc w:val="both"/>
      </w:pPr>
      <w:r>
        <w:t xml:space="preserve">Lymington Town Hall </w:t>
      </w:r>
    </w:p>
    <w:p w:rsidR="00887351" w:rsidRDefault="00887351" w:rsidP="00421AB3">
      <w:pPr>
        <w:spacing w:after="0" w:line="240" w:lineRule="auto"/>
        <w:ind w:left="360" w:firstLine="207"/>
        <w:jc w:val="both"/>
      </w:pPr>
      <w:r>
        <w:t>Avenue Road</w:t>
      </w:r>
    </w:p>
    <w:p w:rsidR="00887351" w:rsidRDefault="00887351" w:rsidP="00421AB3">
      <w:pPr>
        <w:spacing w:after="0" w:line="240" w:lineRule="auto"/>
        <w:ind w:left="360" w:firstLine="207"/>
        <w:jc w:val="both"/>
      </w:pPr>
      <w:r>
        <w:t xml:space="preserve">Lymington </w:t>
      </w:r>
    </w:p>
    <w:p w:rsidR="00887351" w:rsidRDefault="00887351" w:rsidP="00421AB3">
      <w:pPr>
        <w:spacing w:after="0" w:line="240" w:lineRule="auto"/>
        <w:ind w:left="360" w:firstLine="207"/>
        <w:jc w:val="both"/>
      </w:pPr>
      <w:r>
        <w:t>SO41 9ZG</w:t>
      </w:r>
    </w:p>
    <w:p w:rsidR="00887351" w:rsidRDefault="00887351" w:rsidP="00F4092C">
      <w:pPr>
        <w:spacing w:after="0" w:line="240" w:lineRule="auto"/>
        <w:ind w:left="360"/>
        <w:jc w:val="both"/>
      </w:pPr>
    </w:p>
    <w:p w:rsidR="00887351" w:rsidRPr="00F76D15" w:rsidRDefault="00410A11" w:rsidP="00421AB3">
      <w:pPr>
        <w:spacing w:after="0" w:line="240" w:lineRule="auto"/>
        <w:ind w:left="360" w:firstLine="207"/>
        <w:jc w:val="both"/>
        <w:rPr>
          <w:sz w:val="20"/>
          <w:szCs w:val="20"/>
        </w:rPr>
      </w:pPr>
      <w:hyperlink r:id="rId16" w:history="1">
        <w:r w:rsidR="00887351" w:rsidRPr="00F76D15">
          <w:rPr>
            <w:rStyle w:val="Hyperlink"/>
            <w:sz w:val="20"/>
            <w:szCs w:val="20"/>
          </w:rPr>
          <w:t>david.illsley@newforestnpa.gov.uk</w:t>
        </w:r>
      </w:hyperlink>
      <w:r w:rsidR="00887351" w:rsidRPr="00F76D15">
        <w:rPr>
          <w:sz w:val="20"/>
          <w:szCs w:val="20"/>
        </w:rPr>
        <w:t xml:space="preserve"> </w:t>
      </w:r>
    </w:p>
    <w:p w:rsidR="00887351" w:rsidRDefault="00887351" w:rsidP="00421AB3">
      <w:pPr>
        <w:spacing w:after="0" w:line="240" w:lineRule="auto"/>
        <w:ind w:left="360" w:firstLine="207"/>
        <w:jc w:val="both"/>
      </w:pPr>
      <w:r>
        <w:t>01590 646672</w:t>
      </w:r>
    </w:p>
    <w:p w:rsidR="00F76D15" w:rsidRDefault="00F76D15" w:rsidP="00F4092C">
      <w:pPr>
        <w:spacing w:after="0" w:line="240" w:lineRule="auto"/>
        <w:ind w:left="360"/>
        <w:jc w:val="both"/>
      </w:pPr>
    </w:p>
    <w:p w:rsidR="00887351" w:rsidRDefault="00887351" w:rsidP="00F4092C">
      <w:pPr>
        <w:spacing w:after="0" w:line="240" w:lineRule="auto"/>
        <w:ind w:left="360"/>
        <w:jc w:val="both"/>
      </w:pPr>
    </w:p>
    <w:p w:rsidR="00421AB3" w:rsidRDefault="00421AB3" w:rsidP="00F4092C">
      <w:pPr>
        <w:spacing w:after="0" w:line="240" w:lineRule="auto"/>
        <w:ind w:left="360"/>
        <w:jc w:val="both"/>
      </w:pPr>
      <w:r>
        <w:tab/>
        <w:t>Tony Spence</w:t>
      </w:r>
    </w:p>
    <w:p w:rsidR="00421AB3" w:rsidRDefault="00421AB3" w:rsidP="00421AB3">
      <w:pPr>
        <w:spacing w:after="0" w:line="240" w:lineRule="auto"/>
        <w:ind w:left="360" w:firstLine="360"/>
        <w:jc w:val="both"/>
      </w:pPr>
      <w:r>
        <w:t xml:space="preserve">Policy Officer </w:t>
      </w:r>
    </w:p>
    <w:p w:rsidR="00421AB3" w:rsidRDefault="00421AB3" w:rsidP="00421AB3">
      <w:pPr>
        <w:spacing w:after="0" w:line="240" w:lineRule="auto"/>
        <w:ind w:left="360" w:firstLine="360"/>
        <w:jc w:val="both"/>
      </w:pPr>
      <w:r>
        <w:t xml:space="preserve">New Forest </w:t>
      </w:r>
      <w:r w:rsidR="00F76D15">
        <w:t>NPA</w:t>
      </w:r>
    </w:p>
    <w:p w:rsidR="00421AB3" w:rsidRDefault="00421AB3" w:rsidP="00421AB3">
      <w:pPr>
        <w:spacing w:after="0" w:line="240" w:lineRule="auto"/>
        <w:ind w:left="360" w:firstLine="360"/>
        <w:jc w:val="both"/>
      </w:pPr>
      <w:r>
        <w:t xml:space="preserve">Lymington Town Hall </w:t>
      </w:r>
    </w:p>
    <w:p w:rsidR="00421AB3" w:rsidRDefault="00421AB3" w:rsidP="00421AB3">
      <w:pPr>
        <w:spacing w:after="0" w:line="240" w:lineRule="auto"/>
        <w:ind w:left="360" w:firstLine="360"/>
        <w:jc w:val="both"/>
      </w:pPr>
      <w:r>
        <w:t>Avenue Road</w:t>
      </w:r>
    </w:p>
    <w:p w:rsidR="00421AB3" w:rsidRDefault="00421AB3" w:rsidP="00421AB3">
      <w:pPr>
        <w:spacing w:after="0" w:line="240" w:lineRule="auto"/>
        <w:ind w:left="360" w:firstLine="360"/>
        <w:jc w:val="both"/>
      </w:pPr>
      <w:r>
        <w:t xml:space="preserve">Lymington </w:t>
      </w:r>
    </w:p>
    <w:p w:rsidR="00421AB3" w:rsidRDefault="00421AB3" w:rsidP="00421AB3">
      <w:pPr>
        <w:spacing w:after="0" w:line="240" w:lineRule="auto"/>
        <w:ind w:left="360" w:firstLine="360"/>
        <w:jc w:val="both"/>
      </w:pPr>
      <w:r>
        <w:t xml:space="preserve">SO41 9ZG </w:t>
      </w:r>
    </w:p>
    <w:p w:rsidR="00421AB3" w:rsidRDefault="00421AB3" w:rsidP="00F4092C">
      <w:pPr>
        <w:spacing w:after="0" w:line="240" w:lineRule="auto"/>
        <w:ind w:left="360"/>
        <w:jc w:val="both"/>
      </w:pPr>
    </w:p>
    <w:p w:rsidR="00421AB3" w:rsidRPr="00F76D15" w:rsidRDefault="00421AB3" w:rsidP="00F4092C">
      <w:pPr>
        <w:spacing w:after="0" w:line="240" w:lineRule="auto"/>
        <w:ind w:left="360"/>
        <w:jc w:val="both"/>
        <w:rPr>
          <w:sz w:val="20"/>
          <w:szCs w:val="20"/>
        </w:rPr>
      </w:pPr>
      <w:r w:rsidRPr="00F76D15">
        <w:rPr>
          <w:sz w:val="20"/>
          <w:szCs w:val="20"/>
        </w:rPr>
        <w:tab/>
      </w:r>
      <w:hyperlink r:id="rId17" w:history="1">
        <w:r w:rsidRPr="00F76D15">
          <w:rPr>
            <w:rStyle w:val="Hyperlink"/>
            <w:sz w:val="20"/>
            <w:szCs w:val="20"/>
          </w:rPr>
          <w:t>tony.spence@newforestnpa.gov.uk</w:t>
        </w:r>
      </w:hyperlink>
      <w:r w:rsidRPr="00F76D15">
        <w:rPr>
          <w:sz w:val="20"/>
          <w:szCs w:val="20"/>
        </w:rPr>
        <w:t xml:space="preserve"> </w:t>
      </w:r>
    </w:p>
    <w:p w:rsidR="00421AB3" w:rsidRDefault="006E6F6D" w:rsidP="00421AB3">
      <w:pPr>
        <w:spacing w:after="0" w:line="240" w:lineRule="auto"/>
        <w:ind w:left="360" w:firstLine="360"/>
        <w:jc w:val="both"/>
      </w:pPr>
      <w:r>
        <w:t>01590 646687</w:t>
      </w:r>
    </w:p>
    <w:p w:rsidR="00F76D15" w:rsidRDefault="00F76D15" w:rsidP="00F4092C">
      <w:pPr>
        <w:spacing w:after="0" w:line="240" w:lineRule="auto"/>
        <w:ind w:left="360"/>
        <w:jc w:val="both"/>
        <w:sectPr w:rsidR="00F76D15" w:rsidSect="00F76D15">
          <w:type w:val="continuous"/>
          <w:pgSz w:w="11906" w:h="16838" w:code="9"/>
          <w:pgMar w:top="1440" w:right="1440" w:bottom="1440" w:left="1440" w:header="708" w:footer="708" w:gutter="0"/>
          <w:cols w:num="2" w:space="708"/>
          <w:docGrid w:linePitch="360"/>
        </w:sectPr>
      </w:pPr>
    </w:p>
    <w:p w:rsidR="008F7826" w:rsidRPr="002721D9" w:rsidRDefault="00887351" w:rsidP="00363EB4">
      <w:pPr>
        <w:spacing w:after="0" w:line="240" w:lineRule="auto"/>
        <w:rPr>
          <w:rFonts w:asciiTheme="majorHAnsi" w:hAnsiTheme="majorHAnsi" w:cstheme="majorHAnsi"/>
          <w:szCs w:val="24"/>
        </w:rPr>
      </w:pPr>
      <w:r>
        <w:lastRenderedPageBreak/>
        <w:t xml:space="preserve"> </w:t>
      </w:r>
      <w:r w:rsidR="00F76D15">
        <w:tab/>
      </w:r>
    </w:p>
    <w:p w:rsidR="008F7826" w:rsidRPr="00C86A7B" w:rsidRDefault="00363EB4" w:rsidP="00363EB4">
      <w:pPr>
        <w:spacing w:after="0" w:line="240" w:lineRule="auto"/>
        <w:ind w:left="567" w:hanging="567"/>
        <w:jc w:val="both"/>
        <w:rPr>
          <w:rFonts w:asciiTheme="majorHAnsi" w:hAnsiTheme="majorHAnsi" w:cstheme="majorHAnsi"/>
        </w:rPr>
      </w:pPr>
      <w:r>
        <w:rPr>
          <w:rFonts w:asciiTheme="majorHAnsi" w:hAnsiTheme="majorHAnsi" w:cstheme="majorHAnsi"/>
          <w:szCs w:val="24"/>
        </w:rPr>
        <w:t>11.2</w:t>
      </w:r>
      <w:r>
        <w:rPr>
          <w:rFonts w:asciiTheme="majorHAnsi" w:hAnsiTheme="majorHAnsi" w:cstheme="majorHAnsi"/>
          <w:szCs w:val="24"/>
        </w:rPr>
        <w:tab/>
      </w:r>
      <w:r w:rsidR="008F7826" w:rsidRPr="002721D9">
        <w:rPr>
          <w:rFonts w:asciiTheme="majorHAnsi" w:hAnsiTheme="majorHAnsi" w:cstheme="majorHAnsi"/>
          <w:szCs w:val="24"/>
        </w:rPr>
        <w:t>Please note that to ensur</w:t>
      </w:r>
      <w:r w:rsidR="008F7826">
        <w:rPr>
          <w:rFonts w:asciiTheme="majorHAnsi" w:hAnsiTheme="majorHAnsi" w:cstheme="majorHAnsi"/>
          <w:szCs w:val="24"/>
        </w:rPr>
        <w:t>e fair and open competition, all substantive</w:t>
      </w:r>
      <w:r w:rsidR="008F7826" w:rsidRPr="002721D9">
        <w:rPr>
          <w:rFonts w:asciiTheme="majorHAnsi" w:hAnsiTheme="majorHAnsi" w:cstheme="majorHAnsi"/>
          <w:szCs w:val="24"/>
        </w:rPr>
        <w:t xml:space="preserve"> responses to any questions raised by interested </w:t>
      </w:r>
      <w:r w:rsidR="008F7826">
        <w:rPr>
          <w:rFonts w:asciiTheme="majorHAnsi" w:hAnsiTheme="majorHAnsi" w:cstheme="majorHAnsi"/>
          <w:szCs w:val="24"/>
        </w:rPr>
        <w:t>suppliers</w:t>
      </w:r>
      <w:r w:rsidR="008F7826" w:rsidRPr="002721D9">
        <w:rPr>
          <w:rFonts w:asciiTheme="majorHAnsi" w:hAnsiTheme="majorHAnsi" w:cstheme="majorHAnsi"/>
          <w:szCs w:val="24"/>
        </w:rPr>
        <w:t xml:space="preserve"> will be made available to all other </w:t>
      </w:r>
      <w:r w:rsidR="008F7826">
        <w:rPr>
          <w:rFonts w:asciiTheme="majorHAnsi" w:hAnsiTheme="majorHAnsi" w:cstheme="majorHAnsi"/>
          <w:szCs w:val="24"/>
        </w:rPr>
        <w:t>suppliers</w:t>
      </w:r>
      <w:r w:rsidR="008F7826" w:rsidRPr="002721D9">
        <w:rPr>
          <w:rFonts w:asciiTheme="majorHAnsi" w:hAnsiTheme="majorHAnsi" w:cstheme="majorHAnsi"/>
          <w:szCs w:val="24"/>
        </w:rPr>
        <w:t xml:space="preserve"> </w:t>
      </w:r>
      <w:r w:rsidR="008F7826">
        <w:rPr>
          <w:rFonts w:asciiTheme="majorHAnsi" w:hAnsiTheme="majorHAnsi" w:cstheme="majorHAnsi"/>
          <w:szCs w:val="24"/>
        </w:rPr>
        <w:t xml:space="preserve">where appropriate. Any such clarifications will be posted on our In-tend portal and you will receive email notification to make you aware of this (you must be registered on the site in order to receive these). </w:t>
      </w:r>
    </w:p>
    <w:p w:rsidR="00887351" w:rsidRPr="00F14807" w:rsidRDefault="00887351" w:rsidP="00F76D15">
      <w:pPr>
        <w:spacing w:after="0" w:line="240" w:lineRule="auto"/>
        <w:ind w:left="567" w:hanging="567"/>
        <w:jc w:val="both"/>
      </w:pPr>
    </w:p>
    <w:sectPr w:rsidR="00887351" w:rsidRPr="00F14807" w:rsidSect="00F76D15">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29" w:rsidRDefault="00A44D29" w:rsidP="0084516B">
      <w:pPr>
        <w:spacing w:after="0" w:line="240" w:lineRule="auto"/>
      </w:pPr>
      <w:r>
        <w:separator/>
      </w:r>
    </w:p>
  </w:endnote>
  <w:endnote w:type="continuationSeparator" w:id="0">
    <w:p w:rsidR="00A44D29" w:rsidRDefault="00A44D29" w:rsidP="0084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954"/>
      <w:docPartObj>
        <w:docPartGallery w:val="Page Numbers (Bottom of Page)"/>
        <w:docPartUnique/>
      </w:docPartObj>
    </w:sdtPr>
    <w:sdtEndPr/>
    <w:sdtContent>
      <w:p w:rsidR="00A44D29" w:rsidRDefault="00255A3A">
        <w:pPr>
          <w:pStyle w:val="Footer"/>
          <w:jc w:val="center"/>
        </w:pPr>
        <w:r w:rsidRPr="0084516B">
          <w:rPr>
            <w:rFonts w:asciiTheme="majorHAnsi" w:hAnsiTheme="majorHAnsi" w:cstheme="majorHAnsi"/>
          </w:rPr>
          <w:fldChar w:fldCharType="begin"/>
        </w:r>
        <w:r w:rsidR="00A44D29" w:rsidRPr="0084516B">
          <w:rPr>
            <w:rFonts w:asciiTheme="majorHAnsi" w:hAnsiTheme="majorHAnsi" w:cstheme="majorHAnsi"/>
          </w:rPr>
          <w:instrText xml:space="preserve"> PAGE   \* MERGEFORMAT </w:instrText>
        </w:r>
        <w:r w:rsidRPr="0084516B">
          <w:rPr>
            <w:rFonts w:asciiTheme="majorHAnsi" w:hAnsiTheme="majorHAnsi" w:cstheme="majorHAnsi"/>
          </w:rPr>
          <w:fldChar w:fldCharType="separate"/>
        </w:r>
        <w:r w:rsidR="00410A11">
          <w:rPr>
            <w:rFonts w:asciiTheme="majorHAnsi" w:hAnsiTheme="majorHAnsi" w:cstheme="majorHAnsi"/>
            <w:noProof/>
          </w:rPr>
          <w:t>7</w:t>
        </w:r>
        <w:r w:rsidRPr="0084516B">
          <w:rPr>
            <w:rFonts w:asciiTheme="majorHAnsi" w:hAnsiTheme="majorHAnsi" w:cstheme="majorHAnsi"/>
          </w:rPr>
          <w:fldChar w:fldCharType="end"/>
        </w:r>
      </w:p>
    </w:sdtContent>
  </w:sdt>
  <w:p w:rsidR="00A44D29" w:rsidRDefault="00A44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29" w:rsidRDefault="00A44D29" w:rsidP="0084516B">
      <w:pPr>
        <w:spacing w:after="0" w:line="240" w:lineRule="auto"/>
      </w:pPr>
      <w:r>
        <w:separator/>
      </w:r>
    </w:p>
  </w:footnote>
  <w:footnote w:type="continuationSeparator" w:id="0">
    <w:p w:rsidR="00A44D29" w:rsidRDefault="00A44D29" w:rsidP="00845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AC8"/>
    <w:multiLevelType w:val="hybridMultilevel"/>
    <w:tmpl w:val="349EF8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9924AD"/>
    <w:multiLevelType w:val="hybridMultilevel"/>
    <w:tmpl w:val="E418E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B0618E"/>
    <w:multiLevelType w:val="hybridMultilevel"/>
    <w:tmpl w:val="BB66E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907555"/>
    <w:multiLevelType w:val="hybridMultilevel"/>
    <w:tmpl w:val="398298B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2D555E5C"/>
    <w:multiLevelType w:val="hybridMultilevel"/>
    <w:tmpl w:val="11EA98CA"/>
    <w:lvl w:ilvl="0" w:tplc="30A20048">
      <w:start w:val="3"/>
      <w:numFmt w:val="bullet"/>
      <w:lvlText w:val="-"/>
      <w:lvlJc w:val="left"/>
      <w:pPr>
        <w:ind w:left="930" w:hanging="360"/>
      </w:pPr>
      <w:rPr>
        <w:rFonts w:ascii="Arial" w:eastAsiaTheme="minorHAns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nsid w:val="4AC3513D"/>
    <w:multiLevelType w:val="multilevel"/>
    <w:tmpl w:val="063454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D87050C"/>
    <w:multiLevelType w:val="hybridMultilevel"/>
    <w:tmpl w:val="7F84611A"/>
    <w:lvl w:ilvl="0" w:tplc="08090005">
      <w:start w:val="1"/>
      <w:numFmt w:val="bullet"/>
      <w:lvlText w:val=""/>
      <w:lvlJc w:val="left"/>
      <w:pPr>
        <w:ind w:left="930" w:hanging="360"/>
      </w:pPr>
      <w:rPr>
        <w:rFonts w:ascii="Wingdings" w:hAnsi="Wingdings"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nsid w:val="69CF674C"/>
    <w:multiLevelType w:val="hybridMultilevel"/>
    <w:tmpl w:val="A784DC38"/>
    <w:lvl w:ilvl="0" w:tplc="6734A8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0C4E97"/>
    <w:multiLevelType w:val="hybridMultilevel"/>
    <w:tmpl w:val="901C2276"/>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798B1C27"/>
    <w:multiLevelType w:val="hybridMultilevel"/>
    <w:tmpl w:val="4E128A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0"/>
  </w:num>
  <w:num w:numId="5">
    <w:abstractNumId w:val="9"/>
  </w:num>
  <w:num w:numId="6">
    <w:abstractNumId w:val="1"/>
  </w:num>
  <w:num w:numId="7">
    <w:abstractNumId w:val="7"/>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97"/>
    <w:rsid w:val="000A3982"/>
    <w:rsid w:val="000E3F6F"/>
    <w:rsid w:val="00103C95"/>
    <w:rsid w:val="001140C2"/>
    <w:rsid w:val="0012001A"/>
    <w:rsid w:val="00153E84"/>
    <w:rsid w:val="001721C6"/>
    <w:rsid w:val="00196195"/>
    <w:rsid w:val="001A6102"/>
    <w:rsid w:val="002236CF"/>
    <w:rsid w:val="00227BD7"/>
    <w:rsid w:val="00255A3A"/>
    <w:rsid w:val="002D6A2A"/>
    <w:rsid w:val="002E766D"/>
    <w:rsid w:val="002F2137"/>
    <w:rsid w:val="00330BB8"/>
    <w:rsid w:val="0034474D"/>
    <w:rsid w:val="00363EB4"/>
    <w:rsid w:val="00370E59"/>
    <w:rsid w:val="00396EF7"/>
    <w:rsid w:val="00410A11"/>
    <w:rsid w:val="00421AB3"/>
    <w:rsid w:val="004D27D7"/>
    <w:rsid w:val="005240A0"/>
    <w:rsid w:val="00556E3E"/>
    <w:rsid w:val="00567553"/>
    <w:rsid w:val="005870F0"/>
    <w:rsid w:val="00634C17"/>
    <w:rsid w:val="00671495"/>
    <w:rsid w:val="006A7268"/>
    <w:rsid w:val="006E6F6D"/>
    <w:rsid w:val="006E7D4D"/>
    <w:rsid w:val="00740ACF"/>
    <w:rsid w:val="007749DA"/>
    <w:rsid w:val="007A4097"/>
    <w:rsid w:val="007D58AE"/>
    <w:rsid w:val="00836EFF"/>
    <w:rsid w:val="0084516B"/>
    <w:rsid w:val="00880539"/>
    <w:rsid w:val="00887351"/>
    <w:rsid w:val="008F5FA5"/>
    <w:rsid w:val="008F7826"/>
    <w:rsid w:val="00945897"/>
    <w:rsid w:val="009776A8"/>
    <w:rsid w:val="009A03EF"/>
    <w:rsid w:val="009D657E"/>
    <w:rsid w:val="00A1079B"/>
    <w:rsid w:val="00A44D29"/>
    <w:rsid w:val="00A71D74"/>
    <w:rsid w:val="00A73E9B"/>
    <w:rsid w:val="00A84115"/>
    <w:rsid w:val="00A85742"/>
    <w:rsid w:val="00AA1FF8"/>
    <w:rsid w:val="00AF16E1"/>
    <w:rsid w:val="00B70018"/>
    <w:rsid w:val="00B8438D"/>
    <w:rsid w:val="00C55E2E"/>
    <w:rsid w:val="00C640EC"/>
    <w:rsid w:val="00C7377C"/>
    <w:rsid w:val="00C771C7"/>
    <w:rsid w:val="00C82D73"/>
    <w:rsid w:val="00CA651C"/>
    <w:rsid w:val="00CD0164"/>
    <w:rsid w:val="00D020C5"/>
    <w:rsid w:val="00D21681"/>
    <w:rsid w:val="00D27B43"/>
    <w:rsid w:val="00D3736F"/>
    <w:rsid w:val="00D42DF7"/>
    <w:rsid w:val="00D437E8"/>
    <w:rsid w:val="00DD2620"/>
    <w:rsid w:val="00E76E2D"/>
    <w:rsid w:val="00EC60ED"/>
    <w:rsid w:val="00EC6627"/>
    <w:rsid w:val="00F14807"/>
    <w:rsid w:val="00F4092C"/>
    <w:rsid w:val="00F46096"/>
    <w:rsid w:val="00F563B7"/>
    <w:rsid w:val="00F76D15"/>
    <w:rsid w:val="00FC497B"/>
    <w:rsid w:val="00FE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A5"/>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paragraph" w:styleId="BalloonText">
    <w:name w:val="Balloon Text"/>
    <w:basedOn w:val="Normal"/>
    <w:link w:val="BalloonTextChar"/>
    <w:uiPriority w:val="99"/>
    <w:semiHidden/>
    <w:unhideWhenUsed/>
    <w:rsid w:val="00945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897"/>
    <w:rPr>
      <w:rFonts w:ascii="Tahoma" w:hAnsi="Tahoma" w:cs="Tahoma"/>
      <w:sz w:val="16"/>
      <w:szCs w:val="16"/>
    </w:rPr>
  </w:style>
  <w:style w:type="paragraph" w:styleId="ListParagraph">
    <w:name w:val="List Paragraph"/>
    <w:basedOn w:val="Normal"/>
    <w:uiPriority w:val="34"/>
    <w:qFormat/>
    <w:rsid w:val="00945897"/>
    <w:pPr>
      <w:ind w:left="720"/>
      <w:contextualSpacing/>
    </w:pPr>
  </w:style>
  <w:style w:type="table" w:styleId="TableGrid">
    <w:name w:val="Table Grid"/>
    <w:basedOn w:val="TableNormal"/>
    <w:uiPriority w:val="59"/>
    <w:rsid w:val="00F1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351"/>
    <w:rPr>
      <w:color w:val="0000FF" w:themeColor="hyperlink"/>
      <w:u w:val="single"/>
    </w:rPr>
  </w:style>
  <w:style w:type="paragraph" w:styleId="Header">
    <w:name w:val="header"/>
    <w:basedOn w:val="Normal"/>
    <w:link w:val="HeaderChar"/>
    <w:uiPriority w:val="99"/>
    <w:semiHidden/>
    <w:unhideWhenUsed/>
    <w:rsid w:val="008451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516B"/>
    <w:rPr>
      <w:sz w:val="24"/>
    </w:rPr>
  </w:style>
  <w:style w:type="paragraph" w:styleId="Footer">
    <w:name w:val="footer"/>
    <w:basedOn w:val="Normal"/>
    <w:link w:val="FooterChar"/>
    <w:uiPriority w:val="99"/>
    <w:unhideWhenUsed/>
    <w:rsid w:val="00845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6B"/>
    <w:rPr>
      <w:sz w:val="24"/>
    </w:rPr>
  </w:style>
  <w:style w:type="paragraph" w:customStyle="1" w:styleId="Default">
    <w:name w:val="Default"/>
    <w:rsid w:val="002F213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67553"/>
    <w:rPr>
      <w:sz w:val="16"/>
      <w:szCs w:val="16"/>
    </w:rPr>
  </w:style>
  <w:style w:type="paragraph" w:styleId="CommentText">
    <w:name w:val="annotation text"/>
    <w:basedOn w:val="Normal"/>
    <w:link w:val="CommentTextChar"/>
    <w:uiPriority w:val="99"/>
    <w:semiHidden/>
    <w:unhideWhenUsed/>
    <w:rsid w:val="00567553"/>
    <w:pPr>
      <w:spacing w:line="240" w:lineRule="auto"/>
    </w:pPr>
    <w:rPr>
      <w:sz w:val="20"/>
      <w:szCs w:val="20"/>
    </w:rPr>
  </w:style>
  <w:style w:type="character" w:customStyle="1" w:styleId="CommentTextChar">
    <w:name w:val="Comment Text Char"/>
    <w:basedOn w:val="DefaultParagraphFont"/>
    <w:link w:val="CommentText"/>
    <w:uiPriority w:val="99"/>
    <w:semiHidden/>
    <w:rsid w:val="00567553"/>
    <w:rPr>
      <w:sz w:val="20"/>
      <w:szCs w:val="20"/>
    </w:rPr>
  </w:style>
  <w:style w:type="paragraph" w:styleId="CommentSubject">
    <w:name w:val="annotation subject"/>
    <w:basedOn w:val="CommentText"/>
    <w:next w:val="CommentText"/>
    <w:link w:val="CommentSubjectChar"/>
    <w:uiPriority w:val="99"/>
    <w:semiHidden/>
    <w:unhideWhenUsed/>
    <w:rsid w:val="00567553"/>
    <w:rPr>
      <w:b/>
      <w:bCs/>
    </w:rPr>
  </w:style>
  <w:style w:type="character" w:customStyle="1" w:styleId="CommentSubjectChar">
    <w:name w:val="Comment Subject Char"/>
    <w:basedOn w:val="CommentTextChar"/>
    <w:link w:val="CommentSubject"/>
    <w:uiPriority w:val="99"/>
    <w:semiHidden/>
    <w:rsid w:val="005675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A5"/>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paragraph" w:styleId="BalloonText">
    <w:name w:val="Balloon Text"/>
    <w:basedOn w:val="Normal"/>
    <w:link w:val="BalloonTextChar"/>
    <w:uiPriority w:val="99"/>
    <w:semiHidden/>
    <w:unhideWhenUsed/>
    <w:rsid w:val="00945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897"/>
    <w:rPr>
      <w:rFonts w:ascii="Tahoma" w:hAnsi="Tahoma" w:cs="Tahoma"/>
      <w:sz w:val="16"/>
      <w:szCs w:val="16"/>
    </w:rPr>
  </w:style>
  <w:style w:type="paragraph" w:styleId="ListParagraph">
    <w:name w:val="List Paragraph"/>
    <w:basedOn w:val="Normal"/>
    <w:uiPriority w:val="34"/>
    <w:qFormat/>
    <w:rsid w:val="00945897"/>
    <w:pPr>
      <w:ind w:left="720"/>
      <w:contextualSpacing/>
    </w:pPr>
  </w:style>
  <w:style w:type="table" w:styleId="TableGrid">
    <w:name w:val="Table Grid"/>
    <w:basedOn w:val="TableNormal"/>
    <w:uiPriority w:val="59"/>
    <w:rsid w:val="00F1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351"/>
    <w:rPr>
      <w:color w:val="0000FF" w:themeColor="hyperlink"/>
      <w:u w:val="single"/>
    </w:rPr>
  </w:style>
  <w:style w:type="paragraph" w:styleId="Header">
    <w:name w:val="header"/>
    <w:basedOn w:val="Normal"/>
    <w:link w:val="HeaderChar"/>
    <w:uiPriority w:val="99"/>
    <w:semiHidden/>
    <w:unhideWhenUsed/>
    <w:rsid w:val="008451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516B"/>
    <w:rPr>
      <w:sz w:val="24"/>
    </w:rPr>
  </w:style>
  <w:style w:type="paragraph" w:styleId="Footer">
    <w:name w:val="footer"/>
    <w:basedOn w:val="Normal"/>
    <w:link w:val="FooterChar"/>
    <w:uiPriority w:val="99"/>
    <w:unhideWhenUsed/>
    <w:rsid w:val="00845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6B"/>
    <w:rPr>
      <w:sz w:val="24"/>
    </w:rPr>
  </w:style>
  <w:style w:type="paragraph" w:customStyle="1" w:styleId="Default">
    <w:name w:val="Default"/>
    <w:rsid w:val="002F213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67553"/>
    <w:rPr>
      <w:sz w:val="16"/>
      <w:szCs w:val="16"/>
    </w:rPr>
  </w:style>
  <w:style w:type="paragraph" w:styleId="CommentText">
    <w:name w:val="annotation text"/>
    <w:basedOn w:val="Normal"/>
    <w:link w:val="CommentTextChar"/>
    <w:uiPriority w:val="99"/>
    <w:semiHidden/>
    <w:unhideWhenUsed/>
    <w:rsid w:val="00567553"/>
    <w:pPr>
      <w:spacing w:line="240" w:lineRule="auto"/>
    </w:pPr>
    <w:rPr>
      <w:sz w:val="20"/>
      <w:szCs w:val="20"/>
    </w:rPr>
  </w:style>
  <w:style w:type="character" w:customStyle="1" w:styleId="CommentTextChar">
    <w:name w:val="Comment Text Char"/>
    <w:basedOn w:val="DefaultParagraphFont"/>
    <w:link w:val="CommentText"/>
    <w:uiPriority w:val="99"/>
    <w:semiHidden/>
    <w:rsid w:val="00567553"/>
    <w:rPr>
      <w:sz w:val="20"/>
      <w:szCs w:val="20"/>
    </w:rPr>
  </w:style>
  <w:style w:type="paragraph" w:styleId="CommentSubject">
    <w:name w:val="annotation subject"/>
    <w:basedOn w:val="CommentText"/>
    <w:next w:val="CommentText"/>
    <w:link w:val="CommentSubjectChar"/>
    <w:uiPriority w:val="99"/>
    <w:semiHidden/>
    <w:unhideWhenUsed/>
    <w:rsid w:val="00567553"/>
    <w:rPr>
      <w:b/>
      <w:bCs/>
    </w:rPr>
  </w:style>
  <w:style w:type="character" w:customStyle="1" w:styleId="CommentSubjectChar">
    <w:name w:val="Comment Subject Char"/>
    <w:basedOn w:val="CommentTextChar"/>
    <w:link w:val="CommentSubject"/>
    <w:uiPriority w:val="99"/>
    <w:semiHidden/>
    <w:rsid w:val="00567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ndhost.co.uk/newforestnpa/aspx/Home" TargetMode="External"/><Relationship Id="rId17" Type="http://schemas.openxmlformats.org/officeDocument/2006/relationships/hyperlink" Target="mailto:tony.spence@newforestnpa.gov.uk" TargetMode="External"/><Relationship Id="rId2" Type="http://schemas.openxmlformats.org/officeDocument/2006/relationships/numbering" Target="numbering.xml"/><Relationship Id="rId16" Type="http://schemas.openxmlformats.org/officeDocument/2006/relationships/hyperlink" Target="mailto:david.illsley@newforestnpa.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forestnpa.gov.uk/info/20016/our_work/80/state_of_the_par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ewforestnpa.gov.uk/downloads/file/1195/sustainability_appraisal_of_management_plan_updat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F7DA5-3419-4E7E-89DB-128BD369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Illsley</dc:creator>
  <cp:lastModifiedBy>David Illsley</cp:lastModifiedBy>
  <cp:revision>5</cp:revision>
  <dcterms:created xsi:type="dcterms:W3CDTF">2016-02-23T13:46:00Z</dcterms:created>
  <dcterms:modified xsi:type="dcterms:W3CDTF">2016-02-23T13:47:00Z</dcterms:modified>
</cp:coreProperties>
</file>