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353" w:rsidRDefault="008B12FB">
      <w:pPr>
        <w:rPr>
          <w:rFonts w:ascii="Arial" w:eastAsia="Arial" w:hAnsi="Arial" w:cs="Arial"/>
          <w:b/>
          <w:sz w:val="36"/>
          <w:szCs w:val="36"/>
        </w:rPr>
      </w:pPr>
      <w:r>
        <w:rPr>
          <w:rFonts w:ascii="Arial" w:eastAsia="Arial" w:hAnsi="Arial" w:cs="Arial"/>
          <w:b/>
          <w:sz w:val="36"/>
          <w:szCs w:val="36"/>
        </w:rPr>
        <w:t>Framework Schedule 3 (Framework Prices)</w:t>
      </w:r>
    </w:p>
    <w:p w:rsidR="00431353" w:rsidRDefault="008B12FB">
      <w:pPr>
        <w:numPr>
          <w:ilvl w:val="0"/>
          <w:numId w:val="1"/>
        </w:numPr>
        <w:pBdr>
          <w:top w:val="nil"/>
          <w:left w:val="nil"/>
          <w:bottom w:val="nil"/>
          <w:right w:val="nil"/>
          <w:between w:val="nil"/>
        </w:pBdr>
        <w:tabs>
          <w:tab w:val="left" w:pos="142"/>
        </w:tabs>
        <w:spacing w:before="120" w:after="240" w:line="240" w:lineRule="auto"/>
        <w:jc w:val="both"/>
      </w:pPr>
      <w:bookmarkStart w:id="0" w:name="_heading=h.gjdgxs" w:colFirst="0" w:colLast="0"/>
      <w:bookmarkEnd w:id="0"/>
      <w:r>
        <w:rPr>
          <w:rFonts w:ascii="Arial" w:eastAsia="Arial" w:hAnsi="Arial" w:cs="Arial"/>
          <w:b/>
          <w:color w:val="000000"/>
          <w:sz w:val="24"/>
          <w:szCs w:val="24"/>
        </w:rPr>
        <w:t>How Framework Prices are used to calculate Call-Off Charges</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 xml:space="preserve">The Framework Prices: </w:t>
      </w:r>
    </w:p>
    <w:p w:rsidR="00431353" w:rsidRDefault="008B12FB">
      <w:pPr>
        <w:numPr>
          <w:ilvl w:val="2"/>
          <w:numId w:val="1"/>
        </w:numPr>
        <w:pBdr>
          <w:top w:val="nil"/>
          <w:left w:val="nil"/>
          <w:bottom w:val="nil"/>
          <w:right w:val="nil"/>
          <w:between w:val="nil"/>
        </w:pBdr>
        <w:tabs>
          <w:tab w:val="left" w:pos="1985"/>
          <w:tab w:val="left" w:pos="2127"/>
          <w:tab w:val="left" w:pos="1440"/>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will be used as the basis for the charges (and are maximums that the Supplier may charge) under each Call Off Contract; and</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cannot be increased except as in accordance with this Schedule.</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The Charges:</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 xml:space="preserve">shall be calculated in accordance with the terms of the Call Off Contract and in particular in accordance with the terms of the Order Form; </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Any variation to the Charges payable under a Call Off Contract must be agreed between the Supplier and the Buyer and implemented using the same procedure for altering Framework Prices in accordance with the provisions of this Framework Schedule 3]</w:t>
      </w:r>
    </w:p>
    <w:p w:rsidR="00431353" w:rsidRDefault="008B12FB">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How Framework Prices are calculated</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The pricing mechanisms and prices set out in Annex 1 shall be available for use in calculation of Framework Prices in Call Off Contracts.</w:t>
      </w:r>
    </w:p>
    <w:p w:rsidR="00431353" w:rsidRDefault="008B12FB">
      <w:pPr>
        <w:numPr>
          <w:ilvl w:val="0"/>
          <w:numId w:val="1"/>
        </w:numPr>
        <w:pBdr>
          <w:top w:val="nil"/>
          <w:left w:val="nil"/>
          <w:bottom w:val="nil"/>
          <w:right w:val="nil"/>
          <w:between w:val="nil"/>
        </w:pBdr>
        <w:tabs>
          <w:tab w:val="left" w:pos="142"/>
        </w:tabs>
        <w:spacing w:before="120" w:after="240" w:line="240" w:lineRule="auto"/>
        <w:jc w:val="both"/>
      </w:pPr>
      <w:bookmarkStart w:id="2" w:name="bookmark=id.3znysh7" w:colFirst="0" w:colLast="0"/>
      <w:bookmarkStart w:id="3" w:name="_heading=h.1fob9te" w:colFirst="0" w:colLast="0"/>
      <w:bookmarkEnd w:id="2"/>
      <w:bookmarkEnd w:id="3"/>
      <w:r>
        <w:rPr>
          <w:rFonts w:ascii="Arial" w:eastAsia="Arial" w:hAnsi="Arial" w:cs="Arial"/>
          <w:b/>
          <w:color w:val="000000"/>
          <w:sz w:val="24"/>
          <w:szCs w:val="24"/>
        </w:rPr>
        <w:t>Are costs and expenses are included in the Framework Prices</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Except as expressly set out in Paragraph 4 below, or otherwise stated in a Call Off Order Form the Framework Prices shall include all costs and expenses relating to the provision of Deliverables. No further amounts shall be payable in respect of matters such as:</w:t>
      </w:r>
    </w:p>
    <w:p w:rsidR="00431353" w:rsidRDefault="008B12FB">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incidental expenses such as travel, subsistence and lodging, document or report reproduction, shipping, desktop or office equipment costs, network or data interchange costs or other telecommunications charges; or</w:t>
      </w:r>
    </w:p>
    <w:p w:rsidR="00431353" w:rsidRDefault="008B12FB">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costs incurred prior to the commencement of any Call Off Contract.</w:t>
      </w:r>
    </w:p>
    <w:p w:rsidR="00431353" w:rsidRDefault="008B12FB">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When the Supplier can ask to change the Framework Prices</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 xml:space="preserve">The Framework Prices will be fixed for the first year following the Framework </w:t>
      </w:r>
      <w:r w:rsidR="00013DD6">
        <w:rPr>
          <w:rFonts w:ascii="Arial" w:eastAsia="Arial" w:hAnsi="Arial" w:cs="Arial"/>
          <w:color w:val="000000"/>
          <w:sz w:val="24"/>
          <w:szCs w:val="24"/>
        </w:rPr>
        <w:t>Start</w:t>
      </w:r>
      <w:r>
        <w:rPr>
          <w:rFonts w:ascii="Arial" w:eastAsia="Arial" w:hAnsi="Arial" w:cs="Arial"/>
          <w:color w:val="000000"/>
          <w:sz w:val="24"/>
          <w:szCs w:val="24"/>
        </w:rPr>
        <w:t xml:space="preserve"> Date (the date of expiry of such period is a "</w:t>
      </w:r>
      <w:r>
        <w:rPr>
          <w:rFonts w:ascii="Arial" w:eastAsia="Arial" w:hAnsi="Arial" w:cs="Arial"/>
          <w:b/>
          <w:color w:val="000000"/>
          <w:sz w:val="24"/>
          <w:szCs w:val="24"/>
        </w:rPr>
        <w:t>Review Date</w:t>
      </w:r>
      <w:r>
        <w:rPr>
          <w:rFonts w:ascii="Arial" w:eastAsia="Arial" w:hAnsi="Arial" w:cs="Arial"/>
          <w:color w:val="000000"/>
          <w:sz w:val="24"/>
          <w:szCs w:val="24"/>
        </w:rPr>
        <w:t>").  After this Framework Prices can only be adjusted on each following yearly anniversary</w:t>
      </w:r>
      <w:r w:rsidR="00013DD6">
        <w:rPr>
          <w:rFonts w:ascii="Arial" w:eastAsia="Arial" w:hAnsi="Arial" w:cs="Arial"/>
          <w:color w:val="000000"/>
          <w:sz w:val="24"/>
          <w:szCs w:val="24"/>
        </w:rPr>
        <w:t xml:space="preserve"> of the Framework Start Date</w:t>
      </w:r>
      <w:r>
        <w:rPr>
          <w:rFonts w:ascii="Arial" w:eastAsia="Arial" w:hAnsi="Arial" w:cs="Arial"/>
          <w:color w:val="000000"/>
          <w:sz w:val="24"/>
          <w:szCs w:val="24"/>
        </w:rPr>
        <w:t xml:space="preserve"> (the date of each such anniversary is also a "</w:t>
      </w:r>
      <w:r>
        <w:rPr>
          <w:rFonts w:ascii="Arial" w:eastAsia="Arial" w:hAnsi="Arial" w:cs="Arial"/>
          <w:b/>
          <w:color w:val="000000"/>
          <w:sz w:val="24"/>
          <w:szCs w:val="24"/>
        </w:rPr>
        <w:t>Review Date</w:t>
      </w:r>
      <w:r>
        <w:rPr>
          <w:rFonts w:ascii="Arial" w:eastAsia="Arial" w:hAnsi="Arial" w:cs="Arial"/>
          <w:color w:val="000000"/>
          <w:sz w:val="24"/>
          <w:szCs w:val="24"/>
        </w:rPr>
        <w:t>").</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The Supplier shall give CCS at least three (3) Months' notice in writing prior to a Review Date where it wants to request an increase.  If the Supplier does not give notice in time then it will only be able to request an increase prior to the next Review Date.</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lastRenderedPageBreak/>
        <w:t>Any notice requesting an increase shall include:</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a list of the Framework Prices to be reviewed;</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for each Framework Price under review, written evidence of the justification for the requested increase including:</w:t>
      </w:r>
    </w:p>
    <w:p w:rsidR="00431353" w:rsidRDefault="008B12FB">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rPr>
          <w:rFonts w:ascii="Arial" w:eastAsia="Arial" w:hAnsi="Arial" w:cs="Arial"/>
          <w:color w:val="000000"/>
          <w:sz w:val="24"/>
          <w:szCs w:val="24"/>
        </w:rPr>
      </w:pPr>
      <w:r>
        <w:rPr>
          <w:rFonts w:ascii="Arial" w:eastAsia="Arial" w:hAnsi="Arial" w:cs="Arial"/>
          <w:color w:val="000000"/>
          <w:sz w:val="24"/>
          <w:szCs w:val="24"/>
        </w:rPr>
        <w:t>a breakdown of the profit and cost components that comprise the relevant Framework Price;</w:t>
      </w:r>
    </w:p>
    <w:p w:rsidR="00431353" w:rsidRDefault="008B12FB">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rPr>
          <w:rFonts w:ascii="Arial" w:eastAsia="Arial" w:hAnsi="Arial" w:cs="Arial"/>
          <w:color w:val="000000"/>
          <w:sz w:val="24"/>
          <w:szCs w:val="24"/>
        </w:rPr>
      </w:pPr>
      <w:r>
        <w:rPr>
          <w:rFonts w:ascii="Arial" w:eastAsia="Arial" w:hAnsi="Arial" w:cs="Arial"/>
          <w:color w:val="000000"/>
          <w:sz w:val="24"/>
          <w:szCs w:val="24"/>
        </w:rPr>
        <w:t>details of the movement in the different identified cost components of the relevant Framework Price;</w:t>
      </w:r>
    </w:p>
    <w:p w:rsidR="00431353" w:rsidRDefault="008B12FB">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rPr>
          <w:rFonts w:ascii="Arial" w:eastAsia="Arial" w:hAnsi="Arial" w:cs="Arial"/>
          <w:color w:val="000000"/>
          <w:sz w:val="24"/>
          <w:szCs w:val="24"/>
        </w:rPr>
      </w:pPr>
      <w:r>
        <w:rPr>
          <w:rFonts w:ascii="Arial" w:eastAsia="Arial" w:hAnsi="Arial" w:cs="Arial"/>
          <w:color w:val="000000"/>
          <w:sz w:val="24"/>
          <w:szCs w:val="24"/>
        </w:rPr>
        <w:t>reasons for the movement in the different identified cost components of the relevant Framework Price;</w:t>
      </w:r>
    </w:p>
    <w:p w:rsidR="00431353" w:rsidRDefault="008B12FB">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rPr>
          <w:rFonts w:ascii="Arial" w:eastAsia="Arial" w:hAnsi="Arial" w:cs="Arial"/>
          <w:color w:val="000000"/>
          <w:sz w:val="24"/>
          <w:szCs w:val="24"/>
        </w:rPr>
      </w:pPr>
      <w:r>
        <w:rPr>
          <w:rFonts w:ascii="Arial" w:eastAsia="Arial" w:hAnsi="Arial" w:cs="Arial"/>
          <w:color w:val="000000"/>
          <w:sz w:val="24"/>
          <w:szCs w:val="24"/>
        </w:rPr>
        <w:t>evidence that the Supplier has attempted to mitigate against the increase in the relevant cost components; and</w:t>
      </w:r>
    </w:p>
    <w:p w:rsidR="00431353" w:rsidRDefault="008B12FB">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rPr>
          <w:rFonts w:ascii="Arial" w:eastAsia="Arial" w:hAnsi="Arial" w:cs="Arial"/>
          <w:color w:val="000000"/>
          <w:sz w:val="24"/>
          <w:szCs w:val="24"/>
        </w:rPr>
      </w:pPr>
      <w:r>
        <w:rPr>
          <w:rFonts w:ascii="Arial" w:eastAsia="Arial" w:hAnsi="Arial" w:cs="Arial"/>
          <w:color w:val="000000"/>
          <w:sz w:val="24"/>
          <w:szCs w:val="24"/>
        </w:rPr>
        <w:t xml:space="preserve">evidence that the Supplier’s profit component of the </w:t>
      </w:r>
      <w:proofErr w:type="gramStart"/>
      <w:r>
        <w:rPr>
          <w:rFonts w:ascii="Arial" w:eastAsia="Arial" w:hAnsi="Arial" w:cs="Arial"/>
          <w:color w:val="000000"/>
          <w:sz w:val="24"/>
          <w:szCs w:val="24"/>
        </w:rPr>
        <w:t>relevant  Framework</w:t>
      </w:r>
      <w:proofErr w:type="gramEnd"/>
      <w:r>
        <w:rPr>
          <w:rFonts w:ascii="Arial" w:eastAsia="Arial" w:hAnsi="Arial" w:cs="Arial"/>
          <w:color w:val="000000"/>
          <w:sz w:val="24"/>
          <w:szCs w:val="24"/>
        </w:rPr>
        <w:t xml:space="preserve"> Price is no greater than that applying to Framework Prices using the same pricing mechanism as at the </w:t>
      </w:r>
      <w:r w:rsidR="00C14440">
        <w:rPr>
          <w:rFonts w:ascii="Arial" w:eastAsia="Arial" w:hAnsi="Arial" w:cs="Arial"/>
          <w:color w:val="000000"/>
          <w:sz w:val="24"/>
          <w:szCs w:val="24"/>
        </w:rPr>
        <w:t>Framework Start</w:t>
      </w:r>
      <w:r>
        <w:rPr>
          <w:rFonts w:ascii="Arial" w:eastAsia="Arial" w:hAnsi="Arial" w:cs="Arial"/>
          <w:color w:val="000000"/>
          <w:sz w:val="24"/>
          <w:szCs w:val="24"/>
        </w:rPr>
        <w:t xml:space="preserve"> Date.</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Where CCS approves an increase then it will be implemented from the first (1st) Working Day following the relevant Review Date or such later date as CCS may determine at its sole discretion and Annex 1 shall be updated accordingly.</w:t>
      </w:r>
    </w:p>
    <w:p w:rsidR="00431353" w:rsidRDefault="008B12FB">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Other events that allow the Supplier to change the Framework Prices</w:t>
      </w:r>
    </w:p>
    <w:p w:rsidR="00431353" w:rsidRDefault="008B12FB">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Pr>
          <w:rFonts w:ascii="Arial" w:eastAsia="Arial" w:hAnsi="Arial" w:cs="Arial"/>
          <w:color w:val="000000"/>
          <w:sz w:val="24"/>
          <w:szCs w:val="24"/>
        </w:rPr>
        <w:t>The Framework Prices can also be varied (and Annex 1 will be updated accordingly) due to:</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a Specific Change in Law in accordance with Clause 24;</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 xml:space="preserve">a review in accordance with insurance requirements in Clause 13; </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a benchmarking review in accordance with Call Off Schedule 16 (Benchmarking)</w:t>
      </w:r>
    </w:p>
    <w:p w:rsidR="00431353" w:rsidRDefault="008B12FB">
      <w:pPr>
        <w:numPr>
          <w:ilvl w:val="2"/>
          <w:numId w:val="1"/>
        </w:numPr>
        <w:pBdr>
          <w:top w:val="nil"/>
          <w:left w:val="nil"/>
          <w:bottom w:val="nil"/>
          <w:right w:val="nil"/>
          <w:between w:val="nil"/>
        </w:pBdr>
        <w:tabs>
          <w:tab w:val="left" w:pos="1985"/>
          <w:tab w:val="left" w:pos="2127"/>
        </w:tabs>
        <w:spacing w:before="120" w:after="120" w:line="240" w:lineRule="auto"/>
        <w:ind w:left="1980" w:hanging="810"/>
        <w:rPr>
          <w:rFonts w:ascii="Arial" w:eastAsia="Arial" w:hAnsi="Arial" w:cs="Arial"/>
          <w:color w:val="000000"/>
          <w:sz w:val="24"/>
          <w:szCs w:val="24"/>
        </w:rPr>
      </w:pPr>
      <w:r>
        <w:rPr>
          <w:rFonts w:ascii="Arial" w:eastAsia="Arial" w:hAnsi="Arial" w:cs="Arial"/>
          <w:color w:val="000000"/>
          <w:sz w:val="24"/>
          <w:szCs w:val="24"/>
        </w:rPr>
        <w:t xml:space="preserve">a request from the Supplier, which it can make at any time, to decrease the Framework Prices; </w:t>
      </w:r>
    </w:p>
    <w:p w:rsidR="00431353" w:rsidRDefault="00431353">
      <w:pPr>
        <w:pBdr>
          <w:top w:val="nil"/>
          <w:left w:val="nil"/>
          <w:bottom w:val="nil"/>
          <w:right w:val="nil"/>
          <w:between w:val="nil"/>
        </w:pBdr>
        <w:tabs>
          <w:tab w:val="left" w:pos="1985"/>
          <w:tab w:val="left" w:pos="2127"/>
        </w:tabs>
        <w:spacing w:before="120" w:after="120" w:line="240" w:lineRule="auto"/>
        <w:ind w:left="1980" w:hanging="1372"/>
        <w:rPr>
          <w:rFonts w:ascii="Arial" w:eastAsia="Arial" w:hAnsi="Arial" w:cs="Arial"/>
          <w:color w:val="000000"/>
          <w:sz w:val="24"/>
          <w:szCs w:val="24"/>
          <w:highlight w:val="magenta"/>
        </w:rPr>
      </w:pPr>
    </w:p>
    <w:p w:rsidR="00431353" w:rsidRDefault="00431353">
      <w:pPr>
        <w:pBdr>
          <w:top w:val="nil"/>
          <w:left w:val="nil"/>
          <w:bottom w:val="nil"/>
          <w:right w:val="nil"/>
          <w:between w:val="nil"/>
        </w:pBdr>
        <w:tabs>
          <w:tab w:val="left" w:pos="709"/>
        </w:tabs>
        <w:spacing w:before="120" w:after="240" w:line="240" w:lineRule="auto"/>
        <w:ind w:left="360"/>
        <w:jc w:val="both"/>
        <w:rPr>
          <w:rFonts w:ascii="Arial" w:eastAsia="Arial" w:hAnsi="Arial" w:cs="Arial"/>
          <w:color w:val="000000"/>
          <w:sz w:val="24"/>
          <w:szCs w:val="24"/>
          <w:highlight w:val="yellow"/>
        </w:rPr>
      </w:pPr>
    </w:p>
    <w:p w:rsidR="00431353" w:rsidRDefault="00431353">
      <w:pPr>
        <w:pBdr>
          <w:top w:val="nil"/>
          <w:left w:val="nil"/>
          <w:bottom w:val="nil"/>
          <w:right w:val="nil"/>
          <w:between w:val="nil"/>
        </w:pBdr>
        <w:tabs>
          <w:tab w:val="left" w:pos="0"/>
        </w:tabs>
        <w:spacing w:before="240" w:after="240" w:line="240" w:lineRule="auto"/>
        <w:ind w:left="644" w:hanging="360"/>
        <w:jc w:val="both"/>
        <w:rPr>
          <w:rFonts w:ascii="Arial Bold" w:eastAsia="Arial Bold" w:hAnsi="Arial Bold" w:cs="Arial Bold"/>
          <w:b/>
          <w:smallCaps/>
          <w:color w:val="000000"/>
          <w:highlight w:val="yellow"/>
        </w:rPr>
      </w:pPr>
    </w:p>
    <w:p w:rsidR="00431353" w:rsidRDefault="00431353">
      <w:pPr>
        <w:pBdr>
          <w:top w:val="nil"/>
          <w:left w:val="nil"/>
          <w:bottom w:val="nil"/>
          <w:right w:val="nil"/>
          <w:between w:val="nil"/>
        </w:pBdr>
        <w:tabs>
          <w:tab w:val="left" w:pos="1985"/>
          <w:tab w:val="left" w:pos="2127"/>
        </w:tabs>
        <w:spacing w:before="120" w:after="120" w:line="240" w:lineRule="auto"/>
        <w:ind w:left="1656" w:hanging="1372"/>
        <w:rPr>
          <w:rFonts w:ascii="Arial" w:eastAsia="Arial" w:hAnsi="Arial" w:cs="Arial"/>
          <w:color w:val="000000"/>
          <w:sz w:val="24"/>
          <w:szCs w:val="24"/>
        </w:rPr>
      </w:pPr>
    </w:p>
    <w:p w:rsidR="00431353" w:rsidRDefault="008B12FB">
      <w:pPr>
        <w:rPr>
          <w:rFonts w:ascii="Arial" w:eastAsia="Arial" w:hAnsi="Arial" w:cs="Arial"/>
          <w:b/>
          <w:sz w:val="36"/>
          <w:szCs w:val="36"/>
        </w:rPr>
      </w:pPr>
      <w:bookmarkStart w:id="5" w:name="_heading=h.1t3h5sf" w:colFirst="0" w:colLast="0"/>
      <w:bookmarkEnd w:id="5"/>
      <w:r>
        <w:br w:type="page"/>
      </w:r>
      <w:r>
        <w:rPr>
          <w:rFonts w:ascii="Arial" w:eastAsia="Arial" w:hAnsi="Arial" w:cs="Arial"/>
          <w:b/>
          <w:sz w:val="36"/>
          <w:szCs w:val="36"/>
        </w:rPr>
        <w:lastRenderedPageBreak/>
        <w:t>Annex 1: Rates and Prices</w:t>
      </w:r>
    </w:p>
    <w:p w:rsidR="00431353" w:rsidRDefault="008B12FB">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1: Time and Materials</w:t>
      </w:r>
    </w:p>
    <w:p w:rsidR="00431353" w:rsidRDefault="008B12FB">
      <w:pPr>
        <w:keepNext/>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color w:val="000000"/>
          <w:sz w:val="24"/>
          <w:szCs w:val="24"/>
        </w:rPr>
        <w:t>The Supplier (and its Sub-Contractor) shall not be entitled to include any uplift for risks or contingencies within its day rates</w:t>
      </w:r>
    </w:p>
    <w:p w:rsidR="00431353" w:rsidRDefault="008B12FB">
      <w:pPr>
        <w:pBdr>
          <w:top w:val="nil"/>
          <w:left w:val="nil"/>
          <w:bottom w:val="nil"/>
          <w:right w:val="nil"/>
          <w:between w:val="nil"/>
        </w:pBdr>
        <w:spacing w:before="240" w:after="120" w:line="240" w:lineRule="auto"/>
        <w:rPr>
          <w:rFonts w:ascii="Arial" w:eastAsia="Arial" w:hAnsi="Arial" w:cs="Arial"/>
          <w:b/>
          <w:i/>
          <w:color w:val="000000"/>
          <w:sz w:val="24"/>
          <w:szCs w:val="24"/>
        </w:rPr>
      </w:pPr>
      <w:r>
        <w:rPr>
          <w:rFonts w:ascii="Arial" w:eastAsia="Arial" w:hAnsi="Arial" w:cs="Arial"/>
          <w:i/>
          <w:color w:val="000000"/>
          <w:sz w:val="24"/>
          <w:szCs w:val="24"/>
        </w:rPr>
        <w:t>The rates below shall [not] be subject to variation by way of Indexation</w:t>
      </w:r>
    </w:p>
    <w:tbl>
      <w:tblPr>
        <w:tblStyle w:val="a2"/>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50"/>
        <w:gridCol w:w="4566"/>
      </w:tblGrid>
      <w:tr w:rsidR="00431353">
        <w:tc>
          <w:tcPr>
            <w:tcW w:w="4450"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Staff Grade</w:t>
            </w:r>
          </w:p>
        </w:tc>
        <w:tc>
          <w:tcPr>
            <w:tcW w:w="4566"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Day Rate (£)</w:t>
            </w:r>
          </w:p>
        </w:tc>
      </w:tr>
      <w:tr w:rsidR="00431353">
        <w:tc>
          <w:tcPr>
            <w:tcW w:w="4450" w:type="dxa"/>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c>
          <w:tcPr>
            <w:tcW w:w="4566" w:type="dxa"/>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r>
      <w:tr w:rsidR="00431353">
        <w:tc>
          <w:tcPr>
            <w:tcW w:w="4450" w:type="dxa"/>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c>
          <w:tcPr>
            <w:tcW w:w="4566" w:type="dxa"/>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r>
    </w:tbl>
    <w:p w:rsidR="00431353" w:rsidRDefault="008B12FB">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2: Fixed Prices</w:t>
      </w:r>
    </w:p>
    <w:p w:rsidR="00431353" w:rsidRDefault="008B12FB">
      <w:pPr>
        <w:pBdr>
          <w:top w:val="nil"/>
          <w:left w:val="nil"/>
          <w:bottom w:val="nil"/>
          <w:right w:val="nil"/>
          <w:between w:val="nil"/>
        </w:pBdr>
        <w:spacing w:before="240" w:after="120" w:line="240" w:lineRule="auto"/>
        <w:rPr>
          <w:rFonts w:ascii="Arial" w:eastAsia="Arial" w:hAnsi="Arial" w:cs="Arial"/>
          <w:b/>
          <w:i/>
          <w:color w:val="000000"/>
          <w:sz w:val="24"/>
          <w:szCs w:val="24"/>
        </w:rPr>
      </w:pPr>
      <w:r>
        <w:rPr>
          <w:rFonts w:ascii="Arial" w:eastAsia="Arial" w:hAnsi="Arial" w:cs="Arial"/>
          <w:color w:val="000000"/>
          <w:sz w:val="24"/>
          <w:szCs w:val="24"/>
        </w:rPr>
        <w:t>The rates below shall [not] be subject to variation by way of Indexation</w:t>
      </w:r>
    </w:p>
    <w:tbl>
      <w:tblPr>
        <w:tblStyle w:val="a3"/>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8"/>
        <w:gridCol w:w="4508"/>
      </w:tblGrid>
      <w:tr w:rsidR="00431353">
        <w:tc>
          <w:tcPr>
            <w:tcW w:w="4508"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Framework Price</w:t>
            </w:r>
          </w:p>
        </w:tc>
        <w:tc>
          <w:tcPr>
            <w:tcW w:w="4508"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Fixed Framework Price (£)</w:t>
            </w:r>
          </w:p>
        </w:tc>
      </w:tr>
      <w:tr w:rsidR="00431353">
        <w:tc>
          <w:tcPr>
            <w:tcW w:w="4508"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[e.g. M3]</w:t>
            </w:r>
          </w:p>
        </w:tc>
        <w:tc>
          <w:tcPr>
            <w:tcW w:w="4508" w:type="dxa"/>
            <w:shd w:val="clear" w:color="auto" w:fill="FFFFFF"/>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r>
      <w:tr w:rsidR="00431353">
        <w:tc>
          <w:tcPr>
            <w:tcW w:w="4508"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[e.g. SC3]</w:t>
            </w:r>
          </w:p>
        </w:tc>
        <w:tc>
          <w:tcPr>
            <w:tcW w:w="4508" w:type="dxa"/>
            <w:shd w:val="clear" w:color="auto" w:fill="FFFFFF"/>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r>
    </w:tbl>
    <w:p w:rsidR="00431353" w:rsidRDefault="00431353">
      <w:pPr>
        <w:rPr>
          <w:rFonts w:ascii="Arial" w:eastAsia="Arial" w:hAnsi="Arial" w:cs="Arial"/>
          <w:b/>
          <w:smallCaps/>
          <w:sz w:val="24"/>
          <w:szCs w:val="24"/>
        </w:rPr>
      </w:pPr>
      <w:bookmarkStart w:id="6" w:name="_heading=h.4d34og8" w:colFirst="0" w:colLast="0"/>
      <w:bookmarkEnd w:id="6"/>
    </w:p>
    <w:p w:rsidR="00431353" w:rsidRDefault="008B12FB">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3: Volume Based Prices</w:t>
      </w:r>
    </w:p>
    <w:p w:rsidR="00431353" w:rsidRDefault="008B12FB">
      <w:pPr>
        <w:pBdr>
          <w:top w:val="nil"/>
          <w:left w:val="nil"/>
          <w:bottom w:val="nil"/>
          <w:right w:val="nil"/>
          <w:between w:val="nil"/>
        </w:pBdr>
        <w:spacing w:before="240" w:after="120" w:line="240" w:lineRule="auto"/>
        <w:ind w:left="-142"/>
        <w:rPr>
          <w:rFonts w:ascii="Arial" w:eastAsia="Arial" w:hAnsi="Arial" w:cs="Arial"/>
          <w:b/>
          <w:i/>
          <w:color w:val="000000"/>
          <w:sz w:val="24"/>
          <w:szCs w:val="24"/>
        </w:rPr>
      </w:pPr>
      <w:r>
        <w:rPr>
          <w:rFonts w:ascii="Arial" w:eastAsia="Arial" w:hAnsi="Arial" w:cs="Arial"/>
          <w:color w:val="000000"/>
          <w:sz w:val="24"/>
          <w:szCs w:val="24"/>
        </w:rPr>
        <w:t>The rates below shall [not] be subject to variation by way of Indexation</w:t>
      </w:r>
    </w:p>
    <w:tbl>
      <w:tblPr>
        <w:tblStyle w:val="a4"/>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4"/>
        <w:gridCol w:w="2254"/>
        <w:gridCol w:w="2254"/>
        <w:gridCol w:w="2254"/>
      </w:tblGrid>
      <w:tr w:rsidR="00431353">
        <w:tc>
          <w:tcPr>
            <w:tcW w:w="2254"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Framework Price Number</w:t>
            </w:r>
          </w:p>
        </w:tc>
        <w:tc>
          <w:tcPr>
            <w:tcW w:w="2254"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Unit</w:t>
            </w:r>
          </w:p>
        </w:tc>
        <w:tc>
          <w:tcPr>
            <w:tcW w:w="2254"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Number of units per Service Period</w:t>
            </w:r>
          </w:p>
        </w:tc>
        <w:tc>
          <w:tcPr>
            <w:tcW w:w="2254" w:type="dxa"/>
            <w:shd w:val="clear" w:color="auto" w:fill="548DD4"/>
          </w:tcPr>
          <w:p w:rsidR="00431353" w:rsidRDefault="008B12FB">
            <w:pPr>
              <w:keepNext/>
              <w:pBdr>
                <w:top w:val="nil"/>
                <w:left w:val="nil"/>
                <w:bottom w:val="nil"/>
                <w:right w:val="nil"/>
                <w:between w:val="nil"/>
              </w:pBdr>
              <w:spacing w:before="240" w:after="120"/>
              <w:ind w:left="142"/>
              <w:rPr>
                <w:rFonts w:ascii="Arial" w:eastAsia="Arial" w:hAnsi="Arial" w:cs="Arial"/>
                <w:b/>
                <w:color w:val="000000"/>
                <w:sz w:val="24"/>
                <w:szCs w:val="24"/>
              </w:rPr>
            </w:pPr>
            <w:r>
              <w:rPr>
                <w:rFonts w:ascii="Arial" w:eastAsia="Arial" w:hAnsi="Arial" w:cs="Arial"/>
                <w:b/>
                <w:color w:val="000000"/>
                <w:sz w:val="24"/>
                <w:szCs w:val="24"/>
              </w:rPr>
              <w:t>Charge per unit (£)</w:t>
            </w:r>
          </w:p>
        </w:tc>
      </w:tr>
      <w:tr w:rsidR="00431353">
        <w:tc>
          <w:tcPr>
            <w:tcW w:w="2254" w:type="dxa"/>
            <w:vMerge w:val="restart"/>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[e.g. SC1]</w:t>
            </w:r>
          </w:p>
        </w:tc>
        <w:tc>
          <w:tcPr>
            <w:tcW w:w="2254" w:type="dxa"/>
            <w:vMerge w:val="restart"/>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w:t>
            </w:r>
          </w:p>
        </w:tc>
      </w:tr>
      <w:tr w:rsidR="00431353">
        <w:trPr>
          <w:trHeight w:val="701"/>
        </w:trPr>
        <w:tc>
          <w:tcPr>
            <w:tcW w:w="2254" w:type="dxa"/>
            <w:vMerge/>
          </w:tcPr>
          <w:p w:rsidR="00431353" w:rsidRDefault="00431353">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vMerge/>
          </w:tcPr>
          <w:p w:rsidR="00431353" w:rsidRDefault="00431353">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w:t>
            </w:r>
          </w:p>
        </w:tc>
      </w:tr>
      <w:tr w:rsidR="00431353">
        <w:tc>
          <w:tcPr>
            <w:tcW w:w="2254" w:type="dxa"/>
            <w:vMerge w:val="restart"/>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r>
              <w:rPr>
                <w:rFonts w:ascii="Arial" w:eastAsia="Arial" w:hAnsi="Arial" w:cs="Arial"/>
                <w:color w:val="000000"/>
                <w:sz w:val="24"/>
                <w:szCs w:val="24"/>
                <w:highlight w:val="yellow"/>
              </w:rPr>
              <w:t>[e.g. SC2]</w:t>
            </w:r>
          </w:p>
        </w:tc>
        <w:tc>
          <w:tcPr>
            <w:tcW w:w="2254" w:type="dxa"/>
            <w:vMerge w:val="restart"/>
          </w:tcPr>
          <w:p w:rsidR="00431353" w:rsidRDefault="00431353">
            <w:pPr>
              <w:keepNext/>
              <w:pBdr>
                <w:top w:val="nil"/>
                <w:left w:val="nil"/>
                <w:bottom w:val="nil"/>
                <w:right w:val="nil"/>
                <w:between w:val="nil"/>
              </w:pBdr>
              <w:spacing w:before="240" w:after="120"/>
              <w:ind w:left="142"/>
              <w:rPr>
                <w:rFonts w:ascii="Arial" w:eastAsia="Arial" w:hAnsi="Arial" w:cs="Arial"/>
                <w:color w:val="000000"/>
                <w:sz w:val="24"/>
                <w:szCs w:val="24"/>
              </w:rPr>
            </w:pP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w:t>
            </w:r>
          </w:p>
        </w:tc>
      </w:tr>
      <w:tr w:rsidR="00431353">
        <w:tc>
          <w:tcPr>
            <w:tcW w:w="2254" w:type="dxa"/>
            <w:vMerge/>
          </w:tcPr>
          <w:p w:rsidR="00431353" w:rsidRDefault="00431353">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vMerge/>
          </w:tcPr>
          <w:p w:rsidR="00431353" w:rsidRDefault="00431353">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rsidR="00431353" w:rsidRDefault="008B12FB">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                  ]</w:t>
            </w:r>
          </w:p>
        </w:tc>
      </w:tr>
    </w:tbl>
    <w:p w:rsidR="00431353" w:rsidRDefault="00431353">
      <w:pPr>
        <w:rPr>
          <w:rFonts w:ascii="Arial" w:eastAsia="Arial" w:hAnsi="Arial" w:cs="Arial"/>
          <w:b/>
          <w:sz w:val="24"/>
          <w:szCs w:val="24"/>
        </w:rPr>
        <w:sectPr w:rsidR="00431353">
          <w:headerReference w:type="default" r:id="rId8"/>
          <w:footerReference w:type="default" r:id="rId9"/>
          <w:headerReference w:type="first" r:id="rId10"/>
          <w:footerReference w:type="first" r:id="rId11"/>
          <w:pgSz w:w="11906" w:h="16838"/>
          <w:pgMar w:top="1888" w:right="1440" w:bottom="1440" w:left="1440" w:header="709" w:footer="709" w:gutter="0"/>
          <w:pgNumType w:start="1"/>
          <w:cols w:space="720"/>
        </w:sectPr>
      </w:pPr>
    </w:p>
    <w:p w:rsidR="00431353" w:rsidRDefault="00431353">
      <w:pPr>
        <w:rPr>
          <w:rFonts w:ascii="Arial" w:eastAsia="Arial" w:hAnsi="Arial" w:cs="Arial"/>
          <w:b/>
          <w:sz w:val="24"/>
          <w:szCs w:val="24"/>
        </w:rPr>
      </w:pPr>
    </w:p>
    <w:sectPr w:rsidR="00431353">
      <w:pgSz w:w="11906" w:h="16838"/>
      <w:pgMar w:top="1888"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67F" w:rsidRDefault="001D367F">
      <w:pPr>
        <w:spacing w:after="0" w:line="240" w:lineRule="auto"/>
      </w:pPr>
      <w:r>
        <w:separator/>
      </w:r>
    </w:p>
  </w:endnote>
  <w:endnote w:type="continuationSeparator" w:id="0">
    <w:p w:rsidR="001D367F" w:rsidRDefault="001D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default"/>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353" w:rsidRDefault="008B12F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RM6308</w:t>
    </w:r>
    <w:r>
      <w:rPr>
        <w:rFonts w:ascii="Arial" w:eastAsia="Arial" w:hAnsi="Arial" w:cs="Arial"/>
        <w:sz w:val="20"/>
        <w:szCs w:val="20"/>
      </w:rPr>
      <w:tab/>
      <w:t xml:space="preserve">                                           </w:t>
    </w:r>
  </w:p>
  <w:p w:rsidR="00431353" w:rsidRDefault="008B12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446CB">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431353" w:rsidRDefault="008B12FB">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rFonts w:ascii="Arial" w:eastAsia="Arial" w:hAnsi="Arial" w:cs="Arial"/>
        <w:sz w:val="20"/>
        <w:szCs w:val="20"/>
      </w:rPr>
      <w:t>Model Version: v3.</w:t>
    </w:r>
    <w:r w:rsidR="00C14440">
      <w:rPr>
        <w:rFonts w:ascii="Arial" w:eastAsia="Arial" w:hAnsi="Arial" w:cs="Arial"/>
        <w:sz w:val="20"/>
        <w:szCs w:val="20"/>
      </w:rPr>
      <w:t>2</w:t>
    </w:r>
    <w:r>
      <w:rPr>
        <w:rFonts w:ascii="Arial" w:eastAsia="Arial" w:hAnsi="Arial" w:cs="Arial"/>
        <w:sz w:val="20"/>
        <w:szCs w:val="20"/>
      </w:rPr>
      <w:tab/>
    </w:r>
    <w:r>
      <w:rPr>
        <w:rFonts w:ascii="Arial" w:eastAsia="Arial" w:hAnsi="Arial" w:cs="Arial"/>
        <w:color w:val="BFBFBF"/>
        <w:sz w:val="20"/>
        <w:szCs w:val="20"/>
      </w:rPr>
      <w:tab/>
    </w:r>
    <w:r>
      <w:rPr>
        <w:color w:val="BFBFBF"/>
      </w:rPr>
      <w:tab/>
    </w:r>
    <w:r>
      <w:rPr>
        <w:color w:val="BFBFBF"/>
      </w:rPr>
      <w:tab/>
    </w:r>
    <w:r>
      <w:rPr>
        <w:color w:val="BFBF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353" w:rsidRDefault="008B12FB">
    <w:pPr>
      <w:tabs>
        <w:tab w:val="center" w:pos="4513"/>
        <w:tab w:val="right" w:pos="9026"/>
      </w:tabs>
      <w:spacing w:after="0"/>
    </w:pPr>
    <w:r>
      <w:t>Framework Ref: RM</w:t>
    </w:r>
    <w:r>
      <w:tab/>
      <w:t xml:space="preserve">                                           </w:t>
    </w:r>
  </w:p>
  <w:p w:rsidR="00431353" w:rsidRDefault="008B12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431353" w:rsidRDefault="008B12FB">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67F" w:rsidRDefault="001D367F">
      <w:pPr>
        <w:spacing w:after="0" w:line="240" w:lineRule="auto"/>
      </w:pPr>
      <w:r>
        <w:separator/>
      </w:r>
    </w:p>
  </w:footnote>
  <w:footnote w:type="continuationSeparator" w:id="0">
    <w:p w:rsidR="001D367F" w:rsidRDefault="001D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353" w:rsidRDefault="008B12F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(Framework Prices)</w:t>
    </w:r>
  </w:p>
  <w:p w:rsidR="00431353" w:rsidRDefault="008B12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353" w:rsidRDefault="008B12F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(Framework Prices)</w:t>
    </w:r>
  </w:p>
  <w:p w:rsidR="00431353" w:rsidRDefault="008B12FB">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386E"/>
    <w:multiLevelType w:val="multilevel"/>
    <w:tmpl w:val="36E2EFA4"/>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9C2DEC"/>
    <w:multiLevelType w:val="multilevel"/>
    <w:tmpl w:val="8FD0B32E"/>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990" w:hanging="720"/>
      </w:pPr>
      <w:rPr>
        <w:b w:val="0"/>
        <w:i w:val="0"/>
        <w:smallCaps w:val="0"/>
        <w:strike w:val="0"/>
        <w:color w:val="000000"/>
        <w:sz w:val="24"/>
        <w:szCs w:val="24"/>
        <w:u w:val="none"/>
        <w:vertAlign w:val="baseline"/>
      </w:rPr>
    </w:lvl>
    <w:lvl w:ilvl="3">
      <w:start w:val="1"/>
      <w:numFmt w:val="lowerLetter"/>
      <w:pStyle w:val="GPSL4numberedclause"/>
      <w:lvlText w:val="(%4)"/>
      <w:lvlJc w:val="left"/>
      <w:pPr>
        <w:ind w:left="3272" w:hanging="720"/>
      </w:pPr>
      <w:rPr>
        <w:rFonts w:ascii="Arial" w:eastAsia="Calibri" w:hAnsi="Arial" w:cs="Arial" w:hint="default"/>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3131991">
    <w:abstractNumId w:val="1"/>
  </w:num>
  <w:num w:numId="2" w16cid:durableId="755176182">
    <w:abstractNumId w:val="0"/>
  </w:num>
  <w:num w:numId="3" w16cid:durableId="1838110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53"/>
    <w:rsid w:val="00013DD6"/>
    <w:rsid w:val="001D367F"/>
    <w:rsid w:val="00431353"/>
    <w:rsid w:val="008B12FB"/>
    <w:rsid w:val="00C14440"/>
    <w:rsid w:val="00D44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FC5D"/>
  <w15:docId w15:val="{CD306D10-02C3-4B08-BC03-CE1A430F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ind w:left="644"/>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 w:val="num" w:pos="21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spacing w:before="120"/>
      <w:ind w:left="360"/>
      <w:outlineLvl w:val="9"/>
    </w:pPr>
    <w:rPr>
      <w:rFonts w:ascii="Arial" w:hAnsi="Arial"/>
      <w:caps w:val="0"/>
      <w:sz w:val="24"/>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1pGfEWI/E3O6g7OFjumfXSQsw==">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2018-06-14T15:09:00Z</dcterms:created>
  <dcterms:modified xsi:type="dcterms:W3CDTF">2023-08-17T08:30:00Z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