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B7C25" w14:textId="77777777" w:rsidR="003E6E27" w:rsidRDefault="003E6E27" w:rsidP="003E6E27">
      <w:pPr>
        <w:tabs>
          <w:tab w:val="left" w:pos="510"/>
        </w:tabs>
        <w:jc w:val="center"/>
        <w:rPr>
          <w:rFonts w:ascii="Arial" w:hAnsi="Arial"/>
          <w:noProof/>
          <w:sz w:val="32"/>
        </w:rPr>
      </w:pPr>
      <w:r>
        <w:rPr>
          <w:rFonts w:ascii="Arial" w:hAnsi="Arial"/>
          <w:b/>
          <w:sz w:val="32"/>
        </w:rPr>
        <w:t>Commercial Team</w:t>
      </w:r>
    </w:p>
    <w:p w14:paraId="5126618B" w14:textId="77777777" w:rsidR="003E6E27" w:rsidRDefault="003E6E27" w:rsidP="003E6E27">
      <w:pPr>
        <w:tabs>
          <w:tab w:val="left" w:pos="510"/>
        </w:tabs>
        <w:jc w:val="center"/>
        <w:rPr>
          <w:rFonts w:ascii="Arial" w:hAnsi="Arial"/>
          <w:noProof/>
          <w:sz w:val="32"/>
        </w:rPr>
      </w:pPr>
    </w:p>
    <w:p w14:paraId="487903FD" w14:textId="77777777" w:rsidR="003E6E27" w:rsidRDefault="003E6E27" w:rsidP="003E6E27">
      <w:pPr>
        <w:tabs>
          <w:tab w:val="left" w:pos="510"/>
        </w:tabs>
        <w:jc w:val="center"/>
        <w:rPr>
          <w:rFonts w:ascii="Arial" w:hAnsi="Arial"/>
          <w:b/>
          <w:sz w:val="32"/>
        </w:rPr>
      </w:pPr>
    </w:p>
    <w:p w14:paraId="659AC95D" w14:textId="77777777" w:rsidR="003E6E27" w:rsidRDefault="003E6E27" w:rsidP="003E6E27">
      <w:pPr>
        <w:tabs>
          <w:tab w:val="left" w:pos="510"/>
        </w:tabs>
        <w:jc w:val="center"/>
        <w:rPr>
          <w:rFonts w:ascii="Arial" w:hAnsi="Arial"/>
          <w:b/>
          <w:sz w:val="32"/>
        </w:rPr>
      </w:pPr>
    </w:p>
    <w:p w14:paraId="7E2BE76C" w14:textId="77777777" w:rsidR="003E6E27" w:rsidRDefault="003E6E27" w:rsidP="003E6E27">
      <w:pPr>
        <w:tabs>
          <w:tab w:val="left" w:pos="510"/>
        </w:tabs>
        <w:jc w:val="center"/>
        <w:rPr>
          <w:rFonts w:ascii="Arial" w:hAnsi="Arial"/>
          <w:b/>
          <w:sz w:val="32"/>
        </w:rPr>
      </w:pPr>
      <w:r>
        <w:rPr>
          <w:noProof/>
        </w:rPr>
        <w:drawing>
          <wp:inline distT="0" distB="0" distL="0" distR="0" wp14:anchorId="60749D5B" wp14:editId="74C5A61D">
            <wp:extent cx="2743200" cy="923925"/>
            <wp:effectExtent l="0" t="0" r="0" b="9525"/>
            <wp:docPr id="1" name="Picture 1" descr="SCC_logo_RGB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_logo_RGB 2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923925"/>
                    </a:xfrm>
                    <a:prstGeom prst="rect">
                      <a:avLst/>
                    </a:prstGeom>
                    <a:noFill/>
                    <a:ln>
                      <a:noFill/>
                    </a:ln>
                  </pic:spPr>
                </pic:pic>
              </a:graphicData>
            </a:graphic>
          </wp:inline>
        </w:drawing>
      </w:r>
    </w:p>
    <w:p w14:paraId="755A16FD" w14:textId="77777777" w:rsidR="003E6E27" w:rsidRDefault="003E6E27" w:rsidP="003E6E27">
      <w:pPr>
        <w:tabs>
          <w:tab w:val="left" w:pos="510"/>
        </w:tabs>
        <w:jc w:val="center"/>
        <w:rPr>
          <w:rFonts w:ascii="Arial" w:hAnsi="Arial"/>
          <w:b/>
          <w:sz w:val="32"/>
        </w:rPr>
      </w:pPr>
    </w:p>
    <w:p w14:paraId="1C30D263" w14:textId="77777777" w:rsidR="003E6E27" w:rsidRDefault="003E6E27" w:rsidP="003E6E27">
      <w:pPr>
        <w:tabs>
          <w:tab w:val="left" w:pos="510"/>
        </w:tabs>
        <w:jc w:val="center"/>
        <w:rPr>
          <w:rFonts w:ascii="Arial" w:hAnsi="Arial" w:cs="Arial"/>
          <w:b/>
          <w:sz w:val="32"/>
          <w:szCs w:val="32"/>
        </w:rPr>
      </w:pPr>
    </w:p>
    <w:p w14:paraId="1803D7CA" w14:textId="77777777" w:rsidR="003E6E27" w:rsidRDefault="003E6E27" w:rsidP="003E6E27">
      <w:pPr>
        <w:tabs>
          <w:tab w:val="left" w:pos="510"/>
        </w:tabs>
        <w:jc w:val="center"/>
        <w:rPr>
          <w:rFonts w:ascii="Arial" w:hAnsi="Arial" w:cs="Arial"/>
          <w:b/>
          <w:sz w:val="32"/>
          <w:szCs w:val="32"/>
        </w:rPr>
      </w:pPr>
    </w:p>
    <w:p w14:paraId="667A2038" w14:textId="77777777" w:rsidR="003E6E27" w:rsidRDefault="00307A11" w:rsidP="003E6E27">
      <w:pPr>
        <w:pStyle w:val="Heading3"/>
        <w:tabs>
          <w:tab w:val="left" w:pos="510"/>
        </w:tabs>
        <w:jc w:val="center"/>
        <w:rPr>
          <w:rFonts w:ascii="Arial" w:hAnsi="Arial"/>
          <w:sz w:val="32"/>
        </w:rPr>
      </w:pPr>
      <w:r>
        <w:rPr>
          <w:rFonts w:ascii="Arial" w:hAnsi="Arial"/>
          <w:sz w:val="32"/>
        </w:rPr>
        <w:t>Specification of Requirements</w:t>
      </w:r>
    </w:p>
    <w:p w14:paraId="7632FB41" w14:textId="77777777" w:rsidR="003E6E27" w:rsidRDefault="003E6E27" w:rsidP="003E6E27">
      <w:pPr>
        <w:tabs>
          <w:tab w:val="left" w:pos="510"/>
        </w:tabs>
        <w:rPr>
          <w:rFonts w:ascii="Arial" w:hAnsi="Arial"/>
          <w:b/>
          <w:sz w:val="32"/>
        </w:rPr>
      </w:pPr>
    </w:p>
    <w:p w14:paraId="1CDDD092" w14:textId="2840A169" w:rsidR="003E6E27" w:rsidRDefault="003E6E27" w:rsidP="003E6E27">
      <w:pPr>
        <w:tabs>
          <w:tab w:val="left" w:pos="510"/>
        </w:tabs>
        <w:jc w:val="center"/>
        <w:rPr>
          <w:rFonts w:ascii="Arial" w:hAnsi="Arial"/>
          <w:b/>
          <w:sz w:val="32"/>
        </w:rPr>
      </w:pPr>
      <w:proofErr w:type="spellStart"/>
      <w:r w:rsidRPr="0041708F">
        <w:rPr>
          <w:rFonts w:ascii="Arial" w:hAnsi="Arial"/>
          <w:b/>
          <w:sz w:val="32"/>
        </w:rPr>
        <w:t>Bikeability</w:t>
      </w:r>
      <w:proofErr w:type="spellEnd"/>
      <w:r w:rsidRPr="0041708F">
        <w:rPr>
          <w:rFonts w:ascii="Arial" w:hAnsi="Arial"/>
          <w:b/>
          <w:sz w:val="32"/>
        </w:rPr>
        <w:t xml:space="preserve"> Cycle Training</w:t>
      </w:r>
    </w:p>
    <w:p w14:paraId="527D09C4" w14:textId="0B3BA02F" w:rsidR="00C93FCF" w:rsidRDefault="00C93FCF" w:rsidP="003E6E27">
      <w:pPr>
        <w:tabs>
          <w:tab w:val="left" w:pos="510"/>
        </w:tabs>
        <w:jc w:val="center"/>
        <w:rPr>
          <w:rFonts w:ascii="Arial" w:hAnsi="Arial"/>
          <w:b/>
          <w:sz w:val="32"/>
        </w:rPr>
      </w:pPr>
    </w:p>
    <w:p w14:paraId="7FDE588E" w14:textId="0FF83228" w:rsidR="00C93FCF" w:rsidRDefault="00C93FCF" w:rsidP="003E6E27">
      <w:pPr>
        <w:tabs>
          <w:tab w:val="left" w:pos="510"/>
        </w:tabs>
        <w:jc w:val="center"/>
        <w:rPr>
          <w:rFonts w:ascii="Arial" w:hAnsi="Arial"/>
          <w:b/>
          <w:sz w:val="32"/>
        </w:rPr>
      </w:pPr>
    </w:p>
    <w:p w14:paraId="3FA8D1AB" w14:textId="7B1469F3" w:rsidR="00C93FCF" w:rsidRPr="0041708F" w:rsidRDefault="008D3EA9" w:rsidP="00C93FCF">
      <w:pPr>
        <w:tabs>
          <w:tab w:val="left" w:pos="510"/>
        </w:tabs>
        <w:jc w:val="center"/>
        <w:rPr>
          <w:rFonts w:ascii="Arial" w:hAnsi="Arial"/>
          <w:b/>
          <w:sz w:val="32"/>
        </w:rPr>
      </w:pPr>
      <w:r>
        <w:rPr>
          <w:rFonts w:ascii="Arial" w:hAnsi="Arial"/>
          <w:b/>
          <w:sz w:val="32"/>
        </w:rPr>
        <w:t>IA1898</w:t>
      </w:r>
    </w:p>
    <w:p w14:paraId="04973082" w14:textId="77777777" w:rsidR="003E6E27" w:rsidRPr="0041708F" w:rsidRDefault="003E6E27" w:rsidP="003E6E27">
      <w:pPr>
        <w:tabs>
          <w:tab w:val="left" w:pos="510"/>
        </w:tabs>
        <w:jc w:val="center"/>
        <w:rPr>
          <w:rFonts w:ascii="Arial" w:hAnsi="Arial" w:cs="Arial"/>
          <w:b/>
          <w:sz w:val="32"/>
          <w:szCs w:val="32"/>
        </w:rPr>
      </w:pPr>
    </w:p>
    <w:p w14:paraId="372C98EF" w14:textId="26DDDBA9" w:rsidR="003E6E27" w:rsidRPr="00C93FCF" w:rsidRDefault="003E6E27" w:rsidP="003E6E27">
      <w:pPr>
        <w:tabs>
          <w:tab w:val="left" w:pos="510"/>
        </w:tabs>
        <w:jc w:val="center"/>
        <w:rPr>
          <w:rFonts w:ascii="Arial" w:hAnsi="Arial"/>
          <w:sz w:val="32"/>
        </w:rPr>
      </w:pPr>
    </w:p>
    <w:p w14:paraId="44F3DB05" w14:textId="77777777" w:rsidR="003E6E27" w:rsidRPr="0041708F" w:rsidRDefault="003E6E27" w:rsidP="003E6E27">
      <w:pPr>
        <w:tabs>
          <w:tab w:val="left" w:pos="510"/>
        </w:tabs>
        <w:jc w:val="center"/>
        <w:rPr>
          <w:rFonts w:ascii="Arial" w:hAnsi="Arial"/>
          <w:b/>
          <w:sz w:val="32"/>
        </w:rPr>
      </w:pPr>
    </w:p>
    <w:p w14:paraId="5A26329F" w14:textId="77777777" w:rsidR="003E6E27" w:rsidRDefault="003E6E27" w:rsidP="003E6E27">
      <w:pPr>
        <w:pStyle w:val="Heading3"/>
        <w:tabs>
          <w:tab w:val="left" w:pos="510"/>
        </w:tabs>
        <w:jc w:val="center"/>
        <w:rPr>
          <w:rFonts w:ascii="Arial" w:hAnsi="Arial"/>
          <w:sz w:val="28"/>
          <w:szCs w:val="28"/>
        </w:rPr>
      </w:pPr>
    </w:p>
    <w:p w14:paraId="0670D582" w14:textId="77777777" w:rsidR="003E6E27" w:rsidRDefault="003E6E27" w:rsidP="003E6E27">
      <w:pPr>
        <w:pStyle w:val="Heading3"/>
        <w:tabs>
          <w:tab w:val="left" w:pos="510"/>
        </w:tabs>
        <w:jc w:val="center"/>
        <w:rPr>
          <w:rFonts w:ascii="Arial" w:hAnsi="Arial"/>
          <w:sz w:val="28"/>
          <w:szCs w:val="28"/>
        </w:rPr>
      </w:pPr>
    </w:p>
    <w:p w14:paraId="6DCC8C19" w14:textId="77777777" w:rsidR="003A7374" w:rsidRDefault="003A7374">
      <w:pPr>
        <w:spacing w:after="160" w:line="259" w:lineRule="auto"/>
        <w:jc w:val="left"/>
      </w:pPr>
    </w:p>
    <w:p w14:paraId="5B2798E3" w14:textId="77777777" w:rsidR="003A7374" w:rsidRDefault="003A7374">
      <w:pPr>
        <w:spacing w:after="160" w:line="259" w:lineRule="auto"/>
        <w:jc w:val="left"/>
        <w:rPr>
          <w:rFonts w:ascii="Arial" w:hAnsi="Arial" w:cs="Arial"/>
          <w:sz w:val="24"/>
          <w:szCs w:val="24"/>
        </w:rPr>
      </w:pPr>
      <w:r>
        <w:rPr>
          <w:rFonts w:ascii="Arial" w:hAnsi="Arial" w:cs="Arial"/>
          <w:sz w:val="24"/>
          <w:szCs w:val="24"/>
        </w:rPr>
        <w:t>Specification contents</w:t>
      </w:r>
    </w:p>
    <w:tbl>
      <w:tblPr>
        <w:tblStyle w:val="TableGrid"/>
        <w:tblW w:w="0" w:type="auto"/>
        <w:tblLook w:val="04A0" w:firstRow="1" w:lastRow="0" w:firstColumn="1" w:lastColumn="0" w:noHBand="0" w:noVBand="1"/>
      </w:tblPr>
      <w:tblGrid>
        <w:gridCol w:w="804"/>
        <w:gridCol w:w="5223"/>
        <w:gridCol w:w="2989"/>
      </w:tblGrid>
      <w:tr w:rsidR="003A7374" w:rsidRPr="003A7374" w14:paraId="0FF5D8B2" w14:textId="77777777" w:rsidTr="003A7374">
        <w:tc>
          <w:tcPr>
            <w:tcW w:w="817" w:type="dxa"/>
          </w:tcPr>
          <w:p w14:paraId="19211568" w14:textId="77777777" w:rsidR="003A7374" w:rsidRPr="003A7374" w:rsidRDefault="003A7374">
            <w:pPr>
              <w:spacing w:after="160" w:line="259" w:lineRule="auto"/>
              <w:jc w:val="left"/>
              <w:rPr>
                <w:rFonts w:ascii="Arial" w:hAnsi="Arial" w:cs="Arial"/>
                <w:sz w:val="24"/>
                <w:szCs w:val="24"/>
              </w:rPr>
            </w:pPr>
            <w:r w:rsidRPr="003A7374">
              <w:rPr>
                <w:rFonts w:ascii="Arial" w:hAnsi="Arial" w:cs="Arial"/>
                <w:sz w:val="24"/>
                <w:szCs w:val="24"/>
              </w:rPr>
              <w:t>1.</w:t>
            </w:r>
          </w:p>
        </w:tc>
        <w:tc>
          <w:tcPr>
            <w:tcW w:w="5344" w:type="dxa"/>
          </w:tcPr>
          <w:p w14:paraId="253F0190" w14:textId="77777777" w:rsidR="003A7374" w:rsidRPr="003A7374" w:rsidRDefault="003A7374">
            <w:pPr>
              <w:spacing w:after="160" w:line="259" w:lineRule="auto"/>
              <w:jc w:val="left"/>
              <w:rPr>
                <w:rFonts w:ascii="Arial" w:hAnsi="Arial" w:cs="Arial"/>
                <w:sz w:val="24"/>
                <w:szCs w:val="24"/>
              </w:rPr>
            </w:pPr>
            <w:r w:rsidRPr="003A7374">
              <w:rPr>
                <w:rFonts w:ascii="Arial" w:hAnsi="Arial" w:cs="Arial"/>
                <w:sz w:val="24"/>
                <w:szCs w:val="24"/>
              </w:rPr>
              <w:t xml:space="preserve">Scheme </w:t>
            </w:r>
          </w:p>
        </w:tc>
        <w:tc>
          <w:tcPr>
            <w:tcW w:w="3081" w:type="dxa"/>
          </w:tcPr>
          <w:p w14:paraId="7D2BAF6D" w14:textId="77777777" w:rsidR="003A7374" w:rsidRPr="003A7374" w:rsidRDefault="003A7374">
            <w:pPr>
              <w:spacing w:after="160" w:line="259" w:lineRule="auto"/>
              <w:jc w:val="left"/>
              <w:rPr>
                <w:rFonts w:ascii="Arial" w:hAnsi="Arial" w:cs="Arial"/>
                <w:sz w:val="24"/>
                <w:szCs w:val="24"/>
              </w:rPr>
            </w:pPr>
          </w:p>
        </w:tc>
      </w:tr>
      <w:tr w:rsidR="003A7374" w:rsidRPr="003A7374" w14:paraId="3FCCF8CD" w14:textId="77777777" w:rsidTr="003A7374">
        <w:tc>
          <w:tcPr>
            <w:tcW w:w="817" w:type="dxa"/>
          </w:tcPr>
          <w:p w14:paraId="6586CDF3" w14:textId="77777777" w:rsidR="003A7374" w:rsidRPr="003A7374" w:rsidRDefault="003A7374">
            <w:pPr>
              <w:spacing w:after="160" w:line="259" w:lineRule="auto"/>
              <w:jc w:val="left"/>
              <w:rPr>
                <w:rFonts w:ascii="Arial" w:hAnsi="Arial" w:cs="Arial"/>
                <w:sz w:val="24"/>
                <w:szCs w:val="24"/>
              </w:rPr>
            </w:pPr>
            <w:r>
              <w:rPr>
                <w:rFonts w:ascii="Arial" w:hAnsi="Arial" w:cs="Arial"/>
                <w:sz w:val="24"/>
                <w:szCs w:val="24"/>
              </w:rPr>
              <w:t>2.</w:t>
            </w:r>
          </w:p>
        </w:tc>
        <w:tc>
          <w:tcPr>
            <w:tcW w:w="5344" w:type="dxa"/>
          </w:tcPr>
          <w:p w14:paraId="7F97C056" w14:textId="77777777" w:rsidR="003A7374" w:rsidRPr="003A7374" w:rsidRDefault="003A7374">
            <w:pPr>
              <w:spacing w:after="160" w:line="259" w:lineRule="auto"/>
              <w:jc w:val="left"/>
              <w:rPr>
                <w:rFonts w:ascii="Arial" w:hAnsi="Arial" w:cs="Arial"/>
                <w:sz w:val="24"/>
                <w:szCs w:val="24"/>
              </w:rPr>
            </w:pPr>
            <w:r>
              <w:rPr>
                <w:rFonts w:ascii="Arial" w:hAnsi="Arial" w:cs="Arial"/>
                <w:sz w:val="24"/>
                <w:szCs w:val="24"/>
              </w:rPr>
              <w:t>KPI &amp; Report requirements</w:t>
            </w:r>
          </w:p>
        </w:tc>
        <w:tc>
          <w:tcPr>
            <w:tcW w:w="3081" w:type="dxa"/>
          </w:tcPr>
          <w:p w14:paraId="7BBA9402" w14:textId="77777777" w:rsidR="003A7374" w:rsidRPr="003A7374" w:rsidRDefault="003A7374">
            <w:pPr>
              <w:spacing w:after="160" w:line="259" w:lineRule="auto"/>
              <w:jc w:val="left"/>
              <w:rPr>
                <w:rFonts w:ascii="Arial" w:hAnsi="Arial" w:cs="Arial"/>
                <w:sz w:val="24"/>
                <w:szCs w:val="24"/>
              </w:rPr>
            </w:pPr>
          </w:p>
        </w:tc>
      </w:tr>
      <w:tr w:rsidR="003A7374" w:rsidRPr="003A7374" w14:paraId="4A4C4E63" w14:textId="77777777" w:rsidTr="003A7374">
        <w:tc>
          <w:tcPr>
            <w:tcW w:w="817" w:type="dxa"/>
          </w:tcPr>
          <w:p w14:paraId="3571B5DA" w14:textId="77777777" w:rsidR="003A7374" w:rsidRPr="003A7374" w:rsidRDefault="003A7374">
            <w:pPr>
              <w:spacing w:after="160" w:line="259" w:lineRule="auto"/>
              <w:jc w:val="left"/>
              <w:rPr>
                <w:rFonts w:ascii="Arial" w:hAnsi="Arial" w:cs="Arial"/>
                <w:sz w:val="24"/>
                <w:szCs w:val="24"/>
              </w:rPr>
            </w:pPr>
            <w:r>
              <w:rPr>
                <w:rFonts w:ascii="Arial" w:hAnsi="Arial" w:cs="Arial"/>
                <w:sz w:val="24"/>
                <w:szCs w:val="24"/>
              </w:rPr>
              <w:t>3.</w:t>
            </w:r>
          </w:p>
        </w:tc>
        <w:tc>
          <w:tcPr>
            <w:tcW w:w="5344" w:type="dxa"/>
          </w:tcPr>
          <w:p w14:paraId="665A3CD1" w14:textId="77777777" w:rsidR="003A7374" w:rsidRPr="003A7374" w:rsidRDefault="003A7374">
            <w:pPr>
              <w:spacing w:after="160" w:line="259" w:lineRule="auto"/>
              <w:jc w:val="left"/>
              <w:rPr>
                <w:rFonts w:ascii="Arial" w:hAnsi="Arial" w:cs="Arial"/>
                <w:sz w:val="24"/>
                <w:szCs w:val="24"/>
              </w:rPr>
            </w:pPr>
            <w:r>
              <w:rPr>
                <w:rFonts w:ascii="Arial" w:hAnsi="Arial" w:cs="Arial"/>
                <w:sz w:val="24"/>
                <w:szCs w:val="24"/>
              </w:rPr>
              <w:t>Supplier requirements</w:t>
            </w:r>
          </w:p>
        </w:tc>
        <w:tc>
          <w:tcPr>
            <w:tcW w:w="3081" w:type="dxa"/>
          </w:tcPr>
          <w:p w14:paraId="2EDC08DA" w14:textId="77777777" w:rsidR="003A7374" w:rsidRPr="003A7374" w:rsidRDefault="003A7374">
            <w:pPr>
              <w:spacing w:after="160" w:line="259" w:lineRule="auto"/>
              <w:jc w:val="left"/>
              <w:rPr>
                <w:rFonts w:ascii="Arial" w:hAnsi="Arial" w:cs="Arial"/>
                <w:sz w:val="24"/>
                <w:szCs w:val="24"/>
              </w:rPr>
            </w:pPr>
          </w:p>
        </w:tc>
      </w:tr>
      <w:tr w:rsidR="003A7374" w:rsidRPr="003A7374" w14:paraId="6F3FDC33" w14:textId="77777777" w:rsidTr="003A7374">
        <w:tc>
          <w:tcPr>
            <w:tcW w:w="817" w:type="dxa"/>
          </w:tcPr>
          <w:p w14:paraId="6C6818D5" w14:textId="77777777" w:rsidR="003A7374" w:rsidRPr="003A7374" w:rsidRDefault="003A7374">
            <w:pPr>
              <w:spacing w:after="160" w:line="259" w:lineRule="auto"/>
              <w:jc w:val="left"/>
              <w:rPr>
                <w:rFonts w:ascii="Arial" w:hAnsi="Arial" w:cs="Arial"/>
                <w:sz w:val="24"/>
                <w:szCs w:val="24"/>
              </w:rPr>
            </w:pPr>
            <w:r>
              <w:rPr>
                <w:rFonts w:ascii="Arial" w:hAnsi="Arial" w:cs="Arial"/>
                <w:sz w:val="24"/>
                <w:szCs w:val="24"/>
              </w:rPr>
              <w:t>4.</w:t>
            </w:r>
          </w:p>
        </w:tc>
        <w:tc>
          <w:tcPr>
            <w:tcW w:w="5344" w:type="dxa"/>
          </w:tcPr>
          <w:p w14:paraId="708DA0A8" w14:textId="77777777" w:rsidR="003A7374" w:rsidRPr="003A7374" w:rsidRDefault="003A7374">
            <w:pPr>
              <w:spacing w:after="160" w:line="259" w:lineRule="auto"/>
              <w:jc w:val="left"/>
              <w:rPr>
                <w:rFonts w:ascii="Arial" w:hAnsi="Arial" w:cs="Arial"/>
                <w:sz w:val="24"/>
                <w:szCs w:val="24"/>
              </w:rPr>
            </w:pPr>
            <w:r>
              <w:rPr>
                <w:rFonts w:ascii="Arial" w:hAnsi="Arial" w:cs="Arial"/>
                <w:sz w:val="24"/>
                <w:szCs w:val="24"/>
              </w:rPr>
              <w:t>Professional service delivery</w:t>
            </w:r>
          </w:p>
        </w:tc>
        <w:tc>
          <w:tcPr>
            <w:tcW w:w="3081" w:type="dxa"/>
          </w:tcPr>
          <w:p w14:paraId="045941D9" w14:textId="77777777" w:rsidR="003A7374" w:rsidRPr="003A7374" w:rsidRDefault="003A7374">
            <w:pPr>
              <w:spacing w:after="160" w:line="259" w:lineRule="auto"/>
              <w:jc w:val="left"/>
              <w:rPr>
                <w:rFonts w:ascii="Arial" w:hAnsi="Arial" w:cs="Arial"/>
                <w:sz w:val="24"/>
                <w:szCs w:val="24"/>
              </w:rPr>
            </w:pPr>
          </w:p>
        </w:tc>
      </w:tr>
      <w:tr w:rsidR="003A7374" w:rsidRPr="003A7374" w14:paraId="1A0156CC" w14:textId="77777777" w:rsidTr="003A7374">
        <w:tc>
          <w:tcPr>
            <w:tcW w:w="817" w:type="dxa"/>
          </w:tcPr>
          <w:p w14:paraId="7FEF7D78" w14:textId="77777777" w:rsidR="003A7374" w:rsidRPr="003A7374" w:rsidRDefault="003A7374">
            <w:pPr>
              <w:spacing w:after="160" w:line="259" w:lineRule="auto"/>
              <w:jc w:val="left"/>
              <w:rPr>
                <w:rFonts w:ascii="Arial" w:hAnsi="Arial" w:cs="Arial"/>
                <w:sz w:val="24"/>
                <w:szCs w:val="24"/>
              </w:rPr>
            </w:pPr>
            <w:r>
              <w:rPr>
                <w:rFonts w:ascii="Arial" w:hAnsi="Arial" w:cs="Arial"/>
                <w:sz w:val="24"/>
                <w:szCs w:val="24"/>
              </w:rPr>
              <w:t>5.</w:t>
            </w:r>
          </w:p>
        </w:tc>
        <w:tc>
          <w:tcPr>
            <w:tcW w:w="5344" w:type="dxa"/>
          </w:tcPr>
          <w:p w14:paraId="21AD68FF" w14:textId="77777777" w:rsidR="003A7374" w:rsidRPr="003A7374" w:rsidRDefault="003A7374">
            <w:pPr>
              <w:spacing w:after="160" w:line="259" w:lineRule="auto"/>
              <w:jc w:val="left"/>
              <w:rPr>
                <w:rFonts w:ascii="Arial" w:hAnsi="Arial" w:cs="Arial"/>
                <w:sz w:val="24"/>
                <w:szCs w:val="24"/>
              </w:rPr>
            </w:pPr>
            <w:r>
              <w:rPr>
                <w:rFonts w:ascii="Arial" w:hAnsi="Arial" w:cs="Arial"/>
                <w:sz w:val="24"/>
                <w:szCs w:val="24"/>
              </w:rPr>
              <w:t>Policies</w:t>
            </w:r>
          </w:p>
        </w:tc>
        <w:tc>
          <w:tcPr>
            <w:tcW w:w="3081" w:type="dxa"/>
          </w:tcPr>
          <w:p w14:paraId="14A1B09E" w14:textId="77777777" w:rsidR="003A7374" w:rsidRPr="003A7374" w:rsidRDefault="003A7374">
            <w:pPr>
              <w:spacing w:after="160" w:line="259" w:lineRule="auto"/>
              <w:jc w:val="left"/>
              <w:rPr>
                <w:rFonts w:ascii="Arial" w:hAnsi="Arial" w:cs="Arial"/>
                <w:sz w:val="24"/>
                <w:szCs w:val="24"/>
              </w:rPr>
            </w:pPr>
          </w:p>
        </w:tc>
      </w:tr>
      <w:tr w:rsidR="003A7374" w:rsidRPr="003A7374" w14:paraId="7A93EBCC" w14:textId="77777777" w:rsidTr="003A7374">
        <w:tc>
          <w:tcPr>
            <w:tcW w:w="817" w:type="dxa"/>
          </w:tcPr>
          <w:p w14:paraId="406B88D5" w14:textId="77777777" w:rsidR="003A7374" w:rsidRPr="003A7374" w:rsidRDefault="003A7374">
            <w:pPr>
              <w:spacing w:after="160" w:line="259" w:lineRule="auto"/>
              <w:jc w:val="left"/>
              <w:rPr>
                <w:rFonts w:ascii="Arial" w:hAnsi="Arial" w:cs="Arial"/>
                <w:sz w:val="24"/>
                <w:szCs w:val="24"/>
              </w:rPr>
            </w:pPr>
            <w:r>
              <w:rPr>
                <w:rFonts w:ascii="Arial" w:hAnsi="Arial" w:cs="Arial"/>
                <w:sz w:val="24"/>
                <w:szCs w:val="24"/>
              </w:rPr>
              <w:t>6.</w:t>
            </w:r>
          </w:p>
        </w:tc>
        <w:tc>
          <w:tcPr>
            <w:tcW w:w="5344" w:type="dxa"/>
          </w:tcPr>
          <w:p w14:paraId="786D1A1C" w14:textId="77777777" w:rsidR="003A7374" w:rsidRPr="003A7374" w:rsidRDefault="003A7374">
            <w:pPr>
              <w:spacing w:after="160" w:line="259" w:lineRule="auto"/>
              <w:jc w:val="left"/>
              <w:rPr>
                <w:rFonts w:ascii="Arial" w:hAnsi="Arial" w:cs="Arial"/>
                <w:sz w:val="24"/>
                <w:szCs w:val="24"/>
              </w:rPr>
            </w:pPr>
            <w:r>
              <w:rPr>
                <w:rFonts w:ascii="Arial" w:hAnsi="Arial" w:cs="Arial"/>
                <w:sz w:val="24"/>
                <w:szCs w:val="24"/>
              </w:rPr>
              <w:t>Paperwork</w:t>
            </w:r>
          </w:p>
        </w:tc>
        <w:tc>
          <w:tcPr>
            <w:tcW w:w="3081" w:type="dxa"/>
          </w:tcPr>
          <w:p w14:paraId="0C8F8FFF" w14:textId="77777777" w:rsidR="003A7374" w:rsidRPr="003A7374" w:rsidRDefault="003A7374">
            <w:pPr>
              <w:spacing w:after="160" w:line="259" w:lineRule="auto"/>
              <w:jc w:val="left"/>
              <w:rPr>
                <w:rFonts w:ascii="Arial" w:hAnsi="Arial" w:cs="Arial"/>
                <w:sz w:val="24"/>
                <w:szCs w:val="24"/>
              </w:rPr>
            </w:pPr>
          </w:p>
        </w:tc>
      </w:tr>
      <w:tr w:rsidR="003A7374" w:rsidRPr="003A7374" w14:paraId="0AD4367B" w14:textId="77777777" w:rsidTr="003A7374">
        <w:tc>
          <w:tcPr>
            <w:tcW w:w="817" w:type="dxa"/>
          </w:tcPr>
          <w:p w14:paraId="17C9D9DD" w14:textId="77777777" w:rsidR="003A7374" w:rsidRPr="003A7374" w:rsidRDefault="009F19D9">
            <w:pPr>
              <w:spacing w:after="160" w:line="259" w:lineRule="auto"/>
              <w:jc w:val="left"/>
              <w:rPr>
                <w:rFonts w:ascii="Arial" w:hAnsi="Arial" w:cs="Arial"/>
                <w:sz w:val="24"/>
                <w:szCs w:val="24"/>
              </w:rPr>
            </w:pPr>
            <w:r>
              <w:rPr>
                <w:rFonts w:ascii="Arial" w:hAnsi="Arial" w:cs="Arial"/>
                <w:sz w:val="24"/>
                <w:szCs w:val="24"/>
              </w:rPr>
              <w:t>7.</w:t>
            </w:r>
          </w:p>
        </w:tc>
        <w:tc>
          <w:tcPr>
            <w:tcW w:w="5344" w:type="dxa"/>
          </w:tcPr>
          <w:p w14:paraId="35B7A45D" w14:textId="77777777" w:rsidR="003A7374" w:rsidRPr="003A7374" w:rsidRDefault="009F19D9">
            <w:pPr>
              <w:spacing w:after="160" w:line="259" w:lineRule="auto"/>
              <w:jc w:val="left"/>
              <w:rPr>
                <w:rFonts w:ascii="Arial" w:hAnsi="Arial" w:cs="Arial"/>
                <w:sz w:val="24"/>
                <w:szCs w:val="24"/>
              </w:rPr>
            </w:pPr>
            <w:r>
              <w:rPr>
                <w:rFonts w:ascii="Arial" w:hAnsi="Arial" w:cs="Arial"/>
                <w:sz w:val="24"/>
                <w:szCs w:val="24"/>
              </w:rPr>
              <w:t>Price</w:t>
            </w:r>
          </w:p>
        </w:tc>
        <w:tc>
          <w:tcPr>
            <w:tcW w:w="3081" w:type="dxa"/>
          </w:tcPr>
          <w:p w14:paraId="61295CA6" w14:textId="77777777" w:rsidR="003A7374" w:rsidRPr="003A7374" w:rsidRDefault="003A7374">
            <w:pPr>
              <w:spacing w:after="160" w:line="259" w:lineRule="auto"/>
              <w:jc w:val="left"/>
              <w:rPr>
                <w:rFonts w:ascii="Arial" w:hAnsi="Arial" w:cs="Arial"/>
                <w:sz w:val="24"/>
                <w:szCs w:val="24"/>
              </w:rPr>
            </w:pPr>
          </w:p>
        </w:tc>
      </w:tr>
      <w:tr w:rsidR="003A7374" w:rsidRPr="003A7374" w14:paraId="46F7BC59" w14:textId="77777777" w:rsidTr="003A7374">
        <w:tc>
          <w:tcPr>
            <w:tcW w:w="817" w:type="dxa"/>
          </w:tcPr>
          <w:p w14:paraId="0A3ACEEC" w14:textId="77777777" w:rsidR="003A7374" w:rsidRPr="003A7374" w:rsidRDefault="003A7374">
            <w:pPr>
              <w:spacing w:after="160" w:line="259" w:lineRule="auto"/>
              <w:jc w:val="left"/>
              <w:rPr>
                <w:rFonts w:ascii="Arial" w:hAnsi="Arial" w:cs="Arial"/>
                <w:sz w:val="24"/>
                <w:szCs w:val="24"/>
              </w:rPr>
            </w:pPr>
          </w:p>
        </w:tc>
        <w:tc>
          <w:tcPr>
            <w:tcW w:w="5344" w:type="dxa"/>
          </w:tcPr>
          <w:p w14:paraId="0D20FD18" w14:textId="77777777" w:rsidR="003A7374" w:rsidRPr="003A7374" w:rsidRDefault="009F19D9">
            <w:pPr>
              <w:spacing w:after="160" w:line="259" w:lineRule="auto"/>
              <w:jc w:val="left"/>
              <w:rPr>
                <w:rFonts w:ascii="Arial" w:hAnsi="Arial" w:cs="Arial"/>
                <w:sz w:val="24"/>
                <w:szCs w:val="24"/>
              </w:rPr>
            </w:pPr>
            <w:r>
              <w:rPr>
                <w:rFonts w:ascii="Arial" w:hAnsi="Arial" w:cs="Arial"/>
                <w:sz w:val="24"/>
                <w:szCs w:val="24"/>
              </w:rPr>
              <w:t>Compliance Triggers</w:t>
            </w:r>
          </w:p>
        </w:tc>
        <w:tc>
          <w:tcPr>
            <w:tcW w:w="3081" w:type="dxa"/>
          </w:tcPr>
          <w:p w14:paraId="459A2E87" w14:textId="77777777" w:rsidR="003A7374" w:rsidRPr="003A7374" w:rsidRDefault="003A7374">
            <w:pPr>
              <w:spacing w:after="160" w:line="259" w:lineRule="auto"/>
              <w:jc w:val="left"/>
              <w:rPr>
                <w:rFonts w:ascii="Arial" w:hAnsi="Arial" w:cs="Arial"/>
                <w:sz w:val="24"/>
                <w:szCs w:val="24"/>
              </w:rPr>
            </w:pPr>
          </w:p>
        </w:tc>
      </w:tr>
    </w:tbl>
    <w:p w14:paraId="29016ADD" w14:textId="77777777" w:rsidR="009A5B38" w:rsidRDefault="009A5B38">
      <w:pPr>
        <w:spacing w:after="160" w:line="259" w:lineRule="auto"/>
        <w:jc w:val="left"/>
      </w:pPr>
    </w:p>
    <w:p w14:paraId="366D7388" w14:textId="77777777" w:rsidR="00307A11" w:rsidRDefault="003E6E27">
      <w:pPr>
        <w:spacing w:after="160" w:line="259" w:lineRule="auto"/>
        <w:jc w:val="left"/>
      </w:pPr>
      <w:r>
        <w:br w:type="page"/>
      </w:r>
    </w:p>
    <w:p w14:paraId="1FF5FAAE" w14:textId="77777777" w:rsidR="00F91656" w:rsidRPr="00DE38C1" w:rsidRDefault="00F91656" w:rsidP="003A7374">
      <w:pPr>
        <w:pStyle w:val="ListParagraph"/>
        <w:numPr>
          <w:ilvl w:val="0"/>
          <w:numId w:val="1"/>
        </w:numPr>
        <w:spacing w:after="160" w:line="259" w:lineRule="auto"/>
        <w:jc w:val="left"/>
        <w:rPr>
          <w:rFonts w:ascii="Arial" w:hAnsi="Arial" w:cs="Arial"/>
          <w:b/>
          <w:sz w:val="24"/>
          <w:szCs w:val="24"/>
        </w:rPr>
      </w:pPr>
      <w:r w:rsidRPr="00DE38C1">
        <w:rPr>
          <w:rFonts w:ascii="Arial" w:hAnsi="Arial" w:cs="Arial"/>
          <w:b/>
          <w:sz w:val="24"/>
          <w:szCs w:val="24"/>
        </w:rPr>
        <w:lastRenderedPageBreak/>
        <w:t xml:space="preserve">Scheme </w:t>
      </w:r>
      <w:r w:rsidR="00A96213">
        <w:rPr>
          <w:rFonts w:ascii="Arial" w:hAnsi="Arial" w:cs="Arial"/>
          <w:b/>
          <w:sz w:val="24"/>
          <w:szCs w:val="24"/>
        </w:rPr>
        <w:t xml:space="preserve">information </w:t>
      </w:r>
      <w:r w:rsidRPr="00DE38C1">
        <w:rPr>
          <w:rFonts w:ascii="Arial" w:hAnsi="Arial" w:cs="Arial"/>
          <w:b/>
          <w:sz w:val="24"/>
          <w:szCs w:val="24"/>
        </w:rPr>
        <w:t xml:space="preserve"> </w:t>
      </w:r>
    </w:p>
    <w:p w14:paraId="3A9EA99F" w14:textId="77777777" w:rsidR="00103A03" w:rsidRPr="00103A03" w:rsidRDefault="009E553A" w:rsidP="00E7232E">
      <w:pPr>
        <w:rPr>
          <w:rFonts w:ascii="Arial" w:hAnsi="Arial" w:cs="Arial"/>
          <w:sz w:val="24"/>
          <w:szCs w:val="24"/>
        </w:rPr>
      </w:pPr>
      <w:hyperlink r:id="rId8" w:history="1">
        <w:r w:rsidR="00103A03" w:rsidRPr="00103A03">
          <w:rPr>
            <w:rStyle w:val="Hyperlink"/>
            <w:rFonts w:ascii="Arial" w:hAnsi="Arial" w:cs="Arial"/>
            <w:sz w:val="24"/>
            <w:szCs w:val="24"/>
          </w:rPr>
          <w:t>https://professionals.bikeability.org.uk/</w:t>
        </w:r>
      </w:hyperlink>
    </w:p>
    <w:p w14:paraId="73DE0C61" w14:textId="77777777" w:rsidR="00103A03" w:rsidRPr="00103A03" w:rsidRDefault="00103A03" w:rsidP="00E7232E">
      <w:pPr>
        <w:rPr>
          <w:rFonts w:ascii="Arial" w:hAnsi="Arial" w:cs="Arial"/>
          <w:sz w:val="24"/>
          <w:szCs w:val="24"/>
        </w:rPr>
      </w:pPr>
    </w:p>
    <w:p w14:paraId="288DDA5A" w14:textId="77777777" w:rsidR="00103A03" w:rsidRDefault="00103A03" w:rsidP="00103A03">
      <w:pPr>
        <w:jc w:val="left"/>
        <w:rPr>
          <w:rFonts w:ascii="Arial" w:hAnsi="Arial" w:cs="Arial"/>
          <w:sz w:val="24"/>
          <w:szCs w:val="24"/>
        </w:rPr>
      </w:pPr>
      <w:r w:rsidRPr="00103A03">
        <w:rPr>
          <w:rFonts w:ascii="Arial" w:hAnsi="Arial" w:cs="Arial"/>
          <w:sz w:val="24"/>
          <w:szCs w:val="24"/>
        </w:rPr>
        <w:t>Staffordshire County and Stoke</w:t>
      </w:r>
      <w:r w:rsidR="005F2A67">
        <w:rPr>
          <w:rFonts w:ascii="Arial" w:hAnsi="Arial" w:cs="Arial"/>
          <w:sz w:val="24"/>
          <w:szCs w:val="24"/>
        </w:rPr>
        <w:t>-</w:t>
      </w:r>
      <w:r w:rsidRPr="00103A03">
        <w:rPr>
          <w:rFonts w:ascii="Arial" w:hAnsi="Arial" w:cs="Arial"/>
          <w:sz w:val="24"/>
          <w:szCs w:val="24"/>
        </w:rPr>
        <w:t>on</w:t>
      </w:r>
      <w:r w:rsidR="005F2A67">
        <w:rPr>
          <w:rFonts w:ascii="Arial" w:hAnsi="Arial" w:cs="Arial"/>
          <w:sz w:val="24"/>
          <w:szCs w:val="24"/>
        </w:rPr>
        <w:t>-</w:t>
      </w:r>
      <w:r w:rsidRPr="00103A03">
        <w:rPr>
          <w:rFonts w:ascii="Arial" w:hAnsi="Arial" w:cs="Arial"/>
          <w:sz w:val="24"/>
          <w:szCs w:val="24"/>
        </w:rPr>
        <w:t xml:space="preserve">Trent City </w:t>
      </w:r>
      <w:proofErr w:type="spellStart"/>
      <w:r w:rsidRPr="00103A03">
        <w:rPr>
          <w:rFonts w:ascii="Arial" w:hAnsi="Arial" w:cs="Arial"/>
          <w:sz w:val="24"/>
          <w:szCs w:val="24"/>
        </w:rPr>
        <w:t>Council’s</w:t>
      </w:r>
      <w:proofErr w:type="spellEnd"/>
      <w:r w:rsidRPr="00103A03">
        <w:rPr>
          <w:rFonts w:ascii="Arial" w:hAnsi="Arial" w:cs="Arial"/>
          <w:sz w:val="24"/>
          <w:szCs w:val="24"/>
        </w:rPr>
        <w:t xml:space="preserve"> have a history of successful Bikeability Training since its launch in 2006</w:t>
      </w:r>
      <w:r w:rsidR="00DE38C1">
        <w:rPr>
          <w:rFonts w:ascii="Arial" w:hAnsi="Arial" w:cs="Arial"/>
          <w:sz w:val="24"/>
          <w:szCs w:val="24"/>
        </w:rPr>
        <w:t xml:space="preserve">.  </w:t>
      </w:r>
    </w:p>
    <w:p w14:paraId="64FE84F0" w14:textId="77777777" w:rsidR="00DE38C1" w:rsidRPr="00103A03" w:rsidRDefault="00DE38C1" w:rsidP="00103A03">
      <w:pPr>
        <w:jc w:val="left"/>
        <w:rPr>
          <w:rFonts w:ascii="Arial" w:hAnsi="Arial" w:cs="Arial"/>
          <w:sz w:val="24"/>
          <w:szCs w:val="24"/>
        </w:rPr>
      </w:pPr>
    </w:p>
    <w:p w14:paraId="133EC7A7" w14:textId="05091B9B" w:rsidR="00103A03" w:rsidRPr="00103A03" w:rsidRDefault="00103A03" w:rsidP="00103A03">
      <w:pPr>
        <w:jc w:val="left"/>
        <w:rPr>
          <w:rFonts w:ascii="Arial" w:hAnsi="Arial" w:cs="Arial"/>
          <w:sz w:val="24"/>
          <w:szCs w:val="24"/>
        </w:rPr>
      </w:pPr>
      <w:r w:rsidRPr="00103A03">
        <w:rPr>
          <w:rFonts w:ascii="Arial" w:hAnsi="Arial" w:cs="Arial"/>
          <w:sz w:val="24"/>
          <w:szCs w:val="24"/>
        </w:rPr>
        <w:t xml:space="preserve">Both authorities are looking for one </w:t>
      </w:r>
      <w:r w:rsidR="0042019E">
        <w:rPr>
          <w:rFonts w:ascii="Arial" w:hAnsi="Arial" w:cs="Arial"/>
          <w:sz w:val="24"/>
          <w:szCs w:val="24"/>
        </w:rPr>
        <w:t>supplier</w:t>
      </w:r>
      <w:r w:rsidR="00DE38C1">
        <w:rPr>
          <w:rFonts w:ascii="Arial" w:hAnsi="Arial" w:cs="Arial"/>
          <w:sz w:val="24"/>
          <w:szCs w:val="24"/>
        </w:rPr>
        <w:t>,</w:t>
      </w:r>
      <w:r w:rsidRPr="00103A03">
        <w:rPr>
          <w:rFonts w:ascii="Arial" w:hAnsi="Arial" w:cs="Arial"/>
          <w:sz w:val="24"/>
          <w:szCs w:val="24"/>
        </w:rPr>
        <w:t xml:space="preserve"> to deliver across both areas, in all schools to all abilities</w:t>
      </w:r>
      <w:r w:rsidR="009A5B38">
        <w:rPr>
          <w:rFonts w:ascii="Arial" w:hAnsi="Arial" w:cs="Arial"/>
          <w:sz w:val="24"/>
          <w:szCs w:val="24"/>
        </w:rPr>
        <w:t>, under a framework agreement</w:t>
      </w:r>
      <w:r w:rsidRPr="00103A03">
        <w:rPr>
          <w:rFonts w:ascii="Arial" w:hAnsi="Arial" w:cs="Arial"/>
          <w:sz w:val="24"/>
          <w:szCs w:val="24"/>
        </w:rPr>
        <w:t xml:space="preserve">.  See table </w:t>
      </w:r>
      <w:r w:rsidR="006C7A73">
        <w:rPr>
          <w:rFonts w:ascii="Arial" w:hAnsi="Arial" w:cs="Arial"/>
          <w:sz w:val="24"/>
          <w:szCs w:val="24"/>
        </w:rPr>
        <w:t xml:space="preserve">1 (sheet Staffordshire NOR 19 &amp; </w:t>
      </w:r>
      <w:bookmarkStart w:id="0" w:name="_Hlk24721702"/>
      <w:r w:rsidR="005F2A67">
        <w:rPr>
          <w:rFonts w:ascii="Arial" w:hAnsi="Arial" w:cs="Arial"/>
          <w:sz w:val="24"/>
          <w:szCs w:val="24"/>
        </w:rPr>
        <w:t>Stoke-on-Trent</w:t>
      </w:r>
      <w:r w:rsidR="006C7A73">
        <w:rPr>
          <w:rFonts w:ascii="Arial" w:hAnsi="Arial" w:cs="Arial"/>
          <w:sz w:val="24"/>
          <w:szCs w:val="24"/>
        </w:rPr>
        <w:t xml:space="preserve"> </w:t>
      </w:r>
      <w:bookmarkEnd w:id="0"/>
      <w:r w:rsidR="006C7A73">
        <w:rPr>
          <w:rFonts w:ascii="Arial" w:hAnsi="Arial" w:cs="Arial"/>
          <w:sz w:val="24"/>
          <w:szCs w:val="24"/>
        </w:rPr>
        <w:t>NOR 19)</w:t>
      </w:r>
      <w:r w:rsidRPr="00103A03">
        <w:rPr>
          <w:rFonts w:ascii="Arial" w:hAnsi="Arial" w:cs="Arial"/>
          <w:sz w:val="24"/>
          <w:szCs w:val="24"/>
        </w:rPr>
        <w:t xml:space="preserve"> for authority area school information.  </w:t>
      </w:r>
    </w:p>
    <w:p w14:paraId="6A7E0AB0" w14:textId="77777777" w:rsidR="00103A03" w:rsidRPr="00103A03" w:rsidRDefault="00103A03" w:rsidP="00103A03">
      <w:pPr>
        <w:jc w:val="left"/>
        <w:rPr>
          <w:rFonts w:ascii="Arial" w:hAnsi="Arial" w:cs="Arial"/>
          <w:sz w:val="24"/>
          <w:szCs w:val="24"/>
        </w:rPr>
      </w:pPr>
    </w:p>
    <w:p w14:paraId="006CE48C" w14:textId="20B742F5" w:rsidR="00103A03" w:rsidRPr="00103A03" w:rsidRDefault="0042019E" w:rsidP="00103A03">
      <w:pPr>
        <w:jc w:val="left"/>
        <w:rPr>
          <w:rFonts w:ascii="Arial" w:hAnsi="Arial" w:cs="Arial"/>
          <w:sz w:val="24"/>
          <w:szCs w:val="24"/>
        </w:rPr>
      </w:pPr>
      <w:r>
        <w:rPr>
          <w:rFonts w:ascii="Arial" w:hAnsi="Arial" w:cs="Arial"/>
          <w:sz w:val="24"/>
          <w:szCs w:val="24"/>
        </w:rPr>
        <w:t>Supplier</w:t>
      </w:r>
      <w:r w:rsidR="00103A03" w:rsidRPr="00103A03">
        <w:rPr>
          <w:rFonts w:ascii="Arial" w:hAnsi="Arial" w:cs="Arial"/>
          <w:sz w:val="24"/>
          <w:szCs w:val="24"/>
        </w:rPr>
        <w:t xml:space="preserve"> must have experience of delivering </w:t>
      </w:r>
      <w:r w:rsidR="006C7A73">
        <w:rPr>
          <w:rFonts w:ascii="Arial" w:hAnsi="Arial" w:cs="Arial"/>
          <w:sz w:val="24"/>
          <w:szCs w:val="24"/>
        </w:rPr>
        <w:t xml:space="preserve">all levels </w:t>
      </w:r>
      <w:r w:rsidR="009A5B38">
        <w:rPr>
          <w:rFonts w:ascii="Arial" w:hAnsi="Arial" w:cs="Arial"/>
          <w:sz w:val="24"/>
          <w:szCs w:val="24"/>
        </w:rPr>
        <w:t xml:space="preserve">of Bikeability </w:t>
      </w:r>
      <w:r w:rsidR="006C7A73">
        <w:rPr>
          <w:rFonts w:ascii="Arial" w:hAnsi="Arial" w:cs="Arial"/>
          <w:sz w:val="24"/>
          <w:szCs w:val="24"/>
        </w:rPr>
        <w:t xml:space="preserve">and modules of B+ </w:t>
      </w:r>
      <w:r w:rsidR="00103A03" w:rsidRPr="00103A03">
        <w:rPr>
          <w:rFonts w:ascii="Arial" w:hAnsi="Arial" w:cs="Arial"/>
          <w:sz w:val="24"/>
          <w:szCs w:val="24"/>
        </w:rPr>
        <w:t>to large numbers</w:t>
      </w:r>
      <w:r w:rsidR="006C7A73">
        <w:rPr>
          <w:rFonts w:ascii="Arial" w:hAnsi="Arial" w:cs="Arial"/>
          <w:sz w:val="24"/>
          <w:szCs w:val="24"/>
        </w:rPr>
        <w:t xml:space="preserve"> of trainees across wide geographical area</w:t>
      </w:r>
      <w:r w:rsidR="00103A03" w:rsidRPr="00103A03">
        <w:rPr>
          <w:rFonts w:ascii="Arial" w:hAnsi="Arial" w:cs="Arial"/>
          <w:sz w:val="24"/>
          <w:szCs w:val="24"/>
        </w:rPr>
        <w:t xml:space="preserve"> to the national standard.</w:t>
      </w:r>
      <w:r w:rsidR="002F56F8">
        <w:rPr>
          <w:rFonts w:ascii="Arial" w:hAnsi="Arial" w:cs="Arial"/>
          <w:sz w:val="24"/>
          <w:szCs w:val="24"/>
        </w:rPr>
        <w:t xml:space="preserve">  </w:t>
      </w:r>
    </w:p>
    <w:p w14:paraId="6C8883D5" w14:textId="77777777" w:rsidR="00103A03" w:rsidRPr="00103A03" w:rsidRDefault="00103A03" w:rsidP="00103A03">
      <w:pPr>
        <w:jc w:val="left"/>
        <w:rPr>
          <w:rFonts w:ascii="Arial" w:hAnsi="Arial" w:cs="Arial"/>
          <w:sz w:val="24"/>
          <w:szCs w:val="24"/>
        </w:rPr>
      </w:pPr>
    </w:p>
    <w:p w14:paraId="4C366C54" w14:textId="77777777" w:rsidR="006C7A73" w:rsidRPr="009E5522" w:rsidRDefault="0020543A" w:rsidP="00103A03">
      <w:pPr>
        <w:jc w:val="left"/>
        <w:rPr>
          <w:rFonts w:ascii="Arial" w:hAnsi="Arial" w:cs="Arial"/>
          <w:b/>
          <w:sz w:val="24"/>
          <w:szCs w:val="24"/>
        </w:rPr>
      </w:pPr>
      <w:r w:rsidRPr="009E5522">
        <w:rPr>
          <w:rFonts w:ascii="Arial" w:hAnsi="Arial" w:cs="Arial"/>
          <w:b/>
          <w:sz w:val="24"/>
          <w:szCs w:val="24"/>
        </w:rPr>
        <w:t xml:space="preserve">Bikeability </w:t>
      </w:r>
      <w:r w:rsidR="00B82C17" w:rsidRPr="009E5522">
        <w:rPr>
          <w:rFonts w:ascii="Arial" w:hAnsi="Arial" w:cs="Arial"/>
          <w:b/>
          <w:sz w:val="24"/>
          <w:szCs w:val="24"/>
        </w:rPr>
        <w:t>levels 1, 2 and 3.</w:t>
      </w:r>
    </w:p>
    <w:p w14:paraId="5EE6B1BF" w14:textId="77777777" w:rsidR="006C7A73" w:rsidRDefault="006C7A73" w:rsidP="00AB7847">
      <w:pPr>
        <w:spacing w:after="160" w:line="259" w:lineRule="auto"/>
        <w:jc w:val="left"/>
        <w:rPr>
          <w:rFonts w:ascii="Arial" w:hAnsi="Arial" w:cs="Arial"/>
          <w:sz w:val="24"/>
          <w:szCs w:val="24"/>
        </w:rPr>
      </w:pPr>
      <w:r>
        <w:rPr>
          <w:rFonts w:ascii="Arial" w:hAnsi="Arial" w:cs="Arial"/>
          <w:sz w:val="24"/>
          <w:szCs w:val="24"/>
        </w:rPr>
        <w:t xml:space="preserve">Bikeability is today’s cycle training programme.  It is about gaining practical skills and understanding how to cycle on today’s roads.  Bikeability gives everyone the skills and confidence for all kinds of cycling.  </w:t>
      </w:r>
      <w:r w:rsidR="00D66B00">
        <w:rPr>
          <w:rFonts w:ascii="Arial" w:hAnsi="Arial" w:cs="Arial"/>
          <w:sz w:val="24"/>
          <w:szCs w:val="24"/>
        </w:rPr>
        <w:t xml:space="preserve">Bikeability delivery must comply to the national standard, revised version May 2019.  </w:t>
      </w:r>
    </w:p>
    <w:p w14:paraId="533DE76B" w14:textId="0EEF4BE1" w:rsidR="006C7A73" w:rsidRDefault="006C7A73" w:rsidP="00103A03">
      <w:pPr>
        <w:jc w:val="left"/>
        <w:rPr>
          <w:rFonts w:ascii="Arial" w:hAnsi="Arial" w:cs="Arial"/>
          <w:sz w:val="24"/>
          <w:szCs w:val="24"/>
        </w:rPr>
      </w:pPr>
      <w:r>
        <w:rPr>
          <w:rFonts w:ascii="Arial" w:hAnsi="Arial" w:cs="Arial"/>
          <w:sz w:val="24"/>
          <w:szCs w:val="24"/>
        </w:rPr>
        <w:t xml:space="preserve">Staffordshire and </w:t>
      </w:r>
      <w:r w:rsidR="005F2A67">
        <w:rPr>
          <w:rFonts w:ascii="Arial" w:hAnsi="Arial" w:cs="Arial"/>
          <w:sz w:val="24"/>
          <w:szCs w:val="24"/>
        </w:rPr>
        <w:t xml:space="preserve">Stoke-on-Trent </w:t>
      </w:r>
      <w:r>
        <w:rPr>
          <w:rFonts w:ascii="Arial" w:hAnsi="Arial" w:cs="Arial"/>
          <w:sz w:val="24"/>
          <w:szCs w:val="24"/>
        </w:rPr>
        <w:t xml:space="preserve">are looking for a </w:t>
      </w:r>
      <w:r w:rsidR="0042019E">
        <w:rPr>
          <w:rFonts w:ascii="Arial" w:hAnsi="Arial" w:cs="Arial"/>
          <w:sz w:val="24"/>
          <w:szCs w:val="24"/>
        </w:rPr>
        <w:t>supplier</w:t>
      </w:r>
      <w:r>
        <w:rPr>
          <w:rFonts w:ascii="Arial" w:hAnsi="Arial" w:cs="Arial"/>
          <w:sz w:val="24"/>
          <w:szCs w:val="24"/>
        </w:rPr>
        <w:t xml:space="preserve"> that can develop the opportunities for increasing cycling to cut congestion, increase health benefits and improve air pollution.  The </w:t>
      </w:r>
      <w:r w:rsidR="0042019E">
        <w:rPr>
          <w:rFonts w:ascii="Arial" w:hAnsi="Arial" w:cs="Arial"/>
          <w:sz w:val="24"/>
          <w:szCs w:val="24"/>
        </w:rPr>
        <w:t>supplier</w:t>
      </w:r>
      <w:r>
        <w:rPr>
          <w:rFonts w:ascii="Arial" w:hAnsi="Arial" w:cs="Arial"/>
          <w:sz w:val="24"/>
          <w:szCs w:val="24"/>
        </w:rPr>
        <w:t xml:space="preserve"> must have experience of using </w:t>
      </w:r>
      <w:proofErr w:type="gramStart"/>
      <w:r w:rsidR="00D66B00">
        <w:rPr>
          <w:rFonts w:ascii="Arial" w:hAnsi="Arial" w:cs="Arial"/>
          <w:sz w:val="24"/>
          <w:szCs w:val="24"/>
        </w:rPr>
        <w:t>all</w:t>
      </w:r>
      <w:r>
        <w:rPr>
          <w:rFonts w:ascii="Arial" w:hAnsi="Arial" w:cs="Arial"/>
          <w:sz w:val="24"/>
          <w:szCs w:val="24"/>
        </w:rPr>
        <w:t xml:space="preserve"> of</w:t>
      </w:r>
      <w:proofErr w:type="gramEnd"/>
      <w:r>
        <w:rPr>
          <w:rFonts w:ascii="Arial" w:hAnsi="Arial" w:cs="Arial"/>
          <w:sz w:val="24"/>
          <w:szCs w:val="24"/>
        </w:rPr>
        <w:t xml:space="preserve"> the levels and modules to </w:t>
      </w:r>
      <w:r w:rsidR="00961DE2">
        <w:rPr>
          <w:rFonts w:ascii="Arial" w:hAnsi="Arial" w:cs="Arial"/>
          <w:sz w:val="24"/>
          <w:szCs w:val="24"/>
        </w:rPr>
        <w:t xml:space="preserve">increase the level of trainees taking part in level 3 training, thereby increasing the likelihood of young adults cycling.  </w:t>
      </w:r>
    </w:p>
    <w:p w14:paraId="08E3D774" w14:textId="77777777" w:rsidR="00E7232E" w:rsidRPr="00103A03" w:rsidRDefault="00B82C17" w:rsidP="00103A03">
      <w:pPr>
        <w:jc w:val="left"/>
        <w:rPr>
          <w:rFonts w:ascii="Arial" w:hAnsi="Arial" w:cs="Arial"/>
          <w:sz w:val="24"/>
          <w:szCs w:val="24"/>
        </w:rPr>
      </w:pPr>
      <w:r w:rsidRPr="00103A03">
        <w:rPr>
          <w:rFonts w:ascii="Arial" w:hAnsi="Arial" w:cs="Arial"/>
          <w:sz w:val="24"/>
          <w:szCs w:val="24"/>
        </w:rPr>
        <w:t xml:space="preserve">  </w:t>
      </w:r>
    </w:p>
    <w:p w14:paraId="27CD3FFA" w14:textId="77777777" w:rsidR="00E7232E" w:rsidRPr="009E5522" w:rsidRDefault="00E7232E" w:rsidP="00103A03">
      <w:pPr>
        <w:jc w:val="left"/>
        <w:rPr>
          <w:rFonts w:ascii="Arial" w:hAnsi="Arial" w:cs="Arial"/>
          <w:b/>
          <w:sz w:val="24"/>
          <w:szCs w:val="24"/>
        </w:rPr>
      </w:pPr>
      <w:r w:rsidRPr="009E5522">
        <w:rPr>
          <w:rFonts w:ascii="Arial" w:hAnsi="Arial" w:cs="Arial"/>
          <w:b/>
          <w:sz w:val="24"/>
          <w:szCs w:val="24"/>
        </w:rPr>
        <w:t>Bikeability Plus</w:t>
      </w:r>
    </w:p>
    <w:p w14:paraId="081C3490" w14:textId="77777777" w:rsidR="00E7232E" w:rsidRPr="009A5B38" w:rsidRDefault="00E7232E" w:rsidP="00103A03">
      <w:pPr>
        <w:jc w:val="left"/>
        <w:rPr>
          <w:rFonts w:ascii="Arial" w:hAnsi="Arial" w:cs="Arial"/>
          <w:color w:val="110600"/>
          <w:spacing w:val="10"/>
          <w:sz w:val="24"/>
          <w:szCs w:val="24"/>
          <w:lang w:val="en"/>
        </w:rPr>
      </w:pPr>
      <w:r w:rsidRPr="009A5B38">
        <w:rPr>
          <w:rFonts w:ascii="Arial" w:hAnsi="Arial" w:cs="Arial"/>
          <w:color w:val="110600"/>
          <w:spacing w:val="10"/>
          <w:sz w:val="24"/>
          <w:szCs w:val="24"/>
          <w:lang w:val="en"/>
        </w:rPr>
        <w:t>Bikeability Plus is a series of 10, free-standing modules designed to ensure that children and families are given the opportunities, skills, support and guidance that they need to make cycling part of their everyday life. They are intended to complement and support Bikeability training (Levels 1, 2 and 3) which is aimed at improving the cycling skills and confidence of trainees who can already ride.</w:t>
      </w:r>
      <w:r w:rsidRPr="009A5B38">
        <w:rPr>
          <w:rFonts w:ascii="Arial" w:hAnsi="Arial" w:cs="Arial"/>
          <w:color w:val="110600"/>
          <w:spacing w:val="10"/>
          <w:sz w:val="24"/>
          <w:szCs w:val="24"/>
          <w:lang w:val="en"/>
        </w:rPr>
        <w:br/>
      </w:r>
      <w:r w:rsidRPr="009A5B38">
        <w:rPr>
          <w:rFonts w:ascii="Arial" w:hAnsi="Arial" w:cs="Arial"/>
          <w:color w:val="110600"/>
          <w:spacing w:val="10"/>
          <w:sz w:val="24"/>
          <w:szCs w:val="24"/>
          <w:lang w:val="en"/>
        </w:rPr>
        <w:br/>
        <w:t>In particular, the modules have been developed to address some of the ‘barriers’ to getting children cycling. For instance, they help to get non-riders riding, parents involved and supportive, those without access to a working bike included, and provide knowledge about local cycling routes/opportunities to enable continued cycling after training.</w:t>
      </w:r>
    </w:p>
    <w:p w14:paraId="3D192A84" w14:textId="77777777" w:rsidR="005F2A67" w:rsidRDefault="005F2A67" w:rsidP="00B461E8">
      <w:pPr>
        <w:spacing w:after="160" w:line="259" w:lineRule="auto"/>
        <w:jc w:val="left"/>
        <w:rPr>
          <w:rFonts w:ascii="Arial" w:hAnsi="Arial" w:cs="Arial"/>
          <w:sz w:val="24"/>
          <w:szCs w:val="24"/>
        </w:rPr>
      </w:pPr>
    </w:p>
    <w:p w14:paraId="0980D842" w14:textId="0D3EB83B" w:rsidR="00961DE2" w:rsidRDefault="00961DE2" w:rsidP="00B461E8">
      <w:pPr>
        <w:spacing w:after="160" w:line="259" w:lineRule="auto"/>
        <w:jc w:val="left"/>
        <w:rPr>
          <w:rFonts w:ascii="Arial" w:hAnsi="Arial" w:cs="Arial"/>
          <w:sz w:val="24"/>
          <w:szCs w:val="24"/>
        </w:rPr>
      </w:pPr>
      <w:r>
        <w:rPr>
          <w:rFonts w:ascii="Arial" w:hAnsi="Arial" w:cs="Arial"/>
          <w:sz w:val="24"/>
          <w:szCs w:val="24"/>
        </w:rPr>
        <w:t xml:space="preserve">The </w:t>
      </w:r>
      <w:r w:rsidR="0042019E">
        <w:rPr>
          <w:rFonts w:ascii="Arial" w:hAnsi="Arial" w:cs="Arial"/>
          <w:sz w:val="24"/>
          <w:szCs w:val="24"/>
        </w:rPr>
        <w:t>supplier</w:t>
      </w:r>
      <w:r>
        <w:rPr>
          <w:rFonts w:ascii="Arial" w:hAnsi="Arial" w:cs="Arial"/>
          <w:sz w:val="24"/>
          <w:szCs w:val="24"/>
        </w:rPr>
        <w:t xml:space="preserve"> must have instructors experienced (and qualified for Fix) to deliver and understand the outcome of each module</w:t>
      </w:r>
      <w:r w:rsidR="00A96213">
        <w:rPr>
          <w:rFonts w:ascii="Arial" w:hAnsi="Arial" w:cs="Arial"/>
          <w:sz w:val="24"/>
          <w:szCs w:val="24"/>
        </w:rPr>
        <w:t xml:space="preserve"> of Bikeability Plus</w:t>
      </w:r>
      <w:r>
        <w:rPr>
          <w:rFonts w:ascii="Arial" w:hAnsi="Arial" w:cs="Arial"/>
          <w:sz w:val="24"/>
          <w:szCs w:val="24"/>
        </w:rPr>
        <w:t xml:space="preserve"> to increase the confidence of the rider to take the next level of training.  </w:t>
      </w:r>
    </w:p>
    <w:p w14:paraId="2EF50856" w14:textId="77777777" w:rsidR="00DE38C1" w:rsidRPr="00D53996" w:rsidRDefault="00DE38C1">
      <w:pPr>
        <w:spacing w:after="160" w:line="259" w:lineRule="auto"/>
        <w:jc w:val="left"/>
        <w:rPr>
          <w:rFonts w:ascii="Arial" w:hAnsi="Arial" w:cs="Arial"/>
          <w:b/>
          <w:sz w:val="24"/>
          <w:szCs w:val="24"/>
        </w:rPr>
      </w:pPr>
      <w:r w:rsidRPr="00D53996">
        <w:rPr>
          <w:rFonts w:ascii="Arial" w:hAnsi="Arial" w:cs="Arial"/>
          <w:b/>
          <w:sz w:val="24"/>
          <w:szCs w:val="24"/>
        </w:rPr>
        <w:br w:type="page"/>
      </w:r>
    </w:p>
    <w:p w14:paraId="094D931A" w14:textId="3A2E5978" w:rsidR="00CA0B2D" w:rsidRPr="00DE38C1" w:rsidRDefault="00F91656" w:rsidP="00F91656">
      <w:pPr>
        <w:pStyle w:val="ListParagraph"/>
        <w:numPr>
          <w:ilvl w:val="0"/>
          <w:numId w:val="1"/>
        </w:numPr>
        <w:spacing w:after="160" w:line="259" w:lineRule="auto"/>
        <w:jc w:val="left"/>
        <w:rPr>
          <w:rFonts w:ascii="Arial" w:hAnsi="Arial" w:cs="Arial"/>
          <w:b/>
          <w:sz w:val="24"/>
          <w:szCs w:val="24"/>
        </w:rPr>
      </w:pPr>
      <w:r w:rsidRPr="00DE38C1">
        <w:rPr>
          <w:rFonts w:ascii="Arial" w:hAnsi="Arial" w:cs="Arial"/>
          <w:b/>
          <w:sz w:val="24"/>
          <w:szCs w:val="24"/>
        </w:rPr>
        <w:lastRenderedPageBreak/>
        <w:t>Staffordshire</w:t>
      </w:r>
      <w:r w:rsidR="00CA0B2D" w:rsidRPr="00DE38C1">
        <w:rPr>
          <w:rFonts w:ascii="Arial" w:hAnsi="Arial" w:cs="Arial"/>
          <w:b/>
          <w:sz w:val="24"/>
          <w:szCs w:val="24"/>
        </w:rPr>
        <w:t xml:space="preserve"> &amp; </w:t>
      </w:r>
      <w:r w:rsidR="005F2A67" w:rsidRPr="005F2A67">
        <w:rPr>
          <w:rFonts w:ascii="Arial" w:hAnsi="Arial" w:cs="Arial"/>
          <w:b/>
          <w:sz w:val="24"/>
          <w:szCs w:val="24"/>
        </w:rPr>
        <w:t>Stoke-on-Trent</w:t>
      </w:r>
      <w:r w:rsidR="005F2A67">
        <w:rPr>
          <w:rFonts w:ascii="Arial" w:hAnsi="Arial" w:cs="Arial"/>
          <w:sz w:val="24"/>
          <w:szCs w:val="24"/>
        </w:rPr>
        <w:t xml:space="preserve"> </w:t>
      </w:r>
      <w:r w:rsidRPr="00DE38C1">
        <w:rPr>
          <w:rFonts w:ascii="Arial" w:hAnsi="Arial" w:cs="Arial"/>
          <w:b/>
          <w:sz w:val="24"/>
          <w:szCs w:val="24"/>
        </w:rPr>
        <w:t>Data &amp; KPIs</w:t>
      </w:r>
    </w:p>
    <w:p w14:paraId="00110758" w14:textId="55751C97" w:rsidR="00C33451" w:rsidRDefault="0042019E" w:rsidP="00B30C2B">
      <w:pPr>
        <w:pStyle w:val="ListParagraph"/>
        <w:numPr>
          <w:ilvl w:val="0"/>
          <w:numId w:val="4"/>
        </w:numPr>
        <w:spacing w:after="160" w:line="259" w:lineRule="auto"/>
        <w:jc w:val="left"/>
        <w:rPr>
          <w:rFonts w:ascii="Arial" w:hAnsi="Arial" w:cs="Arial"/>
          <w:sz w:val="24"/>
          <w:szCs w:val="24"/>
        </w:rPr>
      </w:pPr>
      <w:r>
        <w:rPr>
          <w:rFonts w:ascii="Arial" w:hAnsi="Arial" w:cs="Arial"/>
          <w:sz w:val="24"/>
          <w:szCs w:val="24"/>
        </w:rPr>
        <w:t>Supplier</w:t>
      </w:r>
      <w:r w:rsidR="00961DE2" w:rsidRPr="00C33451">
        <w:rPr>
          <w:rFonts w:ascii="Arial" w:hAnsi="Arial" w:cs="Arial"/>
          <w:sz w:val="24"/>
          <w:szCs w:val="24"/>
        </w:rPr>
        <w:t xml:space="preserve">s must show they have capacity and a plan for </w:t>
      </w:r>
      <w:r w:rsidR="00A96213" w:rsidRPr="00C33451">
        <w:rPr>
          <w:rFonts w:ascii="Arial" w:hAnsi="Arial" w:cs="Arial"/>
          <w:sz w:val="24"/>
          <w:szCs w:val="24"/>
        </w:rPr>
        <w:t xml:space="preserve">booking and </w:t>
      </w:r>
      <w:r w:rsidR="00961DE2" w:rsidRPr="00C33451">
        <w:rPr>
          <w:rFonts w:ascii="Arial" w:hAnsi="Arial" w:cs="Arial"/>
          <w:sz w:val="24"/>
          <w:szCs w:val="24"/>
        </w:rPr>
        <w:t xml:space="preserve">delivering to the expectations of the contract.  </w:t>
      </w:r>
      <w:r w:rsidR="00CA0B2D" w:rsidRPr="00C33451">
        <w:rPr>
          <w:rFonts w:ascii="Arial" w:hAnsi="Arial" w:cs="Arial"/>
          <w:sz w:val="24"/>
          <w:szCs w:val="24"/>
        </w:rPr>
        <w:t>They must deliver the full contract number</w:t>
      </w:r>
      <w:r w:rsidR="00A96213" w:rsidRPr="00C33451">
        <w:rPr>
          <w:rFonts w:ascii="Arial" w:hAnsi="Arial" w:cs="Arial"/>
          <w:sz w:val="24"/>
          <w:szCs w:val="24"/>
        </w:rPr>
        <w:t xml:space="preserve"> of </w:t>
      </w:r>
      <w:r w:rsidR="005F2A67" w:rsidRPr="00C33451">
        <w:rPr>
          <w:rFonts w:ascii="Arial" w:hAnsi="Arial" w:cs="Arial"/>
          <w:sz w:val="24"/>
          <w:szCs w:val="24"/>
        </w:rPr>
        <w:t>trainee’s</w:t>
      </w:r>
      <w:r w:rsidR="00C33451">
        <w:rPr>
          <w:rFonts w:ascii="Arial" w:hAnsi="Arial" w:cs="Arial"/>
          <w:sz w:val="24"/>
          <w:szCs w:val="24"/>
        </w:rPr>
        <w:t xml:space="preserve"> places,</w:t>
      </w:r>
      <w:r w:rsidR="00CA0B2D" w:rsidRPr="00C33451">
        <w:rPr>
          <w:rFonts w:ascii="Arial" w:hAnsi="Arial" w:cs="Arial"/>
          <w:sz w:val="24"/>
          <w:szCs w:val="24"/>
        </w:rPr>
        <w:t xml:space="preserve"> within the amount of grant funding available from the Department for Transport, to include all costs associated with booking training, providing equipment, course materials and certification to include badges and booklets.</w:t>
      </w:r>
    </w:p>
    <w:p w14:paraId="2853659B" w14:textId="77777777" w:rsidR="009A5B38" w:rsidRDefault="00103A03" w:rsidP="00C33451">
      <w:pPr>
        <w:pStyle w:val="ListParagraph"/>
        <w:spacing w:after="160" w:line="259" w:lineRule="auto"/>
        <w:jc w:val="left"/>
        <w:rPr>
          <w:rFonts w:ascii="Arial" w:hAnsi="Arial" w:cs="Arial"/>
          <w:sz w:val="24"/>
          <w:szCs w:val="24"/>
        </w:rPr>
      </w:pPr>
      <w:r w:rsidRPr="00C33451">
        <w:rPr>
          <w:rFonts w:ascii="Arial" w:hAnsi="Arial" w:cs="Arial"/>
          <w:sz w:val="24"/>
          <w:szCs w:val="24"/>
        </w:rPr>
        <w:t>See table 2 for Staffordshire KPI data</w:t>
      </w:r>
      <w:r w:rsidR="00961DE2" w:rsidRPr="00C33451">
        <w:rPr>
          <w:rFonts w:ascii="Arial" w:hAnsi="Arial" w:cs="Arial"/>
          <w:sz w:val="24"/>
          <w:szCs w:val="24"/>
        </w:rPr>
        <w:t xml:space="preserve"> and report requirements. </w:t>
      </w:r>
    </w:p>
    <w:p w14:paraId="226DAC5A" w14:textId="77777777" w:rsidR="009A5B38" w:rsidRPr="00CA0B2D" w:rsidRDefault="009A5B38" w:rsidP="009A5B38">
      <w:pPr>
        <w:pStyle w:val="ListParagraph"/>
        <w:spacing w:after="160" w:line="259" w:lineRule="auto"/>
        <w:jc w:val="left"/>
        <w:rPr>
          <w:rFonts w:ascii="Arial" w:hAnsi="Arial" w:cs="Arial"/>
          <w:sz w:val="24"/>
          <w:szCs w:val="24"/>
        </w:rPr>
      </w:pPr>
      <w:r w:rsidRPr="00CA0B2D">
        <w:rPr>
          <w:rFonts w:ascii="Arial" w:hAnsi="Arial" w:cs="Arial"/>
          <w:sz w:val="24"/>
          <w:szCs w:val="24"/>
        </w:rPr>
        <w:t xml:space="preserve">See table 3 for SOT KPI data and report requirements. </w:t>
      </w:r>
    </w:p>
    <w:p w14:paraId="6479ACEB" w14:textId="3B849C13" w:rsidR="00103A03" w:rsidRPr="00C33451" w:rsidRDefault="0042019E" w:rsidP="00C33451">
      <w:pPr>
        <w:pStyle w:val="ListParagraph"/>
        <w:numPr>
          <w:ilvl w:val="0"/>
          <w:numId w:val="4"/>
        </w:numPr>
        <w:spacing w:after="160" w:line="259" w:lineRule="auto"/>
        <w:jc w:val="left"/>
        <w:rPr>
          <w:rFonts w:ascii="Arial" w:hAnsi="Arial" w:cs="Arial"/>
          <w:sz w:val="24"/>
          <w:szCs w:val="24"/>
        </w:rPr>
      </w:pPr>
      <w:r>
        <w:rPr>
          <w:rFonts w:ascii="Arial" w:hAnsi="Arial" w:cs="Arial"/>
          <w:sz w:val="24"/>
          <w:szCs w:val="24"/>
        </w:rPr>
        <w:t>Supplier</w:t>
      </w:r>
      <w:r w:rsidR="00103A03" w:rsidRPr="00C33451">
        <w:rPr>
          <w:rFonts w:ascii="Arial" w:hAnsi="Arial" w:cs="Arial"/>
          <w:sz w:val="24"/>
          <w:szCs w:val="24"/>
        </w:rPr>
        <w:t>s must be able</w:t>
      </w:r>
      <w:r w:rsidR="00C93FCF">
        <w:rPr>
          <w:rFonts w:ascii="Arial" w:hAnsi="Arial" w:cs="Arial"/>
          <w:sz w:val="24"/>
          <w:szCs w:val="24"/>
        </w:rPr>
        <w:t xml:space="preserve"> to demonstrate</w:t>
      </w:r>
      <w:r w:rsidR="00CA0B2D" w:rsidRPr="00C33451">
        <w:rPr>
          <w:rFonts w:ascii="Arial" w:hAnsi="Arial" w:cs="Arial"/>
          <w:sz w:val="24"/>
          <w:szCs w:val="24"/>
        </w:rPr>
        <w:t>,</w:t>
      </w:r>
      <w:r w:rsidR="00103A03" w:rsidRPr="00C33451">
        <w:rPr>
          <w:rFonts w:ascii="Arial" w:hAnsi="Arial" w:cs="Arial"/>
          <w:sz w:val="24"/>
          <w:szCs w:val="24"/>
        </w:rPr>
        <w:t xml:space="preserve"> they can deliver to the requirements set out in the schedule of delivery</w:t>
      </w:r>
      <w:r w:rsidR="00932557">
        <w:rPr>
          <w:rFonts w:ascii="Arial" w:hAnsi="Arial" w:cs="Arial"/>
          <w:sz w:val="24"/>
          <w:szCs w:val="24"/>
        </w:rPr>
        <w:t xml:space="preserve"> </w:t>
      </w:r>
      <w:r w:rsidR="00C93FCF">
        <w:rPr>
          <w:rFonts w:ascii="Arial" w:hAnsi="Arial" w:cs="Arial"/>
          <w:sz w:val="24"/>
          <w:szCs w:val="24"/>
        </w:rPr>
        <w:t>(1,2 &amp;3)</w:t>
      </w:r>
      <w:r w:rsidR="00103A03" w:rsidRPr="00C33451">
        <w:rPr>
          <w:rFonts w:ascii="Arial" w:hAnsi="Arial" w:cs="Arial"/>
          <w:sz w:val="24"/>
          <w:szCs w:val="24"/>
        </w:rPr>
        <w:t xml:space="preserve">, </w:t>
      </w:r>
    </w:p>
    <w:p w14:paraId="2AEBA45D" w14:textId="6D140456" w:rsidR="00A96213" w:rsidRPr="00C33451" w:rsidRDefault="0042019E" w:rsidP="00C33451">
      <w:pPr>
        <w:pStyle w:val="ListParagraph"/>
        <w:numPr>
          <w:ilvl w:val="0"/>
          <w:numId w:val="4"/>
        </w:numPr>
        <w:spacing w:after="160" w:line="259" w:lineRule="auto"/>
        <w:jc w:val="left"/>
        <w:rPr>
          <w:rFonts w:ascii="Arial" w:hAnsi="Arial" w:cs="Arial"/>
          <w:sz w:val="24"/>
          <w:szCs w:val="24"/>
        </w:rPr>
      </w:pPr>
      <w:r>
        <w:rPr>
          <w:rFonts w:ascii="Arial" w:hAnsi="Arial" w:cs="Arial"/>
          <w:sz w:val="24"/>
          <w:szCs w:val="24"/>
        </w:rPr>
        <w:t>Supplier</w:t>
      </w:r>
      <w:r w:rsidR="00A96213" w:rsidRPr="00C33451">
        <w:rPr>
          <w:rFonts w:ascii="Arial" w:hAnsi="Arial" w:cs="Arial"/>
          <w:sz w:val="24"/>
          <w:szCs w:val="24"/>
        </w:rPr>
        <w:t xml:space="preserve">s will be required to work with each authority using data of delivery, take up and training pass rates to submit grant request annually.  </w:t>
      </w:r>
    </w:p>
    <w:p w14:paraId="2D0D5A54" w14:textId="33F73833" w:rsidR="000840D9" w:rsidRDefault="0042019E" w:rsidP="00C33451">
      <w:pPr>
        <w:pStyle w:val="ListParagraph"/>
        <w:numPr>
          <w:ilvl w:val="0"/>
          <w:numId w:val="4"/>
        </w:numPr>
        <w:spacing w:after="160" w:line="259" w:lineRule="auto"/>
        <w:jc w:val="left"/>
        <w:rPr>
          <w:rFonts w:ascii="Arial" w:hAnsi="Arial" w:cs="Arial"/>
          <w:sz w:val="24"/>
          <w:szCs w:val="24"/>
        </w:rPr>
      </w:pPr>
      <w:r>
        <w:rPr>
          <w:rFonts w:ascii="Arial" w:hAnsi="Arial" w:cs="Arial"/>
          <w:sz w:val="24"/>
          <w:szCs w:val="24"/>
        </w:rPr>
        <w:t>Supplier</w:t>
      </w:r>
      <w:r w:rsidR="00C33451">
        <w:rPr>
          <w:rFonts w:ascii="Arial" w:hAnsi="Arial" w:cs="Arial"/>
          <w:sz w:val="24"/>
          <w:szCs w:val="24"/>
        </w:rPr>
        <w:t xml:space="preserve">s </w:t>
      </w:r>
      <w:r w:rsidR="000840D9" w:rsidRPr="00C33451">
        <w:rPr>
          <w:rFonts w:ascii="Arial" w:hAnsi="Arial" w:cs="Arial"/>
          <w:sz w:val="24"/>
          <w:szCs w:val="24"/>
        </w:rPr>
        <w:t>will be expected to work with the authorities to plan for future provision of holiday training, spread throughout the school year in a variety of locations</w:t>
      </w:r>
      <w:r w:rsidR="009A5B38">
        <w:rPr>
          <w:rFonts w:ascii="Arial" w:hAnsi="Arial" w:cs="Arial"/>
          <w:sz w:val="24"/>
          <w:szCs w:val="24"/>
        </w:rPr>
        <w:t xml:space="preserve">. </w:t>
      </w:r>
    </w:p>
    <w:p w14:paraId="19F509BF" w14:textId="68EDCAE4" w:rsidR="007873CE" w:rsidRDefault="007873CE" w:rsidP="007873CE">
      <w:pPr>
        <w:pStyle w:val="ListParagraph"/>
        <w:widowControl w:val="0"/>
        <w:numPr>
          <w:ilvl w:val="0"/>
          <w:numId w:val="4"/>
        </w:numPr>
        <w:tabs>
          <w:tab w:val="left" w:pos="1701"/>
        </w:tabs>
        <w:spacing w:after="120"/>
        <w:rPr>
          <w:rFonts w:ascii="Arial" w:hAnsi="Arial" w:cs="Arial"/>
          <w:sz w:val="22"/>
          <w:szCs w:val="22"/>
        </w:rPr>
      </w:pPr>
      <w:r>
        <w:rPr>
          <w:rFonts w:ascii="Arial" w:hAnsi="Arial" w:cs="Arial"/>
          <w:sz w:val="22"/>
          <w:szCs w:val="22"/>
        </w:rPr>
        <w:t xml:space="preserve">The Council may in the event of compliance issues against the KPIs of contract </w:t>
      </w:r>
      <w:r w:rsidRPr="007873CE">
        <w:rPr>
          <w:rFonts w:ascii="Arial" w:hAnsi="Arial" w:cs="Arial"/>
          <w:sz w:val="22"/>
          <w:szCs w:val="22"/>
        </w:rPr>
        <w:t xml:space="preserve">suspend the </w:t>
      </w:r>
      <w:r>
        <w:rPr>
          <w:rFonts w:ascii="Arial" w:hAnsi="Arial" w:cs="Arial"/>
          <w:sz w:val="22"/>
          <w:szCs w:val="22"/>
        </w:rPr>
        <w:t>supplier</w:t>
      </w:r>
      <w:r w:rsidRPr="007873CE">
        <w:rPr>
          <w:rFonts w:ascii="Arial" w:hAnsi="Arial" w:cs="Arial"/>
          <w:sz w:val="22"/>
          <w:szCs w:val="22"/>
        </w:rPr>
        <w:t xml:space="preserve"> for such period as the Council may determine as reasonable from the </w:t>
      </w:r>
      <w:r>
        <w:rPr>
          <w:rFonts w:ascii="Arial" w:hAnsi="Arial" w:cs="Arial"/>
          <w:sz w:val="22"/>
          <w:szCs w:val="22"/>
        </w:rPr>
        <w:t>Framework</w:t>
      </w:r>
      <w:r w:rsidRPr="007873CE">
        <w:rPr>
          <w:rFonts w:ascii="Arial" w:hAnsi="Arial" w:cs="Arial"/>
          <w:sz w:val="22"/>
          <w:szCs w:val="22"/>
        </w:rPr>
        <w:t xml:space="preserve"> and during the suspension period the Council may impose conditions on the </w:t>
      </w:r>
      <w:r>
        <w:rPr>
          <w:rFonts w:ascii="Arial" w:hAnsi="Arial" w:cs="Arial"/>
          <w:sz w:val="22"/>
          <w:szCs w:val="22"/>
        </w:rPr>
        <w:t>Supplier</w:t>
      </w:r>
      <w:r w:rsidRPr="007873CE">
        <w:rPr>
          <w:rFonts w:ascii="Arial" w:hAnsi="Arial" w:cs="Arial"/>
          <w:sz w:val="22"/>
          <w:szCs w:val="22"/>
        </w:rPr>
        <w:t xml:space="preserve"> before the suspension is lifted</w:t>
      </w:r>
    </w:p>
    <w:p w14:paraId="744F1A7C" w14:textId="02B0E352" w:rsidR="00A96213" w:rsidRPr="007873CE" w:rsidRDefault="007873CE" w:rsidP="007873CE">
      <w:pPr>
        <w:pStyle w:val="ListParagraph"/>
        <w:numPr>
          <w:ilvl w:val="0"/>
          <w:numId w:val="4"/>
        </w:numPr>
        <w:spacing w:after="160" w:line="259" w:lineRule="auto"/>
        <w:jc w:val="left"/>
        <w:rPr>
          <w:rFonts w:ascii="Arial" w:hAnsi="Arial" w:cs="Arial"/>
          <w:sz w:val="24"/>
          <w:szCs w:val="24"/>
        </w:rPr>
      </w:pPr>
      <w:r>
        <w:rPr>
          <w:rFonts w:ascii="Arial" w:hAnsi="Arial" w:cs="Arial"/>
          <w:sz w:val="24"/>
          <w:szCs w:val="24"/>
        </w:rPr>
        <w:t>3 Warnings will constitute a Material breach of contract under IA1898 Framework Terms and Conditions – Termination on Default. Schedule 16.1</w:t>
      </w:r>
    </w:p>
    <w:p w14:paraId="19B7FC50" w14:textId="77777777" w:rsidR="00DE38C1" w:rsidRDefault="00DE38C1">
      <w:pPr>
        <w:spacing w:after="160" w:line="259" w:lineRule="auto"/>
        <w:jc w:val="left"/>
        <w:rPr>
          <w:rFonts w:ascii="Arial" w:hAnsi="Arial" w:cs="Arial"/>
          <w:sz w:val="24"/>
          <w:szCs w:val="24"/>
        </w:rPr>
      </w:pPr>
      <w:r>
        <w:rPr>
          <w:rFonts w:ascii="Arial" w:hAnsi="Arial" w:cs="Arial"/>
          <w:sz w:val="24"/>
          <w:szCs w:val="24"/>
        </w:rPr>
        <w:br w:type="page"/>
      </w:r>
    </w:p>
    <w:p w14:paraId="425746E1" w14:textId="77777777" w:rsidR="00F91656" w:rsidRPr="00DE38C1" w:rsidRDefault="00F91656" w:rsidP="00CA0B2D">
      <w:pPr>
        <w:pStyle w:val="ListParagraph"/>
        <w:numPr>
          <w:ilvl w:val="0"/>
          <w:numId w:val="1"/>
        </w:numPr>
        <w:spacing w:after="160" w:line="259" w:lineRule="auto"/>
        <w:jc w:val="left"/>
        <w:rPr>
          <w:rFonts w:ascii="Arial" w:hAnsi="Arial" w:cs="Arial"/>
          <w:b/>
          <w:sz w:val="24"/>
          <w:szCs w:val="24"/>
        </w:rPr>
      </w:pPr>
      <w:r w:rsidRPr="00DE38C1">
        <w:rPr>
          <w:rFonts w:ascii="Arial" w:hAnsi="Arial" w:cs="Arial"/>
          <w:b/>
          <w:sz w:val="24"/>
          <w:szCs w:val="24"/>
        </w:rPr>
        <w:lastRenderedPageBreak/>
        <w:t>Supplier requirements</w:t>
      </w:r>
      <w:r w:rsidR="00CA0B2D" w:rsidRPr="00DE38C1">
        <w:rPr>
          <w:rFonts w:ascii="Arial" w:hAnsi="Arial" w:cs="Arial"/>
          <w:b/>
          <w:sz w:val="24"/>
          <w:szCs w:val="24"/>
        </w:rPr>
        <w:t xml:space="preserve"> - Delivery and management staff</w:t>
      </w:r>
    </w:p>
    <w:p w14:paraId="2946F9F6" w14:textId="2E33D82B" w:rsidR="00143EED" w:rsidRPr="00C33451" w:rsidRDefault="0042019E" w:rsidP="00C33451">
      <w:pPr>
        <w:pStyle w:val="ListParagraph"/>
        <w:numPr>
          <w:ilvl w:val="0"/>
          <w:numId w:val="7"/>
        </w:numPr>
        <w:spacing w:after="160" w:line="259" w:lineRule="auto"/>
        <w:jc w:val="left"/>
        <w:rPr>
          <w:rFonts w:ascii="Arial" w:hAnsi="Arial" w:cs="Arial"/>
          <w:sz w:val="24"/>
          <w:szCs w:val="24"/>
        </w:rPr>
      </w:pPr>
      <w:r>
        <w:rPr>
          <w:rFonts w:ascii="Arial" w:hAnsi="Arial" w:cs="Arial"/>
          <w:sz w:val="24"/>
          <w:szCs w:val="24"/>
        </w:rPr>
        <w:t>Supplier</w:t>
      </w:r>
      <w:r w:rsidR="002A38DF" w:rsidRPr="00C33451">
        <w:rPr>
          <w:rFonts w:ascii="Arial" w:hAnsi="Arial" w:cs="Arial"/>
          <w:sz w:val="24"/>
          <w:szCs w:val="24"/>
        </w:rPr>
        <w:t>s must demonstrate they have introduced the national standard changes, introduced i</w:t>
      </w:r>
      <w:r w:rsidR="003F414D" w:rsidRPr="00C33451">
        <w:rPr>
          <w:rFonts w:ascii="Arial" w:hAnsi="Arial" w:cs="Arial"/>
          <w:sz w:val="24"/>
          <w:szCs w:val="24"/>
        </w:rPr>
        <w:t xml:space="preserve">n May 2019. </w:t>
      </w:r>
      <w:hyperlink r:id="rId9" w:history="1">
        <w:r w:rsidR="00143EED" w:rsidRPr="00C33451">
          <w:rPr>
            <w:rStyle w:val="Hyperlink"/>
            <w:rFonts w:ascii="Arial" w:hAnsi="Arial" w:cs="Arial"/>
            <w:sz w:val="24"/>
            <w:szCs w:val="24"/>
          </w:rPr>
          <w:t>https://professionals.bikeability.org.uk/course-management/</w:t>
        </w:r>
      </w:hyperlink>
    </w:p>
    <w:p w14:paraId="6E0E7646" w14:textId="4921982D" w:rsidR="00C33451" w:rsidRPr="00C33451" w:rsidRDefault="0009313C" w:rsidP="00B30C2B">
      <w:pPr>
        <w:pStyle w:val="ListParagraph"/>
        <w:numPr>
          <w:ilvl w:val="0"/>
          <w:numId w:val="6"/>
        </w:numPr>
        <w:spacing w:after="160" w:line="259" w:lineRule="auto"/>
        <w:jc w:val="left"/>
        <w:rPr>
          <w:rFonts w:ascii="Arial" w:hAnsi="Arial" w:cs="Arial"/>
          <w:color w:val="110600"/>
          <w:spacing w:val="10"/>
          <w:sz w:val="24"/>
          <w:szCs w:val="24"/>
          <w:lang w:val="en"/>
        </w:rPr>
      </w:pPr>
      <w:r w:rsidRPr="00C33451">
        <w:rPr>
          <w:rFonts w:ascii="Arial" w:hAnsi="Arial" w:cs="Arial"/>
          <w:sz w:val="24"/>
          <w:szCs w:val="24"/>
        </w:rPr>
        <w:t xml:space="preserve">Instructors </w:t>
      </w:r>
      <w:proofErr w:type="gramStart"/>
      <w:r w:rsidRPr="00C33451">
        <w:rPr>
          <w:rFonts w:ascii="Arial" w:hAnsi="Arial" w:cs="Arial"/>
          <w:sz w:val="24"/>
          <w:szCs w:val="24"/>
        </w:rPr>
        <w:t xml:space="preserve">must be </w:t>
      </w:r>
      <w:r w:rsidR="00932557">
        <w:rPr>
          <w:rFonts w:ascii="Arial" w:hAnsi="Arial" w:cs="Arial"/>
          <w:sz w:val="24"/>
          <w:szCs w:val="24"/>
        </w:rPr>
        <w:t xml:space="preserve">enhanced </w:t>
      </w:r>
      <w:r w:rsidRPr="00C33451">
        <w:rPr>
          <w:rFonts w:ascii="Arial" w:hAnsi="Arial" w:cs="Arial"/>
          <w:sz w:val="24"/>
          <w:szCs w:val="24"/>
        </w:rPr>
        <w:t>DBS cleared and carry identification at all times</w:t>
      </w:r>
      <w:proofErr w:type="gramEnd"/>
      <w:r w:rsidRPr="00C33451">
        <w:rPr>
          <w:rFonts w:ascii="Arial" w:hAnsi="Arial" w:cs="Arial"/>
          <w:sz w:val="24"/>
          <w:szCs w:val="24"/>
        </w:rPr>
        <w:t xml:space="preserve">, </w:t>
      </w:r>
      <w:r w:rsidR="0042019E">
        <w:rPr>
          <w:rFonts w:ascii="Arial" w:hAnsi="Arial" w:cs="Arial"/>
          <w:sz w:val="24"/>
          <w:szCs w:val="24"/>
        </w:rPr>
        <w:t>supplier</w:t>
      </w:r>
      <w:r w:rsidRPr="00C33451">
        <w:rPr>
          <w:rFonts w:ascii="Arial" w:hAnsi="Arial" w:cs="Arial"/>
          <w:sz w:val="24"/>
          <w:szCs w:val="24"/>
        </w:rPr>
        <w:t xml:space="preserve">s must supply </w:t>
      </w:r>
      <w:r w:rsidR="005F2A67">
        <w:rPr>
          <w:rFonts w:ascii="Arial" w:hAnsi="Arial" w:cs="Arial"/>
          <w:sz w:val="24"/>
          <w:szCs w:val="24"/>
        </w:rPr>
        <w:t>Staffordshire County and Stoke-on-Trent City Council</w:t>
      </w:r>
      <w:r w:rsidRPr="00C33451">
        <w:rPr>
          <w:rFonts w:ascii="Arial" w:hAnsi="Arial" w:cs="Arial"/>
          <w:sz w:val="24"/>
          <w:szCs w:val="24"/>
        </w:rPr>
        <w:t xml:space="preserve"> with all details of new instructors at the time of recruitment.  </w:t>
      </w:r>
      <w:r w:rsidR="00A96213" w:rsidRPr="00C33451">
        <w:rPr>
          <w:rFonts w:ascii="Arial" w:hAnsi="Arial" w:cs="Arial"/>
          <w:sz w:val="24"/>
          <w:szCs w:val="24"/>
        </w:rPr>
        <w:t xml:space="preserve">Instructors will be required to be safeguarding trained.  </w:t>
      </w:r>
    </w:p>
    <w:p w14:paraId="3BDC5A49" w14:textId="17EEA379" w:rsidR="003F414D" w:rsidRPr="009A5B38" w:rsidRDefault="002A38DF" w:rsidP="00C33451">
      <w:pPr>
        <w:pStyle w:val="ListParagraph"/>
        <w:spacing w:after="160" w:line="259" w:lineRule="auto"/>
        <w:jc w:val="left"/>
        <w:rPr>
          <w:rFonts w:ascii="Arial" w:hAnsi="Arial" w:cs="Arial"/>
          <w:color w:val="FF0000"/>
          <w:spacing w:val="10"/>
          <w:sz w:val="24"/>
          <w:szCs w:val="24"/>
          <w:lang w:val="en"/>
        </w:rPr>
      </w:pPr>
      <w:r w:rsidRPr="00C33451">
        <w:rPr>
          <w:rFonts w:ascii="Arial" w:hAnsi="Arial" w:cs="Arial"/>
          <w:sz w:val="24"/>
          <w:szCs w:val="24"/>
        </w:rPr>
        <w:t xml:space="preserve">Note:  </w:t>
      </w:r>
      <w:r w:rsidR="003F414D" w:rsidRPr="00C33451">
        <w:rPr>
          <w:rFonts w:ascii="Arial" w:hAnsi="Arial" w:cs="Arial"/>
          <w:color w:val="110600"/>
          <w:spacing w:val="10"/>
          <w:sz w:val="24"/>
          <w:szCs w:val="24"/>
          <w:lang w:val="en"/>
        </w:rPr>
        <w:t xml:space="preserve">New affiliated instructors must be qualified with the 1st4sport Level 2 Award in Instructing Cycle Training. Existing affiliated instructors may continue to deliver Bikeability with NSI status until August 2021. All affiliated instructors must be included in a </w:t>
      </w:r>
      <w:r w:rsidR="0042019E">
        <w:rPr>
          <w:rFonts w:ascii="Arial" w:hAnsi="Arial" w:cs="Arial"/>
          <w:color w:val="110600"/>
          <w:spacing w:val="10"/>
          <w:sz w:val="24"/>
          <w:szCs w:val="24"/>
          <w:lang w:val="en"/>
        </w:rPr>
        <w:t>supplier</w:t>
      </w:r>
      <w:r w:rsidR="003F414D" w:rsidRPr="00C33451">
        <w:rPr>
          <w:rFonts w:ascii="Arial" w:hAnsi="Arial" w:cs="Arial"/>
          <w:color w:val="110600"/>
          <w:spacing w:val="10"/>
          <w:sz w:val="24"/>
          <w:szCs w:val="24"/>
          <w:lang w:val="en"/>
        </w:rPr>
        <w:t xml:space="preserve"> </w:t>
      </w:r>
      <w:proofErr w:type="spellStart"/>
      <w:r w:rsidR="005F2A67">
        <w:rPr>
          <w:rFonts w:ascii="Arial" w:hAnsi="Arial" w:cs="Arial"/>
          <w:color w:val="110600"/>
          <w:spacing w:val="10"/>
          <w:sz w:val="24"/>
          <w:szCs w:val="24"/>
          <w:lang w:val="en"/>
        </w:rPr>
        <w:t>p</w:t>
      </w:r>
      <w:r w:rsidR="005F2A67" w:rsidRPr="00C33451">
        <w:rPr>
          <w:rFonts w:ascii="Arial" w:hAnsi="Arial" w:cs="Arial"/>
          <w:color w:val="110600"/>
          <w:spacing w:val="10"/>
          <w:sz w:val="24"/>
          <w:szCs w:val="24"/>
          <w:lang w:val="en"/>
        </w:rPr>
        <w:t>rogramme</w:t>
      </w:r>
      <w:proofErr w:type="spellEnd"/>
      <w:r w:rsidR="003F414D" w:rsidRPr="00C33451">
        <w:rPr>
          <w:rFonts w:ascii="Arial" w:hAnsi="Arial" w:cs="Arial"/>
          <w:color w:val="110600"/>
          <w:spacing w:val="10"/>
          <w:sz w:val="24"/>
          <w:szCs w:val="24"/>
          <w:lang w:val="en"/>
        </w:rPr>
        <w:t xml:space="preserve"> of continuing professional development. Mentoring</w:t>
      </w:r>
      <w:r w:rsidRPr="00C33451">
        <w:rPr>
          <w:rFonts w:ascii="Arial" w:hAnsi="Arial" w:cs="Arial"/>
          <w:color w:val="110600"/>
          <w:spacing w:val="10"/>
          <w:sz w:val="24"/>
          <w:szCs w:val="24"/>
          <w:lang w:val="en"/>
        </w:rPr>
        <w:t xml:space="preserve"> - </w:t>
      </w:r>
      <w:r w:rsidR="003F414D" w:rsidRPr="00C33451">
        <w:rPr>
          <w:rFonts w:ascii="Arial" w:hAnsi="Arial" w:cs="Arial"/>
          <w:color w:val="110600"/>
          <w:spacing w:val="10"/>
          <w:sz w:val="24"/>
          <w:szCs w:val="24"/>
          <w:lang w:val="en"/>
        </w:rPr>
        <w:t xml:space="preserve">The </w:t>
      </w:r>
      <w:r w:rsidR="0042019E">
        <w:rPr>
          <w:rFonts w:ascii="Arial" w:hAnsi="Arial" w:cs="Arial"/>
          <w:color w:val="110600"/>
          <w:spacing w:val="10"/>
          <w:sz w:val="24"/>
          <w:szCs w:val="24"/>
          <w:lang w:val="en"/>
        </w:rPr>
        <w:t>supplier</w:t>
      </w:r>
      <w:r w:rsidR="003F414D" w:rsidRPr="00C33451">
        <w:rPr>
          <w:rFonts w:ascii="Arial" w:hAnsi="Arial" w:cs="Arial"/>
          <w:color w:val="110600"/>
          <w:spacing w:val="10"/>
          <w:sz w:val="24"/>
          <w:szCs w:val="24"/>
          <w:lang w:val="en"/>
        </w:rPr>
        <w:t xml:space="preserve"> must ensure all instructors are formally observed and mentored annually. An established mentoring process is key in supporting a CPD programme</w:t>
      </w:r>
      <w:r w:rsidR="009A5B38">
        <w:rPr>
          <w:rFonts w:ascii="Arial" w:hAnsi="Arial" w:cs="Arial"/>
          <w:color w:val="FF0000"/>
          <w:spacing w:val="10"/>
          <w:sz w:val="24"/>
          <w:szCs w:val="24"/>
          <w:lang w:val="en"/>
        </w:rPr>
        <w:t xml:space="preserve"> </w:t>
      </w:r>
    </w:p>
    <w:p w14:paraId="7529E61E" w14:textId="5CA48355" w:rsidR="00F27463" w:rsidRDefault="002A38DF" w:rsidP="00B30C2B">
      <w:pPr>
        <w:pStyle w:val="ListParagraph"/>
        <w:numPr>
          <w:ilvl w:val="0"/>
          <w:numId w:val="6"/>
        </w:numPr>
        <w:spacing w:after="160" w:line="259" w:lineRule="auto"/>
        <w:jc w:val="left"/>
        <w:rPr>
          <w:rFonts w:ascii="Arial" w:hAnsi="Arial" w:cs="Arial"/>
          <w:color w:val="110600"/>
          <w:spacing w:val="10"/>
          <w:sz w:val="24"/>
          <w:szCs w:val="24"/>
          <w:lang w:val="en"/>
        </w:rPr>
      </w:pPr>
      <w:r w:rsidRPr="00C33451">
        <w:rPr>
          <w:rFonts w:ascii="Arial" w:hAnsi="Arial" w:cs="Arial"/>
          <w:color w:val="110600"/>
          <w:spacing w:val="10"/>
          <w:sz w:val="24"/>
          <w:szCs w:val="24"/>
          <w:lang w:val="en"/>
        </w:rPr>
        <w:t xml:space="preserve">To achieve the number of training places a comprehensive booking process must be </w:t>
      </w:r>
      <w:r w:rsidR="008D3EA9">
        <w:rPr>
          <w:rFonts w:ascii="Arial" w:hAnsi="Arial" w:cs="Arial"/>
          <w:color w:val="110600"/>
          <w:spacing w:val="10"/>
          <w:sz w:val="24"/>
          <w:szCs w:val="24"/>
          <w:lang w:val="en"/>
        </w:rPr>
        <w:t>assured</w:t>
      </w:r>
      <w:r w:rsidR="00C93FCF" w:rsidRPr="00C33451">
        <w:rPr>
          <w:rFonts w:ascii="Arial" w:hAnsi="Arial" w:cs="Arial"/>
          <w:color w:val="110600"/>
          <w:spacing w:val="10"/>
          <w:sz w:val="24"/>
          <w:szCs w:val="24"/>
          <w:lang w:val="en"/>
        </w:rPr>
        <w:t xml:space="preserve"> </w:t>
      </w:r>
      <w:r w:rsidR="00C93FCF">
        <w:rPr>
          <w:rFonts w:ascii="Arial" w:hAnsi="Arial" w:cs="Arial"/>
          <w:color w:val="110600"/>
          <w:spacing w:val="10"/>
          <w:sz w:val="24"/>
          <w:szCs w:val="24"/>
          <w:lang w:val="en"/>
        </w:rPr>
        <w:t>b</w:t>
      </w:r>
      <w:r w:rsidR="00F27463">
        <w:rPr>
          <w:rFonts w:ascii="Arial" w:hAnsi="Arial" w:cs="Arial"/>
          <w:color w:val="110600"/>
          <w:spacing w:val="10"/>
          <w:sz w:val="24"/>
          <w:szCs w:val="24"/>
          <w:lang w:val="en"/>
        </w:rPr>
        <w:t xml:space="preserve">y the supplier </w:t>
      </w:r>
      <w:r w:rsidRPr="00C33451">
        <w:rPr>
          <w:rFonts w:ascii="Arial" w:hAnsi="Arial" w:cs="Arial"/>
          <w:color w:val="110600"/>
          <w:spacing w:val="10"/>
          <w:sz w:val="24"/>
          <w:szCs w:val="24"/>
          <w:lang w:val="en"/>
        </w:rPr>
        <w:t xml:space="preserve">to achieve the KPIs shown in table 2.  The </w:t>
      </w:r>
      <w:r w:rsidR="0042019E">
        <w:rPr>
          <w:rFonts w:ascii="Arial" w:hAnsi="Arial" w:cs="Arial"/>
          <w:color w:val="110600"/>
          <w:spacing w:val="10"/>
          <w:sz w:val="24"/>
          <w:szCs w:val="24"/>
          <w:lang w:val="en"/>
        </w:rPr>
        <w:t>supplier</w:t>
      </w:r>
      <w:r w:rsidRPr="00C33451">
        <w:rPr>
          <w:rFonts w:ascii="Arial" w:hAnsi="Arial" w:cs="Arial"/>
          <w:color w:val="110600"/>
          <w:spacing w:val="10"/>
          <w:sz w:val="24"/>
          <w:szCs w:val="24"/>
          <w:lang w:val="en"/>
        </w:rPr>
        <w:t xml:space="preserve"> must demonstrate they have the staff in place with experience of Bikeability booking processes, policies for complaint handling and dealing with members of the public enquiries.</w:t>
      </w:r>
    </w:p>
    <w:p w14:paraId="0F8069EE" w14:textId="5DE61CCF" w:rsidR="00C33451" w:rsidRDefault="00F27463" w:rsidP="00B30C2B">
      <w:pPr>
        <w:pStyle w:val="ListParagraph"/>
        <w:numPr>
          <w:ilvl w:val="0"/>
          <w:numId w:val="6"/>
        </w:numPr>
        <w:spacing w:after="160" w:line="259" w:lineRule="auto"/>
        <w:jc w:val="left"/>
        <w:rPr>
          <w:rFonts w:ascii="Arial" w:hAnsi="Arial" w:cs="Arial"/>
          <w:color w:val="110600"/>
          <w:spacing w:val="10"/>
          <w:sz w:val="24"/>
          <w:szCs w:val="24"/>
          <w:lang w:val="en"/>
        </w:rPr>
      </w:pPr>
      <w:r>
        <w:rPr>
          <w:rFonts w:ascii="Arial" w:hAnsi="Arial" w:cs="Arial"/>
          <w:color w:val="110600"/>
          <w:spacing w:val="10"/>
          <w:sz w:val="24"/>
          <w:szCs w:val="24"/>
          <w:lang w:val="en"/>
        </w:rPr>
        <w:t>The supplier will be responsible for booking places on this scheme</w:t>
      </w:r>
      <w:r w:rsidR="00951E52">
        <w:rPr>
          <w:rFonts w:ascii="Arial" w:hAnsi="Arial" w:cs="Arial"/>
          <w:color w:val="110600"/>
          <w:spacing w:val="10"/>
          <w:sz w:val="24"/>
          <w:szCs w:val="24"/>
          <w:lang w:val="en"/>
        </w:rPr>
        <w:t xml:space="preserve"> with schools</w:t>
      </w:r>
      <w:r>
        <w:rPr>
          <w:rFonts w:ascii="Arial" w:hAnsi="Arial" w:cs="Arial"/>
          <w:color w:val="110600"/>
          <w:spacing w:val="10"/>
          <w:sz w:val="24"/>
          <w:szCs w:val="24"/>
          <w:lang w:val="en"/>
        </w:rPr>
        <w:t>.</w:t>
      </w:r>
      <w:r w:rsidR="002A38DF" w:rsidRPr="00C33451">
        <w:rPr>
          <w:rFonts w:ascii="Arial" w:hAnsi="Arial" w:cs="Arial"/>
          <w:color w:val="110600"/>
          <w:spacing w:val="10"/>
          <w:sz w:val="24"/>
          <w:szCs w:val="24"/>
          <w:lang w:val="en"/>
        </w:rPr>
        <w:t xml:space="preserve">  </w:t>
      </w:r>
    </w:p>
    <w:p w14:paraId="4C6C86E8" w14:textId="2020FD0D" w:rsidR="00C33451" w:rsidRDefault="000E53CD" w:rsidP="002A38DF">
      <w:pPr>
        <w:pStyle w:val="ListParagraph"/>
        <w:numPr>
          <w:ilvl w:val="0"/>
          <w:numId w:val="6"/>
        </w:numPr>
        <w:spacing w:after="160" w:line="259" w:lineRule="auto"/>
        <w:jc w:val="left"/>
        <w:rPr>
          <w:rFonts w:ascii="Arial" w:hAnsi="Arial" w:cs="Arial"/>
          <w:color w:val="110600"/>
          <w:spacing w:val="10"/>
          <w:sz w:val="24"/>
          <w:szCs w:val="24"/>
          <w:lang w:val="en"/>
        </w:rPr>
      </w:pPr>
      <w:r>
        <w:rPr>
          <w:rFonts w:ascii="Arial" w:hAnsi="Arial" w:cs="Arial"/>
          <w:color w:val="110600"/>
          <w:spacing w:val="10"/>
          <w:sz w:val="24"/>
          <w:szCs w:val="24"/>
          <w:lang w:val="en"/>
        </w:rPr>
        <w:t>The Successful Supplier</w:t>
      </w:r>
      <w:r w:rsidR="00A96213" w:rsidRPr="00C33451">
        <w:rPr>
          <w:rFonts w:ascii="Arial" w:hAnsi="Arial" w:cs="Arial"/>
          <w:color w:val="110600"/>
          <w:spacing w:val="10"/>
          <w:sz w:val="24"/>
          <w:szCs w:val="24"/>
          <w:lang w:val="en"/>
        </w:rPr>
        <w:t xml:space="preserve"> will be required to share </w:t>
      </w:r>
      <w:r>
        <w:rPr>
          <w:rFonts w:ascii="Arial" w:hAnsi="Arial" w:cs="Arial"/>
          <w:color w:val="110600"/>
          <w:spacing w:val="10"/>
          <w:sz w:val="24"/>
          <w:szCs w:val="24"/>
          <w:lang w:val="en"/>
        </w:rPr>
        <w:t xml:space="preserve">a </w:t>
      </w:r>
      <w:r w:rsidR="00A96213" w:rsidRPr="00C33451">
        <w:rPr>
          <w:rFonts w:ascii="Arial" w:hAnsi="Arial" w:cs="Arial"/>
          <w:color w:val="110600"/>
          <w:spacing w:val="10"/>
          <w:sz w:val="24"/>
          <w:szCs w:val="24"/>
          <w:lang w:val="en"/>
        </w:rPr>
        <w:t xml:space="preserve">full list of </w:t>
      </w:r>
      <w:r w:rsidR="000840D9" w:rsidRPr="00C33451">
        <w:rPr>
          <w:rFonts w:ascii="Arial" w:hAnsi="Arial" w:cs="Arial"/>
          <w:color w:val="110600"/>
          <w:spacing w:val="10"/>
          <w:sz w:val="24"/>
          <w:szCs w:val="24"/>
          <w:lang w:val="en"/>
        </w:rPr>
        <w:t>staff/</w:t>
      </w:r>
      <w:r w:rsidR="00A96213" w:rsidRPr="00C33451">
        <w:rPr>
          <w:rFonts w:ascii="Arial" w:hAnsi="Arial" w:cs="Arial"/>
          <w:color w:val="110600"/>
          <w:spacing w:val="10"/>
          <w:sz w:val="24"/>
          <w:szCs w:val="24"/>
          <w:lang w:val="en"/>
        </w:rPr>
        <w:t xml:space="preserve">instructors, level of experience and NSI numbers, full and part time employment basis, to evidence capacity to deliver to the numbers expected.  </w:t>
      </w:r>
      <w:r w:rsidR="000840D9" w:rsidRPr="00C33451">
        <w:rPr>
          <w:rFonts w:ascii="Arial" w:hAnsi="Arial" w:cs="Arial"/>
          <w:color w:val="110600"/>
          <w:spacing w:val="10"/>
          <w:sz w:val="24"/>
          <w:szCs w:val="24"/>
          <w:lang w:val="en"/>
        </w:rPr>
        <w:t xml:space="preserve">Including where staff have additional duties or contract delivery in other areas of the business, and percentage of time in each area.  </w:t>
      </w:r>
    </w:p>
    <w:p w14:paraId="7A805C00" w14:textId="78D08E9D" w:rsidR="00C33451" w:rsidRDefault="0042019E" w:rsidP="00B30C2B">
      <w:pPr>
        <w:pStyle w:val="ListParagraph"/>
        <w:numPr>
          <w:ilvl w:val="0"/>
          <w:numId w:val="6"/>
        </w:numPr>
        <w:spacing w:after="160" w:line="259" w:lineRule="auto"/>
        <w:jc w:val="left"/>
        <w:rPr>
          <w:rFonts w:ascii="Arial" w:hAnsi="Arial" w:cs="Arial"/>
          <w:color w:val="110600"/>
          <w:spacing w:val="10"/>
          <w:sz w:val="24"/>
          <w:szCs w:val="24"/>
          <w:lang w:val="en"/>
        </w:rPr>
      </w:pPr>
      <w:r>
        <w:rPr>
          <w:rFonts w:ascii="Arial" w:hAnsi="Arial" w:cs="Arial"/>
          <w:color w:val="110600"/>
          <w:spacing w:val="10"/>
          <w:sz w:val="24"/>
          <w:szCs w:val="24"/>
          <w:lang w:val="en"/>
        </w:rPr>
        <w:t>Supplier</w:t>
      </w:r>
      <w:r w:rsidR="000840D9" w:rsidRPr="00C33451">
        <w:rPr>
          <w:rFonts w:ascii="Arial" w:hAnsi="Arial" w:cs="Arial"/>
          <w:color w:val="110600"/>
          <w:spacing w:val="10"/>
          <w:sz w:val="24"/>
          <w:szCs w:val="24"/>
          <w:lang w:val="en"/>
        </w:rPr>
        <w:t xml:space="preserve">s must be able to manage the </w:t>
      </w:r>
      <w:r w:rsidR="009A5B38">
        <w:rPr>
          <w:rFonts w:ascii="Arial" w:hAnsi="Arial" w:cs="Arial"/>
          <w:color w:val="110600"/>
          <w:spacing w:val="10"/>
          <w:sz w:val="24"/>
          <w:szCs w:val="24"/>
          <w:lang w:val="en"/>
        </w:rPr>
        <w:t xml:space="preserve">numbers of training places within the </w:t>
      </w:r>
      <w:r w:rsidR="000840D9" w:rsidRPr="00C33451">
        <w:rPr>
          <w:rFonts w:ascii="Arial" w:hAnsi="Arial" w:cs="Arial"/>
          <w:color w:val="110600"/>
          <w:spacing w:val="10"/>
          <w:sz w:val="24"/>
          <w:szCs w:val="24"/>
          <w:lang w:val="en"/>
        </w:rPr>
        <w:t xml:space="preserve">contract and show a plan of delivery to include any potential increase in numbers – </w:t>
      </w:r>
      <w:r w:rsidR="009A5B38">
        <w:rPr>
          <w:rFonts w:ascii="Arial" w:hAnsi="Arial" w:cs="Arial"/>
          <w:color w:val="110600"/>
          <w:spacing w:val="10"/>
          <w:sz w:val="24"/>
          <w:szCs w:val="24"/>
          <w:lang w:val="en"/>
        </w:rPr>
        <w:t>1</w:t>
      </w:r>
      <w:r w:rsidR="000840D9" w:rsidRPr="00C33451">
        <w:rPr>
          <w:rFonts w:ascii="Arial" w:hAnsi="Arial" w:cs="Arial"/>
          <w:color w:val="110600"/>
          <w:spacing w:val="10"/>
          <w:sz w:val="24"/>
          <w:szCs w:val="24"/>
          <w:lang w:val="en"/>
        </w:rPr>
        <w:t>0%</w:t>
      </w:r>
      <w:r w:rsidR="009A5B38">
        <w:rPr>
          <w:rFonts w:ascii="Arial" w:hAnsi="Arial" w:cs="Arial"/>
          <w:color w:val="110600"/>
          <w:spacing w:val="10"/>
          <w:sz w:val="24"/>
          <w:szCs w:val="24"/>
          <w:lang w:val="en"/>
        </w:rPr>
        <w:t xml:space="preserve"> to be demonstrated</w:t>
      </w:r>
      <w:r w:rsidR="000840D9" w:rsidRPr="00C33451">
        <w:rPr>
          <w:rFonts w:ascii="Arial" w:hAnsi="Arial" w:cs="Arial"/>
          <w:color w:val="110600"/>
          <w:spacing w:val="10"/>
          <w:sz w:val="24"/>
          <w:szCs w:val="24"/>
          <w:lang w:val="en"/>
        </w:rPr>
        <w:t xml:space="preserve">. </w:t>
      </w:r>
    </w:p>
    <w:p w14:paraId="7533E52E" w14:textId="16F70BEB" w:rsidR="00DE38C1" w:rsidRPr="00C93FCF" w:rsidRDefault="000840D9" w:rsidP="00C93FCF">
      <w:pPr>
        <w:pStyle w:val="ListParagraph"/>
        <w:numPr>
          <w:ilvl w:val="0"/>
          <w:numId w:val="6"/>
        </w:numPr>
        <w:spacing w:after="160" w:line="259" w:lineRule="auto"/>
        <w:jc w:val="left"/>
        <w:rPr>
          <w:rFonts w:ascii="Arial" w:hAnsi="Arial" w:cs="Arial"/>
          <w:b/>
          <w:color w:val="110600"/>
          <w:spacing w:val="10"/>
          <w:sz w:val="24"/>
          <w:szCs w:val="24"/>
          <w:lang w:val="en"/>
        </w:rPr>
      </w:pPr>
      <w:r w:rsidRPr="00C93FCF">
        <w:rPr>
          <w:rFonts w:ascii="Arial" w:hAnsi="Arial" w:cs="Arial"/>
          <w:color w:val="110600"/>
          <w:spacing w:val="10"/>
          <w:sz w:val="24"/>
          <w:szCs w:val="24"/>
          <w:lang w:val="en"/>
        </w:rPr>
        <w:t>To achieve the number of places</w:t>
      </w:r>
      <w:r w:rsidR="00DF663E" w:rsidRPr="00C93FCF">
        <w:rPr>
          <w:rFonts w:ascii="Arial" w:hAnsi="Arial" w:cs="Arial"/>
          <w:color w:val="110600"/>
          <w:spacing w:val="10"/>
          <w:sz w:val="24"/>
          <w:szCs w:val="24"/>
          <w:lang w:val="en"/>
        </w:rPr>
        <w:t xml:space="preserve"> across a wide area including large rural areas, where pupils access school transport, it is necessary to provide </w:t>
      </w:r>
      <w:r w:rsidR="00C33451" w:rsidRPr="00C93FCF">
        <w:rPr>
          <w:rFonts w:ascii="Arial" w:hAnsi="Arial" w:cs="Arial"/>
          <w:color w:val="110600"/>
          <w:spacing w:val="10"/>
          <w:sz w:val="24"/>
          <w:szCs w:val="24"/>
          <w:lang w:val="en"/>
        </w:rPr>
        <w:t xml:space="preserve">bicycles to loan.  </w:t>
      </w:r>
      <w:r w:rsidR="00DE38C1" w:rsidRPr="00C93FCF">
        <w:rPr>
          <w:rFonts w:ascii="Arial" w:hAnsi="Arial" w:cs="Arial"/>
          <w:b/>
          <w:color w:val="110600"/>
          <w:spacing w:val="10"/>
          <w:sz w:val="24"/>
          <w:szCs w:val="24"/>
          <w:lang w:val="en"/>
        </w:rPr>
        <w:br w:type="page"/>
      </w:r>
    </w:p>
    <w:p w14:paraId="62EC1AEF" w14:textId="77777777" w:rsidR="002F56F8" w:rsidRPr="00DE38C1" w:rsidRDefault="002F56F8" w:rsidP="002F56F8">
      <w:pPr>
        <w:pStyle w:val="ListParagraph"/>
        <w:numPr>
          <w:ilvl w:val="0"/>
          <w:numId w:val="1"/>
        </w:numPr>
        <w:spacing w:after="160" w:line="259" w:lineRule="auto"/>
        <w:jc w:val="left"/>
        <w:rPr>
          <w:rFonts w:ascii="Arial" w:hAnsi="Arial" w:cs="Arial"/>
          <w:b/>
          <w:color w:val="110600"/>
          <w:spacing w:val="10"/>
          <w:sz w:val="24"/>
          <w:szCs w:val="24"/>
          <w:lang w:val="en"/>
        </w:rPr>
      </w:pPr>
      <w:r w:rsidRPr="00DE38C1">
        <w:rPr>
          <w:rFonts w:ascii="Arial" w:hAnsi="Arial" w:cs="Arial"/>
          <w:b/>
          <w:color w:val="110600"/>
          <w:spacing w:val="10"/>
          <w:sz w:val="24"/>
          <w:szCs w:val="24"/>
          <w:lang w:val="en"/>
        </w:rPr>
        <w:lastRenderedPageBreak/>
        <w:t>Professional service</w:t>
      </w:r>
    </w:p>
    <w:p w14:paraId="16D21B2B" w14:textId="7F2AE216" w:rsidR="00A96213" w:rsidRPr="00A96213" w:rsidRDefault="00A96213" w:rsidP="00A96213">
      <w:pPr>
        <w:spacing w:after="160" w:line="259" w:lineRule="auto"/>
        <w:jc w:val="left"/>
        <w:rPr>
          <w:rFonts w:ascii="Arial" w:hAnsi="Arial" w:cs="Arial"/>
          <w:color w:val="110600"/>
          <w:spacing w:val="10"/>
          <w:sz w:val="24"/>
          <w:szCs w:val="24"/>
          <w:lang w:val="en"/>
        </w:rPr>
      </w:pPr>
      <w:r w:rsidRPr="00A96213">
        <w:rPr>
          <w:rFonts w:ascii="Arial" w:hAnsi="Arial" w:cs="Arial"/>
          <w:sz w:val="24"/>
          <w:szCs w:val="24"/>
        </w:rPr>
        <w:t>All Bikeability training is delivered “on behalf of the council”, a professional approach</w:t>
      </w:r>
      <w:r w:rsidR="00217F4A">
        <w:rPr>
          <w:rFonts w:ascii="Arial" w:hAnsi="Arial" w:cs="Arial"/>
          <w:sz w:val="24"/>
          <w:szCs w:val="24"/>
        </w:rPr>
        <w:t xml:space="preserve"> by </w:t>
      </w:r>
      <w:r w:rsidR="0042019E">
        <w:rPr>
          <w:rFonts w:ascii="Arial" w:hAnsi="Arial" w:cs="Arial"/>
          <w:sz w:val="24"/>
          <w:szCs w:val="24"/>
        </w:rPr>
        <w:t>supplier</w:t>
      </w:r>
      <w:r w:rsidR="00217F4A">
        <w:rPr>
          <w:rFonts w:ascii="Arial" w:hAnsi="Arial" w:cs="Arial"/>
          <w:sz w:val="24"/>
          <w:szCs w:val="24"/>
        </w:rPr>
        <w:t>s</w:t>
      </w:r>
      <w:r w:rsidRPr="00A96213">
        <w:rPr>
          <w:rFonts w:ascii="Arial" w:hAnsi="Arial" w:cs="Arial"/>
          <w:sz w:val="24"/>
          <w:szCs w:val="24"/>
        </w:rPr>
        <w:t xml:space="preserve"> ensures the reputation of both the scheme and authority are not damaged.  </w:t>
      </w:r>
    </w:p>
    <w:p w14:paraId="1568FA05" w14:textId="2B30733C" w:rsidR="00A96213" w:rsidRDefault="0042019E" w:rsidP="002F56F8">
      <w:pPr>
        <w:spacing w:after="160" w:line="259" w:lineRule="auto"/>
        <w:jc w:val="left"/>
        <w:rPr>
          <w:rFonts w:ascii="Arial" w:hAnsi="Arial" w:cs="Arial"/>
          <w:sz w:val="24"/>
          <w:szCs w:val="24"/>
        </w:rPr>
      </w:pPr>
      <w:r>
        <w:rPr>
          <w:rFonts w:ascii="Arial" w:hAnsi="Arial" w:cs="Arial"/>
          <w:sz w:val="24"/>
          <w:szCs w:val="24"/>
        </w:rPr>
        <w:t>Supplier</w:t>
      </w:r>
      <w:r w:rsidR="002F56F8">
        <w:rPr>
          <w:rFonts w:ascii="Arial" w:hAnsi="Arial" w:cs="Arial"/>
          <w:sz w:val="24"/>
          <w:szCs w:val="24"/>
        </w:rPr>
        <w:t xml:space="preserve"> teams must be punctual and professional in their approach to all elements of the contract, to include booking courses, delivering training and providing feedback.  </w:t>
      </w:r>
    </w:p>
    <w:p w14:paraId="774C4A89" w14:textId="77777777" w:rsidR="002F56F8" w:rsidRDefault="00A96213" w:rsidP="002F56F8">
      <w:pPr>
        <w:spacing w:after="160" w:line="259" w:lineRule="auto"/>
        <w:jc w:val="left"/>
        <w:rPr>
          <w:rFonts w:ascii="Arial" w:hAnsi="Arial" w:cs="Arial"/>
          <w:sz w:val="24"/>
          <w:szCs w:val="24"/>
        </w:rPr>
      </w:pPr>
      <w:r>
        <w:rPr>
          <w:rFonts w:ascii="Arial" w:hAnsi="Arial" w:cs="Arial"/>
          <w:sz w:val="24"/>
          <w:szCs w:val="24"/>
        </w:rPr>
        <w:t>Instructor t</w:t>
      </w:r>
      <w:r w:rsidR="002F56F8">
        <w:rPr>
          <w:rFonts w:ascii="Arial" w:hAnsi="Arial" w:cs="Arial"/>
          <w:sz w:val="24"/>
          <w:szCs w:val="24"/>
        </w:rPr>
        <w:t>eams must be professionally attired, and</w:t>
      </w:r>
      <w:r w:rsidR="0009313C">
        <w:rPr>
          <w:rFonts w:ascii="Arial" w:hAnsi="Arial" w:cs="Arial"/>
          <w:sz w:val="24"/>
          <w:szCs w:val="24"/>
        </w:rPr>
        <w:t xml:space="preserve"> </w:t>
      </w:r>
      <w:r w:rsidR="002F56F8">
        <w:rPr>
          <w:rFonts w:ascii="Arial" w:hAnsi="Arial" w:cs="Arial"/>
          <w:sz w:val="24"/>
          <w:szCs w:val="24"/>
        </w:rPr>
        <w:t xml:space="preserve">provide high </w:t>
      </w:r>
      <w:r w:rsidR="0009313C">
        <w:rPr>
          <w:rFonts w:ascii="Arial" w:hAnsi="Arial" w:cs="Arial"/>
          <w:sz w:val="24"/>
          <w:szCs w:val="24"/>
        </w:rPr>
        <w:t>quality, clean and professional high v</w:t>
      </w:r>
      <w:r w:rsidR="002F56F8">
        <w:rPr>
          <w:rFonts w:ascii="Arial" w:hAnsi="Arial" w:cs="Arial"/>
          <w:sz w:val="24"/>
          <w:szCs w:val="24"/>
        </w:rPr>
        <w:t xml:space="preserve">isibility equipment for </w:t>
      </w:r>
      <w:r w:rsidR="0009313C">
        <w:rPr>
          <w:rFonts w:ascii="Arial" w:hAnsi="Arial" w:cs="Arial"/>
          <w:sz w:val="24"/>
          <w:szCs w:val="24"/>
        </w:rPr>
        <w:t xml:space="preserve">trainees, this can be company branded.  </w:t>
      </w:r>
    </w:p>
    <w:p w14:paraId="44D456DD" w14:textId="7CC18768" w:rsidR="000840D9" w:rsidRDefault="0042019E" w:rsidP="002F56F8">
      <w:pPr>
        <w:spacing w:after="160" w:line="259" w:lineRule="auto"/>
        <w:jc w:val="left"/>
        <w:rPr>
          <w:rFonts w:ascii="Arial" w:hAnsi="Arial" w:cs="Arial"/>
          <w:sz w:val="24"/>
          <w:szCs w:val="24"/>
        </w:rPr>
      </w:pPr>
      <w:r>
        <w:rPr>
          <w:rFonts w:ascii="Arial" w:hAnsi="Arial" w:cs="Arial"/>
          <w:sz w:val="24"/>
          <w:szCs w:val="24"/>
        </w:rPr>
        <w:t>Supplier</w:t>
      </w:r>
      <w:r w:rsidR="000840D9">
        <w:rPr>
          <w:rFonts w:ascii="Arial" w:hAnsi="Arial" w:cs="Arial"/>
          <w:sz w:val="24"/>
          <w:szCs w:val="24"/>
        </w:rPr>
        <w:t xml:space="preserve">s are expected to be professional in pre, during and post communication with school, staff, trainees and parents.  </w:t>
      </w:r>
    </w:p>
    <w:p w14:paraId="2115481C" w14:textId="27748CFB" w:rsidR="00D53996" w:rsidRDefault="0042019E" w:rsidP="002F56F8">
      <w:pPr>
        <w:spacing w:after="160" w:line="259" w:lineRule="auto"/>
        <w:jc w:val="left"/>
        <w:rPr>
          <w:rFonts w:ascii="Arial" w:hAnsi="Arial" w:cs="Arial"/>
          <w:color w:val="FF0000"/>
          <w:sz w:val="24"/>
          <w:szCs w:val="24"/>
        </w:rPr>
      </w:pPr>
      <w:r>
        <w:rPr>
          <w:rFonts w:ascii="Arial" w:hAnsi="Arial" w:cs="Arial"/>
          <w:sz w:val="24"/>
          <w:szCs w:val="24"/>
        </w:rPr>
        <w:t>Supplier</w:t>
      </w:r>
      <w:r w:rsidR="005425AD">
        <w:rPr>
          <w:rFonts w:ascii="Arial" w:hAnsi="Arial" w:cs="Arial"/>
          <w:sz w:val="24"/>
          <w:szCs w:val="24"/>
        </w:rPr>
        <w:t>s are to explain their expectations for instructors for timing, uniform, equipment</w:t>
      </w:r>
      <w:r w:rsidR="005F2A67">
        <w:rPr>
          <w:rFonts w:ascii="Arial" w:hAnsi="Arial" w:cs="Arial"/>
          <w:sz w:val="24"/>
          <w:szCs w:val="24"/>
        </w:rPr>
        <w:t>.</w:t>
      </w:r>
      <w:r w:rsidR="005425AD">
        <w:rPr>
          <w:rFonts w:ascii="Arial" w:hAnsi="Arial" w:cs="Arial"/>
          <w:color w:val="FF0000"/>
          <w:sz w:val="24"/>
          <w:szCs w:val="24"/>
        </w:rPr>
        <w:t xml:space="preserve"> </w:t>
      </w:r>
    </w:p>
    <w:p w14:paraId="487C1C42" w14:textId="77777777" w:rsidR="00D53996" w:rsidRDefault="00D53996" w:rsidP="002F56F8">
      <w:pPr>
        <w:spacing w:after="160" w:line="259" w:lineRule="auto"/>
        <w:jc w:val="left"/>
        <w:rPr>
          <w:rFonts w:ascii="Arial" w:hAnsi="Arial" w:cs="Arial"/>
          <w:color w:val="FF0000"/>
          <w:sz w:val="24"/>
          <w:szCs w:val="24"/>
        </w:rPr>
      </w:pPr>
    </w:p>
    <w:p w14:paraId="5C54F1C2" w14:textId="77777777" w:rsidR="00DE38C1" w:rsidRDefault="00DE38C1">
      <w:pPr>
        <w:spacing w:after="160" w:line="259" w:lineRule="auto"/>
        <w:jc w:val="left"/>
        <w:rPr>
          <w:rFonts w:ascii="Arial" w:hAnsi="Arial" w:cs="Arial"/>
          <w:sz w:val="24"/>
          <w:szCs w:val="24"/>
        </w:rPr>
      </w:pPr>
      <w:r>
        <w:rPr>
          <w:rFonts w:ascii="Arial" w:hAnsi="Arial" w:cs="Arial"/>
          <w:sz w:val="24"/>
          <w:szCs w:val="24"/>
        </w:rPr>
        <w:br w:type="page"/>
      </w:r>
    </w:p>
    <w:p w14:paraId="41CB7AE4" w14:textId="77777777" w:rsidR="00103A03" w:rsidRPr="00DE38C1" w:rsidRDefault="00F91656" w:rsidP="00F91656">
      <w:pPr>
        <w:pStyle w:val="ListParagraph"/>
        <w:numPr>
          <w:ilvl w:val="0"/>
          <w:numId w:val="1"/>
        </w:numPr>
        <w:spacing w:after="160" w:line="259" w:lineRule="auto"/>
        <w:jc w:val="left"/>
        <w:rPr>
          <w:rFonts w:ascii="Arial" w:hAnsi="Arial" w:cs="Arial"/>
          <w:b/>
          <w:sz w:val="24"/>
          <w:szCs w:val="24"/>
        </w:rPr>
      </w:pPr>
      <w:r w:rsidRPr="00DE38C1">
        <w:rPr>
          <w:rFonts w:ascii="Arial" w:hAnsi="Arial" w:cs="Arial"/>
          <w:b/>
          <w:sz w:val="24"/>
          <w:szCs w:val="24"/>
        </w:rPr>
        <w:lastRenderedPageBreak/>
        <w:t xml:space="preserve">Policies </w:t>
      </w:r>
    </w:p>
    <w:p w14:paraId="36364762" w14:textId="77777777" w:rsidR="00103A03" w:rsidRPr="00DE38C1" w:rsidRDefault="00103A03" w:rsidP="00103A03">
      <w:pPr>
        <w:pStyle w:val="ListParagraph"/>
        <w:rPr>
          <w:rFonts w:ascii="Arial" w:hAnsi="Arial" w:cs="Arial"/>
          <w:b/>
          <w:sz w:val="24"/>
          <w:szCs w:val="24"/>
        </w:rPr>
      </w:pPr>
    </w:p>
    <w:p w14:paraId="5B5D4A2D" w14:textId="621536DB" w:rsidR="00103A03" w:rsidRDefault="0042019E" w:rsidP="00103A03">
      <w:pPr>
        <w:spacing w:after="160" w:line="259" w:lineRule="auto"/>
        <w:jc w:val="left"/>
        <w:rPr>
          <w:rFonts w:ascii="Arial" w:hAnsi="Arial" w:cs="Arial"/>
          <w:sz w:val="24"/>
          <w:szCs w:val="24"/>
        </w:rPr>
      </w:pPr>
      <w:r>
        <w:rPr>
          <w:rFonts w:ascii="Arial" w:hAnsi="Arial" w:cs="Arial"/>
          <w:sz w:val="24"/>
          <w:szCs w:val="24"/>
        </w:rPr>
        <w:t>Supplier</w:t>
      </w:r>
      <w:r w:rsidR="00103A03" w:rsidRPr="00103A03">
        <w:rPr>
          <w:rFonts w:ascii="Arial" w:hAnsi="Arial" w:cs="Arial"/>
          <w:sz w:val="24"/>
          <w:szCs w:val="24"/>
        </w:rPr>
        <w:t xml:space="preserve">s must supply </w:t>
      </w:r>
      <w:r w:rsidR="00A96213">
        <w:rPr>
          <w:rFonts w:ascii="Arial" w:hAnsi="Arial" w:cs="Arial"/>
          <w:sz w:val="24"/>
          <w:szCs w:val="24"/>
        </w:rPr>
        <w:t xml:space="preserve">a </w:t>
      </w:r>
      <w:r w:rsidR="00103A03" w:rsidRPr="00103A03">
        <w:rPr>
          <w:rFonts w:ascii="Arial" w:hAnsi="Arial" w:cs="Arial"/>
          <w:sz w:val="24"/>
          <w:szCs w:val="24"/>
        </w:rPr>
        <w:t>cop</w:t>
      </w:r>
      <w:r w:rsidR="00A96213">
        <w:rPr>
          <w:rFonts w:ascii="Arial" w:hAnsi="Arial" w:cs="Arial"/>
          <w:sz w:val="24"/>
          <w:szCs w:val="24"/>
        </w:rPr>
        <w:t>y</w:t>
      </w:r>
      <w:r w:rsidR="00103A03" w:rsidRPr="00103A03">
        <w:rPr>
          <w:rFonts w:ascii="Arial" w:hAnsi="Arial" w:cs="Arial"/>
          <w:sz w:val="24"/>
          <w:szCs w:val="24"/>
        </w:rPr>
        <w:t xml:space="preserve"> of all policies listed</w:t>
      </w:r>
      <w:r w:rsidR="00B519E7">
        <w:rPr>
          <w:rFonts w:ascii="Arial" w:hAnsi="Arial" w:cs="Arial"/>
          <w:sz w:val="24"/>
          <w:szCs w:val="24"/>
        </w:rPr>
        <w:t xml:space="preserve"> with the tender document</w:t>
      </w:r>
      <w:r w:rsidR="00103A03" w:rsidRPr="00103A03">
        <w:rPr>
          <w:rFonts w:ascii="Arial" w:hAnsi="Arial" w:cs="Arial"/>
          <w:sz w:val="24"/>
          <w:szCs w:val="24"/>
        </w:rPr>
        <w:t xml:space="preserve">.  Policies must be dated with version numbers as per Bikeability best practice guidelines.  These will be the policies used in scheme registration.  </w:t>
      </w:r>
    </w:p>
    <w:p w14:paraId="24F37671" w14:textId="77777777" w:rsidR="004F2EA5" w:rsidRDefault="004F2EA5" w:rsidP="004F2EA5">
      <w:pPr>
        <w:pStyle w:val="ListParagraph"/>
        <w:numPr>
          <w:ilvl w:val="0"/>
          <w:numId w:val="2"/>
        </w:numPr>
        <w:spacing w:after="160" w:line="259" w:lineRule="auto"/>
        <w:jc w:val="left"/>
        <w:rPr>
          <w:rFonts w:ascii="Arial" w:hAnsi="Arial" w:cs="Arial"/>
          <w:sz w:val="24"/>
          <w:szCs w:val="24"/>
        </w:rPr>
      </w:pPr>
      <w:r>
        <w:rPr>
          <w:rFonts w:ascii="Arial" w:hAnsi="Arial" w:cs="Arial"/>
          <w:sz w:val="24"/>
          <w:szCs w:val="24"/>
        </w:rPr>
        <w:t xml:space="preserve">Equal Opportunities </w:t>
      </w:r>
    </w:p>
    <w:p w14:paraId="2B139B94" w14:textId="77777777" w:rsidR="004F2EA5" w:rsidRDefault="004F2EA5" w:rsidP="004F2EA5">
      <w:pPr>
        <w:pStyle w:val="ListParagraph"/>
        <w:numPr>
          <w:ilvl w:val="0"/>
          <w:numId w:val="2"/>
        </w:numPr>
        <w:spacing w:after="160" w:line="259" w:lineRule="auto"/>
        <w:jc w:val="left"/>
        <w:rPr>
          <w:rFonts w:ascii="Arial" w:hAnsi="Arial" w:cs="Arial"/>
          <w:sz w:val="24"/>
          <w:szCs w:val="24"/>
        </w:rPr>
      </w:pPr>
      <w:r>
        <w:rPr>
          <w:rFonts w:ascii="Arial" w:hAnsi="Arial" w:cs="Arial"/>
          <w:sz w:val="24"/>
          <w:szCs w:val="24"/>
        </w:rPr>
        <w:t xml:space="preserve">Health and Safety </w:t>
      </w:r>
    </w:p>
    <w:p w14:paraId="2A443E08" w14:textId="77777777" w:rsidR="004F2EA5" w:rsidRDefault="004F2EA5" w:rsidP="004F2EA5">
      <w:pPr>
        <w:pStyle w:val="ListParagraph"/>
        <w:numPr>
          <w:ilvl w:val="0"/>
          <w:numId w:val="2"/>
        </w:numPr>
        <w:spacing w:after="160" w:line="259" w:lineRule="auto"/>
        <w:jc w:val="left"/>
        <w:rPr>
          <w:rFonts w:ascii="Arial" w:hAnsi="Arial" w:cs="Arial"/>
          <w:sz w:val="24"/>
          <w:szCs w:val="24"/>
        </w:rPr>
      </w:pPr>
      <w:r>
        <w:rPr>
          <w:rFonts w:ascii="Arial" w:hAnsi="Arial" w:cs="Arial"/>
          <w:sz w:val="24"/>
          <w:szCs w:val="24"/>
        </w:rPr>
        <w:t>Generic Risk Assessments – per module/level</w:t>
      </w:r>
    </w:p>
    <w:p w14:paraId="170C7467" w14:textId="77777777" w:rsidR="004F2EA5" w:rsidRDefault="004F2EA5" w:rsidP="004F2EA5">
      <w:pPr>
        <w:pStyle w:val="ListParagraph"/>
        <w:numPr>
          <w:ilvl w:val="0"/>
          <w:numId w:val="2"/>
        </w:numPr>
        <w:spacing w:after="160" w:line="259" w:lineRule="auto"/>
        <w:jc w:val="left"/>
        <w:rPr>
          <w:rFonts w:ascii="Arial" w:hAnsi="Arial" w:cs="Arial"/>
          <w:sz w:val="24"/>
          <w:szCs w:val="24"/>
        </w:rPr>
      </w:pPr>
      <w:r>
        <w:rPr>
          <w:rFonts w:ascii="Arial" w:hAnsi="Arial" w:cs="Arial"/>
          <w:sz w:val="24"/>
          <w:szCs w:val="24"/>
        </w:rPr>
        <w:t>Individual Risk Assessments – per module/level</w:t>
      </w:r>
    </w:p>
    <w:p w14:paraId="53DA4F6F" w14:textId="77777777" w:rsidR="004F2EA5" w:rsidRDefault="004F2EA5" w:rsidP="004F2EA5">
      <w:pPr>
        <w:pStyle w:val="ListParagraph"/>
        <w:numPr>
          <w:ilvl w:val="0"/>
          <w:numId w:val="2"/>
        </w:numPr>
        <w:spacing w:after="160" w:line="259" w:lineRule="auto"/>
        <w:jc w:val="left"/>
        <w:rPr>
          <w:rFonts w:ascii="Arial" w:hAnsi="Arial" w:cs="Arial"/>
          <w:sz w:val="24"/>
          <w:szCs w:val="24"/>
        </w:rPr>
      </w:pPr>
      <w:r>
        <w:rPr>
          <w:rFonts w:ascii="Arial" w:hAnsi="Arial" w:cs="Arial"/>
          <w:sz w:val="24"/>
          <w:szCs w:val="24"/>
        </w:rPr>
        <w:t>Incident procedure</w:t>
      </w:r>
    </w:p>
    <w:p w14:paraId="7926421E" w14:textId="77777777" w:rsidR="004F2EA5" w:rsidRDefault="004F2EA5" w:rsidP="004F2EA5">
      <w:pPr>
        <w:pStyle w:val="ListParagraph"/>
        <w:numPr>
          <w:ilvl w:val="0"/>
          <w:numId w:val="2"/>
        </w:numPr>
        <w:spacing w:after="160" w:line="259" w:lineRule="auto"/>
        <w:jc w:val="left"/>
        <w:rPr>
          <w:rFonts w:ascii="Arial" w:hAnsi="Arial" w:cs="Arial"/>
          <w:sz w:val="24"/>
          <w:szCs w:val="24"/>
        </w:rPr>
      </w:pPr>
      <w:r>
        <w:rPr>
          <w:rFonts w:ascii="Arial" w:hAnsi="Arial" w:cs="Arial"/>
          <w:sz w:val="24"/>
          <w:szCs w:val="24"/>
        </w:rPr>
        <w:t>Incident report form</w:t>
      </w:r>
    </w:p>
    <w:p w14:paraId="4BC36F36" w14:textId="77777777" w:rsidR="004F2EA5" w:rsidRDefault="004F2EA5" w:rsidP="004F2EA5">
      <w:pPr>
        <w:pStyle w:val="ListParagraph"/>
        <w:numPr>
          <w:ilvl w:val="0"/>
          <w:numId w:val="2"/>
        </w:numPr>
        <w:spacing w:after="160" w:line="259" w:lineRule="auto"/>
        <w:jc w:val="left"/>
        <w:rPr>
          <w:rFonts w:ascii="Arial" w:hAnsi="Arial" w:cs="Arial"/>
          <w:sz w:val="24"/>
          <w:szCs w:val="24"/>
        </w:rPr>
      </w:pPr>
      <w:r>
        <w:rPr>
          <w:rFonts w:ascii="Arial" w:hAnsi="Arial" w:cs="Arial"/>
          <w:sz w:val="24"/>
          <w:szCs w:val="24"/>
        </w:rPr>
        <w:t xml:space="preserve">Safeguarding </w:t>
      </w:r>
    </w:p>
    <w:p w14:paraId="238E3D44" w14:textId="77777777" w:rsidR="004F2EA5" w:rsidRDefault="004F2EA5" w:rsidP="004F2EA5">
      <w:pPr>
        <w:pStyle w:val="ListParagraph"/>
        <w:numPr>
          <w:ilvl w:val="0"/>
          <w:numId w:val="2"/>
        </w:numPr>
        <w:spacing w:after="160" w:line="259" w:lineRule="auto"/>
        <w:jc w:val="left"/>
        <w:rPr>
          <w:rFonts w:ascii="Arial" w:hAnsi="Arial" w:cs="Arial"/>
          <w:sz w:val="24"/>
          <w:szCs w:val="24"/>
        </w:rPr>
      </w:pPr>
      <w:r>
        <w:rPr>
          <w:rFonts w:ascii="Arial" w:hAnsi="Arial" w:cs="Arial"/>
          <w:sz w:val="24"/>
          <w:szCs w:val="24"/>
        </w:rPr>
        <w:t xml:space="preserve">Complaints </w:t>
      </w:r>
    </w:p>
    <w:p w14:paraId="22D11A98" w14:textId="77777777" w:rsidR="004F2EA5" w:rsidRDefault="004F2EA5" w:rsidP="004F2EA5">
      <w:pPr>
        <w:pStyle w:val="ListParagraph"/>
        <w:numPr>
          <w:ilvl w:val="0"/>
          <w:numId w:val="2"/>
        </w:numPr>
        <w:spacing w:after="160" w:line="259" w:lineRule="auto"/>
        <w:jc w:val="left"/>
        <w:rPr>
          <w:rFonts w:ascii="Arial" w:hAnsi="Arial" w:cs="Arial"/>
          <w:sz w:val="24"/>
          <w:szCs w:val="24"/>
        </w:rPr>
      </w:pPr>
      <w:r>
        <w:rPr>
          <w:rFonts w:ascii="Arial" w:hAnsi="Arial" w:cs="Arial"/>
          <w:sz w:val="24"/>
          <w:szCs w:val="24"/>
        </w:rPr>
        <w:t xml:space="preserve">IQA </w:t>
      </w:r>
    </w:p>
    <w:p w14:paraId="4AF5F83C" w14:textId="2E10C921" w:rsidR="004F2EA5" w:rsidRDefault="004F2EA5" w:rsidP="00C93FCF">
      <w:pPr>
        <w:pStyle w:val="ListParagraph"/>
        <w:numPr>
          <w:ilvl w:val="0"/>
          <w:numId w:val="2"/>
        </w:numPr>
        <w:spacing w:after="160" w:line="259" w:lineRule="auto"/>
        <w:jc w:val="left"/>
        <w:rPr>
          <w:rFonts w:ascii="Arial" w:hAnsi="Arial" w:cs="Arial"/>
          <w:sz w:val="24"/>
          <w:szCs w:val="24"/>
        </w:rPr>
      </w:pPr>
      <w:r>
        <w:rPr>
          <w:rFonts w:ascii="Arial" w:hAnsi="Arial" w:cs="Arial"/>
          <w:sz w:val="24"/>
          <w:szCs w:val="24"/>
        </w:rPr>
        <w:t>Insurance</w:t>
      </w:r>
    </w:p>
    <w:p w14:paraId="5500C5A9" w14:textId="594E05C2" w:rsidR="009E553A" w:rsidRDefault="009E553A" w:rsidP="00C93FCF">
      <w:pPr>
        <w:pStyle w:val="ListParagraph"/>
        <w:numPr>
          <w:ilvl w:val="0"/>
          <w:numId w:val="2"/>
        </w:numPr>
        <w:spacing w:after="160" w:line="259" w:lineRule="auto"/>
        <w:jc w:val="left"/>
        <w:rPr>
          <w:rFonts w:ascii="Arial" w:hAnsi="Arial" w:cs="Arial"/>
          <w:sz w:val="24"/>
          <w:szCs w:val="24"/>
        </w:rPr>
      </w:pPr>
      <w:r>
        <w:rPr>
          <w:rFonts w:ascii="Arial" w:hAnsi="Arial" w:cs="Arial"/>
          <w:sz w:val="24"/>
          <w:szCs w:val="24"/>
        </w:rPr>
        <w:t>Privacy Notice</w:t>
      </w:r>
      <w:bookmarkStart w:id="1" w:name="_GoBack"/>
      <w:bookmarkEnd w:id="1"/>
    </w:p>
    <w:p w14:paraId="5940E66B" w14:textId="77777777" w:rsidR="004F2EA5" w:rsidRDefault="004F2EA5" w:rsidP="004F2EA5">
      <w:pPr>
        <w:spacing w:after="160" w:line="259" w:lineRule="auto"/>
        <w:jc w:val="left"/>
        <w:rPr>
          <w:rFonts w:ascii="Arial" w:hAnsi="Arial" w:cs="Arial"/>
          <w:sz w:val="24"/>
          <w:szCs w:val="24"/>
        </w:rPr>
      </w:pPr>
      <w:r>
        <w:rPr>
          <w:rFonts w:ascii="Arial" w:hAnsi="Arial" w:cs="Arial"/>
          <w:sz w:val="24"/>
          <w:szCs w:val="24"/>
        </w:rPr>
        <w:t>Any additional recruitment, mentoring policies can be added as supporting documents.</w:t>
      </w:r>
    </w:p>
    <w:p w14:paraId="29D481CC" w14:textId="77777777" w:rsidR="00DE38C1" w:rsidRDefault="00DE38C1" w:rsidP="00DE38C1">
      <w:pPr>
        <w:pStyle w:val="ListParagraph"/>
        <w:spacing w:after="160" w:line="259" w:lineRule="auto"/>
        <w:jc w:val="left"/>
        <w:rPr>
          <w:rFonts w:ascii="Arial" w:hAnsi="Arial" w:cs="Arial"/>
          <w:sz w:val="24"/>
          <w:szCs w:val="24"/>
        </w:rPr>
      </w:pPr>
    </w:p>
    <w:p w14:paraId="58842A4D" w14:textId="77777777" w:rsidR="00DE38C1" w:rsidRDefault="00DE38C1">
      <w:pPr>
        <w:spacing w:after="160" w:line="259" w:lineRule="auto"/>
        <w:jc w:val="left"/>
        <w:rPr>
          <w:rFonts w:ascii="Arial" w:hAnsi="Arial" w:cs="Arial"/>
          <w:sz w:val="24"/>
          <w:szCs w:val="24"/>
        </w:rPr>
      </w:pPr>
      <w:r>
        <w:rPr>
          <w:rFonts w:ascii="Arial" w:hAnsi="Arial" w:cs="Arial"/>
          <w:sz w:val="24"/>
          <w:szCs w:val="24"/>
        </w:rPr>
        <w:br w:type="page"/>
      </w:r>
    </w:p>
    <w:p w14:paraId="6157B8D7" w14:textId="77777777" w:rsidR="00F91656" w:rsidRPr="00DE38C1" w:rsidRDefault="004F2EA5" w:rsidP="00F91656">
      <w:pPr>
        <w:pStyle w:val="ListParagraph"/>
        <w:numPr>
          <w:ilvl w:val="0"/>
          <w:numId w:val="1"/>
        </w:numPr>
        <w:spacing w:after="160" w:line="259" w:lineRule="auto"/>
        <w:jc w:val="left"/>
        <w:rPr>
          <w:rFonts w:ascii="Arial" w:hAnsi="Arial" w:cs="Arial"/>
          <w:b/>
          <w:sz w:val="24"/>
          <w:szCs w:val="24"/>
        </w:rPr>
      </w:pPr>
      <w:r w:rsidRPr="00DE38C1">
        <w:rPr>
          <w:rFonts w:ascii="Arial" w:hAnsi="Arial" w:cs="Arial"/>
          <w:b/>
          <w:sz w:val="24"/>
          <w:szCs w:val="24"/>
        </w:rPr>
        <w:lastRenderedPageBreak/>
        <w:t>Paperwork</w:t>
      </w:r>
      <w:r w:rsidR="00D53996">
        <w:rPr>
          <w:rFonts w:ascii="Arial" w:hAnsi="Arial" w:cs="Arial"/>
          <w:b/>
          <w:sz w:val="24"/>
          <w:szCs w:val="24"/>
        </w:rPr>
        <w:t xml:space="preserve"> </w:t>
      </w:r>
    </w:p>
    <w:p w14:paraId="7D5B0D62" w14:textId="5C9AFF3B" w:rsidR="004F2EA5" w:rsidRPr="00537494" w:rsidRDefault="0042019E" w:rsidP="004F2EA5">
      <w:pPr>
        <w:spacing w:after="160" w:line="259" w:lineRule="auto"/>
        <w:jc w:val="left"/>
        <w:rPr>
          <w:rFonts w:ascii="Arial" w:hAnsi="Arial" w:cs="Arial"/>
          <w:b/>
          <w:sz w:val="24"/>
          <w:szCs w:val="24"/>
        </w:rPr>
      </w:pPr>
      <w:r>
        <w:rPr>
          <w:rFonts w:ascii="Arial" w:hAnsi="Arial" w:cs="Arial"/>
          <w:sz w:val="24"/>
          <w:szCs w:val="24"/>
        </w:rPr>
        <w:t>Supplier</w:t>
      </w:r>
      <w:r w:rsidR="004F2EA5">
        <w:rPr>
          <w:rFonts w:ascii="Arial" w:hAnsi="Arial" w:cs="Arial"/>
          <w:sz w:val="24"/>
          <w:szCs w:val="24"/>
        </w:rPr>
        <w:t>s must supply copies of paperwork used for current delivery.</w:t>
      </w:r>
      <w:r w:rsidR="002F56F8">
        <w:rPr>
          <w:rFonts w:ascii="Arial" w:hAnsi="Arial" w:cs="Arial"/>
          <w:sz w:val="24"/>
          <w:szCs w:val="24"/>
        </w:rPr>
        <w:t xml:space="preserve">  The </w:t>
      </w:r>
      <w:r>
        <w:rPr>
          <w:rFonts w:ascii="Arial" w:hAnsi="Arial" w:cs="Arial"/>
          <w:sz w:val="24"/>
          <w:szCs w:val="24"/>
        </w:rPr>
        <w:t>supplier</w:t>
      </w:r>
      <w:r w:rsidR="002F56F8">
        <w:rPr>
          <w:rFonts w:ascii="Arial" w:hAnsi="Arial" w:cs="Arial"/>
          <w:sz w:val="24"/>
          <w:szCs w:val="24"/>
        </w:rPr>
        <w:t xml:space="preserve"> will be required to include logos (and contact details in some instances) for both authorities on paperwork and promotional material.  </w:t>
      </w:r>
      <w:r w:rsidR="00C93FCF" w:rsidRPr="00537494">
        <w:rPr>
          <w:rFonts w:ascii="Arial" w:hAnsi="Arial" w:cs="Arial"/>
          <w:b/>
          <w:sz w:val="24"/>
          <w:szCs w:val="24"/>
        </w:rPr>
        <w:t>Please provide evidence with your tender submission.</w:t>
      </w:r>
    </w:p>
    <w:p w14:paraId="291D5D6B" w14:textId="77777777" w:rsidR="004F2EA5" w:rsidRDefault="004F2EA5" w:rsidP="004F2EA5">
      <w:pPr>
        <w:pStyle w:val="ListParagraph"/>
        <w:numPr>
          <w:ilvl w:val="0"/>
          <w:numId w:val="3"/>
        </w:numPr>
        <w:spacing w:after="160" w:line="259" w:lineRule="auto"/>
        <w:jc w:val="left"/>
        <w:rPr>
          <w:rFonts w:ascii="Arial" w:hAnsi="Arial" w:cs="Arial"/>
          <w:sz w:val="24"/>
          <w:szCs w:val="24"/>
        </w:rPr>
      </w:pPr>
      <w:r>
        <w:rPr>
          <w:rFonts w:ascii="Arial" w:hAnsi="Arial" w:cs="Arial"/>
          <w:sz w:val="24"/>
          <w:szCs w:val="24"/>
        </w:rPr>
        <w:t>Promotional letter – school specific</w:t>
      </w:r>
    </w:p>
    <w:p w14:paraId="66958C3D" w14:textId="77777777" w:rsidR="004F2EA5" w:rsidRDefault="004F2EA5" w:rsidP="004F2EA5">
      <w:pPr>
        <w:pStyle w:val="ListParagraph"/>
        <w:numPr>
          <w:ilvl w:val="0"/>
          <w:numId w:val="3"/>
        </w:numPr>
        <w:spacing w:after="160" w:line="259" w:lineRule="auto"/>
        <w:jc w:val="left"/>
        <w:rPr>
          <w:rFonts w:ascii="Arial" w:hAnsi="Arial" w:cs="Arial"/>
          <w:sz w:val="24"/>
          <w:szCs w:val="24"/>
        </w:rPr>
      </w:pPr>
      <w:r>
        <w:rPr>
          <w:rFonts w:ascii="Arial" w:hAnsi="Arial" w:cs="Arial"/>
          <w:sz w:val="24"/>
          <w:szCs w:val="24"/>
        </w:rPr>
        <w:t>Booking letter – school specific</w:t>
      </w:r>
    </w:p>
    <w:p w14:paraId="1231ED1C" w14:textId="77777777" w:rsidR="004F2EA5" w:rsidRDefault="004F2EA5" w:rsidP="004F2EA5">
      <w:pPr>
        <w:pStyle w:val="ListParagraph"/>
        <w:numPr>
          <w:ilvl w:val="0"/>
          <w:numId w:val="3"/>
        </w:numPr>
        <w:spacing w:after="160" w:line="259" w:lineRule="auto"/>
        <w:jc w:val="left"/>
        <w:rPr>
          <w:rFonts w:ascii="Arial" w:hAnsi="Arial" w:cs="Arial"/>
          <w:sz w:val="24"/>
          <w:szCs w:val="24"/>
        </w:rPr>
      </w:pPr>
      <w:r>
        <w:rPr>
          <w:rFonts w:ascii="Arial" w:hAnsi="Arial" w:cs="Arial"/>
          <w:sz w:val="24"/>
          <w:szCs w:val="24"/>
        </w:rPr>
        <w:t xml:space="preserve">Parent consent </w:t>
      </w:r>
    </w:p>
    <w:p w14:paraId="206202B2" w14:textId="77777777" w:rsidR="004F2EA5" w:rsidRDefault="004F2EA5" w:rsidP="004F2EA5">
      <w:pPr>
        <w:pStyle w:val="ListParagraph"/>
        <w:numPr>
          <w:ilvl w:val="0"/>
          <w:numId w:val="3"/>
        </w:numPr>
        <w:spacing w:after="160" w:line="259" w:lineRule="auto"/>
        <w:jc w:val="left"/>
        <w:rPr>
          <w:rFonts w:ascii="Arial" w:hAnsi="Arial" w:cs="Arial"/>
          <w:sz w:val="24"/>
          <w:szCs w:val="24"/>
        </w:rPr>
      </w:pPr>
      <w:r>
        <w:rPr>
          <w:rFonts w:ascii="Arial" w:hAnsi="Arial" w:cs="Arial"/>
          <w:sz w:val="24"/>
          <w:szCs w:val="24"/>
        </w:rPr>
        <w:t>Register</w:t>
      </w:r>
    </w:p>
    <w:p w14:paraId="7A3F9DA7" w14:textId="1E75379B" w:rsidR="00C93FCF" w:rsidRDefault="004F2EA5" w:rsidP="004F2EA5">
      <w:pPr>
        <w:pStyle w:val="ListParagraph"/>
        <w:numPr>
          <w:ilvl w:val="0"/>
          <w:numId w:val="3"/>
        </w:numPr>
        <w:spacing w:after="160" w:line="259" w:lineRule="auto"/>
        <w:jc w:val="left"/>
        <w:rPr>
          <w:rFonts w:ascii="Arial" w:hAnsi="Arial" w:cs="Arial"/>
          <w:sz w:val="24"/>
          <w:szCs w:val="24"/>
        </w:rPr>
      </w:pPr>
      <w:r>
        <w:rPr>
          <w:rFonts w:ascii="Arial" w:hAnsi="Arial" w:cs="Arial"/>
          <w:sz w:val="24"/>
          <w:szCs w:val="24"/>
        </w:rPr>
        <w:t>Feedback form</w:t>
      </w:r>
    </w:p>
    <w:p w14:paraId="11E2ED0F" w14:textId="481F3257" w:rsidR="008D3EA9" w:rsidRDefault="008D3EA9" w:rsidP="004F2EA5">
      <w:pPr>
        <w:pStyle w:val="ListParagraph"/>
        <w:numPr>
          <w:ilvl w:val="0"/>
          <w:numId w:val="3"/>
        </w:numPr>
        <w:spacing w:after="160" w:line="259" w:lineRule="auto"/>
        <w:jc w:val="left"/>
        <w:rPr>
          <w:rFonts w:ascii="Arial" w:hAnsi="Arial" w:cs="Arial"/>
          <w:sz w:val="24"/>
          <w:szCs w:val="24"/>
        </w:rPr>
      </w:pPr>
      <w:r w:rsidRPr="008D3EA9">
        <w:rPr>
          <w:rFonts w:ascii="Arial" w:hAnsi="Arial" w:cs="Arial"/>
          <w:color w:val="110600"/>
          <w:spacing w:val="10"/>
          <w:sz w:val="24"/>
          <w:szCs w:val="24"/>
          <w:lang w:val="en"/>
        </w:rPr>
        <w:t xml:space="preserve">Details of </w:t>
      </w:r>
      <w:r>
        <w:rPr>
          <w:rFonts w:ascii="Arial" w:hAnsi="Arial" w:cs="Arial"/>
          <w:color w:val="110600"/>
          <w:spacing w:val="10"/>
          <w:sz w:val="24"/>
          <w:szCs w:val="24"/>
          <w:lang w:val="en"/>
        </w:rPr>
        <w:t xml:space="preserve">the </w:t>
      </w:r>
      <w:r w:rsidRPr="008D3EA9">
        <w:rPr>
          <w:rFonts w:ascii="Arial" w:hAnsi="Arial" w:cs="Arial"/>
          <w:color w:val="110600"/>
          <w:spacing w:val="10"/>
          <w:sz w:val="24"/>
          <w:szCs w:val="24"/>
          <w:lang w:val="en"/>
        </w:rPr>
        <w:t>variety of bikes</w:t>
      </w:r>
      <w:r>
        <w:rPr>
          <w:rFonts w:ascii="Arial" w:hAnsi="Arial" w:cs="Arial"/>
          <w:color w:val="110600"/>
          <w:spacing w:val="10"/>
          <w:sz w:val="24"/>
          <w:szCs w:val="24"/>
          <w:lang w:val="en"/>
        </w:rPr>
        <w:t xml:space="preserve"> you would</w:t>
      </w:r>
      <w:r w:rsidRPr="008D3EA9">
        <w:rPr>
          <w:rFonts w:ascii="Arial" w:hAnsi="Arial" w:cs="Arial"/>
          <w:color w:val="110600"/>
          <w:spacing w:val="10"/>
          <w:sz w:val="24"/>
          <w:szCs w:val="24"/>
          <w:lang w:val="en"/>
        </w:rPr>
        <w:t xml:space="preserve"> use</w:t>
      </w:r>
      <w:r>
        <w:rPr>
          <w:rFonts w:ascii="Arial" w:hAnsi="Arial" w:cs="Arial"/>
          <w:color w:val="110600"/>
          <w:spacing w:val="10"/>
          <w:sz w:val="24"/>
          <w:szCs w:val="24"/>
          <w:lang w:val="en"/>
        </w:rPr>
        <w:t xml:space="preserve"> </w:t>
      </w:r>
      <w:r w:rsidRPr="008D3EA9">
        <w:rPr>
          <w:rFonts w:ascii="Arial" w:hAnsi="Arial" w:cs="Arial"/>
          <w:color w:val="110600"/>
          <w:spacing w:val="10"/>
          <w:sz w:val="24"/>
          <w:szCs w:val="24"/>
          <w:lang w:val="en"/>
        </w:rPr>
        <w:t xml:space="preserve">for all levels </w:t>
      </w:r>
      <w:r>
        <w:rPr>
          <w:rFonts w:ascii="Arial" w:hAnsi="Arial" w:cs="Arial"/>
          <w:color w:val="110600"/>
          <w:spacing w:val="10"/>
          <w:sz w:val="24"/>
          <w:szCs w:val="24"/>
          <w:lang w:val="en"/>
        </w:rPr>
        <w:t xml:space="preserve">of training </w:t>
      </w:r>
      <w:r w:rsidRPr="008D3EA9">
        <w:rPr>
          <w:rFonts w:ascii="Arial" w:hAnsi="Arial" w:cs="Arial"/>
          <w:color w:val="110600"/>
          <w:spacing w:val="10"/>
          <w:sz w:val="24"/>
          <w:szCs w:val="24"/>
          <w:lang w:val="en"/>
        </w:rPr>
        <w:t>including level 3.</w:t>
      </w:r>
    </w:p>
    <w:p w14:paraId="3BDBFECB" w14:textId="77777777" w:rsidR="008D3EA9" w:rsidRDefault="008D3EA9" w:rsidP="008D3EA9">
      <w:pPr>
        <w:pStyle w:val="ListParagraph"/>
        <w:spacing w:after="160" w:line="259" w:lineRule="auto"/>
        <w:jc w:val="left"/>
        <w:rPr>
          <w:rFonts w:ascii="Arial" w:hAnsi="Arial" w:cs="Arial"/>
          <w:sz w:val="24"/>
          <w:szCs w:val="24"/>
        </w:rPr>
      </w:pPr>
    </w:p>
    <w:p w14:paraId="6B0E30FE" w14:textId="6A59DD39" w:rsidR="004F2EA5" w:rsidRPr="008D3EA9" w:rsidRDefault="00C93FCF" w:rsidP="008D3EA9">
      <w:pPr>
        <w:spacing w:after="160" w:line="259" w:lineRule="auto"/>
        <w:ind w:left="360"/>
        <w:jc w:val="left"/>
        <w:rPr>
          <w:rFonts w:ascii="Arial" w:hAnsi="Arial" w:cs="Arial"/>
          <w:sz w:val="24"/>
          <w:szCs w:val="24"/>
        </w:rPr>
      </w:pPr>
      <w:r w:rsidRPr="008D3EA9">
        <w:rPr>
          <w:rFonts w:ascii="Arial" w:hAnsi="Arial" w:cs="Arial"/>
          <w:color w:val="110600"/>
          <w:spacing w:val="10"/>
          <w:sz w:val="24"/>
          <w:szCs w:val="24"/>
          <w:lang w:val="en"/>
        </w:rPr>
        <w:t xml:space="preserve"> </w:t>
      </w:r>
    </w:p>
    <w:p w14:paraId="083CB6D1" w14:textId="77777777" w:rsidR="008C3267" w:rsidRPr="008C3267" w:rsidRDefault="008C3267" w:rsidP="008C3267">
      <w:pPr>
        <w:pStyle w:val="ListParagraph"/>
        <w:numPr>
          <w:ilvl w:val="0"/>
          <w:numId w:val="1"/>
        </w:numPr>
        <w:spacing w:after="160" w:line="259" w:lineRule="auto"/>
        <w:jc w:val="left"/>
        <w:rPr>
          <w:rFonts w:ascii="Arial" w:hAnsi="Arial" w:cs="Arial"/>
          <w:b/>
          <w:sz w:val="24"/>
          <w:szCs w:val="24"/>
        </w:rPr>
      </w:pPr>
      <w:r w:rsidRPr="008C3267">
        <w:rPr>
          <w:rFonts w:ascii="Arial" w:hAnsi="Arial" w:cs="Arial"/>
          <w:b/>
          <w:sz w:val="24"/>
          <w:szCs w:val="24"/>
        </w:rPr>
        <w:t>Price</w:t>
      </w:r>
    </w:p>
    <w:p w14:paraId="12CDC051" w14:textId="4F3F3058" w:rsidR="001B57B5" w:rsidRPr="009B65F6" w:rsidRDefault="001B57B5" w:rsidP="001B57B5">
      <w:pPr>
        <w:ind w:left="437"/>
        <w:rPr>
          <w:rFonts w:ascii="Arial" w:hAnsi="Arial" w:cs="Arial"/>
          <w:sz w:val="24"/>
          <w:szCs w:val="24"/>
        </w:rPr>
      </w:pPr>
      <w:r w:rsidRPr="009B65F6">
        <w:rPr>
          <w:rFonts w:ascii="Arial" w:hAnsi="Arial" w:cs="Arial"/>
          <w:sz w:val="24"/>
          <w:szCs w:val="24"/>
        </w:rPr>
        <w:t xml:space="preserve">The Award following the ITT will be based on Quality only. </w:t>
      </w:r>
      <w:r>
        <w:rPr>
          <w:rFonts w:ascii="Arial" w:hAnsi="Arial" w:cs="Arial"/>
          <w:sz w:val="24"/>
          <w:szCs w:val="24"/>
        </w:rPr>
        <w:t>T</w:t>
      </w:r>
      <w:r w:rsidRPr="009B65F6">
        <w:rPr>
          <w:rFonts w:ascii="Arial" w:hAnsi="Arial" w:cs="Arial"/>
          <w:sz w:val="24"/>
          <w:szCs w:val="24"/>
        </w:rPr>
        <w:t xml:space="preserve">he pricing of the framework is as allocated from the </w:t>
      </w:r>
      <w:proofErr w:type="spellStart"/>
      <w:r w:rsidRPr="009B65F6">
        <w:rPr>
          <w:rFonts w:ascii="Arial" w:hAnsi="Arial" w:cs="Arial"/>
          <w:sz w:val="24"/>
          <w:szCs w:val="24"/>
        </w:rPr>
        <w:t>DfT</w:t>
      </w:r>
      <w:proofErr w:type="spellEnd"/>
      <w:r w:rsidRPr="009B65F6">
        <w:rPr>
          <w:rFonts w:ascii="Arial" w:hAnsi="Arial" w:cs="Arial"/>
          <w:sz w:val="24"/>
          <w:szCs w:val="24"/>
        </w:rPr>
        <w:t xml:space="preserve"> (Department for Transport) Bike ability Cycle Training Grant awarded to each Local Authority, and therefore subject to change at any time. </w:t>
      </w:r>
    </w:p>
    <w:p w14:paraId="1972DE7E" w14:textId="77777777" w:rsidR="008C3267" w:rsidRPr="008C3267" w:rsidRDefault="008C3267" w:rsidP="008C3267">
      <w:pPr>
        <w:spacing w:after="160" w:line="259" w:lineRule="auto"/>
        <w:jc w:val="left"/>
        <w:rPr>
          <w:rFonts w:ascii="Arial" w:hAnsi="Arial" w:cs="Arial"/>
          <w:b/>
          <w:sz w:val="24"/>
          <w:szCs w:val="24"/>
        </w:rPr>
      </w:pPr>
    </w:p>
    <w:p w14:paraId="66CE4F7A" w14:textId="77777777" w:rsidR="00EA0713" w:rsidRPr="00103A03" w:rsidRDefault="00E425BB">
      <w:pPr>
        <w:spacing w:after="160" w:line="259" w:lineRule="auto"/>
        <w:jc w:val="left"/>
        <w:rPr>
          <w:rFonts w:ascii="Arial" w:hAnsi="Arial" w:cs="Arial"/>
          <w:sz w:val="24"/>
          <w:szCs w:val="24"/>
        </w:rPr>
      </w:pPr>
      <w:r w:rsidRPr="00103A03">
        <w:rPr>
          <w:rFonts w:ascii="Arial" w:hAnsi="Arial" w:cs="Arial"/>
          <w:sz w:val="24"/>
          <w:szCs w:val="24"/>
        </w:rPr>
        <w:t xml:space="preserve">  </w:t>
      </w:r>
    </w:p>
    <w:p w14:paraId="13CBF502" w14:textId="77777777" w:rsidR="00AD0684" w:rsidRPr="00342B49" w:rsidRDefault="00AD0684" w:rsidP="00342B49">
      <w:pPr>
        <w:spacing w:after="160" w:line="259" w:lineRule="auto"/>
        <w:jc w:val="left"/>
        <w:rPr>
          <w:rFonts w:ascii="Arial" w:hAnsi="Arial" w:cs="Arial"/>
          <w:sz w:val="24"/>
          <w:szCs w:val="24"/>
        </w:rPr>
      </w:pPr>
      <w:r w:rsidRPr="00342B49">
        <w:rPr>
          <w:rFonts w:ascii="Arial" w:hAnsi="Arial" w:cs="Arial"/>
          <w:sz w:val="24"/>
          <w:szCs w:val="24"/>
        </w:rPr>
        <w:br w:type="page"/>
      </w:r>
    </w:p>
    <w:p w14:paraId="1283009B" w14:textId="77777777" w:rsidR="0061754F" w:rsidRDefault="0061754F" w:rsidP="0061754F">
      <w:pPr>
        <w:spacing w:after="160" w:line="259" w:lineRule="auto"/>
        <w:ind w:left="425"/>
        <w:jc w:val="left"/>
        <w:rPr>
          <w:rFonts w:ascii="Arial" w:hAnsi="Arial" w:cs="Arial"/>
          <w:sz w:val="24"/>
          <w:szCs w:val="24"/>
        </w:rPr>
      </w:pPr>
    </w:p>
    <w:tbl>
      <w:tblPr>
        <w:tblStyle w:val="TableGrid"/>
        <w:tblW w:w="9924" w:type="dxa"/>
        <w:tblInd w:w="-318" w:type="dxa"/>
        <w:tblLook w:val="04A0" w:firstRow="1" w:lastRow="0" w:firstColumn="1" w:lastColumn="0" w:noHBand="0" w:noVBand="1"/>
      </w:tblPr>
      <w:tblGrid>
        <w:gridCol w:w="1122"/>
        <w:gridCol w:w="2452"/>
        <w:gridCol w:w="6350"/>
      </w:tblGrid>
      <w:tr w:rsidR="00DA678E" w:rsidRPr="003A7374" w14:paraId="0E2C9394" w14:textId="77777777" w:rsidTr="00DA678E">
        <w:tc>
          <w:tcPr>
            <w:tcW w:w="9924" w:type="dxa"/>
            <w:gridSpan w:val="3"/>
          </w:tcPr>
          <w:p w14:paraId="46BAFA99" w14:textId="77777777" w:rsidR="00DA678E" w:rsidRPr="00342B49" w:rsidRDefault="00DA678E" w:rsidP="00342B49">
            <w:pPr>
              <w:spacing w:after="160" w:line="259" w:lineRule="auto"/>
              <w:jc w:val="left"/>
              <w:rPr>
                <w:rFonts w:ascii="Arial" w:hAnsi="Arial" w:cs="Arial"/>
                <w:sz w:val="24"/>
                <w:szCs w:val="24"/>
              </w:rPr>
            </w:pPr>
            <w:r w:rsidRPr="00342B49">
              <w:rPr>
                <w:rFonts w:ascii="Arial" w:hAnsi="Arial" w:cs="Arial"/>
                <w:sz w:val="24"/>
                <w:szCs w:val="24"/>
              </w:rPr>
              <w:t>Compliance triggers</w:t>
            </w:r>
          </w:p>
        </w:tc>
      </w:tr>
      <w:tr w:rsidR="00DA678E" w:rsidRPr="003A7374" w14:paraId="22F66517" w14:textId="77777777" w:rsidTr="00DA678E">
        <w:tc>
          <w:tcPr>
            <w:tcW w:w="1122" w:type="dxa"/>
          </w:tcPr>
          <w:p w14:paraId="5F265FFE" w14:textId="77777777" w:rsidR="00DA678E" w:rsidRPr="003A7374" w:rsidRDefault="00DA678E" w:rsidP="000E53CD">
            <w:pPr>
              <w:spacing w:after="160" w:line="259" w:lineRule="auto"/>
              <w:jc w:val="left"/>
              <w:rPr>
                <w:rFonts w:ascii="Arial" w:hAnsi="Arial" w:cs="Arial"/>
                <w:sz w:val="24"/>
                <w:szCs w:val="24"/>
              </w:rPr>
            </w:pPr>
            <w:r w:rsidRPr="003A7374">
              <w:rPr>
                <w:rFonts w:ascii="Arial" w:hAnsi="Arial" w:cs="Arial"/>
                <w:sz w:val="24"/>
                <w:szCs w:val="24"/>
              </w:rPr>
              <w:t>1.</w:t>
            </w:r>
          </w:p>
        </w:tc>
        <w:tc>
          <w:tcPr>
            <w:tcW w:w="2452" w:type="dxa"/>
          </w:tcPr>
          <w:p w14:paraId="5E3D7B33" w14:textId="77777777" w:rsidR="00DA678E" w:rsidRPr="003A7374" w:rsidRDefault="00DA678E" w:rsidP="000E53CD">
            <w:pPr>
              <w:spacing w:after="160" w:line="259" w:lineRule="auto"/>
              <w:jc w:val="left"/>
              <w:rPr>
                <w:rFonts w:ascii="Arial" w:hAnsi="Arial" w:cs="Arial"/>
                <w:sz w:val="24"/>
                <w:szCs w:val="24"/>
              </w:rPr>
            </w:pPr>
            <w:r w:rsidRPr="003A7374">
              <w:rPr>
                <w:rFonts w:ascii="Arial" w:hAnsi="Arial" w:cs="Arial"/>
                <w:sz w:val="24"/>
                <w:szCs w:val="24"/>
              </w:rPr>
              <w:t xml:space="preserve">Scheme </w:t>
            </w:r>
            <w:r>
              <w:rPr>
                <w:rFonts w:ascii="Arial" w:hAnsi="Arial" w:cs="Arial"/>
                <w:sz w:val="24"/>
                <w:szCs w:val="24"/>
              </w:rPr>
              <w:t>information</w:t>
            </w:r>
          </w:p>
        </w:tc>
        <w:tc>
          <w:tcPr>
            <w:tcW w:w="6350" w:type="dxa"/>
          </w:tcPr>
          <w:p w14:paraId="77AC2AE4" w14:textId="3430BAA2" w:rsidR="00DA678E" w:rsidRPr="003A7374" w:rsidRDefault="00DA678E" w:rsidP="000E53CD">
            <w:pPr>
              <w:spacing w:after="160" w:line="259" w:lineRule="auto"/>
              <w:jc w:val="left"/>
              <w:rPr>
                <w:rFonts w:ascii="Arial" w:hAnsi="Arial" w:cs="Arial"/>
                <w:sz w:val="24"/>
                <w:szCs w:val="24"/>
              </w:rPr>
            </w:pPr>
            <w:r>
              <w:rPr>
                <w:rFonts w:ascii="Arial" w:hAnsi="Arial" w:cs="Arial"/>
                <w:sz w:val="24"/>
                <w:szCs w:val="24"/>
              </w:rPr>
              <w:t>Warning / intent to terminate - failure to deliver to national standard.</w:t>
            </w:r>
          </w:p>
        </w:tc>
      </w:tr>
      <w:tr w:rsidR="00DA678E" w:rsidRPr="003A7374" w14:paraId="7B14AD51" w14:textId="77777777" w:rsidTr="00DA678E">
        <w:tc>
          <w:tcPr>
            <w:tcW w:w="1122" w:type="dxa"/>
          </w:tcPr>
          <w:p w14:paraId="6190EB5C" w14:textId="77777777" w:rsidR="00DA678E" w:rsidRPr="003A7374" w:rsidRDefault="00DA678E" w:rsidP="000E53CD">
            <w:pPr>
              <w:spacing w:after="160" w:line="259" w:lineRule="auto"/>
              <w:jc w:val="left"/>
              <w:rPr>
                <w:rFonts w:ascii="Arial" w:hAnsi="Arial" w:cs="Arial"/>
                <w:sz w:val="24"/>
                <w:szCs w:val="24"/>
              </w:rPr>
            </w:pPr>
            <w:r>
              <w:rPr>
                <w:rFonts w:ascii="Arial" w:hAnsi="Arial" w:cs="Arial"/>
                <w:sz w:val="24"/>
                <w:szCs w:val="24"/>
              </w:rPr>
              <w:t>2.</w:t>
            </w:r>
          </w:p>
        </w:tc>
        <w:tc>
          <w:tcPr>
            <w:tcW w:w="2452" w:type="dxa"/>
          </w:tcPr>
          <w:p w14:paraId="0FA2179E" w14:textId="6783B63F" w:rsidR="00DA678E" w:rsidRPr="003A7374" w:rsidRDefault="00DA678E" w:rsidP="000E53CD">
            <w:pPr>
              <w:spacing w:after="160" w:line="259" w:lineRule="auto"/>
              <w:jc w:val="left"/>
              <w:rPr>
                <w:rFonts w:ascii="Arial" w:hAnsi="Arial" w:cs="Arial"/>
                <w:sz w:val="24"/>
                <w:szCs w:val="24"/>
              </w:rPr>
            </w:pPr>
            <w:r>
              <w:rPr>
                <w:rFonts w:ascii="Arial" w:hAnsi="Arial" w:cs="Arial"/>
                <w:sz w:val="24"/>
                <w:szCs w:val="24"/>
              </w:rPr>
              <w:t xml:space="preserve">KPI &amp; </w:t>
            </w:r>
            <w:proofErr w:type="gramStart"/>
            <w:r>
              <w:rPr>
                <w:rFonts w:ascii="Arial" w:hAnsi="Arial" w:cs="Arial"/>
                <w:sz w:val="24"/>
                <w:szCs w:val="24"/>
              </w:rPr>
              <w:t xml:space="preserve">Report </w:t>
            </w:r>
            <w:r w:rsidR="007873CE">
              <w:rPr>
                <w:rFonts w:ascii="Arial" w:hAnsi="Arial" w:cs="Arial"/>
                <w:sz w:val="24"/>
                <w:szCs w:val="24"/>
              </w:rPr>
              <w:t xml:space="preserve"> </w:t>
            </w:r>
            <w:r>
              <w:rPr>
                <w:rFonts w:ascii="Arial" w:hAnsi="Arial" w:cs="Arial"/>
                <w:sz w:val="24"/>
                <w:szCs w:val="24"/>
              </w:rPr>
              <w:t>requirements</w:t>
            </w:r>
            <w:proofErr w:type="gramEnd"/>
          </w:p>
        </w:tc>
        <w:tc>
          <w:tcPr>
            <w:tcW w:w="6350" w:type="dxa"/>
          </w:tcPr>
          <w:p w14:paraId="6A17403C" w14:textId="77777777" w:rsidR="00DA678E" w:rsidRDefault="00DA678E" w:rsidP="000E53CD">
            <w:pPr>
              <w:spacing w:after="160" w:line="259" w:lineRule="auto"/>
              <w:jc w:val="left"/>
              <w:rPr>
                <w:rFonts w:ascii="Arial" w:hAnsi="Arial" w:cs="Arial"/>
                <w:sz w:val="24"/>
                <w:szCs w:val="24"/>
              </w:rPr>
            </w:pPr>
            <w:r>
              <w:rPr>
                <w:rFonts w:ascii="Arial" w:hAnsi="Arial" w:cs="Arial"/>
                <w:sz w:val="24"/>
                <w:szCs w:val="24"/>
              </w:rPr>
              <w:t xml:space="preserve">Warning – not meeting deadlines without due reason and information supplied to relevant LA. </w:t>
            </w:r>
          </w:p>
          <w:p w14:paraId="19083995" w14:textId="77777777" w:rsidR="007873CE" w:rsidRDefault="007873CE" w:rsidP="007873CE">
            <w:pPr>
              <w:widowControl w:val="0"/>
              <w:tabs>
                <w:tab w:val="left" w:pos="1701"/>
              </w:tabs>
              <w:spacing w:after="120"/>
              <w:ind w:left="1701"/>
              <w:rPr>
                <w:rFonts w:ascii="Arial" w:hAnsi="Arial" w:cs="Arial"/>
                <w:sz w:val="22"/>
                <w:szCs w:val="22"/>
              </w:rPr>
            </w:pPr>
            <w:r w:rsidRPr="00352837">
              <w:rPr>
                <w:rFonts w:ascii="Arial" w:hAnsi="Arial" w:cs="Arial"/>
                <w:sz w:val="22"/>
                <w:szCs w:val="22"/>
              </w:rPr>
              <w:t>suspend the Provider for such period as the Council may determine as reasonable from the DPS and during the suspension period the Council may impose conditions on the Provider before the suspension is lifted;</w:t>
            </w:r>
          </w:p>
          <w:p w14:paraId="5870D127" w14:textId="0F311C4C" w:rsidR="007873CE" w:rsidRPr="003A7374" w:rsidRDefault="007873CE" w:rsidP="000E53CD">
            <w:pPr>
              <w:spacing w:after="160" w:line="259" w:lineRule="auto"/>
              <w:jc w:val="left"/>
              <w:rPr>
                <w:rFonts w:ascii="Arial" w:hAnsi="Arial" w:cs="Arial"/>
                <w:sz w:val="24"/>
                <w:szCs w:val="24"/>
              </w:rPr>
            </w:pPr>
          </w:p>
        </w:tc>
      </w:tr>
      <w:tr w:rsidR="00DA678E" w:rsidRPr="003A7374" w14:paraId="01314430" w14:textId="77777777" w:rsidTr="00DA678E">
        <w:tc>
          <w:tcPr>
            <w:tcW w:w="1122" w:type="dxa"/>
          </w:tcPr>
          <w:p w14:paraId="6349E8B2" w14:textId="77777777" w:rsidR="00DA678E" w:rsidRPr="003A7374" w:rsidRDefault="00DA678E" w:rsidP="000E53CD">
            <w:pPr>
              <w:spacing w:after="160" w:line="259" w:lineRule="auto"/>
              <w:jc w:val="left"/>
              <w:rPr>
                <w:rFonts w:ascii="Arial" w:hAnsi="Arial" w:cs="Arial"/>
                <w:sz w:val="24"/>
                <w:szCs w:val="24"/>
              </w:rPr>
            </w:pPr>
            <w:r>
              <w:rPr>
                <w:rFonts w:ascii="Arial" w:hAnsi="Arial" w:cs="Arial"/>
                <w:sz w:val="24"/>
                <w:szCs w:val="24"/>
              </w:rPr>
              <w:t>3.</w:t>
            </w:r>
          </w:p>
        </w:tc>
        <w:tc>
          <w:tcPr>
            <w:tcW w:w="2452" w:type="dxa"/>
          </w:tcPr>
          <w:p w14:paraId="2570E0A3" w14:textId="77777777" w:rsidR="00DA678E" w:rsidRPr="003A7374" w:rsidRDefault="00DA678E" w:rsidP="000E53CD">
            <w:pPr>
              <w:spacing w:after="160" w:line="259" w:lineRule="auto"/>
              <w:jc w:val="left"/>
              <w:rPr>
                <w:rFonts w:ascii="Arial" w:hAnsi="Arial" w:cs="Arial"/>
                <w:sz w:val="24"/>
                <w:szCs w:val="24"/>
              </w:rPr>
            </w:pPr>
            <w:r>
              <w:rPr>
                <w:rFonts w:ascii="Arial" w:hAnsi="Arial" w:cs="Arial"/>
                <w:sz w:val="24"/>
                <w:szCs w:val="24"/>
              </w:rPr>
              <w:t>Supplier requirements</w:t>
            </w:r>
          </w:p>
        </w:tc>
        <w:tc>
          <w:tcPr>
            <w:tcW w:w="6350" w:type="dxa"/>
          </w:tcPr>
          <w:p w14:paraId="76669D3C" w14:textId="77777777" w:rsidR="00DA678E" w:rsidRDefault="00DA678E" w:rsidP="000E53CD">
            <w:pPr>
              <w:spacing w:after="160" w:line="259" w:lineRule="auto"/>
              <w:jc w:val="left"/>
              <w:rPr>
                <w:rFonts w:ascii="Arial" w:hAnsi="Arial" w:cs="Arial"/>
                <w:sz w:val="24"/>
                <w:szCs w:val="24"/>
              </w:rPr>
            </w:pPr>
            <w:r>
              <w:rPr>
                <w:rFonts w:ascii="Arial" w:hAnsi="Arial" w:cs="Arial"/>
                <w:sz w:val="24"/>
                <w:szCs w:val="24"/>
              </w:rPr>
              <w:t xml:space="preserve">Warning – failure to deliver CPD programme included in tender. </w:t>
            </w:r>
          </w:p>
          <w:p w14:paraId="59AB06B3" w14:textId="77777777" w:rsidR="00DA678E" w:rsidRDefault="00DA678E" w:rsidP="000E53CD">
            <w:pPr>
              <w:spacing w:after="160" w:line="259" w:lineRule="auto"/>
              <w:jc w:val="left"/>
              <w:rPr>
                <w:rFonts w:ascii="Arial" w:hAnsi="Arial" w:cs="Arial"/>
                <w:sz w:val="24"/>
                <w:szCs w:val="24"/>
              </w:rPr>
            </w:pPr>
            <w:r>
              <w:rPr>
                <w:rFonts w:ascii="Arial" w:hAnsi="Arial" w:cs="Arial"/>
                <w:sz w:val="24"/>
                <w:szCs w:val="24"/>
              </w:rPr>
              <w:t>Warning – failure to provide bikes/equipment to deliver training.</w:t>
            </w:r>
          </w:p>
          <w:p w14:paraId="112CDD44" w14:textId="77777777" w:rsidR="00DA678E" w:rsidRPr="003A7374" w:rsidRDefault="00DA678E" w:rsidP="000E53CD">
            <w:pPr>
              <w:spacing w:after="160" w:line="259" w:lineRule="auto"/>
              <w:jc w:val="left"/>
              <w:rPr>
                <w:rFonts w:ascii="Arial" w:hAnsi="Arial" w:cs="Arial"/>
                <w:sz w:val="24"/>
                <w:szCs w:val="24"/>
              </w:rPr>
            </w:pPr>
            <w:r>
              <w:rPr>
                <w:rFonts w:ascii="Arial" w:hAnsi="Arial" w:cs="Arial"/>
                <w:sz w:val="24"/>
                <w:szCs w:val="24"/>
              </w:rPr>
              <w:t xml:space="preserve">Warning – failure to provide staff details.  </w:t>
            </w:r>
          </w:p>
        </w:tc>
      </w:tr>
      <w:tr w:rsidR="00DA678E" w:rsidRPr="003A7374" w14:paraId="6401C5BF" w14:textId="77777777" w:rsidTr="00DA678E">
        <w:tc>
          <w:tcPr>
            <w:tcW w:w="1122" w:type="dxa"/>
          </w:tcPr>
          <w:p w14:paraId="5A1187AE" w14:textId="77777777" w:rsidR="00DA678E" w:rsidRPr="003A7374" w:rsidRDefault="00DA678E" w:rsidP="000E53CD">
            <w:pPr>
              <w:spacing w:after="160" w:line="259" w:lineRule="auto"/>
              <w:jc w:val="left"/>
              <w:rPr>
                <w:rFonts w:ascii="Arial" w:hAnsi="Arial" w:cs="Arial"/>
                <w:sz w:val="24"/>
                <w:szCs w:val="24"/>
              </w:rPr>
            </w:pPr>
            <w:r>
              <w:rPr>
                <w:rFonts w:ascii="Arial" w:hAnsi="Arial" w:cs="Arial"/>
                <w:sz w:val="24"/>
                <w:szCs w:val="24"/>
              </w:rPr>
              <w:t>4.</w:t>
            </w:r>
          </w:p>
        </w:tc>
        <w:tc>
          <w:tcPr>
            <w:tcW w:w="2452" w:type="dxa"/>
          </w:tcPr>
          <w:p w14:paraId="6D8EF86C" w14:textId="77777777" w:rsidR="00DA678E" w:rsidRPr="003A7374" w:rsidRDefault="00DA678E" w:rsidP="000E53CD">
            <w:pPr>
              <w:spacing w:after="160" w:line="259" w:lineRule="auto"/>
              <w:jc w:val="left"/>
              <w:rPr>
                <w:rFonts w:ascii="Arial" w:hAnsi="Arial" w:cs="Arial"/>
                <w:sz w:val="24"/>
                <w:szCs w:val="24"/>
              </w:rPr>
            </w:pPr>
            <w:r>
              <w:rPr>
                <w:rFonts w:ascii="Arial" w:hAnsi="Arial" w:cs="Arial"/>
                <w:sz w:val="24"/>
                <w:szCs w:val="24"/>
              </w:rPr>
              <w:t>Professional service delivery</w:t>
            </w:r>
          </w:p>
        </w:tc>
        <w:tc>
          <w:tcPr>
            <w:tcW w:w="6350" w:type="dxa"/>
          </w:tcPr>
          <w:p w14:paraId="20DD4737" w14:textId="77777777" w:rsidR="00DA678E" w:rsidRPr="003A7374" w:rsidRDefault="00DA678E" w:rsidP="000E53CD">
            <w:pPr>
              <w:spacing w:after="160" w:line="259" w:lineRule="auto"/>
              <w:jc w:val="left"/>
              <w:rPr>
                <w:rFonts w:ascii="Arial" w:hAnsi="Arial" w:cs="Arial"/>
                <w:sz w:val="24"/>
                <w:szCs w:val="24"/>
              </w:rPr>
            </w:pPr>
            <w:r>
              <w:rPr>
                <w:rFonts w:ascii="Arial" w:hAnsi="Arial" w:cs="Arial"/>
                <w:sz w:val="24"/>
                <w:szCs w:val="24"/>
              </w:rPr>
              <w:t xml:space="preserve">Warning – failure to deliver to the standard demonstrated at the time of tender, to the national standard.  </w:t>
            </w:r>
          </w:p>
        </w:tc>
      </w:tr>
      <w:tr w:rsidR="00DA678E" w:rsidRPr="003A7374" w14:paraId="6F9A8EF8" w14:textId="77777777" w:rsidTr="00DA678E">
        <w:tc>
          <w:tcPr>
            <w:tcW w:w="1122" w:type="dxa"/>
          </w:tcPr>
          <w:p w14:paraId="330C1624" w14:textId="77777777" w:rsidR="00DA678E" w:rsidRPr="003A7374" w:rsidRDefault="00DA678E" w:rsidP="000E53CD">
            <w:pPr>
              <w:spacing w:after="160" w:line="259" w:lineRule="auto"/>
              <w:jc w:val="left"/>
              <w:rPr>
                <w:rFonts w:ascii="Arial" w:hAnsi="Arial" w:cs="Arial"/>
                <w:sz w:val="24"/>
                <w:szCs w:val="24"/>
              </w:rPr>
            </w:pPr>
            <w:r>
              <w:rPr>
                <w:rFonts w:ascii="Arial" w:hAnsi="Arial" w:cs="Arial"/>
                <w:sz w:val="24"/>
                <w:szCs w:val="24"/>
              </w:rPr>
              <w:t>5.</w:t>
            </w:r>
          </w:p>
        </w:tc>
        <w:tc>
          <w:tcPr>
            <w:tcW w:w="2452" w:type="dxa"/>
          </w:tcPr>
          <w:p w14:paraId="71BA302D" w14:textId="77777777" w:rsidR="00DA678E" w:rsidRPr="003A7374" w:rsidRDefault="00DA678E" w:rsidP="000E53CD">
            <w:pPr>
              <w:spacing w:after="160" w:line="259" w:lineRule="auto"/>
              <w:jc w:val="left"/>
              <w:rPr>
                <w:rFonts w:ascii="Arial" w:hAnsi="Arial" w:cs="Arial"/>
                <w:sz w:val="24"/>
                <w:szCs w:val="24"/>
              </w:rPr>
            </w:pPr>
            <w:r>
              <w:rPr>
                <w:rFonts w:ascii="Arial" w:hAnsi="Arial" w:cs="Arial"/>
                <w:sz w:val="24"/>
                <w:szCs w:val="24"/>
              </w:rPr>
              <w:t>Policies</w:t>
            </w:r>
          </w:p>
        </w:tc>
        <w:tc>
          <w:tcPr>
            <w:tcW w:w="6350" w:type="dxa"/>
          </w:tcPr>
          <w:p w14:paraId="0ED72B08" w14:textId="77777777" w:rsidR="00DA678E" w:rsidRPr="003A7374" w:rsidRDefault="00DA678E" w:rsidP="000E53CD">
            <w:pPr>
              <w:spacing w:after="160" w:line="259" w:lineRule="auto"/>
              <w:jc w:val="left"/>
              <w:rPr>
                <w:rFonts w:ascii="Arial" w:hAnsi="Arial" w:cs="Arial"/>
                <w:sz w:val="24"/>
                <w:szCs w:val="24"/>
              </w:rPr>
            </w:pPr>
            <w:r>
              <w:rPr>
                <w:rFonts w:ascii="Arial" w:hAnsi="Arial" w:cs="Arial"/>
                <w:sz w:val="24"/>
                <w:szCs w:val="24"/>
              </w:rPr>
              <w:t xml:space="preserve">Warning – failure to follow tendered processes and procedures.  </w:t>
            </w:r>
          </w:p>
        </w:tc>
      </w:tr>
      <w:tr w:rsidR="00DA678E" w:rsidRPr="003A7374" w14:paraId="235E24B8" w14:textId="77777777" w:rsidTr="00DA678E">
        <w:tc>
          <w:tcPr>
            <w:tcW w:w="1122" w:type="dxa"/>
          </w:tcPr>
          <w:p w14:paraId="176BC1B9" w14:textId="77777777" w:rsidR="00DA678E" w:rsidRPr="003A7374" w:rsidRDefault="00DA678E" w:rsidP="000E53CD">
            <w:pPr>
              <w:spacing w:after="160" w:line="259" w:lineRule="auto"/>
              <w:jc w:val="left"/>
              <w:rPr>
                <w:rFonts w:ascii="Arial" w:hAnsi="Arial" w:cs="Arial"/>
                <w:sz w:val="24"/>
                <w:szCs w:val="24"/>
              </w:rPr>
            </w:pPr>
            <w:r>
              <w:rPr>
                <w:rFonts w:ascii="Arial" w:hAnsi="Arial" w:cs="Arial"/>
                <w:sz w:val="24"/>
                <w:szCs w:val="24"/>
              </w:rPr>
              <w:t>6.</w:t>
            </w:r>
          </w:p>
        </w:tc>
        <w:tc>
          <w:tcPr>
            <w:tcW w:w="2452" w:type="dxa"/>
          </w:tcPr>
          <w:p w14:paraId="1BF392FA" w14:textId="77777777" w:rsidR="00DA678E" w:rsidRPr="003A7374" w:rsidRDefault="00DA678E" w:rsidP="000E53CD">
            <w:pPr>
              <w:spacing w:after="160" w:line="259" w:lineRule="auto"/>
              <w:jc w:val="left"/>
              <w:rPr>
                <w:rFonts w:ascii="Arial" w:hAnsi="Arial" w:cs="Arial"/>
                <w:sz w:val="24"/>
                <w:szCs w:val="24"/>
              </w:rPr>
            </w:pPr>
            <w:r>
              <w:rPr>
                <w:rFonts w:ascii="Arial" w:hAnsi="Arial" w:cs="Arial"/>
                <w:sz w:val="24"/>
                <w:szCs w:val="24"/>
              </w:rPr>
              <w:t>Paperwork</w:t>
            </w:r>
          </w:p>
        </w:tc>
        <w:tc>
          <w:tcPr>
            <w:tcW w:w="6350" w:type="dxa"/>
          </w:tcPr>
          <w:p w14:paraId="6A5A4035" w14:textId="77777777" w:rsidR="00DA678E" w:rsidRPr="003A7374" w:rsidRDefault="00DA678E" w:rsidP="000E53CD">
            <w:pPr>
              <w:spacing w:after="160" w:line="259" w:lineRule="auto"/>
              <w:jc w:val="left"/>
              <w:rPr>
                <w:rFonts w:ascii="Arial" w:hAnsi="Arial" w:cs="Arial"/>
                <w:sz w:val="24"/>
                <w:szCs w:val="24"/>
              </w:rPr>
            </w:pPr>
            <w:r>
              <w:rPr>
                <w:rFonts w:ascii="Arial" w:hAnsi="Arial" w:cs="Arial"/>
                <w:sz w:val="24"/>
                <w:szCs w:val="24"/>
              </w:rPr>
              <w:t xml:space="preserve">Warning – failure to use council logo’s or reference to </w:t>
            </w:r>
            <w:proofErr w:type="spellStart"/>
            <w:r>
              <w:rPr>
                <w:rFonts w:ascii="Arial" w:hAnsi="Arial" w:cs="Arial"/>
                <w:sz w:val="24"/>
                <w:szCs w:val="24"/>
              </w:rPr>
              <w:t>DfT</w:t>
            </w:r>
            <w:proofErr w:type="spellEnd"/>
            <w:r>
              <w:rPr>
                <w:rFonts w:ascii="Arial" w:hAnsi="Arial" w:cs="Arial"/>
                <w:sz w:val="24"/>
                <w:szCs w:val="24"/>
              </w:rPr>
              <w:t xml:space="preserve"> funding when requested. </w:t>
            </w:r>
          </w:p>
        </w:tc>
      </w:tr>
    </w:tbl>
    <w:p w14:paraId="19D57154" w14:textId="72B75DC7" w:rsidR="000E32B8" w:rsidRDefault="000E32B8" w:rsidP="00932557">
      <w:pPr>
        <w:spacing w:after="160" w:line="259" w:lineRule="auto"/>
        <w:jc w:val="left"/>
        <w:rPr>
          <w:rFonts w:ascii="Arial" w:hAnsi="Arial" w:cs="Arial"/>
          <w:sz w:val="24"/>
          <w:szCs w:val="24"/>
        </w:rPr>
      </w:pPr>
    </w:p>
    <w:p w14:paraId="2CBE48A9" w14:textId="3967F1FB" w:rsidR="00932557" w:rsidRDefault="00932557" w:rsidP="00932557">
      <w:pPr>
        <w:spacing w:after="160" w:line="259" w:lineRule="auto"/>
        <w:jc w:val="left"/>
        <w:rPr>
          <w:rFonts w:ascii="Arial" w:hAnsi="Arial" w:cs="Arial"/>
          <w:sz w:val="24"/>
          <w:szCs w:val="24"/>
        </w:rPr>
      </w:pPr>
    </w:p>
    <w:p w14:paraId="63BB0153" w14:textId="77777777" w:rsidR="007873CE" w:rsidRDefault="007873CE" w:rsidP="00932557">
      <w:pPr>
        <w:spacing w:after="160" w:line="259" w:lineRule="auto"/>
        <w:jc w:val="left"/>
        <w:rPr>
          <w:rFonts w:ascii="Arial" w:hAnsi="Arial" w:cs="Arial"/>
          <w:sz w:val="24"/>
          <w:szCs w:val="24"/>
        </w:rPr>
      </w:pPr>
    </w:p>
    <w:p w14:paraId="2EB28498" w14:textId="77777777" w:rsidR="00CC49E7" w:rsidRPr="000E32B8" w:rsidRDefault="00CC49E7" w:rsidP="0061754F">
      <w:pPr>
        <w:spacing w:after="160" w:line="259" w:lineRule="auto"/>
        <w:ind w:left="425"/>
        <w:jc w:val="left"/>
        <w:rPr>
          <w:rFonts w:ascii="Arial" w:hAnsi="Arial" w:cs="Arial"/>
          <w:b/>
          <w:color w:val="FF0000"/>
          <w:sz w:val="24"/>
          <w:szCs w:val="24"/>
        </w:rPr>
      </w:pPr>
    </w:p>
    <w:sectPr w:rsidR="00CC49E7" w:rsidRPr="000E32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BDC9D" w14:textId="77777777" w:rsidR="007873CE" w:rsidRDefault="007873CE" w:rsidP="00E425BB">
      <w:r>
        <w:separator/>
      </w:r>
    </w:p>
  </w:endnote>
  <w:endnote w:type="continuationSeparator" w:id="0">
    <w:p w14:paraId="76582371" w14:textId="77777777" w:rsidR="007873CE" w:rsidRDefault="007873CE" w:rsidP="00E4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DBC1A" w14:textId="77777777" w:rsidR="007873CE" w:rsidRDefault="007873CE" w:rsidP="00E425BB">
      <w:r>
        <w:separator/>
      </w:r>
    </w:p>
  </w:footnote>
  <w:footnote w:type="continuationSeparator" w:id="0">
    <w:p w14:paraId="3FE7D3C2" w14:textId="77777777" w:rsidR="007873CE" w:rsidRDefault="007873CE" w:rsidP="00E42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A1F10"/>
    <w:multiLevelType w:val="multilevel"/>
    <w:tmpl w:val="2042C864"/>
    <w:lvl w:ilvl="0">
      <w:start w:val="28"/>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C3616C"/>
    <w:multiLevelType w:val="hybridMultilevel"/>
    <w:tmpl w:val="B2700F7E"/>
    <w:lvl w:ilvl="0" w:tplc="6944BFCA">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391F81"/>
    <w:multiLevelType w:val="hybridMultilevel"/>
    <w:tmpl w:val="862E2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7C3642"/>
    <w:multiLevelType w:val="hybridMultilevel"/>
    <w:tmpl w:val="44FE4EB6"/>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7E6974"/>
    <w:multiLevelType w:val="hybridMultilevel"/>
    <w:tmpl w:val="9FC86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C71E27"/>
    <w:multiLevelType w:val="hybridMultilevel"/>
    <w:tmpl w:val="461AE462"/>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090D9E"/>
    <w:multiLevelType w:val="hybridMultilevel"/>
    <w:tmpl w:val="F69087A0"/>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96267D"/>
    <w:multiLevelType w:val="hybridMultilevel"/>
    <w:tmpl w:val="A0927742"/>
    <w:lvl w:ilvl="0" w:tplc="3D7C4E70">
      <w:start w:val="1"/>
      <w:numFmt w:val="decimal"/>
      <w:lvlText w:val="%1."/>
      <w:lvlJc w:val="left"/>
      <w:pPr>
        <w:tabs>
          <w:tab w:val="num" w:pos="437"/>
        </w:tabs>
        <w:ind w:left="437" w:hanging="437"/>
      </w:pPr>
      <w:rPr>
        <w:rFonts w:ascii="Arial" w:hAnsi="Arial" w:cs="Arial" w:hint="default"/>
        <w:b w:val="0"/>
        <w:color w:val="auto"/>
        <w:sz w:val="24"/>
        <w:szCs w:val="20"/>
      </w:rPr>
    </w:lvl>
    <w:lvl w:ilvl="1" w:tplc="53D69608">
      <w:start w:val="1"/>
      <w:numFmt w:val="lowerRoman"/>
      <w:lvlText w:val="%2."/>
      <w:lvlJc w:val="right"/>
      <w:pPr>
        <w:tabs>
          <w:tab w:val="num" w:pos="1363"/>
        </w:tabs>
        <w:ind w:left="1363" w:hanging="283"/>
      </w:pPr>
      <w:rPr>
        <w:rFonts w:hint="default"/>
        <w:b w:val="0"/>
        <w:color w:val="auto"/>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6F266FA"/>
    <w:multiLevelType w:val="hybridMultilevel"/>
    <w:tmpl w:val="37529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CE5D89"/>
    <w:multiLevelType w:val="hybridMultilevel"/>
    <w:tmpl w:val="F1A4A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1606E4"/>
    <w:multiLevelType w:val="hybridMultilevel"/>
    <w:tmpl w:val="401A734E"/>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C6517E"/>
    <w:multiLevelType w:val="hybridMultilevel"/>
    <w:tmpl w:val="0AAE2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2A6F34"/>
    <w:multiLevelType w:val="hybridMultilevel"/>
    <w:tmpl w:val="103C3A64"/>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3F0D0E"/>
    <w:multiLevelType w:val="hybridMultilevel"/>
    <w:tmpl w:val="BDCE0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065DD3"/>
    <w:multiLevelType w:val="hybridMultilevel"/>
    <w:tmpl w:val="99D273AE"/>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2"/>
  </w:num>
  <w:num w:numId="4">
    <w:abstractNumId w:val="13"/>
  </w:num>
  <w:num w:numId="5">
    <w:abstractNumId w:val="12"/>
  </w:num>
  <w:num w:numId="6">
    <w:abstractNumId w:val="4"/>
  </w:num>
  <w:num w:numId="7">
    <w:abstractNumId w:val="11"/>
  </w:num>
  <w:num w:numId="8">
    <w:abstractNumId w:val="3"/>
  </w:num>
  <w:num w:numId="9">
    <w:abstractNumId w:val="14"/>
  </w:num>
  <w:num w:numId="10">
    <w:abstractNumId w:val="10"/>
  </w:num>
  <w:num w:numId="11">
    <w:abstractNumId w:val="6"/>
  </w:num>
  <w:num w:numId="12">
    <w:abstractNumId w:val="5"/>
  </w:num>
  <w:num w:numId="13">
    <w:abstractNumId w:val="1"/>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27"/>
    <w:rsid w:val="00053DFC"/>
    <w:rsid w:val="000840D9"/>
    <w:rsid w:val="0009313C"/>
    <w:rsid w:val="000E32B8"/>
    <w:rsid w:val="000E53CD"/>
    <w:rsid w:val="000F2B3A"/>
    <w:rsid w:val="00103A03"/>
    <w:rsid w:val="00106F30"/>
    <w:rsid w:val="0013776D"/>
    <w:rsid w:val="0014354C"/>
    <w:rsid w:val="00143EED"/>
    <w:rsid w:val="001873D0"/>
    <w:rsid w:val="001B57B5"/>
    <w:rsid w:val="001F7402"/>
    <w:rsid w:val="0020543A"/>
    <w:rsid w:val="00217F4A"/>
    <w:rsid w:val="00263970"/>
    <w:rsid w:val="00282EFB"/>
    <w:rsid w:val="002A1E0B"/>
    <w:rsid w:val="002A38DF"/>
    <w:rsid w:val="002F56F8"/>
    <w:rsid w:val="00307A11"/>
    <w:rsid w:val="00342B49"/>
    <w:rsid w:val="00360DC4"/>
    <w:rsid w:val="003A7374"/>
    <w:rsid w:val="003E43CF"/>
    <w:rsid w:val="003E6E27"/>
    <w:rsid w:val="003F414D"/>
    <w:rsid w:val="0042019E"/>
    <w:rsid w:val="00447D78"/>
    <w:rsid w:val="0047195E"/>
    <w:rsid w:val="00493F02"/>
    <w:rsid w:val="004F2EA5"/>
    <w:rsid w:val="00537494"/>
    <w:rsid w:val="005425AD"/>
    <w:rsid w:val="005E3555"/>
    <w:rsid w:val="005F2A67"/>
    <w:rsid w:val="00607605"/>
    <w:rsid w:val="0061754F"/>
    <w:rsid w:val="00627EF4"/>
    <w:rsid w:val="006C7A73"/>
    <w:rsid w:val="00711AD8"/>
    <w:rsid w:val="0073185B"/>
    <w:rsid w:val="007873CE"/>
    <w:rsid w:val="007F3AA4"/>
    <w:rsid w:val="00820E2B"/>
    <w:rsid w:val="00821BC1"/>
    <w:rsid w:val="0083393D"/>
    <w:rsid w:val="008A6C79"/>
    <w:rsid w:val="008A78A8"/>
    <w:rsid w:val="008C3267"/>
    <w:rsid w:val="008D3EA9"/>
    <w:rsid w:val="008F2E3E"/>
    <w:rsid w:val="0091079D"/>
    <w:rsid w:val="00932557"/>
    <w:rsid w:val="00935FD1"/>
    <w:rsid w:val="009445E8"/>
    <w:rsid w:val="00951E52"/>
    <w:rsid w:val="00961DE2"/>
    <w:rsid w:val="009A5B38"/>
    <w:rsid w:val="009C5D74"/>
    <w:rsid w:val="009E1141"/>
    <w:rsid w:val="009E5522"/>
    <w:rsid w:val="009E553A"/>
    <w:rsid w:val="009F19D9"/>
    <w:rsid w:val="00A707ED"/>
    <w:rsid w:val="00A96213"/>
    <w:rsid w:val="00AB7847"/>
    <w:rsid w:val="00AD0684"/>
    <w:rsid w:val="00B30C2B"/>
    <w:rsid w:val="00B30E4B"/>
    <w:rsid w:val="00B461E8"/>
    <w:rsid w:val="00B519E7"/>
    <w:rsid w:val="00B82C17"/>
    <w:rsid w:val="00C01FF5"/>
    <w:rsid w:val="00C33451"/>
    <w:rsid w:val="00C60EF0"/>
    <w:rsid w:val="00C93FCF"/>
    <w:rsid w:val="00CA0B2D"/>
    <w:rsid w:val="00CC49E7"/>
    <w:rsid w:val="00D30E7C"/>
    <w:rsid w:val="00D47998"/>
    <w:rsid w:val="00D53996"/>
    <w:rsid w:val="00D66B00"/>
    <w:rsid w:val="00DA678E"/>
    <w:rsid w:val="00DE38C1"/>
    <w:rsid w:val="00DF663E"/>
    <w:rsid w:val="00E16BF6"/>
    <w:rsid w:val="00E425BB"/>
    <w:rsid w:val="00E7232E"/>
    <w:rsid w:val="00E7425A"/>
    <w:rsid w:val="00EA0713"/>
    <w:rsid w:val="00EF74A8"/>
    <w:rsid w:val="00F27463"/>
    <w:rsid w:val="00F91656"/>
    <w:rsid w:val="00FA6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0AB131"/>
  <w15:docId w15:val="{FA49B04A-9221-4F4A-8E53-DC97F413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6E27"/>
    <w:pPr>
      <w:spacing w:after="0" w:line="240" w:lineRule="auto"/>
      <w:jc w:val="both"/>
    </w:pPr>
    <w:rPr>
      <w:rFonts w:ascii="Times New Roman" w:eastAsia="Times New Roman" w:hAnsi="Times New Roman" w:cs="Times New Roman"/>
      <w:sz w:val="25"/>
      <w:szCs w:val="20"/>
      <w:lang w:eastAsia="en-GB"/>
    </w:rPr>
  </w:style>
  <w:style w:type="paragraph" w:styleId="Heading3">
    <w:name w:val="heading 3"/>
    <w:basedOn w:val="Normal"/>
    <w:next w:val="Normal"/>
    <w:link w:val="Heading3Char"/>
    <w:qFormat/>
    <w:rsid w:val="003E6E27"/>
    <w:pPr>
      <w:keepNext/>
      <w:tabs>
        <w:tab w:val="left" w:pos="720"/>
        <w:tab w:val="left" w:pos="3150"/>
        <w:tab w:val="left" w:pos="5670"/>
      </w:tabs>
      <w:jc w:val="left"/>
      <w:outlineLvl w:val="2"/>
    </w:pPr>
    <w:rPr>
      <w:b/>
    </w:rPr>
  </w:style>
  <w:style w:type="paragraph" w:styleId="Heading4">
    <w:name w:val="heading 4"/>
    <w:basedOn w:val="Normal"/>
    <w:next w:val="Normal"/>
    <w:link w:val="Heading4Char"/>
    <w:uiPriority w:val="9"/>
    <w:semiHidden/>
    <w:unhideWhenUsed/>
    <w:qFormat/>
    <w:rsid w:val="003F414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3E6E27"/>
    <w:pPr>
      <w:keepNext/>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E6E27"/>
    <w:rPr>
      <w:rFonts w:ascii="Times New Roman" w:eastAsia="Times New Roman" w:hAnsi="Times New Roman" w:cs="Times New Roman"/>
      <w:b/>
      <w:sz w:val="25"/>
      <w:szCs w:val="20"/>
      <w:lang w:eastAsia="en-GB"/>
    </w:rPr>
  </w:style>
  <w:style w:type="character" w:customStyle="1" w:styleId="Heading6Char">
    <w:name w:val="Heading 6 Char"/>
    <w:basedOn w:val="DefaultParagraphFont"/>
    <w:link w:val="Heading6"/>
    <w:rsid w:val="003E6E27"/>
    <w:rPr>
      <w:rFonts w:ascii="Times New Roman" w:eastAsia="Times New Roman" w:hAnsi="Times New Roman" w:cs="Times New Roman"/>
      <w:b/>
      <w:szCs w:val="20"/>
      <w:lang w:eastAsia="en-GB"/>
    </w:rPr>
  </w:style>
  <w:style w:type="table" w:styleId="TableGrid">
    <w:name w:val="Table Grid"/>
    <w:basedOn w:val="TableNormal"/>
    <w:uiPriority w:val="59"/>
    <w:rsid w:val="00307A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7402"/>
    <w:rPr>
      <w:rFonts w:ascii="Tahoma" w:hAnsi="Tahoma" w:cs="Tahoma"/>
      <w:sz w:val="16"/>
      <w:szCs w:val="16"/>
    </w:rPr>
  </w:style>
  <w:style w:type="character" w:customStyle="1" w:styleId="BalloonTextChar">
    <w:name w:val="Balloon Text Char"/>
    <w:basedOn w:val="DefaultParagraphFont"/>
    <w:link w:val="BalloonText"/>
    <w:uiPriority w:val="99"/>
    <w:semiHidden/>
    <w:rsid w:val="001F7402"/>
    <w:rPr>
      <w:rFonts w:ascii="Tahoma" w:eastAsia="Times New Roman" w:hAnsi="Tahoma" w:cs="Tahoma"/>
      <w:sz w:val="16"/>
      <w:szCs w:val="16"/>
      <w:lang w:eastAsia="en-GB"/>
    </w:rPr>
  </w:style>
  <w:style w:type="paragraph" w:styleId="ListParagraph">
    <w:name w:val="List Paragraph"/>
    <w:basedOn w:val="Normal"/>
    <w:uiPriority w:val="34"/>
    <w:qFormat/>
    <w:rsid w:val="00F91656"/>
    <w:pPr>
      <w:ind w:left="720"/>
      <w:contextualSpacing/>
    </w:pPr>
  </w:style>
  <w:style w:type="character" w:styleId="Hyperlink">
    <w:name w:val="Hyperlink"/>
    <w:basedOn w:val="DefaultParagraphFont"/>
    <w:uiPriority w:val="99"/>
    <w:unhideWhenUsed/>
    <w:rsid w:val="00103A03"/>
    <w:rPr>
      <w:color w:val="0563C1" w:themeColor="hyperlink"/>
      <w:u w:val="single"/>
    </w:rPr>
  </w:style>
  <w:style w:type="character" w:styleId="UnresolvedMention">
    <w:name w:val="Unresolved Mention"/>
    <w:basedOn w:val="DefaultParagraphFont"/>
    <w:uiPriority w:val="99"/>
    <w:semiHidden/>
    <w:unhideWhenUsed/>
    <w:rsid w:val="00103A03"/>
    <w:rPr>
      <w:color w:val="605E5C"/>
      <w:shd w:val="clear" w:color="auto" w:fill="E1DFDD"/>
    </w:rPr>
  </w:style>
  <w:style w:type="character" w:customStyle="1" w:styleId="Heading4Char">
    <w:name w:val="Heading 4 Char"/>
    <w:basedOn w:val="DefaultParagraphFont"/>
    <w:link w:val="Heading4"/>
    <w:uiPriority w:val="9"/>
    <w:semiHidden/>
    <w:rsid w:val="003F414D"/>
    <w:rPr>
      <w:rFonts w:asciiTheme="majorHAnsi" w:eastAsiaTheme="majorEastAsia" w:hAnsiTheme="majorHAnsi" w:cstheme="majorBidi"/>
      <w:i/>
      <w:iCs/>
      <w:color w:val="2E74B5" w:themeColor="accent1" w:themeShade="BF"/>
      <w:sz w:val="25"/>
      <w:szCs w:val="20"/>
      <w:lang w:eastAsia="en-GB"/>
    </w:rPr>
  </w:style>
  <w:style w:type="character" w:styleId="CommentReference">
    <w:name w:val="annotation reference"/>
    <w:basedOn w:val="DefaultParagraphFont"/>
    <w:uiPriority w:val="99"/>
    <w:semiHidden/>
    <w:unhideWhenUsed/>
    <w:rsid w:val="000E53CD"/>
    <w:rPr>
      <w:sz w:val="16"/>
      <w:szCs w:val="16"/>
    </w:rPr>
  </w:style>
  <w:style w:type="paragraph" w:styleId="CommentText">
    <w:name w:val="annotation text"/>
    <w:basedOn w:val="Normal"/>
    <w:link w:val="CommentTextChar"/>
    <w:uiPriority w:val="99"/>
    <w:semiHidden/>
    <w:unhideWhenUsed/>
    <w:rsid w:val="000E53CD"/>
    <w:rPr>
      <w:sz w:val="20"/>
    </w:rPr>
  </w:style>
  <w:style w:type="character" w:customStyle="1" w:styleId="CommentTextChar">
    <w:name w:val="Comment Text Char"/>
    <w:basedOn w:val="DefaultParagraphFont"/>
    <w:link w:val="CommentText"/>
    <w:uiPriority w:val="99"/>
    <w:semiHidden/>
    <w:rsid w:val="000E53C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E53CD"/>
    <w:rPr>
      <w:b/>
      <w:bCs/>
    </w:rPr>
  </w:style>
  <w:style w:type="character" w:customStyle="1" w:styleId="CommentSubjectChar">
    <w:name w:val="Comment Subject Char"/>
    <w:basedOn w:val="CommentTextChar"/>
    <w:link w:val="CommentSubject"/>
    <w:uiPriority w:val="99"/>
    <w:semiHidden/>
    <w:rsid w:val="000E53CD"/>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4606">
      <w:bodyDiv w:val="1"/>
      <w:marLeft w:val="0"/>
      <w:marRight w:val="0"/>
      <w:marTop w:val="0"/>
      <w:marBottom w:val="0"/>
      <w:divBdr>
        <w:top w:val="none" w:sz="0" w:space="0" w:color="auto"/>
        <w:left w:val="none" w:sz="0" w:space="0" w:color="auto"/>
        <w:bottom w:val="none" w:sz="0" w:space="0" w:color="auto"/>
        <w:right w:val="none" w:sz="0" w:space="0" w:color="auto"/>
      </w:divBdr>
    </w:div>
    <w:div w:id="491722081">
      <w:bodyDiv w:val="1"/>
      <w:marLeft w:val="0"/>
      <w:marRight w:val="0"/>
      <w:marTop w:val="0"/>
      <w:marBottom w:val="0"/>
      <w:divBdr>
        <w:top w:val="none" w:sz="0" w:space="0" w:color="auto"/>
        <w:left w:val="none" w:sz="0" w:space="0" w:color="auto"/>
        <w:bottom w:val="none" w:sz="0" w:space="0" w:color="auto"/>
        <w:right w:val="none" w:sz="0" w:space="0" w:color="auto"/>
      </w:divBdr>
    </w:div>
    <w:div w:id="541556146">
      <w:bodyDiv w:val="1"/>
      <w:marLeft w:val="0"/>
      <w:marRight w:val="0"/>
      <w:marTop w:val="0"/>
      <w:marBottom w:val="0"/>
      <w:divBdr>
        <w:top w:val="none" w:sz="0" w:space="0" w:color="auto"/>
        <w:left w:val="none" w:sz="0" w:space="0" w:color="auto"/>
        <w:bottom w:val="none" w:sz="0" w:space="0" w:color="auto"/>
        <w:right w:val="none" w:sz="0" w:space="0" w:color="auto"/>
      </w:divBdr>
      <w:divsChild>
        <w:div w:id="562984248">
          <w:marLeft w:val="0"/>
          <w:marRight w:val="0"/>
          <w:marTop w:val="675"/>
          <w:marBottom w:val="675"/>
          <w:divBdr>
            <w:top w:val="none" w:sz="0" w:space="0" w:color="auto"/>
            <w:left w:val="none" w:sz="0" w:space="0" w:color="auto"/>
            <w:bottom w:val="none" w:sz="0" w:space="0" w:color="auto"/>
            <w:right w:val="none" w:sz="0" w:space="0" w:color="auto"/>
          </w:divBdr>
          <w:divsChild>
            <w:div w:id="32127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446930">
      <w:bodyDiv w:val="1"/>
      <w:marLeft w:val="0"/>
      <w:marRight w:val="0"/>
      <w:marTop w:val="0"/>
      <w:marBottom w:val="0"/>
      <w:divBdr>
        <w:top w:val="none" w:sz="0" w:space="0" w:color="auto"/>
        <w:left w:val="none" w:sz="0" w:space="0" w:color="auto"/>
        <w:bottom w:val="none" w:sz="0" w:space="0" w:color="auto"/>
        <w:right w:val="none" w:sz="0" w:space="0" w:color="auto"/>
      </w:divBdr>
    </w:div>
    <w:div w:id="691108222">
      <w:bodyDiv w:val="1"/>
      <w:marLeft w:val="0"/>
      <w:marRight w:val="0"/>
      <w:marTop w:val="0"/>
      <w:marBottom w:val="0"/>
      <w:divBdr>
        <w:top w:val="none" w:sz="0" w:space="0" w:color="auto"/>
        <w:left w:val="none" w:sz="0" w:space="0" w:color="auto"/>
        <w:bottom w:val="none" w:sz="0" w:space="0" w:color="auto"/>
        <w:right w:val="none" w:sz="0" w:space="0" w:color="auto"/>
      </w:divBdr>
    </w:div>
    <w:div w:id="714163593">
      <w:bodyDiv w:val="1"/>
      <w:marLeft w:val="0"/>
      <w:marRight w:val="0"/>
      <w:marTop w:val="0"/>
      <w:marBottom w:val="0"/>
      <w:divBdr>
        <w:top w:val="none" w:sz="0" w:space="0" w:color="auto"/>
        <w:left w:val="none" w:sz="0" w:space="0" w:color="auto"/>
        <w:bottom w:val="none" w:sz="0" w:space="0" w:color="auto"/>
        <w:right w:val="none" w:sz="0" w:space="0" w:color="auto"/>
      </w:divBdr>
    </w:div>
    <w:div w:id="1402942542">
      <w:bodyDiv w:val="1"/>
      <w:marLeft w:val="0"/>
      <w:marRight w:val="0"/>
      <w:marTop w:val="0"/>
      <w:marBottom w:val="0"/>
      <w:divBdr>
        <w:top w:val="none" w:sz="0" w:space="0" w:color="auto"/>
        <w:left w:val="none" w:sz="0" w:space="0" w:color="auto"/>
        <w:bottom w:val="none" w:sz="0" w:space="0" w:color="auto"/>
        <w:right w:val="none" w:sz="0" w:space="0" w:color="auto"/>
      </w:divBdr>
    </w:div>
    <w:div w:id="1529642370">
      <w:bodyDiv w:val="1"/>
      <w:marLeft w:val="0"/>
      <w:marRight w:val="0"/>
      <w:marTop w:val="0"/>
      <w:marBottom w:val="0"/>
      <w:divBdr>
        <w:top w:val="none" w:sz="0" w:space="0" w:color="auto"/>
        <w:left w:val="none" w:sz="0" w:space="0" w:color="auto"/>
        <w:bottom w:val="none" w:sz="0" w:space="0" w:color="auto"/>
        <w:right w:val="none" w:sz="0" w:space="0" w:color="auto"/>
      </w:divBdr>
    </w:div>
    <w:div w:id="195123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essionals.bikeability.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ofessionals.bikeability.org.uk/course-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1398</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Taylor-Grime, Paul (ICT)</dc:creator>
  <cp:lastModifiedBy>Bowers, Sharon (Corporate)</cp:lastModifiedBy>
  <cp:revision>7</cp:revision>
  <cp:lastPrinted>2016-12-08T12:01:00Z</cp:lastPrinted>
  <dcterms:created xsi:type="dcterms:W3CDTF">2019-11-27T15:02:00Z</dcterms:created>
  <dcterms:modified xsi:type="dcterms:W3CDTF">2019-12-03T11:57:00Z</dcterms:modified>
</cp:coreProperties>
</file>