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CFB6A" w14:textId="050613E3" w:rsidR="00424AE2" w:rsidRDefault="00424AE2" w:rsidP="00FE7602">
      <w:pPr>
        <w:pStyle w:val="Default"/>
        <w:rPr>
          <w:b/>
          <w:sz w:val="23"/>
          <w:szCs w:val="23"/>
        </w:rPr>
      </w:pPr>
      <w:r>
        <w:rPr>
          <w:b/>
          <w:sz w:val="23"/>
          <w:szCs w:val="23"/>
        </w:rPr>
        <w:t>HSE/T3538</w:t>
      </w: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47941495" w:rsidR="00FE7602" w:rsidRPr="00FE7602" w:rsidRDefault="00AC3B1C" w:rsidP="00AC3B1C">
      <w:pPr>
        <w:pStyle w:val="Default"/>
        <w:jc w:val="both"/>
        <w:rPr>
          <w:b/>
          <w:sz w:val="23"/>
          <w:szCs w:val="23"/>
        </w:rPr>
      </w:pPr>
      <w:r>
        <w:rPr>
          <w:b/>
          <w:sz w:val="23"/>
          <w:szCs w:val="23"/>
        </w:rPr>
        <w:t xml:space="preserve">STATEMENT OF SERVICE REQUIREMENTS FOR PROCUREMENT OF </w:t>
      </w:r>
      <w:r w:rsidR="00537C83">
        <w:rPr>
          <w:b/>
          <w:sz w:val="23"/>
          <w:szCs w:val="23"/>
        </w:rPr>
        <w:t>GRAPHTEC DATA LOGGERS AND BATTERY PACKS</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bookmarkStart w:id="0" w:name="_GoBack"/>
      <w:bookmarkEnd w:id="0"/>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77777777" w:rsidR="00A47374" w:rsidRP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1B49BD74" w14:textId="77777777" w:rsidR="00A47374" w:rsidRDefault="00A47374" w:rsidP="00FE7602">
      <w:pPr>
        <w:pStyle w:val="Default"/>
        <w:rPr>
          <w:sz w:val="20"/>
          <w:szCs w:val="20"/>
        </w:rPr>
      </w:pPr>
    </w:p>
    <w:p w14:paraId="360B5127" w14:textId="6B351CD5" w:rsidR="00537C83" w:rsidRPr="00537C83" w:rsidRDefault="00537C83" w:rsidP="00FE7602">
      <w:pPr>
        <w:pStyle w:val="Default"/>
        <w:rPr>
          <w:b/>
          <w:sz w:val="20"/>
          <w:szCs w:val="20"/>
        </w:rPr>
      </w:pPr>
      <w:r w:rsidRPr="00537C83">
        <w:rPr>
          <w:b/>
          <w:sz w:val="20"/>
          <w:szCs w:val="20"/>
        </w:rPr>
        <w:t>2</w:t>
      </w:r>
      <w:r w:rsidRPr="00537C83">
        <w:rPr>
          <w:b/>
          <w:sz w:val="20"/>
          <w:szCs w:val="20"/>
        </w:rPr>
        <w:tab/>
        <w:t>BACKGROUND TO THE PROJECT</w:t>
      </w:r>
    </w:p>
    <w:p w14:paraId="30AA5FBC" w14:textId="77777777" w:rsidR="00537C83" w:rsidRDefault="00537C83" w:rsidP="00FE7602">
      <w:pPr>
        <w:pStyle w:val="Default"/>
        <w:rPr>
          <w:b/>
          <w:sz w:val="22"/>
          <w:szCs w:val="22"/>
        </w:rPr>
      </w:pPr>
    </w:p>
    <w:p w14:paraId="13278099" w14:textId="357430B5" w:rsidR="00537C83" w:rsidRDefault="00537C83" w:rsidP="00537C83">
      <w:pPr>
        <w:pStyle w:val="Default"/>
        <w:ind w:left="720" w:hanging="720"/>
        <w:jc w:val="both"/>
        <w:rPr>
          <w:sz w:val="22"/>
          <w:szCs w:val="22"/>
        </w:rPr>
      </w:pPr>
      <w:r>
        <w:rPr>
          <w:sz w:val="22"/>
          <w:szCs w:val="22"/>
        </w:rPr>
        <w:t>2.1</w:t>
      </w:r>
      <w:r>
        <w:rPr>
          <w:sz w:val="22"/>
          <w:szCs w:val="22"/>
        </w:rPr>
        <w:tab/>
        <w:t>Data loggers are used for HSE incident investigation, projects and commercial testing.  These are essential tools to undertake this type of work.  Without such data loggers HSE cannot make recording of measurements into electronic recording systems for subsequent processing, analysis and reporting.</w:t>
      </w:r>
    </w:p>
    <w:p w14:paraId="39A82C3A" w14:textId="77777777" w:rsidR="003C4614" w:rsidRDefault="003C4614" w:rsidP="00537C83">
      <w:pPr>
        <w:pStyle w:val="Default"/>
        <w:ind w:left="720" w:hanging="720"/>
        <w:jc w:val="both"/>
        <w:rPr>
          <w:sz w:val="22"/>
          <w:szCs w:val="22"/>
        </w:rPr>
      </w:pPr>
    </w:p>
    <w:p w14:paraId="03B58C62" w14:textId="6AE0B0D5" w:rsidR="003C4614" w:rsidRDefault="003C4614" w:rsidP="00537C83">
      <w:pPr>
        <w:pStyle w:val="Default"/>
        <w:ind w:left="720" w:hanging="720"/>
        <w:jc w:val="both"/>
        <w:rPr>
          <w:sz w:val="22"/>
          <w:szCs w:val="22"/>
        </w:rPr>
      </w:pPr>
      <w:r>
        <w:rPr>
          <w:sz w:val="22"/>
          <w:szCs w:val="22"/>
        </w:rPr>
        <w:t>2.2</w:t>
      </w:r>
      <w:r>
        <w:rPr>
          <w:sz w:val="22"/>
          <w:szCs w:val="22"/>
        </w:rPr>
        <w:tab/>
        <w:t>We have standardised with Graphtec data logger for inter-changeability and efficiency of use and programming.</w:t>
      </w:r>
    </w:p>
    <w:p w14:paraId="66D740E0" w14:textId="77777777" w:rsidR="003C4614" w:rsidRPr="00537C83" w:rsidRDefault="003C4614" w:rsidP="00537C83">
      <w:pPr>
        <w:pStyle w:val="Default"/>
        <w:ind w:left="720" w:hanging="720"/>
        <w:jc w:val="both"/>
        <w:rPr>
          <w:sz w:val="22"/>
          <w:szCs w:val="22"/>
        </w:rPr>
      </w:pPr>
    </w:p>
    <w:p w14:paraId="6D7D2421" w14:textId="77777777" w:rsidR="00537C83" w:rsidRDefault="00537C83" w:rsidP="00537C83">
      <w:pPr>
        <w:pStyle w:val="Default"/>
        <w:jc w:val="both"/>
        <w:rPr>
          <w:b/>
          <w:sz w:val="22"/>
          <w:szCs w:val="22"/>
        </w:rPr>
      </w:pPr>
    </w:p>
    <w:p w14:paraId="1C8E3DF3" w14:textId="69CB207E" w:rsidR="00AC3B1C" w:rsidRPr="00A47374" w:rsidRDefault="00537C83" w:rsidP="00FE7602">
      <w:pPr>
        <w:pStyle w:val="Default"/>
        <w:rPr>
          <w:b/>
          <w:sz w:val="22"/>
          <w:szCs w:val="22"/>
        </w:rPr>
      </w:pPr>
      <w:r>
        <w:rPr>
          <w:b/>
          <w:sz w:val="22"/>
          <w:szCs w:val="22"/>
        </w:rPr>
        <w:t>3</w:t>
      </w:r>
      <w:r w:rsidR="00A47374" w:rsidRPr="00A47374">
        <w:rPr>
          <w:b/>
          <w:sz w:val="22"/>
          <w:szCs w:val="22"/>
        </w:rPr>
        <w:tab/>
        <w:t>SCOPE OF THE SERVICE REQUIRED</w:t>
      </w:r>
    </w:p>
    <w:p w14:paraId="3CE2D3CA" w14:textId="77777777" w:rsidR="00AC3B1C" w:rsidRPr="00A47374" w:rsidRDefault="00AC3B1C" w:rsidP="00FE7602">
      <w:pPr>
        <w:pStyle w:val="Default"/>
        <w:rPr>
          <w:b/>
          <w:sz w:val="22"/>
          <w:szCs w:val="22"/>
        </w:rPr>
      </w:pPr>
    </w:p>
    <w:p w14:paraId="0D946BD2" w14:textId="04289393" w:rsidR="00537C83" w:rsidRDefault="00065068" w:rsidP="00A47374">
      <w:pPr>
        <w:pStyle w:val="Default"/>
        <w:ind w:left="720" w:hanging="720"/>
        <w:rPr>
          <w:sz w:val="22"/>
          <w:szCs w:val="22"/>
        </w:rPr>
      </w:pPr>
      <w:r>
        <w:rPr>
          <w:sz w:val="22"/>
          <w:szCs w:val="22"/>
        </w:rPr>
        <w:t>3</w:t>
      </w:r>
      <w:r w:rsidR="00A47374" w:rsidRPr="00A47374">
        <w:rPr>
          <w:sz w:val="22"/>
          <w:szCs w:val="22"/>
        </w:rPr>
        <w:t>.1</w:t>
      </w:r>
      <w:r w:rsidR="00A47374" w:rsidRPr="00A47374">
        <w:rPr>
          <w:sz w:val="22"/>
          <w:szCs w:val="22"/>
        </w:rPr>
        <w:tab/>
      </w:r>
      <w:r w:rsidR="00E029A6">
        <w:rPr>
          <w:sz w:val="22"/>
          <w:szCs w:val="22"/>
        </w:rPr>
        <w:t xml:space="preserve">HSE’s Science and Research Centre near </w:t>
      </w:r>
      <w:r w:rsidR="00A47374" w:rsidRPr="00A47374">
        <w:rPr>
          <w:sz w:val="22"/>
          <w:szCs w:val="22"/>
        </w:rPr>
        <w:t>Bux</w:t>
      </w:r>
      <w:r w:rsidR="00FE7602" w:rsidRPr="00A47374">
        <w:rPr>
          <w:sz w:val="22"/>
          <w:szCs w:val="22"/>
        </w:rPr>
        <w:t xml:space="preserve">ton </w:t>
      </w:r>
      <w:proofErr w:type="gramStart"/>
      <w:r w:rsidR="00FE7602" w:rsidRPr="00A47374">
        <w:rPr>
          <w:sz w:val="22"/>
          <w:szCs w:val="22"/>
        </w:rPr>
        <w:t>ha</w:t>
      </w:r>
      <w:r w:rsidR="00E029A6">
        <w:rPr>
          <w:sz w:val="22"/>
          <w:szCs w:val="22"/>
        </w:rPr>
        <w:t>s</w:t>
      </w:r>
      <w:proofErr w:type="gramEnd"/>
      <w:r w:rsidR="00FE7602" w:rsidRPr="00A47374">
        <w:rPr>
          <w:sz w:val="22"/>
          <w:szCs w:val="22"/>
        </w:rPr>
        <w:t xml:space="preserve"> a requirement for the supply</w:t>
      </w:r>
      <w:r w:rsidR="00537C83">
        <w:rPr>
          <w:sz w:val="22"/>
          <w:szCs w:val="22"/>
        </w:rPr>
        <w:t xml:space="preserve"> and </w:t>
      </w:r>
      <w:r w:rsidR="00FE7602" w:rsidRPr="00A47374">
        <w:rPr>
          <w:sz w:val="22"/>
          <w:szCs w:val="22"/>
        </w:rPr>
        <w:t>delivery</w:t>
      </w:r>
      <w:r w:rsidR="008E7760" w:rsidRPr="00A47374">
        <w:rPr>
          <w:sz w:val="22"/>
          <w:szCs w:val="22"/>
        </w:rPr>
        <w:t xml:space="preserve"> </w:t>
      </w:r>
      <w:r w:rsidR="00FE7602" w:rsidRPr="00A47374">
        <w:rPr>
          <w:sz w:val="22"/>
          <w:szCs w:val="22"/>
        </w:rPr>
        <w:t xml:space="preserve">of the following </w:t>
      </w:r>
      <w:r w:rsidR="00537C83">
        <w:rPr>
          <w:sz w:val="22"/>
          <w:szCs w:val="22"/>
        </w:rPr>
        <w:t>Graphtec loggers and battery packs.</w:t>
      </w:r>
    </w:p>
    <w:p w14:paraId="18D441C0" w14:textId="77777777" w:rsidR="00537C83" w:rsidRDefault="00537C83" w:rsidP="00A47374">
      <w:pPr>
        <w:pStyle w:val="Default"/>
        <w:ind w:left="720" w:hanging="720"/>
        <w:rPr>
          <w:sz w:val="22"/>
          <w:szCs w:val="22"/>
        </w:rPr>
      </w:pPr>
    </w:p>
    <w:p w14:paraId="436603A0" w14:textId="77777777" w:rsidR="00537C83" w:rsidRDefault="00537C83" w:rsidP="00537C83">
      <w:pPr>
        <w:pStyle w:val="Default"/>
        <w:numPr>
          <w:ilvl w:val="0"/>
          <w:numId w:val="6"/>
        </w:numPr>
        <w:rPr>
          <w:sz w:val="22"/>
          <w:szCs w:val="22"/>
        </w:rPr>
      </w:pPr>
      <w:r>
        <w:rPr>
          <w:sz w:val="22"/>
          <w:szCs w:val="22"/>
        </w:rPr>
        <w:t>1 x GL240 10 Channel mini logger;</w:t>
      </w:r>
    </w:p>
    <w:p w14:paraId="6528AEF0" w14:textId="77777777" w:rsidR="00537C83" w:rsidRDefault="00537C83" w:rsidP="00537C83">
      <w:pPr>
        <w:pStyle w:val="Default"/>
        <w:rPr>
          <w:sz w:val="22"/>
          <w:szCs w:val="22"/>
        </w:rPr>
      </w:pPr>
    </w:p>
    <w:p w14:paraId="06DFD808" w14:textId="77777777" w:rsidR="00537C83" w:rsidRDefault="00537C83" w:rsidP="00537C83">
      <w:pPr>
        <w:pStyle w:val="Default"/>
        <w:numPr>
          <w:ilvl w:val="0"/>
          <w:numId w:val="6"/>
        </w:numPr>
        <w:rPr>
          <w:sz w:val="22"/>
          <w:szCs w:val="22"/>
        </w:rPr>
      </w:pPr>
      <w:r>
        <w:rPr>
          <w:sz w:val="22"/>
          <w:szCs w:val="22"/>
        </w:rPr>
        <w:t>3 x GL2000 High speed, 600V 4 channel logger;</w:t>
      </w:r>
    </w:p>
    <w:p w14:paraId="4F81C767" w14:textId="77777777" w:rsidR="00537C83" w:rsidRDefault="00537C83" w:rsidP="00537C83">
      <w:pPr>
        <w:pStyle w:val="ListParagraph"/>
      </w:pPr>
    </w:p>
    <w:p w14:paraId="04D8F357" w14:textId="4C784894" w:rsidR="00537C83" w:rsidRDefault="00537C83" w:rsidP="00537C83">
      <w:pPr>
        <w:pStyle w:val="Default"/>
        <w:numPr>
          <w:ilvl w:val="0"/>
          <w:numId w:val="6"/>
        </w:numPr>
        <w:rPr>
          <w:sz w:val="22"/>
          <w:szCs w:val="22"/>
        </w:rPr>
      </w:pPr>
      <w:r>
        <w:rPr>
          <w:sz w:val="22"/>
          <w:szCs w:val="22"/>
        </w:rPr>
        <w:t>3 x GL980 High speed, 8 channe</w:t>
      </w:r>
      <w:r w:rsidR="00E029A6">
        <w:rPr>
          <w:sz w:val="22"/>
          <w:szCs w:val="22"/>
        </w:rPr>
        <w:t>l</w:t>
      </w:r>
      <w:r>
        <w:rPr>
          <w:sz w:val="22"/>
          <w:szCs w:val="22"/>
        </w:rPr>
        <w:t>s logger;</w:t>
      </w:r>
    </w:p>
    <w:p w14:paraId="0D381FAA" w14:textId="77777777" w:rsidR="00537C83" w:rsidRDefault="00537C83" w:rsidP="00537C83">
      <w:pPr>
        <w:pStyle w:val="ListParagraph"/>
      </w:pPr>
    </w:p>
    <w:p w14:paraId="419894DA" w14:textId="3D852830" w:rsidR="00FE7602" w:rsidRPr="00A47374" w:rsidRDefault="00537C83" w:rsidP="00537C83">
      <w:pPr>
        <w:pStyle w:val="Default"/>
        <w:numPr>
          <w:ilvl w:val="0"/>
          <w:numId w:val="6"/>
        </w:numPr>
        <w:rPr>
          <w:sz w:val="22"/>
          <w:szCs w:val="22"/>
        </w:rPr>
      </w:pPr>
      <w:r>
        <w:rPr>
          <w:sz w:val="22"/>
          <w:szCs w:val="22"/>
        </w:rPr>
        <w:t>9 x B-569 Battery Packs</w:t>
      </w:r>
      <w:r w:rsidR="00E029A6">
        <w:rPr>
          <w:sz w:val="22"/>
          <w:szCs w:val="22"/>
        </w:rPr>
        <w:t>.</w:t>
      </w:r>
    </w:p>
    <w:p w14:paraId="0A2FA701" w14:textId="612699F8" w:rsidR="006E72D1" w:rsidRPr="00A47374" w:rsidRDefault="006E72D1" w:rsidP="00FE7602">
      <w:pPr>
        <w:pStyle w:val="Default"/>
        <w:rPr>
          <w:sz w:val="22"/>
          <w:szCs w:val="22"/>
        </w:rPr>
      </w:pPr>
    </w:p>
    <w:p w14:paraId="0337ED03" w14:textId="77777777" w:rsidR="00065068" w:rsidRDefault="00065068" w:rsidP="00FE7602">
      <w:pPr>
        <w:pStyle w:val="Default"/>
        <w:rPr>
          <w:sz w:val="22"/>
          <w:szCs w:val="22"/>
        </w:rPr>
      </w:pPr>
    </w:p>
    <w:p w14:paraId="5DF66965" w14:textId="51363D8E" w:rsidR="00E029A6" w:rsidRPr="00E029A6" w:rsidRDefault="00E029A6" w:rsidP="00FE7602">
      <w:pPr>
        <w:pStyle w:val="Default"/>
        <w:rPr>
          <w:b/>
          <w:sz w:val="22"/>
          <w:szCs w:val="22"/>
        </w:rPr>
      </w:pPr>
      <w:r w:rsidRPr="00E029A6">
        <w:rPr>
          <w:b/>
          <w:sz w:val="22"/>
          <w:szCs w:val="22"/>
        </w:rPr>
        <w:t>4</w:t>
      </w:r>
      <w:r w:rsidRPr="00E029A6">
        <w:rPr>
          <w:b/>
          <w:sz w:val="22"/>
          <w:szCs w:val="22"/>
        </w:rPr>
        <w:tab/>
        <w:t>QUESTION SET AND EVALUATION CRITERIA</w:t>
      </w:r>
    </w:p>
    <w:p w14:paraId="2885FADB" w14:textId="77777777" w:rsidR="00FE7602" w:rsidRDefault="00FE7602" w:rsidP="00FE7602">
      <w:pPr>
        <w:pStyle w:val="Default"/>
        <w:rPr>
          <w:sz w:val="22"/>
          <w:szCs w:val="22"/>
        </w:rPr>
      </w:pPr>
    </w:p>
    <w:p w14:paraId="748CC3C5" w14:textId="6CA086CD" w:rsidR="00FE7602" w:rsidRPr="001A7EA9" w:rsidRDefault="00E029A6" w:rsidP="00E029A6">
      <w:pPr>
        <w:pStyle w:val="Default"/>
        <w:ind w:left="720" w:hanging="720"/>
        <w:rPr>
          <w:sz w:val="22"/>
          <w:szCs w:val="22"/>
        </w:rPr>
      </w:pPr>
      <w:r w:rsidRPr="001A7EA9">
        <w:rPr>
          <w:sz w:val="22"/>
          <w:szCs w:val="22"/>
        </w:rPr>
        <w:t>4.1</w:t>
      </w:r>
      <w:r w:rsidRPr="001A7EA9">
        <w:rPr>
          <w:sz w:val="22"/>
          <w:szCs w:val="22"/>
        </w:rPr>
        <w:tab/>
        <w:t>Provide a firm price for the supply and delivery of the Graphtec data loggers and battery packs with a delivery date.</w:t>
      </w:r>
    </w:p>
    <w:p w14:paraId="65605357" w14:textId="77777777" w:rsidR="00E029A6" w:rsidRDefault="00E029A6" w:rsidP="00E029A6">
      <w:pPr>
        <w:pStyle w:val="Default"/>
        <w:ind w:left="720" w:hanging="720"/>
        <w:rPr>
          <w:sz w:val="20"/>
          <w:szCs w:val="20"/>
        </w:rPr>
      </w:pPr>
    </w:p>
    <w:p w14:paraId="3B6A2DF6" w14:textId="77777777" w:rsidR="00E029A6" w:rsidRDefault="00E029A6" w:rsidP="00E029A6">
      <w:pPr>
        <w:pStyle w:val="Default"/>
        <w:ind w:left="720" w:hanging="720"/>
        <w:rPr>
          <w:sz w:val="20"/>
          <w:szCs w:val="20"/>
        </w:rPr>
      </w:pPr>
    </w:p>
    <w:p w14:paraId="573F6157" w14:textId="77777777" w:rsidR="00FE7602" w:rsidRDefault="00FE7602" w:rsidP="00FE7602">
      <w:pPr>
        <w:pStyle w:val="Default"/>
        <w:rPr>
          <w:sz w:val="20"/>
          <w:szCs w:val="20"/>
        </w:rPr>
      </w:pPr>
    </w:p>
    <w:p w14:paraId="35861B5A" w14:textId="77777777" w:rsidR="00FE7602" w:rsidRDefault="00FE7602" w:rsidP="00FE7602">
      <w:pPr>
        <w:pStyle w:val="Default"/>
        <w:rPr>
          <w:sz w:val="20"/>
          <w:szCs w:val="20"/>
        </w:rPr>
      </w:pPr>
    </w:p>
    <w:sectPr w:rsidR="00FE76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02"/>
    <w:rsid w:val="00032C11"/>
    <w:rsid w:val="00065068"/>
    <w:rsid w:val="00112240"/>
    <w:rsid w:val="0014664C"/>
    <w:rsid w:val="001A7EA9"/>
    <w:rsid w:val="00297F00"/>
    <w:rsid w:val="003C4614"/>
    <w:rsid w:val="00424AE2"/>
    <w:rsid w:val="00537C83"/>
    <w:rsid w:val="006D180C"/>
    <w:rsid w:val="006E72D1"/>
    <w:rsid w:val="007A25CC"/>
    <w:rsid w:val="00843B32"/>
    <w:rsid w:val="008E7760"/>
    <w:rsid w:val="00A47374"/>
    <w:rsid w:val="00AC3B1C"/>
    <w:rsid w:val="00E029A6"/>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EA3B0-2B91-4824-AA6C-C535FF1A67CA}">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3aebce52-e977-4537-9998-c880a3a46ee0"/>
    <ds:schemaRef ds:uri="http://www.w3.org/XML/1998/namespace"/>
  </ds:schemaRefs>
</ds:datastoreItem>
</file>

<file path=customXml/itemProps2.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3.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Green</dc:creator>
  <cp:lastModifiedBy>Name</cp:lastModifiedBy>
  <cp:revision>6</cp:revision>
  <dcterms:created xsi:type="dcterms:W3CDTF">2019-12-06T13:42:00Z</dcterms:created>
  <dcterms:modified xsi:type="dcterms:W3CDTF">2019-12-06T14:27:00Z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