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1FFDCC" w14:textId="77777777" w:rsidR="0011196C" w:rsidRPr="00457C6A" w:rsidRDefault="001F18F8">
      <w:pPr>
        <w:rPr>
          <w:rFonts w:ascii="Arial" w:hAnsi="Arial" w:cs="Arial"/>
          <w:b/>
          <w:sz w:val="36"/>
        </w:rPr>
      </w:pPr>
      <w:bookmarkStart w:id="0" w:name="LASTCURSORPOSITION"/>
      <w:r w:rsidRPr="00457C6A">
        <w:rPr>
          <w:rFonts w:ascii="Arial" w:hAnsi="Arial" w:cs="Arial"/>
          <w:b/>
          <w:sz w:val="36"/>
        </w:rPr>
        <w:t>Call-</w:t>
      </w:r>
      <w:r w:rsidR="0011196C" w:rsidRPr="00457C6A">
        <w:rPr>
          <w:rFonts w:ascii="Arial" w:hAnsi="Arial" w:cs="Arial"/>
          <w:b/>
          <w:sz w:val="36"/>
        </w:rPr>
        <w:t xml:space="preserve">Off Schedule 4 (Call Off Tender) </w:t>
      </w:r>
    </w:p>
    <w:bookmarkEnd w:id="0"/>
    <w:p w14:paraId="54584C41" w14:textId="77777777" w:rsidR="00D87C89" w:rsidRDefault="00D87C89" w:rsidP="00D87C89">
      <w:pPr>
        <w:autoSpaceDE w:val="0"/>
        <w:autoSpaceDN w:val="0"/>
        <w:adjustRightInd w:val="0"/>
        <w:spacing w:after="0" w:line="240" w:lineRule="auto"/>
        <w:rPr>
          <w:rFonts w:ascii="Arial" w:hAnsi="Arial" w:cs="Arial"/>
          <w:b/>
          <w:bCs/>
          <w:color w:val="000000"/>
        </w:rPr>
      </w:pPr>
      <w:r w:rsidRPr="00D87C89">
        <w:rPr>
          <w:rFonts w:ascii="Arial" w:hAnsi="Arial" w:cs="Arial"/>
          <w:b/>
          <w:bCs/>
          <w:color w:val="000000"/>
        </w:rPr>
        <w:t xml:space="preserve">Key Milestones and SLA Achievement </w:t>
      </w:r>
    </w:p>
    <w:p w14:paraId="5A724EF3" w14:textId="77777777" w:rsidR="00796914" w:rsidRPr="00D87C89" w:rsidRDefault="00796914" w:rsidP="00D87C89">
      <w:pPr>
        <w:autoSpaceDE w:val="0"/>
        <w:autoSpaceDN w:val="0"/>
        <w:adjustRightInd w:val="0"/>
        <w:spacing w:after="0" w:line="240" w:lineRule="auto"/>
        <w:rPr>
          <w:rFonts w:ascii="Arial" w:hAnsi="Arial" w:cs="Arial"/>
          <w:color w:val="000000"/>
        </w:rPr>
      </w:pPr>
    </w:p>
    <w:p w14:paraId="6E4BAB59" w14:textId="77777777" w:rsidR="00D87C89" w:rsidRPr="00457C6A" w:rsidRDefault="00D87C89" w:rsidP="00D87C89">
      <w:pPr>
        <w:rPr>
          <w:rFonts w:ascii="Arial" w:hAnsi="Arial" w:cs="Arial"/>
          <w:color w:val="000000"/>
        </w:rPr>
      </w:pPr>
      <w:r w:rsidRPr="00457C6A">
        <w:rPr>
          <w:rFonts w:ascii="Arial" w:hAnsi="Arial" w:cs="Arial"/>
          <w:color w:val="000000"/>
        </w:rPr>
        <w:t>Atos will have overall responsibility to the Authority to deliver the BMC ELA service and has selected two BMC Elite-certified partners to provide level 1 support for all in-scope licences. Both partners were selected because of their knowledge in supporting the Authority with these specific products, minimising any transition risks. We will integrate the service into a single support function during the life of the contract, enhancing the support to users and adopting best practices. We will achieve SLAs is as follows:</w:t>
      </w:r>
    </w:p>
    <w:tbl>
      <w:tblPr>
        <w:tblStyle w:val="TableGrid"/>
        <w:tblW w:w="10124" w:type="dxa"/>
        <w:tblInd w:w="-431" w:type="dxa"/>
        <w:tblLook w:val="04A0" w:firstRow="1" w:lastRow="0" w:firstColumn="1" w:lastColumn="0" w:noHBand="0" w:noVBand="1"/>
      </w:tblPr>
      <w:tblGrid>
        <w:gridCol w:w="3313"/>
        <w:gridCol w:w="1350"/>
        <w:gridCol w:w="1747"/>
        <w:gridCol w:w="3714"/>
      </w:tblGrid>
      <w:tr w:rsidR="00D87C89" w:rsidRPr="00457C6A" w14:paraId="659DD747" w14:textId="77777777" w:rsidTr="00D87C89">
        <w:tc>
          <w:tcPr>
            <w:tcW w:w="10124" w:type="dxa"/>
            <w:gridSpan w:val="4"/>
          </w:tcPr>
          <w:p w14:paraId="67F964D3" w14:textId="77777777" w:rsidR="00D87C89" w:rsidRPr="00457C6A" w:rsidRDefault="00D87C89" w:rsidP="00D87C89">
            <w:pPr>
              <w:rPr>
                <w:rFonts w:ascii="Arial" w:hAnsi="Arial" w:cs="Arial"/>
                <w:sz w:val="24"/>
              </w:rPr>
            </w:pPr>
            <w:r w:rsidRPr="00457C6A">
              <w:rPr>
                <w:rFonts w:ascii="Arial" w:hAnsi="Arial" w:cs="Arial"/>
                <w:sz w:val="24"/>
              </w:rPr>
              <w:t>Service Levels</w:t>
            </w:r>
          </w:p>
        </w:tc>
      </w:tr>
      <w:tr w:rsidR="00D87C89" w:rsidRPr="00457C6A" w14:paraId="4BCA7CE8" w14:textId="77777777" w:rsidTr="00D87C89">
        <w:tc>
          <w:tcPr>
            <w:tcW w:w="3403" w:type="dxa"/>
          </w:tcPr>
          <w:p w14:paraId="7358BCD2" w14:textId="77777777" w:rsidR="00D87C89" w:rsidRPr="00457C6A" w:rsidRDefault="00D87C89" w:rsidP="00D87C89">
            <w:pPr>
              <w:rPr>
                <w:rFonts w:ascii="Arial" w:hAnsi="Arial" w:cs="Arial"/>
                <w:sz w:val="24"/>
              </w:rPr>
            </w:pPr>
            <w:r w:rsidRPr="00457C6A">
              <w:rPr>
                <w:rFonts w:ascii="Arial" w:hAnsi="Arial" w:cs="Arial"/>
                <w:sz w:val="24"/>
              </w:rPr>
              <w:t>Service Level Performance</w:t>
            </w:r>
          </w:p>
          <w:p w14:paraId="2E50B20F" w14:textId="77777777" w:rsidR="00D87C89" w:rsidRPr="00457C6A" w:rsidRDefault="00D87C89" w:rsidP="00D87C89">
            <w:pPr>
              <w:rPr>
                <w:rFonts w:ascii="Arial" w:hAnsi="Arial" w:cs="Arial"/>
                <w:sz w:val="24"/>
              </w:rPr>
            </w:pPr>
            <w:r w:rsidRPr="00457C6A">
              <w:rPr>
                <w:rFonts w:ascii="Arial" w:hAnsi="Arial" w:cs="Arial"/>
                <w:sz w:val="24"/>
              </w:rPr>
              <w:t>Criterion</w:t>
            </w:r>
          </w:p>
        </w:tc>
        <w:tc>
          <w:tcPr>
            <w:tcW w:w="985" w:type="dxa"/>
          </w:tcPr>
          <w:p w14:paraId="68CBC755" w14:textId="77777777" w:rsidR="00D87C89" w:rsidRPr="00457C6A" w:rsidRDefault="00D87C89" w:rsidP="00D87C89">
            <w:pPr>
              <w:rPr>
                <w:rFonts w:ascii="Arial" w:hAnsi="Arial" w:cs="Arial"/>
                <w:sz w:val="24"/>
              </w:rPr>
            </w:pPr>
            <w:r w:rsidRPr="00457C6A">
              <w:rPr>
                <w:rFonts w:ascii="Arial" w:hAnsi="Arial" w:cs="Arial"/>
                <w:sz w:val="24"/>
              </w:rPr>
              <w:t>Key</w:t>
            </w:r>
          </w:p>
          <w:p w14:paraId="6CAAF892" w14:textId="77777777" w:rsidR="00D87C89" w:rsidRPr="00457C6A" w:rsidRDefault="00D87C89" w:rsidP="00D87C89">
            <w:pPr>
              <w:rPr>
                <w:rFonts w:ascii="Arial" w:hAnsi="Arial" w:cs="Arial"/>
                <w:sz w:val="24"/>
              </w:rPr>
            </w:pPr>
            <w:r w:rsidRPr="00457C6A">
              <w:rPr>
                <w:rFonts w:ascii="Arial" w:hAnsi="Arial" w:cs="Arial"/>
                <w:sz w:val="24"/>
              </w:rPr>
              <w:t>Indicator</w:t>
            </w:r>
          </w:p>
        </w:tc>
        <w:tc>
          <w:tcPr>
            <w:tcW w:w="1766" w:type="dxa"/>
          </w:tcPr>
          <w:p w14:paraId="760EDA11" w14:textId="77777777" w:rsidR="00D87C89" w:rsidRPr="00457C6A" w:rsidRDefault="00D87C89" w:rsidP="00D87C89">
            <w:pPr>
              <w:rPr>
                <w:rFonts w:ascii="Arial" w:hAnsi="Arial" w:cs="Arial"/>
                <w:sz w:val="24"/>
              </w:rPr>
            </w:pPr>
            <w:r w:rsidRPr="00457C6A">
              <w:rPr>
                <w:rFonts w:ascii="Arial" w:hAnsi="Arial" w:cs="Arial"/>
                <w:sz w:val="24"/>
              </w:rPr>
              <w:t>Service Level</w:t>
            </w:r>
          </w:p>
          <w:p w14:paraId="32D0C712" w14:textId="77777777" w:rsidR="00D87C89" w:rsidRPr="00457C6A" w:rsidRDefault="00D87C89" w:rsidP="00D87C89">
            <w:pPr>
              <w:rPr>
                <w:rFonts w:ascii="Arial" w:hAnsi="Arial" w:cs="Arial"/>
                <w:sz w:val="24"/>
              </w:rPr>
            </w:pPr>
            <w:r w:rsidRPr="00457C6A">
              <w:rPr>
                <w:rFonts w:ascii="Arial" w:hAnsi="Arial" w:cs="Arial"/>
                <w:sz w:val="24"/>
              </w:rPr>
              <w:t>Performance</w:t>
            </w:r>
          </w:p>
          <w:p w14:paraId="0E71D1FD" w14:textId="77777777" w:rsidR="00D87C89" w:rsidRPr="00457C6A" w:rsidRDefault="00D87C89" w:rsidP="00D87C89">
            <w:pPr>
              <w:rPr>
                <w:rFonts w:ascii="Arial" w:hAnsi="Arial" w:cs="Arial"/>
                <w:sz w:val="24"/>
              </w:rPr>
            </w:pPr>
            <w:r w:rsidRPr="00457C6A">
              <w:rPr>
                <w:rFonts w:ascii="Arial" w:hAnsi="Arial" w:cs="Arial"/>
                <w:sz w:val="24"/>
              </w:rPr>
              <w:t>Measure</w:t>
            </w:r>
          </w:p>
        </w:tc>
        <w:tc>
          <w:tcPr>
            <w:tcW w:w="3970" w:type="dxa"/>
          </w:tcPr>
          <w:p w14:paraId="3F917F39" w14:textId="77777777" w:rsidR="00D87C89" w:rsidRPr="00457C6A" w:rsidRDefault="00D87C89" w:rsidP="00D87C89">
            <w:pPr>
              <w:rPr>
                <w:rFonts w:ascii="Arial" w:hAnsi="Arial" w:cs="Arial"/>
                <w:sz w:val="24"/>
              </w:rPr>
            </w:pPr>
            <w:r w:rsidRPr="00457C6A">
              <w:rPr>
                <w:rFonts w:ascii="Arial" w:hAnsi="Arial" w:cs="Arial"/>
                <w:sz w:val="24"/>
              </w:rPr>
              <w:t>Achieved by</w:t>
            </w:r>
          </w:p>
        </w:tc>
      </w:tr>
      <w:tr w:rsidR="00D87C89" w:rsidRPr="00457C6A" w14:paraId="0B14BFCE" w14:textId="77777777" w:rsidTr="00D87C89">
        <w:tc>
          <w:tcPr>
            <w:tcW w:w="3403" w:type="dxa"/>
          </w:tcPr>
          <w:p w14:paraId="3226A9E6" w14:textId="77777777" w:rsidR="00D87C89" w:rsidRPr="00457C6A" w:rsidRDefault="00D87C89" w:rsidP="00D87C89">
            <w:pPr>
              <w:rPr>
                <w:rFonts w:ascii="Arial" w:hAnsi="Arial" w:cs="Arial"/>
                <w:sz w:val="24"/>
              </w:rPr>
            </w:pPr>
            <w:r w:rsidRPr="00457C6A">
              <w:rPr>
                <w:rFonts w:ascii="Arial" w:hAnsi="Arial" w:cs="Arial"/>
                <w:sz w:val="24"/>
              </w:rPr>
              <w:t>All licences product and</w:t>
            </w:r>
          </w:p>
          <w:p w14:paraId="10509953" w14:textId="77777777" w:rsidR="00D87C89" w:rsidRPr="00457C6A" w:rsidRDefault="00D87C89" w:rsidP="00D87C89">
            <w:pPr>
              <w:rPr>
                <w:rFonts w:ascii="Arial" w:hAnsi="Arial" w:cs="Arial"/>
                <w:sz w:val="24"/>
              </w:rPr>
            </w:pPr>
            <w:r w:rsidRPr="00457C6A">
              <w:rPr>
                <w:rFonts w:ascii="Arial" w:hAnsi="Arial" w:cs="Arial"/>
                <w:sz w:val="24"/>
              </w:rPr>
              <w:t>services to be</w:t>
            </w:r>
            <w:r w:rsidRPr="00457C6A">
              <w:rPr>
                <w:rFonts w:ascii="Arial" w:hAnsi="Arial" w:cs="Arial"/>
                <w:sz w:val="24"/>
              </w:rPr>
              <w:t xml:space="preserve"> </w:t>
            </w:r>
            <w:r w:rsidRPr="00457C6A">
              <w:rPr>
                <w:rFonts w:ascii="Arial" w:hAnsi="Arial" w:cs="Arial"/>
                <w:sz w:val="24"/>
              </w:rPr>
              <w:t>implemented/renewed in line</w:t>
            </w:r>
          </w:p>
          <w:p w14:paraId="7F16C48A" w14:textId="77777777" w:rsidR="00D87C89" w:rsidRPr="00457C6A" w:rsidRDefault="00D87C89" w:rsidP="00D87C89">
            <w:pPr>
              <w:rPr>
                <w:rFonts w:ascii="Arial" w:hAnsi="Arial" w:cs="Arial"/>
                <w:sz w:val="24"/>
              </w:rPr>
            </w:pPr>
            <w:r w:rsidRPr="00457C6A">
              <w:rPr>
                <w:rFonts w:ascii="Arial" w:hAnsi="Arial" w:cs="Arial"/>
                <w:sz w:val="24"/>
              </w:rPr>
              <w:t>with the dates listed in Appendix</w:t>
            </w:r>
            <w:r w:rsidRPr="00457C6A">
              <w:rPr>
                <w:rFonts w:ascii="Arial" w:hAnsi="Arial" w:cs="Arial"/>
                <w:sz w:val="24"/>
              </w:rPr>
              <w:t xml:space="preserve"> </w:t>
            </w:r>
            <w:r w:rsidRPr="00457C6A">
              <w:rPr>
                <w:rFonts w:ascii="Arial" w:hAnsi="Arial" w:cs="Arial"/>
                <w:sz w:val="24"/>
              </w:rPr>
              <w:t>B – Specification</w:t>
            </w:r>
          </w:p>
        </w:tc>
        <w:tc>
          <w:tcPr>
            <w:tcW w:w="985" w:type="dxa"/>
          </w:tcPr>
          <w:p w14:paraId="277ED599" w14:textId="77777777" w:rsidR="00D87C89" w:rsidRPr="00457C6A" w:rsidRDefault="00D87C89" w:rsidP="00D87C89">
            <w:pPr>
              <w:rPr>
                <w:rFonts w:ascii="Arial" w:hAnsi="Arial" w:cs="Arial"/>
                <w:sz w:val="24"/>
              </w:rPr>
            </w:pPr>
            <w:r w:rsidRPr="00457C6A">
              <w:rPr>
                <w:rFonts w:ascii="Arial" w:hAnsi="Arial" w:cs="Arial"/>
                <w:sz w:val="24"/>
              </w:rPr>
              <w:t>Accuracy</w:t>
            </w:r>
          </w:p>
          <w:p w14:paraId="47D524F9" w14:textId="77777777" w:rsidR="00D87C89" w:rsidRPr="00457C6A" w:rsidRDefault="00D87C89" w:rsidP="00D87C89">
            <w:pPr>
              <w:rPr>
                <w:rFonts w:ascii="Arial" w:hAnsi="Arial" w:cs="Arial"/>
                <w:sz w:val="24"/>
              </w:rPr>
            </w:pPr>
            <w:r w:rsidRPr="00457C6A">
              <w:rPr>
                <w:rFonts w:ascii="Arial" w:hAnsi="Arial" w:cs="Arial"/>
                <w:sz w:val="24"/>
              </w:rPr>
              <w:t>/Timelines</w:t>
            </w:r>
          </w:p>
        </w:tc>
        <w:tc>
          <w:tcPr>
            <w:tcW w:w="1766" w:type="dxa"/>
          </w:tcPr>
          <w:p w14:paraId="56F84EDB" w14:textId="77777777" w:rsidR="00D87C89" w:rsidRPr="00457C6A" w:rsidRDefault="00D87C89" w:rsidP="00D87C89">
            <w:pPr>
              <w:rPr>
                <w:rFonts w:ascii="Arial" w:hAnsi="Arial" w:cs="Arial"/>
                <w:sz w:val="24"/>
              </w:rPr>
            </w:pPr>
            <w:r w:rsidRPr="00457C6A">
              <w:rPr>
                <w:rFonts w:ascii="Arial" w:hAnsi="Arial" w:cs="Arial"/>
                <w:sz w:val="24"/>
              </w:rPr>
              <w:t>100%</w:t>
            </w:r>
          </w:p>
          <w:p w14:paraId="0EF5FEB4" w14:textId="77777777" w:rsidR="00D87C89" w:rsidRPr="00457C6A" w:rsidRDefault="00D87C89" w:rsidP="00D87C89">
            <w:pPr>
              <w:jc w:val="center"/>
              <w:rPr>
                <w:rFonts w:ascii="Arial" w:hAnsi="Arial" w:cs="Arial"/>
                <w:sz w:val="24"/>
              </w:rPr>
            </w:pPr>
          </w:p>
        </w:tc>
        <w:tc>
          <w:tcPr>
            <w:tcW w:w="3970" w:type="dxa"/>
          </w:tcPr>
          <w:p w14:paraId="0E38FC63" w14:textId="77777777" w:rsidR="00D87C89" w:rsidRPr="00457C6A" w:rsidRDefault="00D87C89" w:rsidP="00D87C89">
            <w:pPr>
              <w:rPr>
                <w:rFonts w:ascii="Arial" w:hAnsi="Arial" w:cs="Arial"/>
                <w:sz w:val="24"/>
              </w:rPr>
            </w:pPr>
            <w:r w:rsidRPr="00457C6A">
              <w:rPr>
                <w:rFonts w:ascii="Arial" w:hAnsi="Arial" w:cs="Arial"/>
                <w:sz w:val="24"/>
              </w:rPr>
              <w:t>Use of an agreed process for the</w:t>
            </w:r>
          </w:p>
          <w:p w14:paraId="3B370FE6" w14:textId="77777777" w:rsidR="00D87C89" w:rsidRPr="00457C6A" w:rsidRDefault="00D87C89" w:rsidP="00D87C89">
            <w:pPr>
              <w:rPr>
                <w:rFonts w:ascii="Arial" w:hAnsi="Arial" w:cs="Arial"/>
                <w:sz w:val="24"/>
              </w:rPr>
            </w:pPr>
            <w:r w:rsidRPr="00457C6A">
              <w:rPr>
                <w:rFonts w:ascii="Arial" w:hAnsi="Arial" w:cs="Arial"/>
                <w:sz w:val="24"/>
              </w:rPr>
              <w:t>provision of license keys via the</w:t>
            </w:r>
          </w:p>
          <w:p w14:paraId="4A69AB4B" w14:textId="77777777" w:rsidR="00D87C89" w:rsidRPr="00457C6A" w:rsidRDefault="00D87C89" w:rsidP="00D87C89">
            <w:pPr>
              <w:rPr>
                <w:rFonts w:ascii="Arial" w:hAnsi="Arial" w:cs="Arial"/>
                <w:sz w:val="24"/>
              </w:rPr>
            </w:pPr>
            <w:r w:rsidRPr="00457C6A">
              <w:rPr>
                <w:rFonts w:ascii="Arial" w:hAnsi="Arial" w:cs="Arial"/>
                <w:sz w:val="24"/>
              </w:rPr>
              <w:t>BMC portal and on to the</w:t>
            </w:r>
            <w:r w:rsidR="004322DB" w:rsidRPr="00457C6A">
              <w:rPr>
                <w:rFonts w:ascii="Arial" w:hAnsi="Arial" w:cs="Arial"/>
                <w:sz w:val="24"/>
              </w:rPr>
              <w:t xml:space="preserve"> </w:t>
            </w:r>
            <w:r w:rsidRPr="00457C6A">
              <w:rPr>
                <w:rFonts w:ascii="Arial" w:hAnsi="Arial" w:cs="Arial"/>
                <w:sz w:val="24"/>
              </w:rPr>
              <w:t>nominated user. Under control of</w:t>
            </w:r>
          </w:p>
          <w:p w14:paraId="52DD33B0" w14:textId="77777777" w:rsidR="00D87C89" w:rsidRPr="00457C6A" w:rsidRDefault="00D87C89" w:rsidP="004322DB">
            <w:pPr>
              <w:rPr>
                <w:rFonts w:ascii="Arial" w:hAnsi="Arial" w:cs="Arial"/>
                <w:sz w:val="24"/>
              </w:rPr>
            </w:pPr>
            <w:r w:rsidRPr="00457C6A">
              <w:rPr>
                <w:rFonts w:ascii="Arial" w:hAnsi="Arial" w:cs="Arial"/>
                <w:sz w:val="24"/>
              </w:rPr>
              <w:t>the Licence Manager and reporting</w:t>
            </w:r>
            <w:r w:rsidR="004322DB" w:rsidRPr="00457C6A">
              <w:rPr>
                <w:rFonts w:ascii="Arial" w:hAnsi="Arial" w:cs="Arial"/>
                <w:sz w:val="24"/>
              </w:rPr>
              <w:t xml:space="preserve"> </w:t>
            </w:r>
            <w:r w:rsidRPr="00457C6A">
              <w:rPr>
                <w:rFonts w:ascii="Arial" w:hAnsi="Arial" w:cs="Arial"/>
                <w:sz w:val="24"/>
              </w:rPr>
              <w:t>status to the Authority’s SAM</w:t>
            </w:r>
            <w:r w:rsidR="004322DB" w:rsidRPr="00457C6A">
              <w:rPr>
                <w:rFonts w:ascii="Arial" w:hAnsi="Arial" w:cs="Arial"/>
                <w:sz w:val="24"/>
              </w:rPr>
              <w:t xml:space="preserve"> </w:t>
            </w:r>
            <w:r w:rsidRPr="00457C6A">
              <w:rPr>
                <w:rFonts w:ascii="Arial" w:hAnsi="Arial" w:cs="Arial"/>
                <w:sz w:val="24"/>
              </w:rPr>
              <w:t>function</w:t>
            </w:r>
          </w:p>
        </w:tc>
      </w:tr>
      <w:tr w:rsidR="00D87C89" w:rsidRPr="00457C6A" w14:paraId="3FEA50E9" w14:textId="77777777" w:rsidTr="00D87C89">
        <w:tc>
          <w:tcPr>
            <w:tcW w:w="3403" w:type="dxa"/>
          </w:tcPr>
          <w:p w14:paraId="360F05A6" w14:textId="77777777" w:rsidR="00D87C89" w:rsidRPr="00457C6A" w:rsidRDefault="00D87C89" w:rsidP="00D87C89">
            <w:pPr>
              <w:rPr>
                <w:rFonts w:ascii="Arial" w:hAnsi="Arial" w:cs="Arial"/>
                <w:sz w:val="24"/>
              </w:rPr>
            </w:pPr>
            <w:r w:rsidRPr="00457C6A">
              <w:rPr>
                <w:rFonts w:ascii="Arial" w:hAnsi="Arial" w:cs="Arial"/>
                <w:sz w:val="24"/>
              </w:rPr>
              <w:t>Potential providers are to</w:t>
            </w:r>
          </w:p>
          <w:p w14:paraId="7958738A" w14:textId="77777777" w:rsidR="00D87C89" w:rsidRPr="00457C6A" w:rsidRDefault="00D87C89" w:rsidP="00D87C89">
            <w:pPr>
              <w:rPr>
                <w:rFonts w:ascii="Arial" w:hAnsi="Arial" w:cs="Arial"/>
                <w:sz w:val="24"/>
              </w:rPr>
            </w:pPr>
            <w:r w:rsidRPr="00457C6A">
              <w:rPr>
                <w:rFonts w:ascii="Arial" w:hAnsi="Arial" w:cs="Arial"/>
                <w:sz w:val="24"/>
              </w:rPr>
              <w:t>adhere to each of the SLA’s</w:t>
            </w:r>
          </w:p>
          <w:p w14:paraId="515564DA" w14:textId="77777777" w:rsidR="00D87C89" w:rsidRPr="00457C6A" w:rsidRDefault="00D87C89" w:rsidP="00D87C89">
            <w:pPr>
              <w:rPr>
                <w:rFonts w:ascii="Arial" w:hAnsi="Arial" w:cs="Arial"/>
                <w:sz w:val="24"/>
              </w:rPr>
            </w:pPr>
            <w:r w:rsidRPr="00457C6A">
              <w:rPr>
                <w:rFonts w:ascii="Arial" w:hAnsi="Arial" w:cs="Arial"/>
                <w:sz w:val="24"/>
              </w:rPr>
              <w:t>offered under the required</w:t>
            </w:r>
          </w:p>
          <w:p w14:paraId="540AD271" w14:textId="77777777" w:rsidR="00D87C89" w:rsidRPr="00457C6A" w:rsidRDefault="00D87C89" w:rsidP="00D87C89">
            <w:pPr>
              <w:rPr>
                <w:rFonts w:ascii="Arial" w:hAnsi="Arial" w:cs="Arial"/>
                <w:sz w:val="24"/>
              </w:rPr>
            </w:pPr>
            <w:r w:rsidRPr="00457C6A">
              <w:rPr>
                <w:rFonts w:ascii="Arial" w:hAnsi="Arial" w:cs="Arial"/>
                <w:sz w:val="24"/>
              </w:rPr>
              <w:t>product and services packages</w:t>
            </w:r>
          </w:p>
        </w:tc>
        <w:tc>
          <w:tcPr>
            <w:tcW w:w="985" w:type="dxa"/>
          </w:tcPr>
          <w:p w14:paraId="3E380B53" w14:textId="77777777" w:rsidR="00D87C89" w:rsidRPr="00457C6A" w:rsidRDefault="00D87C89" w:rsidP="00D87C89">
            <w:pPr>
              <w:rPr>
                <w:rFonts w:ascii="Arial" w:hAnsi="Arial" w:cs="Arial"/>
                <w:sz w:val="24"/>
              </w:rPr>
            </w:pPr>
            <w:r w:rsidRPr="00457C6A">
              <w:rPr>
                <w:rFonts w:ascii="Arial" w:hAnsi="Arial" w:cs="Arial"/>
                <w:sz w:val="24"/>
              </w:rPr>
              <w:t>Accuracy/</w:t>
            </w:r>
          </w:p>
          <w:p w14:paraId="07173391" w14:textId="77777777" w:rsidR="00D87C89" w:rsidRPr="00457C6A" w:rsidRDefault="00D87C89" w:rsidP="00D87C89">
            <w:pPr>
              <w:rPr>
                <w:rFonts w:ascii="Arial" w:hAnsi="Arial" w:cs="Arial"/>
                <w:sz w:val="24"/>
              </w:rPr>
            </w:pPr>
            <w:r w:rsidRPr="00457C6A">
              <w:rPr>
                <w:rFonts w:ascii="Arial" w:hAnsi="Arial" w:cs="Arial"/>
                <w:sz w:val="24"/>
              </w:rPr>
              <w:t>Availability</w:t>
            </w:r>
          </w:p>
        </w:tc>
        <w:tc>
          <w:tcPr>
            <w:tcW w:w="1766" w:type="dxa"/>
          </w:tcPr>
          <w:p w14:paraId="2021EEEF" w14:textId="77777777" w:rsidR="00D87C89" w:rsidRPr="00457C6A" w:rsidRDefault="00D87C89" w:rsidP="00D87C89">
            <w:pPr>
              <w:rPr>
                <w:rFonts w:ascii="Arial" w:hAnsi="Arial" w:cs="Arial"/>
                <w:sz w:val="24"/>
              </w:rPr>
            </w:pPr>
            <w:r w:rsidRPr="00457C6A">
              <w:rPr>
                <w:rFonts w:ascii="Arial" w:hAnsi="Arial" w:cs="Arial"/>
                <w:sz w:val="24"/>
              </w:rPr>
              <w:t>100%</w:t>
            </w:r>
          </w:p>
        </w:tc>
        <w:tc>
          <w:tcPr>
            <w:tcW w:w="3970" w:type="dxa"/>
          </w:tcPr>
          <w:p w14:paraId="50D81593" w14:textId="77777777" w:rsidR="00D87C89" w:rsidRPr="00457C6A" w:rsidRDefault="00D87C89" w:rsidP="00D87C89">
            <w:pPr>
              <w:rPr>
                <w:rFonts w:ascii="Arial" w:hAnsi="Arial" w:cs="Arial"/>
                <w:sz w:val="24"/>
              </w:rPr>
            </w:pPr>
            <w:r w:rsidRPr="00457C6A">
              <w:rPr>
                <w:rFonts w:ascii="Arial" w:hAnsi="Arial" w:cs="Arial"/>
                <w:sz w:val="24"/>
              </w:rPr>
              <w:t>Provision of the service aligned to</w:t>
            </w:r>
            <w:r w:rsidR="004322DB" w:rsidRPr="00457C6A">
              <w:rPr>
                <w:rFonts w:ascii="Arial" w:hAnsi="Arial" w:cs="Arial"/>
                <w:sz w:val="24"/>
              </w:rPr>
              <w:t xml:space="preserve"> </w:t>
            </w:r>
            <w:r w:rsidRPr="00457C6A">
              <w:rPr>
                <w:rFonts w:ascii="Arial" w:hAnsi="Arial" w:cs="Arial"/>
                <w:sz w:val="24"/>
              </w:rPr>
              <w:t>the Continuous BMC Product</w:t>
            </w:r>
          </w:p>
          <w:p w14:paraId="0CC07E93" w14:textId="77777777" w:rsidR="00D87C89" w:rsidRPr="00457C6A" w:rsidRDefault="00D87C89" w:rsidP="00D87C89">
            <w:pPr>
              <w:rPr>
                <w:rFonts w:ascii="Arial" w:hAnsi="Arial" w:cs="Arial"/>
                <w:sz w:val="24"/>
              </w:rPr>
            </w:pPr>
            <w:r w:rsidRPr="00457C6A">
              <w:rPr>
                <w:rFonts w:ascii="Arial" w:hAnsi="Arial" w:cs="Arial"/>
                <w:sz w:val="24"/>
              </w:rPr>
              <w:t>support programme. Service levels</w:t>
            </w:r>
            <w:r w:rsidR="004322DB" w:rsidRPr="00457C6A">
              <w:rPr>
                <w:rFonts w:ascii="Arial" w:hAnsi="Arial" w:cs="Arial"/>
                <w:sz w:val="24"/>
              </w:rPr>
              <w:t xml:space="preserve"> </w:t>
            </w:r>
            <w:r w:rsidRPr="00457C6A">
              <w:rPr>
                <w:rFonts w:ascii="Arial" w:hAnsi="Arial" w:cs="Arial"/>
                <w:sz w:val="24"/>
              </w:rPr>
              <w:t>will be configured and proactively</w:t>
            </w:r>
            <w:r w:rsidR="004322DB" w:rsidRPr="00457C6A">
              <w:rPr>
                <w:rFonts w:ascii="Arial" w:hAnsi="Arial" w:cs="Arial"/>
                <w:sz w:val="24"/>
              </w:rPr>
              <w:t xml:space="preserve"> </w:t>
            </w:r>
            <w:r w:rsidRPr="00457C6A">
              <w:rPr>
                <w:rFonts w:ascii="Arial" w:hAnsi="Arial" w:cs="Arial"/>
                <w:sz w:val="24"/>
              </w:rPr>
              <w:t>monitored in our support solution,</w:t>
            </w:r>
            <w:r w:rsidR="004322DB" w:rsidRPr="00457C6A">
              <w:rPr>
                <w:rFonts w:ascii="Arial" w:hAnsi="Arial" w:cs="Arial"/>
                <w:sz w:val="24"/>
              </w:rPr>
              <w:t xml:space="preserve"> </w:t>
            </w:r>
            <w:r w:rsidRPr="00457C6A">
              <w:rPr>
                <w:rFonts w:ascii="Arial" w:hAnsi="Arial" w:cs="Arial"/>
                <w:sz w:val="24"/>
              </w:rPr>
              <w:t>and automatically escalated if in</w:t>
            </w:r>
          </w:p>
          <w:p w14:paraId="4FC47C88" w14:textId="77777777" w:rsidR="00D87C89" w:rsidRPr="00457C6A" w:rsidRDefault="00D87C89" w:rsidP="00D87C89">
            <w:pPr>
              <w:rPr>
                <w:rFonts w:ascii="Arial" w:hAnsi="Arial" w:cs="Arial"/>
                <w:sz w:val="24"/>
              </w:rPr>
            </w:pPr>
            <w:r w:rsidRPr="00457C6A">
              <w:rPr>
                <w:rFonts w:ascii="Arial" w:hAnsi="Arial" w:cs="Arial"/>
                <w:sz w:val="24"/>
              </w:rPr>
              <w:t>danger of breaching</w:t>
            </w:r>
          </w:p>
        </w:tc>
      </w:tr>
      <w:tr w:rsidR="00D87C89" w:rsidRPr="00457C6A" w14:paraId="3E64976C" w14:textId="77777777" w:rsidTr="00D87C89">
        <w:tc>
          <w:tcPr>
            <w:tcW w:w="3403" w:type="dxa"/>
          </w:tcPr>
          <w:p w14:paraId="1B2EDCE1" w14:textId="77777777" w:rsidR="00D87C89" w:rsidRPr="00457C6A" w:rsidRDefault="00D87C89" w:rsidP="00D87C89">
            <w:pPr>
              <w:rPr>
                <w:rFonts w:ascii="Arial" w:hAnsi="Arial" w:cs="Arial"/>
                <w:sz w:val="24"/>
              </w:rPr>
            </w:pPr>
            <w:r w:rsidRPr="00457C6A">
              <w:rPr>
                <w:rFonts w:ascii="Arial" w:hAnsi="Arial" w:cs="Arial"/>
                <w:sz w:val="24"/>
              </w:rPr>
              <w:t>Access to 24 x 7 website,</w:t>
            </w:r>
          </w:p>
          <w:p w14:paraId="6FDC5C3B" w14:textId="77777777" w:rsidR="00D87C89" w:rsidRPr="00457C6A" w:rsidRDefault="00D87C89" w:rsidP="00D87C89">
            <w:pPr>
              <w:rPr>
                <w:rFonts w:ascii="Arial" w:hAnsi="Arial" w:cs="Arial"/>
                <w:sz w:val="24"/>
              </w:rPr>
            </w:pPr>
            <w:r w:rsidRPr="00457C6A">
              <w:rPr>
                <w:rFonts w:ascii="Arial" w:hAnsi="Arial" w:cs="Arial"/>
                <w:sz w:val="24"/>
              </w:rPr>
              <w:t>phone, and email support</w:t>
            </w:r>
          </w:p>
          <w:p w14:paraId="73CB41FC" w14:textId="77777777" w:rsidR="00D87C89" w:rsidRPr="00457C6A" w:rsidRDefault="00D87C89" w:rsidP="00D87C89">
            <w:pPr>
              <w:rPr>
                <w:rFonts w:ascii="Arial" w:hAnsi="Arial" w:cs="Arial"/>
                <w:sz w:val="24"/>
              </w:rPr>
            </w:pPr>
            <w:r w:rsidRPr="00457C6A">
              <w:rPr>
                <w:rFonts w:ascii="Arial" w:hAnsi="Arial" w:cs="Arial"/>
                <w:sz w:val="24"/>
              </w:rPr>
              <w:t>throughout the duration of the</w:t>
            </w:r>
            <w:r w:rsidRPr="00457C6A">
              <w:rPr>
                <w:rFonts w:ascii="Arial" w:hAnsi="Arial" w:cs="Arial"/>
                <w:sz w:val="24"/>
              </w:rPr>
              <w:t xml:space="preserve"> </w:t>
            </w:r>
            <w:r w:rsidRPr="00457C6A">
              <w:rPr>
                <w:rFonts w:ascii="Arial" w:hAnsi="Arial" w:cs="Arial"/>
                <w:sz w:val="24"/>
              </w:rPr>
              <w:t>thirty-six (36) month contract</w:t>
            </w:r>
            <w:r w:rsidRPr="00457C6A">
              <w:rPr>
                <w:rFonts w:ascii="Arial" w:hAnsi="Arial" w:cs="Arial"/>
                <w:sz w:val="24"/>
              </w:rPr>
              <w:t xml:space="preserve"> </w:t>
            </w:r>
            <w:r w:rsidRPr="00457C6A">
              <w:rPr>
                <w:rFonts w:ascii="Arial" w:hAnsi="Arial" w:cs="Arial"/>
                <w:sz w:val="24"/>
              </w:rPr>
              <w:t>term</w:t>
            </w:r>
          </w:p>
        </w:tc>
        <w:tc>
          <w:tcPr>
            <w:tcW w:w="985" w:type="dxa"/>
          </w:tcPr>
          <w:p w14:paraId="57AF58CE" w14:textId="77777777" w:rsidR="00D87C89" w:rsidRPr="00457C6A" w:rsidRDefault="00D87C89" w:rsidP="00D87C89">
            <w:pPr>
              <w:rPr>
                <w:rFonts w:ascii="Arial" w:hAnsi="Arial" w:cs="Arial"/>
                <w:sz w:val="24"/>
              </w:rPr>
            </w:pPr>
            <w:r w:rsidRPr="00457C6A">
              <w:rPr>
                <w:rFonts w:ascii="Arial" w:hAnsi="Arial" w:cs="Arial"/>
                <w:sz w:val="24"/>
              </w:rPr>
              <w:t>Availability</w:t>
            </w:r>
          </w:p>
        </w:tc>
        <w:tc>
          <w:tcPr>
            <w:tcW w:w="1766" w:type="dxa"/>
          </w:tcPr>
          <w:p w14:paraId="7CEEC534" w14:textId="77777777" w:rsidR="00D87C89" w:rsidRPr="00457C6A" w:rsidRDefault="00D87C89" w:rsidP="00D87C89">
            <w:pPr>
              <w:rPr>
                <w:rFonts w:ascii="Arial" w:hAnsi="Arial" w:cs="Arial"/>
                <w:sz w:val="24"/>
              </w:rPr>
            </w:pPr>
            <w:r w:rsidRPr="00457C6A">
              <w:rPr>
                <w:rFonts w:ascii="Arial" w:hAnsi="Arial" w:cs="Arial"/>
                <w:sz w:val="24"/>
              </w:rPr>
              <w:t>100%</w:t>
            </w:r>
          </w:p>
        </w:tc>
        <w:tc>
          <w:tcPr>
            <w:tcW w:w="3970" w:type="dxa"/>
          </w:tcPr>
          <w:p w14:paraId="6F104B15" w14:textId="77777777" w:rsidR="00D87C89" w:rsidRPr="00457C6A" w:rsidRDefault="00D87C89" w:rsidP="00D87C89">
            <w:pPr>
              <w:rPr>
                <w:rFonts w:ascii="Arial" w:hAnsi="Arial" w:cs="Arial"/>
                <w:sz w:val="24"/>
              </w:rPr>
            </w:pPr>
            <w:r w:rsidRPr="00457C6A">
              <w:rPr>
                <w:rFonts w:ascii="Arial" w:hAnsi="Arial" w:cs="Arial"/>
                <w:sz w:val="24"/>
              </w:rPr>
              <w:t>Provision of 24/7 Service Desk with</w:t>
            </w:r>
            <w:r w:rsidR="004322DB" w:rsidRPr="00457C6A">
              <w:rPr>
                <w:rFonts w:ascii="Arial" w:hAnsi="Arial" w:cs="Arial"/>
                <w:sz w:val="24"/>
              </w:rPr>
              <w:t xml:space="preserve"> </w:t>
            </w:r>
            <w:r w:rsidRPr="00457C6A">
              <w:rPr>
                <w:rFonts w:ascii="Arial" w:hAnsi="Arial" w:cs="Arial"/>
                <w:sz w:val="24"/>
              </w:rPr>
              <w:t>BMC accredited resources</w:t>
            </w:r>
          </w:p>
          <w:p w14:paraId="5F1D53BF" w14:textId="77777777" w:rsidR="00D87C89" w:rsidRPr="00457C6A" w:rsidRDefault="00D87C89" w:rsidP="00D87C89">
            <w:pPr>
              <w:rPr>
                <w:rFonts w:ascii="Arial" w:hAnsi="Arial" w:cs="Arial"/>
                <w:sz w:val="24"/>
              </w:rPr>
            </w:pPr>
            <w:r w:rsidRPr="00457C6A">
              <w:rPr>
                <w:rFonts w:ascii="Arial" w:hAnsi="Arial" w:cs="Arial"/>
                <w:sz w:val="24"/>
              </w:rPr>
              <w:t>providing Level 1 support, via</w:t>
            </w:r>
          </w:p>
          <w:p w14:paraId="0322AE9E" w14:textId="77777777" w:rsidR="00D87C89" w:rsidRPr="00457C6A" w:rsidRDefault="00D87C89" w:rsidP="00D87C89">
            <w:pPr>
              <w:rPr>
                <w:rFonts w:ascii="Arial" w:hAnsi="Arial" w:cs="Arial"/>
                <w:sz w:val="24"/>
              </w:rPr>
            </w:pPr>
            <w:r w:rsidRPr="00457C6A">
              <w:rPr>
                <w:rFonts w:ascii="Arial" w:hAnsi="Arial" w:cs="Arial"/>
                <w:sz w:val="24"/>
              </w:rPr>
              <w:t>Email, Website and Phone.</w:t>
            </w:r>
          </w:p>
          <w:p w14:paraId="649189E9" w14:textId="77777777" w:rsidR="00D87C89" w:rsidRPr="00457C6A" w:rsidRDefault="00D87C89" w:rsidP="004322DB">
            <w:pPr>
              <w:rPr>
                <w:rFonts w:ascii="Arial" w:hAnsi="Arial" w:cs="Arial"/>
                <w:sz w:val="24"/>
              </w:rPr>
            </w:pPr>
            <w:r w:rsidRPr="00457C6A">
              <w:rPr>
                <w:rFonts w:ascii="Arial" w:hAnsi="Arial" w:cs="Arial"/>
                <w:sz w:val="24"/>
              </w:rPr>
              <w:t>Configured to monitor performance</w:t>
            </w:r>
            <w:r w:rsidR="004322DB" w:rsidRPr="00457C6A">
              <w:rPr>
                <w:rFonts w:ascii="Arial" w:hAnsi="Arial" w:cs="Arial"/>
                <w:sz w:val="24"/>
              </w:rPr>
              <w:t xml:space="preserve"> </w:t>
            </w:r>
            <w:r w:rsidRPr="00457C6A">
              <w:rPr>
                <w:rFonts w:ascii="Arial" w:hAnsi="Arial" w:cs="Arial"/>
                <w:sz w:val="24"/>
              </w:rPr>
              <w:t>against SLAs</w:t>
            </w:r>
          </w:p>
        </w:tc>
      </w:tr>
      <w:tr w:rsidR="00D87C89" w:rsidRPr="00457C6A" w14:paraId="19D4EE3D" w14:textId="77777777" w:rsidTr="00D87C89">
        <w:tc>
          <w:tcPr>
            <w:tcW w:w="3403" w:type="dxa"/>
          </w:tcPr>
          <w:p w14:paraId="3411EAAB" w14:textId="77777777" w:rsidR="00D87C89" w:rsidRPr="00457C6A" w:rsidRDefault="00D87C89" w:rsidP="00D87C89">
            <w:pPr>
              <w:rPr>
                <w:rFonts w:ascii="Arial" w:hAnsi="Arial" w:cs="Arial"/>
                <w:sz w:val="24"/>
              </w:rPr>
            </w:pPr>
            <w:r w:rsidRPr="00457C6A">
              <w:rPr>
                <w:rFonts w:ascii="Arial" w:hAnsi="Arial" w:cs="Arial"/>
                <w:sz w:val="24"/>
              </w:rPr>
              <w:t>The Authority to receive all</w:t>
            </w:r>
          </w:p>
          <w:p w14:paraId="2E647332" w14:textId="77777777" w:rsidR="00D87C89" w:rsidRPr="00457C6A" w:rsidRDefault="00D87C89" w:rsidP="00D87C89">
            <w:pPr>
              <w:rPr>
                <w:rFonts w:ascii="Arial" w:hAnsi="Arial" w:cs="Arial"/>
                <w:sz w:val="24"/>
              </w:rPr>
            </w:pPr>
            <w:r w:rsidRPr="00457C6A">
              <w:rPr>
                <w:rFonts w:ascii="Arial" w:hAnsi="Arial" w:cs="Arial"/>
                <w:sz w:val="24"/>
              </w:rPr>
              <w:t>software support, including</w:t>
            </w:r>
          </w:p>
          <w:p w14:paraId="5EA40D2B" w14:textId="77777777" w:rsidR="00D87C89" w:rsidRPr="00457C6A" w:rsidRDefault="00D87C89" w:rsidP="00D87C89">
            <w:pPr>
              <w:rPr>
                <w:rFonts w:ascii="Arial" w:hAnsi="Arial" w:cs="Arial"/>
                <w:sz w:val="24"/>
              </w:rPr>
            </w:pPr>
            <w:r w:rsidRPr="00457C6A">
              <w:rPr>
                <w:rFonts w:ascii="Arial" w:hAnsi="Arial" w:cs="Arial"/>
                <w:sz w:val="24"/>
              </w:rPr>
              <w:t>maintenance releases and</w:t>
            </w:r>
          </w:p>
          <w:p w14:paraId="569A19D0" w14:textId="77777777" w:rsidR="00D87C89" w:rsidRPr="00457C6A" w:rsidRDefault="00D87C89" w:rsidP="00D87C89">
            <w:pPr>
              <w:rPr>
                <w:rFonts w:ascii="Arial" w:hAnsi="Arial" w:cs="Arial"/>
                <w:sz w:val="24"/>
              </w:rPr>
            </w:pPr>
            <w:r w:rsidRPr="00457C6A">
              <w:rPr>
                <w:rFonts w:ascii="Arial" w:hAnsi="Arial" w:cs="Arial"/>
                <w:sz w:val="24"/>
              </w:rPr>
              <w:t>major upgrades throughout the</w:t>
            </w:r>
            <w:r w:rsidRPr="00457C6A">
              <w:rPr>
                <w:rFonts w:ascii="Arial" w:hAnsi="Arial" w:cs="Arial"/>
                <w:sz w:val="24"/>
              </w:rPr>
              <w:t xml:space="preserve"> </w:t>
            </w:r>
            <w:r w:rsidRPr="00457C6A">
              <w:rPr>
                <w:rFonts w:ascii="Arial" w:hAnsi="Arial" w:cs="Arial"/>
                <w:sz w:val="24"/>
              </w:rPr>
              <w:t>life span of the thirty-six (36)</w:t>
            </w:r>
            <w:r w:rsidRPr="00457C6A">
              <w:rPr>
                <w:rFonts w:ascii="Arial" w:hAnsi="Arial" w:cs="Arial"/>
                <w:sz w:val="24"/>
              </w:rPr>
              <w:t xml:space="preserve"> </w:t>
            </w:r>
            <w:r w:rsidRPr="00457C6A">
              <w:rPr>
                <w:rFonts w:ascii="Arial" w:hAnsi="Arial" w:cs="Arial"/>
                <w:sz w:val="24"/>
              </w:rPr>
              <w:t>month contract</w:t>
            </w:r>
          </w:p>
        </w:tc>
        <w:tc>
          <w:tcPr>
            <w:tcW w:w="985" w:type="dxa"/>
          </w:tcPr>
          <w:p w14:paraId="70DD2FAE" w14:textId="77777777" w:rsidR="00D87C89" w:rsidRPr="00457C6A" w:rsidRDefault="00D87C89" w:rsidP="00D87C89">
            <w:pPr>
              <w:rPr>
                <w:rFonts w:ascii="Arial" w:hAnsi="Arial" w:cs="Arial"/>
                <w:sz w:val="24"/>
              </w:rPr>
            </w:pPr>
            <w:r w:rsidRPr="00457C6A">
              <w:rPr>
                <w:rFonts w:ascii="Arial" w:hAnsi="Arial" w:cs="Arial"/>
                <w:sz w:val="24"/>
              </w:rPr>
              <w:t>Accuracy/</w:t>
            </w:r>
          </w:p>
          <w:p w14:paraId="707B0E5C" w14:textId="77777777" w:rsidR="00D87C89" w:rsidRPr="00457C6A" w:rsidRDefault="00D87C89" w:rsidP="00D87C89">
            <w:pPr>
              <w:rPr>
                <w:rFonts w:ascii="Arial" w:hAnsi="Arial" w:cs="Arial"/>
                <w:sz w:val="24"/>
              </w:rPr>
            </w:pPr>
            <w:r w:rsidRPr="00457C6A">
              <w:rPr>
                <w:rFonts w:ascii="Arial" w:hAnsi="Arial" w:cs="Arial"/>
                <w:sz w:val="24"/>
              </w:rPr>
              <w:t>Availability</w:t>
            </w:r>
          </w:p>
        </w:tc>
        <w:tc>
          <w:tcPr>
            <w:tcW w:w="1766" w:type="dxa"/>
          </w:tcPr>
          <w:p w14:paraId="3BE2CBD8" w14:textId="77777777" w:rsidR="00D87C89" w:rsidRPr="00457C6A" w:rsidRDefault="00D87C89" w:rsidP="00D87C89">
            <w:pPr>
              <w:rPr>
                <w:rFonts w:ascii="Arial" w:hAnsi="Arial" w:cs="Arial"/>
                <w:sz w:val="24"/>
              </w:rPr>
            </w:pPr>
            <w:r w:rsidRPr="00457C6A">
              <w:rPr>
                <w:rFonts w:ascii="Arial" w:hAnsi="Arial" w:cs="Arial"/>
                <w:sz w:val="24"/>
              </w:rPr>
              <w:t>100%</w:t>
            </w:r>
          </w:p>
        </w:tc>
        <w:tc>
          <w:tcPr>
            <w:tcW w:w="3970" w:type="dxa"/>
          </w:tcPr>
          <w:p w14:paraId="06B2F105" w14:textId="77777777" w:rsidR="00D87C89" w:rsidRPr="00457C6A" w:rsidRDefault="00D87C89" w:rsidP="004322DB">
            <w:pPr>
              <w:rPr>
                <w:rFonts w:ascii="Arial" w:hAnsi="Arial" w:cs="Arial"/>
                <w:sz w:val="24"/>
              </w:rPr>
            </w:pPr>
            <w:r w:rsidRPr="00457C6A">
              <w:rPr>
                <w:rFonts w:ascii="Arial" w:hAnsi="Arial" w:cs="Arial"/>
                <w:sz w:val="24"/>
              </w:rPr>
              <w:t>Supply of all maintenance releases</w:t>
            </w:r>
            <w:r w:rsidR="004322DB" w:rsidRPr="00457C6A">
              <w:rPr>
                <w:rFonts w:ascii="Arial" w:hAnsi="Arial" w:cs="Arial"/>
                <w:sz w:val="24"/>
              </w:rPr>
              <w:t xml:space="preserve"> </w:t>
            </w:r>
            <w:r w:rsidRPr="00457C6A">
              <w:rPr>
                <w:rFonts w:ascii="Arial" w:hAnsi="Arial" w:cs="Arial"/>
                <w:sz w:val="24"/>
              </w:rPr>
              <w:t>and major upgrades to enable the</w:t>
            </w:r>
            <w:r w:rsidR="004322DB" w:rsidRPr="00457C6A">
              <w:rPr>
                <w:rFonts w:ascii="Arial" w:hAnsi="Arial" w:cs="Arial"/>
                <w:sz w:val="24"/>
              </w:rPr>
              <w:t xml:space="preserve"> </w:t>
            </w:r>
            <w:r w:rsidRPr="00457C6A">
              <w:rPr>
                <w:rFonts w:ascii="Arial" w:hAnsi="Arial" w:cs="Arial"/>
                <w:sz w:val="24"/>
              </w:rPr>
              <w:t>Authority and 3rd parties to ensure</w:t>
            </w:r>
            <w:r w:rsidR="004322DB" w:rsidRPr="00457C6A">
              <w:rPr>
                <w:rFonts w:ascii="Arial" w:hAnsi="Arial" w:cs="Arial"/>
                <w:sz w:val="24"/>
              </w:rPr>
              <w:t xml:space="preserve"> </w:t>
            </w:r>
            <w:r w:rsidRPr="00457C6A">
              <w:rPr>
                <w:rFonts w:ascii="Arial" w:hAnsi="Arial" w:cs="Arial"/>
                <w:sz w:val="24"/>
              </w:rPr>
              <w:t>in-scope applications meet</w:t>
            </w:r>
            <w:r w:rsidR="004322DB" w:rsidRPr="00457C6A">
              <w:rPr>
                <w:rFonts w:ascii="Arial" w:hAnsi="Arial" w:cs="Arial"/>
                <w:sz w:val="24"/>
              </w:rPr>
              <w:t xml:space="preserve"> </w:t>
            </w:r>
            <w:r w:rsidRPr="00457C6A">
              <w:rPr>
                <w:rFonts w:ascii="Arial" w:hAnsi="Arial" w:cs="Arial"/>
                <w:sz w:val="24"/>
              </w:rPr>
              <w:t>required maintenance levels</w:t>
            </w:r>
          </w:p>
        </w:tc>
      </w:tr>
    </w:tbl>
    <w:p w14:paraId="18C44E17" w14:textId="77777777" w:rsidR="00D87C89" w:rsidRPr="00457C6A" w:rsidRDefault="00D87C89" w:rsidP="00D87C89">
      <w:pPr>
        <w:rPr>
          <w:rFonts w:ascii="Arial" w:hAnsi="Arial" w:cs="Arial"/>
          <w:sz w:val="24"/>
          <w:szCs w:val="20"/>
        </w:rPr>
      </w:pPr>
    </w:p>
    <w:p w14:paraId="3DF4771C" w14:textId="77777777" w:rsidR="004322DB" w:rsidRDefault="004322DB" w:rsidP="004322DB">
      <w:pPr>
        <w:autoSpaceDE w:val="0"/>
        <w:autoSpaceDN w:val="0"/>
        <w:adjustRightInd w:val="0"/>
        <w:spacing w:after="0" w:line="240" w:lineRule="auto"/>
        <w:rPr>
          <w:rFonts w:ascii="Arial" w:hAnsi="Arial" w:cs="Arial"/>
          <w:b/>
          <w:bCs/>
          <w:color w:val="000000"/>
        </w:rPr>
      </w:pPr>
      <w:r w:rsidRPr="004322DB">
        <w:rPr>
          <w:rFonts w:ascii="Arial" w:hAnsi="Arial" w:cs="Arial"/>
          <w:b/>
          <w:bCs/>
          <w:color w:val="000000"/>
        </w:rPr>
        <w:t xml:space="preserve">Milestones </w:t>
      </w:r>
    </w:p>
    <w:p w14:paraId="668A5432" w14:textId="77777777" w:rsidR="00796914" w:rsidRPr="004322DB" w:rsidRDefault="00796914" w:rsidP="004322DB">
      <w:pPr>
        <w:autoSpaceDE w:val="0"/>
        <w:autoSpaceDN w:val="0"/>
        <w:adjustRightInd w:val="0"/>
        <w:spacing w:after="0" w:line="240" w:lineRule="auto"/>
        <w:rPr>
          <w:rFonts w:ascii="Arial" w:hAnsi="Arial" w:cs="Arial"/>
          <w:color w:val="000000"/>
        </w:rPr>
      </w:pPr>
    </w:p>
    <w:p w14:paraId="63CCF900" w14:textId="77777777" w:rsidR="004322DB" w:rsidRPr="00457C6A" w:rsidRDefault="004322DB" w:rsidP="004322DB">
      <w:pPr>
        <w:rPr>
          <w:rFonts w:ascii="Arial" w:hAnsi="Arial" w:cs="Arial"/>
          <w:color w:val="000000"/>
        </w:rPr>
      </w:pPr>
      <w:r w:rsidRPr="00457C6A">
        <w:rPr>
          <w:rFonts w:ascii="Arial" w:hAnsi="Arial" w:cs="Arial"/>
          <w:color w:val="000000"/>
        </w:rPr>
        <w:t>Atos will introduce a process that will ensure that the required key milestones are met:</w:t>
      </w:r>
    </w:p>
    <w:tbl>
      <w:tblPr>
        <w:tblStyle w:val="TableGrid"/>
        <w:tblW w:w="0" w:type="auto"/>
        <w:tblLook w:val="04A0" w:firstRow="1" w:lastRow="0" w:firstColumn="1" w:lastColumn="0" w:noHBand="0" w:noVBand="1"/>
      </w:tblPr>
      <w:tblGrid>
        <w:gridCol w:w="3005"/>
        <w:gridCol w:w="3005"/>
        <w:gridCol w:w="3006"/>
      </w:tblGrid>
      <w:tr w:rsidR="004322DB" w:rsidRPr="00457C6A" w14:paraId="24DDE651" w14:textId="77777777" w:rsidTr="004322DB">
        <w:tc>
          <w:tcPr>
            <w:tcW w:w="3005" w:type="dxa"/>
          </w:tcPr>
          <w:p w14:paraId="497951FC" w14:textId="77777777" w:rsidR="004322DB" w:rsidRPr="00457C6A" w:rsidRDefault="004322DB" w:rsidP="004322DB">
            <w:pPr>
              <w:rPr>
                <w:rFonts w:ascii="Arial" w:hAnsi="Arial" w:cs="Arial"/>
                <w:sz w:val="24"/>
              </w:rPr>
            </w:pPr>
            <w:r w:rsidRPr="00457C6A">
              <w:rPr>
                <w:rFonts w:ascii="Arial" w:hAnsi="Arial" w:cs="Arial"/>
                <w:sz w:val="24"/>
              </w:rPr>
              <w:t>Description</w:t>
            </w:r>
          </w:p>
        </w:tc>
        <w:tc>
          <w:tcPr>
            <w:tcW w:w="3005" w:type="dxa"/>
          </w:tcPr>
          <w:p w14:paraId="4E4B1A58" w14:textId="77777777" w:rsidR="004322DB" w:rsidRPr="00457C6A" w:rsidRDefault="004322DB" w:rsidP="004322DB">
            <w:pPr>
              <w:rPr>
                <w:rFonts w:ascii="Arial" w:hAnsi="Arial" w:cs="Arial"/>
                <w:sz w:val="24"/>
              </w:rPr>
            </w:pPr>
            <w:r w:rsidRPr="00457C6A">
              <w:rPr>
                <w:rFonts w:ascii="Arial" w:hAnsi="Arial" w:cs="Arial"/>
                <w:sz w:val="24"/>
              </w:rPr>
              <w:t>Timeframe</w:t>
            </w:r>
          </w:p>
        </w:tc>
        <w:tc>
          <w:tcPr>
            <w:tcW w:w="3006" w:type="dxa"/>
          </w:tcPr>
          <w:p w14:paraId="323E8E17" w14:textId="77777777" w:rsidR="004322DB" w:rsidRPr="00457C6A" w:rsidRDefault="004322DB" w:rsidP="004322DB">
            <w:pPr>
              <w:rPr>
                <w:rFonts w:ascii="Arial" w:hAnsi="Arial" w:cs="Arial"/>
                <w:sz w:val="24"/>
              </w:rPr>
            </w:pPr>
            <w:r w:rsidRPr="00457C6A">
              <w:rPr>
                <w:rFonts w:ascii="Arial" w:hAnsi="Arial" w:cs="Arial"/>
                <w:sz w:val="24"/>
              </w:rPr>
              <w:t>Achieved By</w:t>
            </w:r>
          </w:p>
        </w:tc>
      </w:tr>
      <w:tr w:rsidR="004322DB" w:rsidRPr="00457C6A" w14:paraId="6ED77525" w14:textId="77777777" w:rsidTr="004322DB">
        <w:tc>
          <w:tcPr>
            <w:tcW w:w="3005" w:type="dxa"/>
          </w:tcPr>
          <w:p w14:paraId="6FD982B8" w14:textId="77777777" w:rsidR="004322DB" w:rsidRPr="00457C6A" w:rsidRDefault="004322DB" w:rsidP="004322DB">
            <w:pPr>
              <w:pStyle w:val="Default"/>
              <w:rPr>
                <w:rFonts w:ascii="Arial" w:hAnsi="Arial" w:cs="Arial"/>
              </w:rPr>
            </w:pPr>
            <w:r w:rsidRPr="00457C6A">
              <w:rPr>
                <w:rFonts w:ascii="Arial" w:hAnsi="Arial" w:cs="Arial"/>
                <w:sz w:val="22"/>
                <w:szCs w:val="22"/>
              </w:rPr>
              <w:t xml:space="preserve">Implementation of licences, products and services where previous cover has expired </w:t>
            </w:r>
          </w:p>
        </w:tc>
        <w:tc>
          <w:tcPr>
            <w:tcW w:w="3005" w:type="dxa"/>
          </w:tcPr>
          <w:p w14:paraId="0678D01F" w14:textId="77777777" w:rsidR="004322DB" w:rsidRPr="00457C6A" w:rsidRDefault="004322DB" w:rsidP="004322DB">
            <w:pPr>
              <w:pStyle w:val="Default"/>
              <w:rPr>
                <w:rFonts w:ascii="Arial" w:hAnsi="Arial" w:cs="Arial"/>
              </w:rPr>
            </w:pPr>
            <w:r w:rsidRPr="00457C6A">
              <w:rPr>
                <w:rFonts w:ascii="Arial" w:hAnsi="Arial" w:cs="Arial"/>
                <w:sz w:val="22"/>
                <w:szCs w:val="22"/>
              </w:rPr>
              <w:t xml:space="preserve">Within five (5) days of receipt of purchase order </w:t>
            </w:r>
          </w:p>
          <w:p w14:paraId="63D4F1BA" w14:textId="77777777" w:rsidR="004322DB" w:rsidRPr="00457C6A" w:rsidRDefault="004322DB" w:rsidP="004322DB">
            <w:pPr>
              <w:rPr>
                <w:rFonts w:ascii="Arial" w:hAnsi="Arial" w:cs="Arial"/>
                <w:sz w:val="24"/>
              </w:rPr>
            </w:pPr>
          </w:p>
        </w:tc>
        <w:tc>
          <w:tcPr>
            <w:tcW w:w="3006" w:type="dxa"/>
          </w:tcPr>
          <w:p w14:paraId="7B4A5CCF" w14:textId="77777777" w:rsidR="004322DB" w:rsidRPr="00457C6A" w:rsidRDefault="004322DB" w:rsidP="004322DB">
            <w:pPr>
              <w:pStyle w:val="Default"/>
              <w:rPr>
                <w:rFonts w:ascii="Arial" w:hAnsi="Arial" w:cs="Arial"/>
              </w:rPr>
            </w:pPr>
            <w:r w:rsidRPr="00457C6A">
              <w:rPr>
                <w:rFonts w:ascii="Arial" w:hAnsi="Arial" w:cs="Arial"/>
                <w:sz w:val="22"/>
                <w:szCs w:val="22"/>
              </w:rPr>
              <w:t xml:space="preserve">Use of an agreed process for the provision of license keys via the BMC portal and on to the nominated user. Under control of the Licence Manager and reporting status to the Authority’s SAM function </w:t>
            </w:r>
          </w:p>
        </w:tc>
      </w:tr>
      <w:tr w:rsidR="004322DB" w:rsidRPr="00457C6A" w14:paraId="0CA60D13" w14:textId="77777777" w:rsidTr="004322DB">
        <w:tc>
          <w:tcPr>
            <w:tcW w:w="3005" w:type="dxa"/>
          </w:tcPr>
          <w:p w14:paraId="5AB607B2" w14:textId="77777777" w:rsidR="004322DB" w:rsidRPr="00457C6A" w:rsidRDefault="004322DB" w:rsidP="004322DB">
            <w:pPr>
              <w:pStyle w:val="Default"/>
              <w:rPr>
                <w:rFonts w:ascii="Arial" w:hAnsi="Arial" w:cs="Arial"/>
              </w:rPr>
            </w:pPr>
            <w:r w:rsidRPr="00457C6A">
              <w:rPr>
                <w:rFonts w:ascii="Arial" w:hAnsi="Arial" w:cs="Arial"/>
                <w:sz w:val="22"/>
                <w:szCs w:val="22"/>
              </w:rPr>
              <w:t xml:space="preserve">Implementation of licences, products and services where renewal is due at future date </w:t>
            </w:r>
          </w:p>
          <w:p w14:paraId="1452303A" w14:textId="77777777" w:rsidR="004322DB" w:rsidRPr="00457C6A" w:rsidRDefault="004322DB" w:rsidP="004322DB">
            <w:pPr>
              <w:rPr>
                <w:rFonts w:ascii="Arial" w:hAnsi="Arial" w:cs="Arial"/>
                <w:sz w:val="24"/>
              </w:rPr>
            </w:pPr>
          </w:p>
        </w:tc>
        <w:tc>
          <w:tcPr>
            <w:tcW w:w="3005" w:type="dxa"/>
          </w:tcPr>
          <w:p w14:paraId="3010DE83" w14:textId="77777777" w:rsidR="004322DB" w:rsidRPr="00457C6A" w:rsidRDefault="004322DB" w:rsidP="004322DB">
            <w:pPr>
              <w:pStyle w:val="Default"/>
              <w:rPr>
                <w:rFonts w:ascii="Arial" w:hAnsi="Arial" w:cs="Arial"/>
              </w:rPr>
            </w:pPr>
            <w:r w:rsidRPr="00457C6A">
              <w:rPr>
                <w:rFonts w:ascii="Arial" w:hAnsi="Arial" w:cs="Arial"/>
                <w:sz w:val="22"/>
                <w:szCs w:val="22"/>
              </w:rPr>
              <w:t xml:space="preserve">Upon date of renewal </w:t>
            </w:r>
          </w:p>
          <w:p w14:paraId="12351F56" w14:textId="77777777" w:rsidR="004322DB" w:rsidRPr="00457C6A" w:rsidRDefault="004322DB" w:rsidP="004322DB">
            <w:pPr>
              <w:rPr>
                <w:rFonts w:ascii="Arial" w:hAnsi="Arial" w:cs="Arial"/>
                <w:sz w:val="24"/>
              </w:rPr>
            </w:pPr>
          </w:p>
        </w:tc>
        <w:tc>
          <w:tcPr>
            <w:tcW w:w="3006" w:type="dxa"/>
          </w:tcPr>
          <w:p w14:paraId="1AFFCE42" w14:textId="77777777" w:rsidR="004322DB" w:rsidRPr="00457C6A" w:rsidRDefault="004322DB" w:rsidP="004322DB">
            <w:pPr>
              <w:pStyle w:val="Default"/>
              <w:rPr>
                <w:rFonts w:ascii="Arial" w:hAnsi="Arial" w:cs="Arial"/>
              </w:rPr>
            </w:pPr>
            <w:r w:rsidRPr="00457C6A">
              <w:rPr>
                <w:rFonts w:ascii="Arial" w:hAnsi="Arial" w:cs="Arial"/>
                <w:sz w:val="22"/>
                <w:szCs w:val="22"/>
              </w:rPr>
              <w:t xml:space="preserve">The Software Asset Management process will report on these future requirements working with the Authority and support partners to ensure the licences are available at the correct time </w:t>
            </w:r>
          </w:p>
          <w:p w14:paraId="62986D4D" w14:textId="77777777" w:rsidR="004322DB" w:rsidRPr="00457C6A" w:rsidRDefault="004322DB" w:rsidP="004322DB">
            <w:pPr>
              <w:rPr>
                <w:rFonts w:ascii="Arial" w:hAnsi="Arial" w:cs="Arial"/>
                <w:sz w:val="24"/>
              </w:rPr>
            </w:pPr>
          </w:p>
        </w:tc>
      </w:tr>
    </w:tbl>
    <w:p w14:paraId="59504D2B" w14:textId="77777777" w:rsidR="004322DB" w:rsidRPr="00457C6A" w:rsidRDefault="004322DB" w:rsidP="004322DB">
      <w:pPr>
        <w:rPr>
          <w:rFonts w:ascii="Arial" w:hAnsi="Arial" w:cs="Arial"/>
        </w:rPr>
      </w:pPr>
      <w:r w:rsidRPr="00457C6A">
        <w:rPr>
          <w:rFonts w:ascii="Arial" w:hAnsi="Arial" w:cs="Arial"/>
        </w:rPr>
        <w:t>As the adoption partner, Atos will work with the Authority to agree milestones for adoption of new services and alignment to the future TOM.</w:t>
      </w:r>
    </w:p>
    <w:p w14:paraId="78AD5E75" w14:textId="77777777" w:rsidR="004322DB" w:rsidRPr="00457C6A" w:rsidRDefault="004322DB" w:rsidP="004322DB">
      <w:pPr>
        <w:rPr>
          <w:rFonts w:ascii="Arial" w:hAnsi="Arial" w:cs="Arial"/>
        </w:rPr>
      </w:pPr>
    </w:p>
    <w:p w14:paraId="2E0DA7AA" w14:textId="77777777" w:rsidR="004322DB" w:rsidRPr="00457C6A" w:rsidRDefault="004322DB" w:rsidP="004322DB">
      <w:pPr>
        <w:rPr>
          <w:rFonts w:ascii="Arial" w:hAnsi="Arial" w:cs="Arial"/>
          <w:b/>
          <w:bCs/>
        </w:rPr>
      </w:pPr>
      <w:r w:rsidRPr="00457C6A">
        <w:rPr>
          <w:rFonts w:ascii="Arial" w:hAnsi="Arial" w:cs="Arial"/>
          <w:b/>
          <w:bCs/>
        </w:rPr>
        <w:t>Potential Risks and Mitigation</w:t>
      </w:r>
    </w:p>
    <w:p w14:paraId="5CE5F3A8" w14:textId="77777777" w:rsidR="004322DB" w:rsidRPr="00457C6A" w:rsidRDefault="004322DB" w:rsidP="004322DB">
      <w:pPr>
        <w:rPr>
          <w:rFonts w:ascii="Arial" w:hAnsi="Arial" w:cs="Arial"/>
        </w:rPr>
      </w:pPr>
      <w:r w:rsidRPr="00457C6A">
        <w:rPr>
          <w:rFonts w:ascii="Arial" w:hAnsi="Arial" w:cs="Arial"/>
        </w:rPr>
        <w:t>The table below provides an overview of the identified risks associated with this service and their respective mitigation approach:</w:t>
      </w:r>
    </w:p>
    <w:tbl>
      <w:tblPr>
        <w:tblStyle w:val="TableGrid"/>
        <w:tblW w:w="0" w:type="auto"/>
        <w:tblLook w:val="04A0" w:firstRow="1" w:lastRow="0" w:firstColumn="1" w:lastColumn="0" w:noHBand="0" w:noVBand="1"/>
      </w:tblPr>
      <w:tblGrid>
        <w:gridCol w:w="1413"/>
        <w:gridCol w:w="3118"/>
        <w:gridCol w:w="4485"/>
      </w:tblGrid>
      <w:tr w:rsidR="004322DB" w:rsidRPr="00457C6A" w14:paraId="3170C49B" w14:textId="77777777" w:rsidTr="004322DB">
        <w:tc>
          <w:tcPr>
            <w:tcW w:w="1413" w:type="dxa"/>
          </w:tcPr>
          <w:p w14:paraId="7CC15822" w14:textId="77777777" w:rsidR="004322DB" w:rsidRPr="00457C6A" w:rsidRDefault="004322DB" w:rsidP="004322DB">
            <w:pPr>
              <w:rPr>
                <w:rFonts w:ascii="Arial" w:hAnsi="Arial" w:cs="Arial"/>
                <w:sz w:val="24"/>
              </w:rPr>
            </w:pPr>
            <w:r w:rsidRPr="00457C6A">
              <w:rPr>
                <w:rFonts w:ascii="Arial" w:hAnsi="Arial" w:cs="Arial"/>
                <w:sz w:val="24"/>
              </w:rPr>
              <w:t>Area</w:t>
            </w:r>
          </w:p>
        </w:tc>
        <w:tc>
          <w:tcPr>
            <w:tcW w:w="3118" w:type="dxa"/>
          </w:tcPr>
          <w:p w14:paraId="205F03F8" w14:textId="77777777" w:rsidR="004322DB" w:rsidRPr="00457C6A" w:rsidRDefault="004322DB" w:rsidP="004322DB">
            <w:pPr>
              <w:rPr>
                <w:rFonts w:ascii="Arial" w:hAnsi="Arial" w:cs="Arial"/>
                <w:sz w:val="24"/>
              </w:rPr>
            </w:pPr>
            <w:r w:rsidRPr="00457C6A">
              <w:rPr>
                <w:rFonts w:ascii="Arial" w:hAnsi="Arial" w:cs="Arial"/>
                <w:sz w:val="24"/>
              </w:rPr>
              <w:t>Risk</w:t>
            </w:r>
          </w:p>
        </w:tc>
        <w:tc>
          <w:tcPr>
            <w:tcW w:w="4485" w:type="dxa"/>
          </w:tcPr>
          <w:p w14:paraId="7827FF0E" w14:textId="77777777" w:rsidR="004322DB" w:rsidRPr="00457C6A" w:rsidRDefault="004322DB" w:rsidP="004322DB">
            <w:pPr>
              <w:rPr>
                <w:rFonts w:ascii="Arial" w:hAnsi="Arial" w:cs="Arial"/>
                <w:sz w:val="24"/>
              </w:rPr>
            </w:pPr>
            <w:r w:rsidRPr="00457C6A">
              <w:rPr>
                <w:rFonts w:ascii="Arial" w:hAnsi="Arial" w:cs="Arial"/>
                <w:sz w:val="24"/>
              </w:rPr>
              <w:t>Mitigation</w:t>
            </w:r>
          </w:p>
        </w:tc>
      </w:tr>
      <w:tr w:rsidR="004322DB" w:rsidRPr="00457C6A" w14:paraId="520F626E" w14:textId="77777777" w:rsidTr="004322DB">
        <w:tc>
          <w:tcPr>
            <w:tcW w:w="1413" w:type="dxa"/>
          </w:tcPr>
          <w:p w14:paraId="4E334659" w14:textId="77777777" w:rsidR="004322DB" w:rsidRPr="00457C6A" w:rsidRDefault="004322DB" w:rsidP="004322DB">
            <w:pPr>
              <w:rPr>
                <w:rFonts w:ascii="Arial" w:hAnsi="Arial" w:cs="Arial"/>
                <w:sz w:val="24"/>
              </w:rPr>
            </w:pPr>
            <w:r w:rsidRPr="00457C6A">
              <w:rPr>
                <w:rFonts w:ascii="Arial" w:hAnsi="Arial" w:cs="Arial"/>
                <w:sz w:val="24"/>
              </w:rPr>
              <w:t>Service Transition</w:t>
            </w:r>
          </w:p>
        </w:tc>
        <w:tc>
          <w:tcPr>
            <w:tcW w:w="3118" w:type="dxa"/>
          </w:tcPr>
          <w:p w14:paraId="201EAE95" w14:textId="77777777" w:rsidR="004322DB" w:rsidRPr="00457C6A" w:rsidRDefault="004322DB" w:rsidP="004322DB">
            <w:pPr>
              <w:rPr>
                <w:rFonts w:ascii="Arial" w:hAnsi="Arial" w:cs="Arial"/>
                <w:sz w:val="24"/>
              </w:rPr>
            </w:pPr>
            <w:r w:rsidRPr="00457C6A">
              <w:rPr>
                <w:rFonts w:ascii="Arial" w:hAnsi="Arial" w:cs="Arial"/>
                <w:sz w:val="24"/>
              </w:rPr>
              <w:t>User community perceive a</w:t>
            </w:r>
            <w:r w:rsidRPr="00457C6A">
              <w:rPr>
                <w:rFonts w:ascii="Arial" w:hAnsi="Arial" w:cs="Arial"/>
                <w:sz w:val="24"/>
              </w:rPr>
              <w:t xml:space="preserve"> </w:t>
            </w:r>
            <w:r w:rsidRPr="00457C6A">
              <w:rPr>
                <w:rFonts w:ascii="Arial" w:hAnsi="Arial" w:cs="Arial"/>
                <w:sz w:val="24"/>
              </w:rPr>
              <w:t>drop in service levels during</w:t>
            </w:r>
            <w:r w:rsidRPr="00457C6A">
              <w:rPr>
                <w:rFonts w:ascii="Arial" w:hAnsi="Arial" w:cs="Arial"/>
                <w:sz w:val="24"/>
              </w:rPr>
              <w:t xml:space="preserve"> </w:t>
            </w:r>
            <w:r w:rsidRPr="00457C6A">
              <w:rPr>
                <w:rFonts w:ascii="Arial" w:hAnsi="Arial" w:cs="Arial"/>
                <w:sz w:val="24"/>
              </w:rPr>
              <w:t>transition of level 1 support /start of contract</w:t>
            </w:r>
          </w:p>
        </w:tc>
        <w:tc>
          <w:tcPr>
            <w:tcW w:w="4485" w:type="dxa"/>
          </w:tcPr>
          <w:p w14:paraId="541C5355" w14:textId="77777777" w:rsidR="004322DB" w:rsidRPr="00457C6A" w:rsidRDefault="004322DB" w:rsidP="004322DB">
            <w:pPr>
              <w:rPr>
                <w:rFonts w:ascii="Arial" w:hAnsi="Arial" w:cs="Arial"/>
                <w:sz w:val="24"/>
              </w:rPr>
            </w:pPr>
            <w:r w:rsidRPr="00457C6A">
              <w:rPr>
                <w:rFonts w:ascii="Arial" w:hAnsi="Arial" w:cs="Arial"/>
                <w:sz w:val="24"/>
              </w:rPr>
              <w:t>By using 2 support partners that currently support &gt;99%</w:t>
            </w:r>
          </w:p>
          <w:p w14:paraId="5DB5CF79" w14:textId="77777777" w:rsidR="004322DB" w:rsidRPr="00457C6A" w:rsidRDefault="004322DB" w:rsidP="004322DB">
            <w:pPr>
              <w:rPr>
                <w:rFonts w:ascii="Arial" w:hAnsi="Arial" w:cs="Arial"/>
                <w:sz w:val="24"/>
              </w:rPr>
            </w:pPr>
            <w:r w:rsidRPr="00457C6A">
              <w:rPr>
                <w:rFonts w:ascii="Arial" w:hAnsi="Arial" w:cs="Arial"/>
                <w:sz w:val="24"/>
              </w:rPr>
              <w:t>of the Authority’s Defence Digital BMC environment,</w:t>
            </w:r>
            <w:r w:rsidRPr="00457C6A">
              <w:rPr>
                <w:rFonts w:ascii="Arial" w:hAnsi="Arial" w:cs="Arial"/>
                <w:sz w:val="24"/>
              </w:rPr>
              <w:t xml:space="preserve"> </w:t>
            </w:r>
            <w:r w:rsidRPr="00457C6A">
              <w:rPr>
                <w:rFonts w:ascii="Arial" w:hAnsi="Arial" w:cs="Arial"/>
                <w:sz w:val="24"/>
              </w:rPr>
              <w:t>transition risks are minimised. Both partners have tried</w:t>
            </w:r>
          </w:p>
          <w:p w14:paraId="22E54EDE" w14:textId="77777777" w:rsidR="004322DB" w:rsidRPr="00457C6A" w:rsidRDefault="004322DB" w:rsidP="004322DB">
            <w:pPr>
              <w:rPr>
                <w:rFonts w:ascii="Arial" w:hAnsi="Arial" w:cs="Arial"/>
                <w:sz w:val="24"/>
              </w:rPr>
            </w:pPr>
            <w:r w:rsidRPr="00457C6A">
              <w:rPr>
                <w:rFonts w:ascii="Arial" w:hAnsi="Arial" w:cs="Arial"/>
                <w:sz w:val="24"/>
              </w:rPr>
              <w:t>and tested onboarding processes and considerable</w:t>
            </w:r>
            <w:r w:rsidRPr="00457C6A">
              <w:rPr>
                <w:rFonts w:ascii="Arial" w:hAnsi="Arial" w:cs="Arial"/>
                <w:sz w:val="24"/>
              </w:rPr>
              <w:t xml:space="preserve"> </w:t>
            </w:r>
            <w:r w:rsidRPr="00457C6A">
              <w:rPr>
                <w:rFonts w:ascii="Arial" w:hAnsi="Arial" w:cs="Arial"/>
                <w:sz w:val="24"/>
              </w:rPr>
              <w:t>experience of supporting Authority users</w:t>
            </w:r>
          </w:p>
        </w:tc>
      </w:tr>
      <w:tr w:rsidR="004322DB" w:rsidRPr="00457C6A" w14:paraId="0063133C" w14:textId="77777777" w:rsidTr="004322DB">
        <w:tc>
          <w:tcPr>
            <w:tcW w:w="1413" w:type="dxa"/>
          </w:tcPr>
          <w:p w14:paraId="333FF040" w14:textId="77777777" w:rsidR="004322DB" w:rsidRPr="00457C6A" w:rsidRDefault="004322DB" w:rsidP="004322DB">
            <w:pPr>
              <w:rPr>
                <w:rFonts w:ascii="Arial" w:hAnsi="Arial" w:cs="Arial"/>
                <w:sz w:val="24"/>
              </w:rPr>
            </w:pPr>
            <w:r w:rsidRPr="00457C6A">
              <w:rPr>
                <w:rFonts w:ascii="Arial" w:hAnsi="Arial" w:cs="Arial"/>
                <w:sz w:val="24"/>
              </w:rPr>
              <w:t>Service Transition</w:t>
            </w:r>
          </w:p>
        </w:tc>
        <w:tc>
          <w:tcPr>
            <w:tcW w:w="3118" w:type="dxa"/>
          </w:tcPr>
          <w:p w14:paraId="36F09C5F" w14:textId="77777777" w:rsidR="004322DB" w:rsidRPr="00457C6A" w:rsidRDefault="004322DB" w:rsidP="004322DB">
            <w:pPr>
              <w:rPr>
                <w:rFonts w:ascii="Arial" w:hAnsi="Arial" w:cs="Arial"/>
                <w:sz w:val="24"/>
              </w:rPr>
            </w:pPr>
            <w:r w:rsidRPr="00457C6A">
              <w:rPr>
                <w:rFonts w:ascii="Arial" w:hAnsi="Arial" w:cs="Arial"/>
                <w:sz w:val="24"/>
              </w:rPr>
              <w:t>Lack of Authority support</w:t>
            </w:r>
            <w:r w:rsidRPr="00457C6A">
              <w:rPr>
                <w:rFonts w:ascii="Arial" w:hAnsi="Arial" w:cs="Arial"/>
                <w:sz w:val="24"/>
              </w:rPr>
              <w:t xml:space="preserve"> </w:t>
            </w:r>
            <w:r w:rsidRPr="00457C6A">
              <w:rPr>
                <w:rFonts w:ascii="Arial" w:hAnsi="Arial" w:cs="Arial"/>
                <w:sz w:val="24"/>
              </w:rPr>
              <w:t>during initial contract stages</w:t>
            </w:r>
            <w:r w:rsidRPr="00457C6A">
              <w:rPr>
                <w:rFonts w:ascii="Arial" w:hAnsi="Arial" w:cs="Arial"/>
                <w:sz w:val="24"/>
              </w:rPr>
              <w:t xml:space="preserve"> </w:t>
            </w:r>
            <w:r w:rsidRPr="00457C6A">
              <w:rPr>
                <w:rFonts w:ascii="Arial" w:hAnsi="Arial" w:cs="Arial"/>
                <w:sz w:val="24"/>
              </w:rPr>
              <w:t>to help with the discovery of</w:t>
            </w:r>
            <w:r w:rsidRPr="00457C6A">
              <w:rPr>
                <w:rFonts w:ascii="Arial" w:hAnsi="Arial" w:cs="Arial"/>
                <w:sz w:val="24"/>
              </w:rPr>
              <w:t xml:space="preserve"> </w:t>
            </w:r>
            <w:r w:rsidRPr="00457C6A">
              <w:rPr>
                <w:rFonts w:ascii="Arial" w:hAnsi="Arial" w:cs="Arial"/>
                <w:sz w:val="24"/>
              </w:rPr>
              <w:t>the licences in use across</w:t>
            </w:r>
          </w:p>
          <w:p w14:paraId="47ABA92D" w14:textId="77777777" w:rsidR="004322DB" w:rsidRPr="00457C6A" w:rsidRDefault="004322DB" w:rsidP="004322DB">
            <w:pPr>
              <w:rPr>
                <w:rFonts w:ascii="Arial" w:hAnsi="Arial" w:cs="Arial"/>
                <w:sz w:val="24"/>
              </w:rPr>
            </w:pPr>
            <w:r w:rsidRPr="00457C6A">
              <w:rPr>
                <w:rFonts w:ascii="Arial" w:hAnsi="Arial" w:cs="Arial"/>
                <w:sz w:val="24"/>
              </w:rPr>
              <w:t>the enterprise</w:t>
            </w:r>
          </w:p>
        </w:tc>
        <w:tc>
          <w:tcPr>
            <w:tcW w:w="4485" w:type="dxa"/>
          </w:tcPr>
          <w:p w14:paraId="1F85F3D3" w14:textId="77777777" w:rsidR="004322DB" w:rsidRPr="00457C6A" w:rsidRDefault="004322DB" w:rsidP="004322DB">
            <w:pPr>
              <w:rPr>
                <w:rFonts w:ascii="Arial" w:hAnsi="Arial" w:cs="Arial"/>
                <w:sz w:val="24"/>
              </w:rPr>
            </w:pPr>
            <w:r w:rsidRPr="00457C6A">
              <w:rPr>
                <w:rFonts w:ascii="Arial" w:hAnsi="Arial" w:cs="Arial"/>
                <w:sz w:val="24"/>
              </w:rPr>
              <w:t>Authority provision of MODNET access to enable the</w:t>
            </w:r>
            <w:r w:rsidRPr="00457C6A">
              <w:rPr>
                <w:rFonts w:ascii="Arial" w:hAnsi="Arial" w:cs="Arial"/>
                <w:sz w:val="24"/>
              </w:rPr>
              <w:t xml:space="preserve"> </w:t>
            </w:r>
            <w:r w:rsidRPr="00457C6A">
              <w:rPr>
                <w:rFonts w:ascii="Arial" w:hAnsi="Arial" w:cs="Arial"/>
                <w:sz w:val="24"/>
              </w:rPr>
              <w:t>Atos team to create the baseline for the BMC Licence</w:t>
            </w:r>
            <w:r w:rsidRPr="00457C6A">
              <w:rPr>
                <w:rFonts w:ascii="Arial" w:hAnsi="Arial" w:cs="Arial"/>
                <w:sz w:val="24"/>
              </w:rPr>
              <w:t xml:space="preserve"> </w:t>
            </w:r>
            <w:r w:rsidRPr="00457C6A">
              <w:rPr>
                <w:rFonts w:ascii="Arial" w:hAnsi="Arial" w:cs="Arial"/>
                <w:sz w:val="24"/>
              </w:rPr>
              <w:t>usage, contacting technical owners and identified users</w:t>
            </w:r>
            <w:r w:rsidRPr="00457C6A">
              <w:rPr>
                <w:rFonts w:ascii="Arial" w:hAnsi="Arial" w:cs="Arial"/>
                <w:sz w:val="24"/>
              </w:rPr>
              <w:t xml:space="preserve"> </w:t>
            </w:r>
            <w:r w:rsidRPr="00457C6A">
              <w:rPr>
                <w:rFonts w:ascii="Arial" w:hAnsi="Arial" w:cs="Arial"/>
                <w:sz w:val="24"/>
              </w:rPr>
              <w:t>of BMC software to confirm status. Working with BMC</w:t>
            </w:r>
          </w:p>
          <w:p w14:paraId="70E79C46" w14:textId="77777777" w:rsidR="004322DB" w:rsidRPr="00457C6A" w:rsidRDefault="004322DB" w:rsidP="004322DB">
            <w:pPr>
              <w:rPr>
                <w:rFonts w:ascii="Arial" w:hAnsi="Arial" w:cs="Arial"/>
                <w:sz w:val="24"/>
              </w:rPr>
            </w:pPr>
            <w:r w:rsidRPr="00457C6A">
              <w:rPr>
                <w:rFonts w:ascii="Arial" w:hAnsi="Arial" w:cs="Arial"/>
                <w:sz w:val="24"/>
              </w:rPr>
              <w:t>and DD Service Delivery Organisation (SDO) to validate</w:t>
            </w:r>
            <w:r w:rsidRPr="00457C6A">
              <w:rPr>
                <w:rFonts w:ascii="Arial" w:hAnsi="Arial" w:cs="Arial"/>
                <w:sz w:val="24"/>
              </w:rPr>
              <w:t xml:space="preserve"> </w:t>
            </w:r>
            <w:r w:rsidRPr="00457C6A">
              <w:rPr>
                <w:rFonts w:ascii="Arial" w:hAnsi="Arial" w:cs="Arial"/>
                <w:sz w:val="24"/>
              </w:rPr>
              <w:t>licence usage across the enterprise</w:t>
            </w:r>
          </w:p>
        </w:tc>
      </w:tr>
      <w:tr w:rsidR="004322DB" w:rsidRPr="00457C6A" w14:paraId="0C3E248A" w14:textId="77777777" w:rsidTr="004322DB">
        <w:tc>
          <w:tcPr>
            <w:tcW w:w="1413" w:type="dxa"/>
          </w:tcPr>
          <w:p w14:paraId="73E58430" w14:textId="77777777" w:rsidR="004322DB" w:rsidRPr="00457C6A" w:rsidRDefault="004322DB" w:rsidP="004322DB">
            <w:pPr>
              <w:rPr>
                <w:rFonts w:ascii="Arial" w:hAnsi="Arial" w:cs="Arial"/>
                <w:sz w:val="24"/>
              </w:rPr>
            </w:pPr>
            <w:r w:rsidRPr="00457C6A">
              <w:rPr>
                <w:rFonts w:ascii="Arial" w:hAnsi="Arial" w:cs="Arial"/>
                <w:sz w:val="24"/>
              </w:rPr>
              <w:t>Adoption Services</w:t>
            </w:r>
          </w:p>
        </w:tc>
        <w:tc>
          <w:tcPr>
            <w:tcW w:w="3118" w:type="dxa"/>
          </w:tcPr>
          <w:p w14:paraId="470D29C3" w14:textId="77777777" w:rsidR="004322DB" w:rsidRPr="00457C6A" w:rsidRDefault="004322DB" w:rsidP="004322DB">
            <w:pPr>
              <w:rPr>
                <w:rFonts w:ascii="Arial" w:hAnsi="Arial" w:cs="Arial"/>
                <w:sz w:val="24"/>
              </w:rPr>
            </w:pPr>
            <w:r w:rsidRPr="00457C6A">
              <w:rPr>
                <w:rFonts w:ascii="Arial" w:hAnsi="Arial" w:cs="Arial"/>
                <w:sz w:val="24"/>
              </w:rPr>
              <w:t>Low uptake/adoption of</w:t>
            </w:r>
            <w:r w:rsidRPr="00457C6A">
              <w:rPr>
                <w:rFonts w:ascii="Arial" w:hAnsi="Arial" w:cs="Arial"/>
                <w:sz w:val="24"/>
              </w:rPr>
              <w:t xml:space="preserve"> </w:t>
            </w:r>
            <w:r w:rsidRPr="00457C6A">
              <w:rPr>
                <w:rFonts w:ascii="Arial" w:hAnsi="Arial" w:cs="Arial"/>
                <w:sz w:val="24"/>
              </w:rPr>
              <w:t>BMC products due to</w:t>
            </w:r>
            <w:r w:rsidRPr="00457C6A">
              <w:rPr>
                <w:rFonts w:ascii="Arial" w:hAnsi="Arial" w:cs="Arial"/>
                <w:sz w:val="24"/>
              </w:rPr>
              <w:t xml:space="preserve"> </w:t>
            </w:r>
            <w:r w:rsidRPr="00457C6A">
              <w:rPr>
                <w:rFonts w:ascii="Arial" w:hAnsi="Arial" w:cs="Arial"/>
                <w:sz w:val="24"/>
              </w:rPr>
              <w:t>funding constraints, lack of</w:t>
            </w:r>
          </w:p>
          <w:p w14:paraId="5F07FD86" w14:textId="77777777" w:rsidR="004322DB" w:rsidRPr="00457C6A" w:rsidRDefault="004322DB" w:rsidP="004322DB">
            <w:pPr>
              <w:rPr>
                <w:rFonts w:ascii="Arial" w:hAnsi="Arial" w:cs="Arial"/>
                <w:sz w:val="24"/>
              </w:rPr>
            </w:pPr>
            <w:r w:rsidRPr="00457C6A">
              <w:rPr>
                <w:rFonts w:ascii="Arial" w:hAnsi="Arial" w:cs="Arial"/>
                <w:sz w:val="24"/>
              </w:rPr>
              <w:t>cohesion across</w:t>
            </w:r>
            <w:r w:rsidRPr="00457C6A">
              <w:rPr>
                <w:rFonts w:ascii="Arial" w:hAnsi="Arial" w:cs="Arial"/>
                <w:sz w:val="24"/>
              </w:rPr>
              <w:t xml:space="preserve"> </w:t>
            </w:r>
            <w:r w:rsidRPr="00457C6A">
              <w:rPr>
                <w:rFonts w:ascii="Arial" w:hAnsi="Arial" w:cs="Arial"/>
                <w:sz w:val="24"/>
              </w:rPr>
              <w:t>TLBs/customers, and</w:t>
            </w:r>
          </w:p>
          <w:p w14:paraId="5095D5CB" w14:textId="77777777" w:rsidR="004322DB" w:rsidRPr="00457C6A" w:rsidRDefault="004322DB" w:rsidP="004322DB">
            <w:pPr>
              <w:rPr>
                <w:rFonts w:ascii="Arial" w:hAnsi="Arial" w:cs="Arial"/>
                <w:sz w:val="24"/>
              </w:rPr>
            </w:pPr>
            <w:r w:rsidRPr="00457C6A">
              <w:rPr>
                <w:rFonts w:ascii="Arial" w:hAnsi="Arial" w:cs="Arial"/>
                <w:sz w:val="24"/>
              </w:rPr>
              <w:t>aversion to change</w:t>
            </w:r>
          </w:p>
        </w:tc>
        <w:tc>
          <w:tcPr>
            <w:tcW w:w="4485" w:type="dxa"/>
          </w:tcPr>
          <w:p w14:paraId="1F37BDF7" w14:textId="77777777" w:rsidR="004322DB" w:rsidRPr="00457C6A" w:rsidRDefault="004322DB" w:rsidP="004322DB">
            <w:pPr>
              <w:rPr>
                <w:rFonts w:ascii="Arial" w:hAnsi="Arial" w:cs="Arial"/>
                <w:sz w:val="24"/>
              </w:rPr>
            </w:pPr>
            <w:r w:rsidRPr="00457C6A">
              <w:rPr>
                <w:rFonts w:ascii="Arial" w:hAnsi="Arial" w:cs="Arial"/>
                <w:sz w:val="24"/>
              </w:rPr>
              <w:t>Atos will work collaboratively with the Authority at all</w:t>
            </w:r>
            <w:r w:rsidRPr="00457C6A">
              <w:rPr>
                <w:rFonts w:ascii="Arial" w:hAnsi="Arial" w:cs="Arial"/>
                <w:sz w:val="24"/>
              </w:rPr>
              <w:t xml:space="preserve"> </w:t>
            </w:r>
            <w:r w:rsidRPr="00457C6A">
              <w:rPr>
                <w:rFonts w:ascii="Arial" w:hAnsi="Arial" w:cs="Arial"/>
                <w:sz w:val="24"/>
              </w:rPr>
              <w:t>levels to develop and maintain a joint adoption plan.</w:t>
            </w:r>
            <w:r w:rsidRPr="00457C6A">
              <w:rPr>
                <w:rFonts w:ascii="Arial" w:hAnsi="Arial" w:cs="Arial"/>
                <w:sz w:val="24"/>
              </w:rPr>
              <w:t xml:space="preserve"> </w:t>
            </w:r>
            <w:r w:rsidRPr="00457C6A">
              <w:rPr>
                <w:rFonts w:ascii="Arial" w:hAnsi="Arial" w:cs="Arial"/>
                <w:sz w:val="24"/>
              </w:rPr>
              <w:t>This will require the Authority to nominate a senior</w:t>
            </w:r>
            <w:r w:rsidRPr="00457C6A">
              <w:rPr>
                <w:rFonts w:ascii="Arial" w:hAnsi="Arial" w:cs="Arial"/>
                <w:sz w:val="24"/>
              </w:rPr>
              <w:t xml:space="preserve"> </w:t>
            </w:r>
            <w:r w:rsidRPr="00457C6A">
              <w:rPr>
                <w:rFonts w:ascii="Arial" w:hAnsi="Arial" w:cs="Arial"/>
                <w:sz w:val="24"/>
              </w:rPr>
              <w:t>sponsor to work with Atos to promote enterprise wide</w:t>
            </w:r>
            <w:r w:rsidRPr="00457C6A">
              <w:rPr>
                <w:rFonts w:ascii="Arial" w:hAnsi="Arial" w:cs="Arial"/>
                <w:sz w:val="24"/>
              </w:rPr>
              <w:t xml:space="preserve"> </w:t>
            </w:r>
            <w:r w:rsidRPr="00457C6A">
              <w:rPr>
                <w:rFonts w:ascii="Arial" w:hAnsi="Arial" w:cs="Arial"/>
                <w:sz w:val="24"/>
              </w:rPr>
              <w:t>tooling goals in line with the Authority’s Digital Strategy</w:t>
            </w:r>
          </w:p>
          <w:p w14:paraId="387F71D1" w14:textId="77777777" w:rsidR="004322DB" w:rsidRPr="00457C6A" w:rsidRDefault="004322DB" w:rsidP="004322DB">
            <w:pPr>
              <w:rPr>
                <w:rFonts w:ascii="Arial" w:hAnsi="Arial" w:cs="Arial"/>
                <w:sz w:val="24"/>
              </w:rPr>
            </w:pPr>
            <w:r w:rsidRPr="00457C6A">
              <w:rPr>
                <w:rFonts w:ascii="Arial" w:hAnsi="Arial" w:cs="Arial"/>
                <w:sz w:val="24"/>
              </w:rPr>
              <w:t>and future TOM</w:t>
            </w:r>
          </w:p>
        </w:tc>
      </w:tr>
    </w:tbl>
    <w:p w14:paraId="470C6BCB" w14:textId="77777777" w:rsidR="004322DB" w:rsidRPr="00457C6A" w:rsidRDefault="004322DB" w:rsidP="004322DB">
      <w:pPr>
        <w:rPr>
          <w:rFonts w:ascii="Arial" w:hAnsi="Arial" w:cs="Arial"/>
          <w:sz w:val="24"/>
          <w:szCs w:val="20"/>
        </w:rPr>
      </w:pPr>
    </w:p>
    <w:p w14:paraId="42902449" w14:textId="77777777" w:rsidR="009C4D17" w:rsidRPr="00457C6A" w:rsidRDefault="00457C6A" w:rsidP="009C4D17">
      <w:pPr>
        <w:rPr>
          <w:rFonts w:ascii="Arial" w:hAnsi="Arial" w:cs="Arial"/>
        </w:rPr>
      </w:pPr>
      <w:r w:rsidRPr="00457C6A">
        <w:rPr>
          <w:rFonts w:ascii="Arial" w:hAnsi="Arial" w:cs="Arial"/>
        </w:rPr>
        <w:t>Account Management Process including robust escalation / complaints procedure. Our proposed solution provides the Authority with a single point of contact for all aspects of the service from support to future adoption capability. An overview of the team and their responsibilities is shown in the table below:</w:t>
      </w:r>
    </w:p>
    <w:tbl>
      <w:tblPr>
        <w:tblW w:w="97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5"/>
        <w:gridCol w:w="7063"/>
      </w:tblGrid>
      <w:tr w:rsidR="00457C6A" w:rsidRPr="00457C6A" w14:paraId="6203E1B8" w14:textId="77777777" w:rsidTr="00457C6A">
        <w:tblPrEx>
          <w:tblCellMar>
            <w:top w:w="0" w:type="dxa"/>
            <w:bottom w:w="0" w:type="dxa"/>
          </w:tblCellMar>
        </w:tblPrEx>
        <w:trPr>
          <w:trHeight w:val="103"/>
        </w:trPr>
        <w:tc>
          <w:tcPr>
            <w:tcW w:w="2655" w:type="dxa"/>
          </w:tcPr>
          <w:p w14:paraId="2ECCE0AF" w14:textId="77777777" w:rsidR="00457C6A" w:rsidRPr="00457C6A" w:rsidRDefault="00457C6A" w:rsidP="00457C6A">
            <w:pPr>
              <w:autoSpaceDE w:val="0"/>
              <w:autoSpaceDN w:val="0"/>
              <w:adjustRightInd w:val="0"/>
              <w:spacing w:after="0" w:line="240" w:lineRule="auto"/>
              <w:rPr>
                <w:rFonts w:ascii="Arial" w:hAnsi="Arial" w:cs="Arial"/>
                <w:color w:val="000000"/>
              </w:rPr>
            </w:pPr>
            <w:r w:rsidRPr="00457C6A">
              <w:rPr>
                <w:rFonts w:ascii="Arial" w:hAnsi="Arial" w:cs="Arial"/>
                <w:b/>
                <w:bCs/>
                <w:color w:val="000000"/>
              </w:rPr>
              <w:t xml:space="preserve">Role </w:t>
            </w:r>
          </w:p>
        </w:tc>
        <w:tc>
          <w:tcPr>
            <w:tcW w:w="7063" w:type="dxa"/>
          </w:tcPr>
          <w:p w14:paraId="04D45D17" w14:textId="77777777" w:rsidR="00457C6A" w:rsidRPr="00457C6A" w:rsidRDefault="00457C6A" w:rsidP="00457C6A">
            <w:pPr>
              <w:autoSpaceDE w:val="0"/>
              <w:autoSpaceDN w:val="0"/>
              <w:adjustRightInd w:val="0"/>
              <w:spacing w:after="0" w:line="240" w:lineRule="auto"/>
              <w:rPr>
                <w:rFonts w:ascii="Arial" w:hAnsi="Arial" w:cs="Arial"/>
                <w:color w:val="000000"/>
              </w:rPr>
            </w:pPr>
            <w:r w:rsidRPr="00457C6A">
              <w:rPr>
                <w:rFonts w:ascii="Arial" w:hAnsi="Arial" w:cs="Arial"/>
                <w:b/>
                <w:bCs/>
                <w:color w:val="000000"/>
              </w:rPr>
              <w:t xml:space="preserve">Description </w:t>
            </w:r>
          </w:p>
        </w:tc>
      </w:tr>
      <w:tr w:rsidR="00457C6A" w:rsidRPr="00457C6A" w14:paraId="673B7A46" w14:textId="77777777" w:rsidTr="00457C6A">
        <w:tblPrEx>
          <w:tblCellMar>
            <w:top w:w="0" w:type="dxa"/>
            <w:bottom w:w="0" w:type="dxa"/>
          </w:tblCellMar>
        </w:tblPrEx>
        <w:trPr>
          <w:trHeight w:val="384"/>
        </w:trPr>
        <w:tc>
          <w:tcPr>
            <w:tcW w:w="2655" w:type="dxa"/>
          </w:tcPr>
          <w:p w14:paraId="49F729AF" w14:textId="77777777" w:rsidR="00457C6A" w:rsidRPr="00457C6A" w:rsidRDefault="00457C6A" w:rsidP="00457C6A">
            <w:pPr>
              <w:autoSpaceDE w:val="0"/>
              <w:autoSpaceDN w:val="0"/>
              <w:adjustRightInd w:val="0"/>
              <w:spacing w:after="0" w:line="240" w:lineRule="auto"/>
              <w:rPr>
                <w:rFonts w:ascii="Arial" w:hAnsi="Arial" w:cs="Arial"/>
                <w:color w:val="000000"/>
              </w:rPr>
            </w:pPr>
            <w:r w:rsidRPr="00457C6A">
              <w:rPr>
                <w:rFonts w:ascii="Arial" w:hAnsi="Arial" w:cs="Arial"/>
                <w:color w:val="000000"/>
              </w:rPr>
              <w:t xml:space="preserve">Client Executive Delivery Partner (CEDP) </w:t>
            </w:r>
          </w:p>
        </w:tc>
        <w:tc>
          <w:tcPr>
            <w:tcW w:w="7063" w:type="dxa"/>
          </w:tcPr>
          <w:p w14:paraId="2A06F03F" w14:textId="77777777" w:rsidR="00457C6A" w:rsidRPr="00457C6A" w:rsidRDefault="00457C6A" w:rsidP="00457C6A">
            <w:pPr>
              <w:autoSpaceDE w:val="0"/>
              <w:autoSpaceDN w:val="0"/>
              <w:adjustRightInd w:val="0"/>
              <w:spacing w:after="0" w:line="240" w:lineRule="auto"/>
              <w:rPr>
                <w:rFonts w:ascii="Arial" w:hAnsi="Arial" w:cs="Arial"/>
                <w:color w:val="000000"/>
              </w:rPr>
            </w:pPr>
            <w:r w:rsidRPr="00457C6A">
              <w:rPr>
                <w:rFonts w:ascii="Arial" w:hAnsi="Arial" w:cs="Arial"/>
                <w:color w:val="000000"/>
              </w:rPr>
              <w:t xml:space="preserve">Overall responsibility for the relationship with the Authority with reporting and escalation into the Atos executive team for governance </w:t>
            </w:r>
          </w:p>
        </w:tc>
      </w:tr>
      <w:tr w:rsidR="00457C6A" w:rsidRPr="00457C6A" w14:paraId="1DBC1018" w14:textId="77777777" w:rsidTr="00457C6A">
        <w:tblPrEx>
          <w:tblCellMar>
            <w:top w:w="0" w:type="dxa"/>
            <w:bottom w:w="0" w:type="dxa"/>
          </w:tblCellMar>
        </w:tblPrEx>
        <w:trPr>
          <w:trHeight w:val="654"/>
        </w:trPr>
        <w:tc>
          <w:tcPr>
            <w:tcW w:w="2655" w:type="dxa"/>
          </w:tcPr>
          <w:p w14:paraId="6FCEC404" w14:textId="77777777" w:rsidR="00457C6A" w:rsidRPr="00457C6A" w:rsidRDefault="00457C6A" w:rsidP="00457C6A">
            <w:pPr>
              <w:autoSpaceDE w:val="0"/>
              <w:autoSpaceDN w:val="0"/>
              <w:adjustRightInd w:val="0"/>
              <w:spacing w:after="0" w:line="240" w:lineRule="auto"/>
              <w:rPr>
                <w:rFonts w:ascii="Arial" w:hAnsi="Arial" w:cs="Arial"/>
                <w:color w:val="000000"/>
              </w:rPr>
            </w:pPr>
            <w:r w:rsidRPr="00457C6A">
              <w:rPr>
                <w:rFonts w:ascii="Arial" w:hAnsi="Arial" w:cs="Arial"/>
                <w:color w:val="000000"/>
              </w:rPr>
              <w:t xml:space="preserve">Service Delivery Manager </w:t>
            </w:r>
          </w:p>
        </w:tc>
        <w:tc>
          <w:tcPr>
            <w:tcW w:w="7063" w:type="dxa"/>
          </w:tcPr>
          <w:p w14:paraId="6A42BF91" w14:textId="77777777" w:rsidR="00457C6A" w:rsidRPr="00457C6A" w:rsidRDefault="00457C6A" w:rsidP="00457C6A">
            <w:pPr>
              <w:autoSpaceDE w:val="0"/>
              <w:autoSpaceDN w:val="0"/>
              <w:adjustRightInd w:val="0"/>
              <w:spacing w:after="0" w:line="240" w:lineRule="auto"/>
              <w:rPr>
                <w:rFonts w:ascii="Arial" w:hAnsi="Arial" w:cs="Arial"/>
                <w:color w:val="000000"/>
              </w:rPr>
            </w:pPr>
            <w:r w:rsidRPr="00457C6A">
              <w:rPr>
                <w:rFonts w:ascii="Arial" w:hAnsi="Arial" w:cs="Arial"/>
                <w:color w:val="000000"/>
              </w:rPr>
              <w:t xml:space="preserve">Overall responsibility for the BMC ELA service delivery, reporting into the Atos CEDP. Managing all the functions of service delivery and ensuring that the SLAs are met by all delivery partners. Controls and monitors the call off for additional services. Point of service escalation and attendance at monthly service review meetings with the Authority </w:t>
            </w:r>
          </w:p>
        </w:tc>
      </w:tr>
      <w:tr w:rsidR="00457C6A" w:rsidRPr="00457C6A" w14:paraId="2FCAF3B0" w14:textId="77777777" w:rsidTr="00457C6A">
        <w:tblPrEx>
          <w:tblCellMar>
            <w:top w:w="0" w:type="dxa"/>
            <w:bottom w:w="0" w:type="dxa"/>
          </w:tblCellMar>
        </w:tblPrEx>
        <w:trPr>
          <w:trHeight w:val="249"/>
        </w:trPr>
        <w:tc>
          <w:tcPr>
            <w:tcW w:w="2655" w:type="dxa"/>
          </w:tcPr>
          <w:p w14:paraId="52C22A35" w14:textId="77777777" w:rsidR="00457C6A" w:rsidRPr="00457C6A" w:rsidRDefault="00457C6A" w:rsidP="00457C6A">
            <w:pPr>
              <w:autoSpaceDE w:val="0"/>
              <w:autoSpaceDN w:val="0"/>
              <w:adjustRightInd w:val="0"/>
              <w:spacing w:after="0" w:line="240" w:lineRule="auto"/>
              <w:rPr>
                <w:rFonts w:ascii="Arial" w:hAnsi="Arial" w:cs="Arial"/>
                <w:color w:val="000000"/>
              </w:rPr>
            </w:pPr>
            <w:r w:rsidRPr="00457C6A">
              <w:rPr>
                <w:rFonts w:ascii="Arial" w:hAnsi="Arial" w:cs="Arial"/>
                <w:color w:val="000000"/>
              </w:rPr>
              <w:t xml:space="preserve">Level 1 Service Desk </w:t>
            </w:r>
          </w:p>
        </w:tc>
        <w:tc>
          <w:tcPr>
            <w:tcW w:w="7063" w:type="dxa"/>
          </w:tcPr>
          <w:p w14:paraId="7DDA03A6" w14:textId="77777777" w:rsidR="00457C6A" w:rsidRPr="00457C6A" w:rsidRDefault="00457C6A" w:rsidP="00457C6A">
            <w:pPr>
              <w:autoSpaceDE w:val="0"/>
              <w:autoSpaceDN w:val="0"/>
              <w:adjustRightInd w:val="0"/>
              <w:spacing w:after="0" w:line="240" w:lineRule="auto"/>
              <w:rPr>
                <w:rFonts w:ascii="Arial" w:hAnsi="Arial" w:cs="Arial"/>
                <w:color w:val="000000"/>
              </w:rPr>
            </w:pPr>
            <w:r w:rsidRPr="00457C6A">
              <w:rPr>
                <w:rFonts w:ascii="Arial" w:hAnsi="Arial" w:cs="Arial"/>
                <w:color w:val="000000"/>
              </w:rPr>
              <w:t xml:space="preserve">Provision of level 1 support for the in-scope BMC products and aligned to the BMC Continuous Product and services – Level 1 </w:t>
            </w:r>
          </w:p>
        </w:tc>
      </w:tr>
      <w:tr w:rsidR="00457C6A" w:rsidRPr="00457C6A" w14:paraId="4673A6CC" w14:textId="77777777" w:rsidTr="00457C6A">
        <w:tblPrEx>
          <w:tblCellMar>
            <w:top w:w="0" w:type="dxa"/>
            <w:bottom w:w="0" w:type="dxa"/>
          </w:tblCellMar>
        </w:tblPrEx>
        <w:trPr>
          <w:trHeight w:val="113"/>
        </w:trPr>
        <w:tc>
          <w:tcPr>
            <w:tcW w:w="2655" w:type="dxa"/>
          </w:tcPr>
          <w:p w14:paraId="17F36E7F" w14:textId="77777777" w:rsidR="00457C6A" w:rsidRPr="00457C6A" w:rsidRDefault="00457C6A" w:rsidP="00457C6A">
            <w:pPr>
              <w:autoSpaceDE w:val="0"/>
              <w:autoSpaceDN w:val="0"/>
              <w:adjustRightInd w:val="0"/>
              <w:spacing w:after="0" w:line="240" w:lineRule="auto"/>
              <w:rPr>
                <w:rFonts w:ascii="Arial" w:hAnsi="Arial" w:cs="Arial"/>
                <w:color w:val="000000"/>
              </w:rPr>
            </w:pPr>
            <w:r w:rsidRPr="00457C6A">
              <w:rPr>
                <w:rFonts w:ascii="Arial" w:hAnsi="Arial" w:cs="Arial"/>
                <w:color w:val="000000"/>
              </w:rPr>
              <w:t>BMC 2</w:t>
            </w:r>
            <w:r w:rsidRPr="00457C6A">
              <w:rPr>
                <w:rFonts w:ascii="Arial" w:hAnsi="Arial" w:cs="Arial"/>
                <w:color w:val="000000"/>
                <w:sz w:val="14"/>
                <w:szCs w:val="14"/>
              </w:rPr>
              <w:t xml:space="preserve">nd </w:t>
            </w:r>
            <w:r w:rsidRPr="00457C6A">
              <w:rPr>
                <w:rFonts w:ascii="Arial" w:hAnsi="Arial" w:cs="Arial"/>
                <w:color w:val="000000"/>
              </w:rPr>
              <w:t xml:space="preserve">Line </w:t>
            </w:r>
          </w:p>
        </w:tc>
        <w:tc>
          <w:tcPr>
            <w:tcW w:w="7063" w:type="dxa"/>
          </w:tcPr>
          <w:p w14:paraId="70E2C385" w14:textId="77777777" w:rsidR="00457C6A" w:rsidRPr="00457C6A" w:rsidRDefault="00457C6A" w:rsidP="00457C6A">
            <w:pPr>
              <w:autoSpaceDE w:val="0"/>
              <w:autoSpaceDN w:val="0"/>
              <w:adjustRightInd w:val="0"/>
              <w:spacing w:after="0" w:line="240" w:lineRule="auto"/>
              <w:rPr>
                <w:rFonts w:ascii="Arial" w:hAnsi="Arial" w:cs="Arial"/>
                <w:color w:val="000000"/>
              </w:rPr>
            </w:pPr>
            <w:r w:rsidRPr="00457C6A">
              <w:rPr>
                <w:rFonts w:ascii="Arial" w:hAnsi="Arial" w:cs="Arial"/>
                <w:color w:val="000000"/>
              </w:rPr>
              <w:t xml:space="preserve">Provision of Level 2 support and fault escalation </w:t>
            </w:r>
          </w:p>
        </w:tc>
      </w:tr>
      <w:tr w:rsidR="00457C6A" w:rsidRPr="00457C6A" w14:paraId="576CF5F4" w14:textId="77777777" w:rsidTr="00457C6A">
        <w:tblPrEx>
          <w:tblCellMar>
            <w:top w:w="0" w:type="dxa"/>
            <w:bottom w:w="0" w:type="dxa"/>
          </w:tblCellMar>
        </w:tblPrEx>
        <w:trPr>
          <w:trHeight w:val="249"/>
        </w:trPr>
        <w:tc>
          <w:tcPr>
            <w:tcW w:w="2655" w:type="dxa"/>
          </w:tcPr>
          <w:p w14:paraId="5DD2C616" w14:textId="77777777" w:rsidR="00457C6A" w:rsidRPr="00457C6A" w:rsidRDefault="00457C6A" w:rsidP="00457C6A">
            <w:pPr>
              <w:autoSpaceDE w:val="0"/>
              <w:autoSpaceDN w:val="0"/>
              <w:adjustRightInd w:val="0"/>
              <w:spacing w:after="0" w:line="240" w:lineRule="auto"/>
              <w:rPr>
                <w:rFonts w:ascii="Arial" w:hAnsi="Arial" w:cs="Arial"/>
                <w:color w:val="000000"/>
              </w:rPr>
            </w:pPr>
            <w:r w:rsidRPr="00457C6A">
              <w:rPr>
                <w:rFonts w:ascii="Arial" w:hAnsi="Arial" w:cs="Arial"/>
                <w:color w:val="000000"/>
              </w:rPr>
              <w:t xml:space="preserve">Licence Manager </w:t>
            </w:r>
          </w:p>
        </w:tc>
        <w:tc>
          <w:tcPr>
            <w:tcW w:w="7063" w:type="dxa"/>
          </w:tcPr>
          <w:p w14:paraId="7A061BFF" w14:textId="77777777" w:rsidR="00457C6A" w:rsidRPr="00457C6A" w:rsidRDefault="00457C6A" w:rsidP="00457C6A">
            <w:pPr>
              <w:autoSpaceDE w:val="0"/>
              <w:autoSpaceDN w:val="0"/>
              <w:adjustRightInd w:val="0"/>
              <w:spacing w:after="0" w:line="240" w:lineRule="auto"/>
              <w:rPr>
                <w:rFonts w:ascii="Arial" w:hAnsi="Arial" w:cs="Arial"/>
                <w:color w:val="000000"/>
              </w:rPr>
            </w:pPr>
            <w:r w:rsidRPr="00457C6A">
              <w:rPr>
                <w:rFonts w:ascii="Arial" w:hAnsi="Arial" w:cs="Arial"/>
                <w:color w:val="000000"/>
              </w:rPr>
              <w:t xml:space="preserve">Single point of contact for the BMC licence database, liaising with BMC and the Authority to ensure optimised used of licences available under the ELA </w:t>
            </w:r>
          </w:p>
        </w:tc>
      </w:tr>
      <w:tr w:rsidR="00457C6A" w:rsidRPr="00457C6A" w14:paraId="4F274FB4" w14:textId="77777777" w:rsidTr="00457C6A">
        <w:tblPrEx>
          <w:tblCellMar>
            <w:top w:w="0" w:type="dxa"/>
            <w:bottom w:w="0" w:type="dxa"/>
          </w:tblCellMar>
        </w:tblPrEx>
        <w:trPr>
          <w:trHeight w:val="248"/>
        </w:trPr>
        <w:tc>
          <w:tcPr>
            <w:tcW w:w="2655" w:type="dxa"/>
          </w:tcPr>
          <w:p w14:paraId="0A247646" w14:textId="77777777" w:rsidR="00457C6A" w:rsidRPr="00457C6A" w:rsidRDefault="00457C6A" w:rsidP="00457C6A">
            <w:pPr>
              <w:autoSpaceDE w:val="0"/>
              <w:autoSpaceDN w:val="0"/>
              <w:adjustRightInd w:val="0"/>
              <w:spacing w:after="0" w:line="240" w:lineRule="auto"/>
              <w:rPr>
                <w:rFonts w:ascii="Arial" w:hAnsi="Arial" w:cs="Arial"/>
                <w:color w:val="000000"/>
              </w:rPr>
            </w:pPr>
            <w:r w:rsidRPr="00457C6A">
              <w:rPr>
                <w:rFonts w:ascii="Arial" w:hAnsi="Arial" w:cs="Arial"/>
                <w:color w:val="000000"/>
              </w:rPr>
              <w:t xml:space="preserve">Licence Quote Desk </w:t>
            </w:r>
          </w:p>
        </w:tc>
        <w:tc>
          <w:tcPr>
            <w:tcW w:w="7063" w:type="dxa"/>
          </w:tcPr>
          <w:p w14:paraId="33DA0CBC" w14:textId="77777777" w:rsidR="00457C6A" w:rsidRPr="00457C6A" w:rsidRDefault="00457C6A" w:rsidP="00457C6A">
            <w:pPr>
              <w:autoSpaceDE w:val="0"/>
              <w:autoSpaceDN w:val="0"/>
              <w:adjustRightInd w:val="0"/>
              <w:spacing w:after="0" w:line="240" w:lineRule="auto"/>
              <w:rPr>
                <w:rFonts w:ascii="Arial" w:hAnsi="Arial" w:cs="Arial"/>
                <w:color w:val="000000"/>
              </w:rPr>
            </w:pPr>
            <w:r w:rsidRPr="00457C6A">
              <w:rPr>
                <w:rFonts w:ascii="Arial" w:hAnsi="Arial" w:cs="Arial"/>
                <w:color w:val="000000"/>
              </w:rPr>
              <w:t xml:space="preserve">Provision of quotes aligned to the agreed licence rate card. Provision of licence keys upon receipt of a purchase order </w:t>
            </w:r>
          </w:p>
        </w:tc>
      </w:tr>
      <w:tr w:rsidR="00457C6A" w:rsidRPr="00457C6A" w14:paraId="5D335273" w14:textId="77777777" w:rsidTr="00457C6A">
        <w:tblPrEx>
          <w:tblCellMar>
            <w:top w:w="0" w:type="dxa"/>
            <w:bottom w:w="0" w:type="dxa"/>
          </w:tblCellMar>
        </w:tblPrEx>
        <w:trPr>
          <w:trHeight w:val="248"/>
        </w:trPr>
        <w:tc>
          <w:tcPr>
            <w:tcW w:w="2655" w:type="dxa"/>
          </w:tcPr>
          <w:tbl>
            <w:tblPr>
              <w:tblW w:w="9718" w:type="dxa"/>
              <w:tblBorders>
                <w:top w:val="nil"/>
                <w:left w:val="nil"/>
                <w:bottom w:val="nil"/>
                <w:right w:val="nil"/>
              </w:tblBorders>
              <w:tblLayout w:type="fixed"/>
              <w:tblLook w:val="0000" w:firstRow="0" w:lastRow="0" w:firstColumn="0" w:lastColumn="0" w:noHBand="0" w:noVBand="0"/>
            </w:tblPr>
            <w:tblGrid>
              <w:gridCol w:w="4859"/>
              <w:gridCol w:w="4859"/>
            </w:tblGrid>
            <w:tr w:rsidR="00457C6A" w:rsidRPr="00457C6A" w14:paraId="02216C68" w14:textId="77777777" w:rsidTr="00457C6A">
              <w:tblPrEx>
                <w:tblCellMar>
                  <w:top w:w="0" w:type="dxa"/>
                  <w:bottom w:w="0" w:type="dxa"/>
                </w:tblCellMar>
              </w:tblPrEx>
              <w:trPr>
                <w:trHeight w:val="249"/>
              </w:trPr>
              <w:tc>
                <w:tcPr>
                  <w:tcW w:w="4859" w:type="dxa"/>
                </w:tcPr>
                <w:p w14:paraId="32298A34" w14:textId="77777777" w:rsidR="00457C6A" w:rsidRPr="00457C6A" w:rsidRDefault="00457C6A" w:rsidP="00457C6A">
                  <w:pPr>
                    <w:autoSpaceDE w:val="0"/>
                    <w:autoSpaceDN w:val="0"/>
                    <w:adjustRightInd w:val="0"/>
                    <w:spacing w:after="0" w:line="240" w:lineRule="auto"/>
                    <w:rPr>
                      <w:rFonts w:ascii="Arial" w:hAnsi="Arial" w:cs="Arial"/>
                      <w:color w:val="000000"/>
                    </w:rPr>
                  </w:pPr>
                  <w:r w:rsidRPr="00457C6A">
                    <w:rPr>
                      <w:rFonts w:ascii="Arial" w:hAnsi="Arial" w:cs="Arial"/>
                      <w:color w:val="000000"/>
                    </w:rPr>
                    <w:t xml:space="preserve">Adoption Partner </w:t>
                  </w:r>
                </w:p>
              </w:tc>
              <w:tc>
                <w:tcPr>
                  <w:tcW w:w="4859" w:type="dxa"/>
                </w:tcPr>
                <w:p w14:paraId="7EA7B03F" w14:textId="77777777" w:rsidR="00457C6A" w:rsidRPr="00457C6A" w:rsidRDefault="00457C6A" w:rsidP="00457C6A">
                  <w:pPr>
                    <w:autoSpaceDE w:val="0"/>
                    <w:autoSpaceDN w:val="0"/>
                    <w:adjustRightInd w:val="0"/>
                    <w:spacing w:after="0" w:line="240" w:lineRule="auto"/>
                    <w:rPr>
                      <w:rFonts w:ascii="Arial" w:hAnsi="Arial" w:cs="Arial"/>
                      <w:color w:val="000000"/>
                    </w:rPr>
                  </w:pPr>
                  <w:r w:rsidRPr="00457C6A">
                    <w:rPr>
                      <w:rFonts w:ascii="Arial" w:hAnsi="Arial" w:cs="Arial"/>
                      <w:color w:val="000000"/>
                    </w:rPr>
                    <w:t xml:space="preserve">Working across the Authority TLBs to help drive future adoption and standardisation of the BMC toolset </w:t>
                  </w:r>
                </w:p>
              </w:tc>
            </w:tr>
          </w:tbl>
          <w:p w14:paraId="57488DA6" w14:textId="77777777" w:rsidR="00457C6A" w:rsidRPr="00457C6A" w:rsidRDefault="00457C6A" w:rsidP="00457C6A">
            <w:pPr>
              <w:autoSpaceDE w:val="0"/>
              <w:autoSpaceDN w:val="0"/>
              <w:adjustRightInd w:val="0"/>
              <w:spacing w:after="0" w:line="240" w:lineRule="auto"/>
              <w:rPr>
                <w:rFonts w:ascii="Arial" w:hAnsi="Arial" w:cs="Arial"/>
                <w:color w:val="000000"/>
              </w:rPr>
            </w:pPr>
          </w:p>
        </w:tc>
        <w:tc>
          <w:tcPr>
            <w:tcW w:w="7063" w:type="dxa"/>
          </w:tcPr>
          <w:p w14:paraId="156EF82B" w14:textId="77777777" w:rsidR="00457C6A" w:rsidRPr="00457C6A" w:rsidRDefault="00457C6A" w:rsidP="00457C6A">
            <w:pPr>
              <w:pStyle w:val="Default"/>
              <w:rPr>
                <w:rFonts w:ascii="Arial" w:hAnsi="Arial" w:cs="Arial"/>
              </w:rPr>
            </w:pPr>
            <w:r w:rsidRPr="00457C6A">
              <w:rPr>
                <w:rFonts w:ascii="Arial" w:hAnsi="Arial" w:cs="Arial"/>
                <w:sz w:val="22"/>
                <w:szCs w:val="22"/>
              </w:rPr>
              <w:t xml:space="preserve">Working across the Authority TLBs to help drive future adoption and standardisation of the BMC toolset </w:t>
            </w:r>
          </w:p>
        </w:tc>
      </w:tr>
      <w:tr w:rsidR="00457C6A" w:rsidRPr="00457C6A" w14:paraId="3D6E0346" w14:textId="77777777" w:rsidTr="00457C6A">
        <w:tblPrEx>
          <w:tblCellMar>
            <w:top w:w="0" w:type="dxa"/>
            <w:bottom w:w="0" w:type="dxa"/>
          </w:tblCellMar>
        </w:tblPrEx>
        <w:trPr>
          <w:trHeight w:val="248"/>
        </w:trPr>
        <w:tc>
          <w:tcPr>
            <w:tcW w:w="2655" w:type="dxa"/>
          </w:tcPr>
          <w:p w14:paraId="14EEF4E6" w14:textId="77777777" w:rsidR="00457C6A" w:rsidRPr="00457C6A" w:rsidRDefault="00457C6A" w:rsidP="00457C6A">
            <w:pPr>
              <w:autoSpaceDE w:val="0"/>
              <w:autoSpaceDN w:val="0"/>
              <w:adjustRightInd w:val="0"/>
              <w:spacing w:after="0" w:line="240" w:lineRule="auto"/>
              <w:rPr>
                <w:rFonts w:ascii="Arial" w:hAnsi="Arial" w:cs="Arial"/>
                <w:color w:val="000000"/>
              </w:rPr>
            </w:pPr>
            <w:r w:rsidRPr="00457C6A">
              <w:rPr>
                <w:rFonts w:ascii="Arial" w:hAnsi="Arial" w:cs="Arial"/>
                <w:color w:val="000000"/>
              </w:rPr>
              <w:t>Partner Support</w:t>
            </w:r>
          </w:p>
        </w:tc>
        <w:tc>
          <w:tcPr>
            <w:tcW w:w="7063" w:type="dxa"/>
          </w:tcPr>
          <w:p w14:paraId="2E35DD58" w14:textId="77777777" w:rsidR="00457C6A" w:rsidRPr="00457C6A" w:rsidRDefault="00457C6A" w:rsidP="00457C6A">
            <w:pPr>
              <w:pStyle w:val="Default"/>
              <w:rPr>
                <w:rFonts w:ascii="Arial" w:hAnsi="Arial" w:cs="Arial"/>
              </w:rPr>
            </w:pPr>
            <w:r w:rsidRPr="00457C6A">
              <w:rPr>
                <w:rFonts w:ascii="Arial" w:hAnsi="Arial" w:cs="Arial"/>
                <w:sz w:val="22"/>
                <w:szCs w:val="22"/>
              </w:rPr>
              <w:t xml:space="preserve">A combination of Atos and BMC partners professional services teams to provide support in pre-sales engagements and subsequently agreed projects delivery aligned to the published rate card </w:t>
            </w:r>
          </w:p>
          <w:p w14:paraId="63793EE0" w14:textId="77777777" w:rsidR="00457C6A" w:rsidRPr="00457C6A" w:rsidRDefault="00457C6A" w:rsidP="00457C6A">
            <w:pPr>
              <w:pStyle w:val="Default"/>
              <w:rPr>
                <w:rFonts w:ascii="Arial" w:hAnsi="Arial" w:cs="Arial"/>
                <w:sz w:val="22"/>
                <w:szCs w:val="22"/>
              </w:rPr>
            </w:pPr>
          </w:p>
        </w:tc>
      </w:tr>
    </w:tbl>
    <w:p w14:paraId="40805D7C" w14:textId="77777777" w:rsidR="00457C6A" w:rsidRPr="00457C6A" w:rsidRDefault="00457C6A" w:rsidP="009C4D17">
      <w:pPr>
        <w:rPr>
          <w:rFonts w:ascii="Arial" w:hAnsi="Arial" w:cs="Arial"/>
          <w:sz w:val="24"/>
          <w:szCs w:val="20"/>
        </w:rPr>
      </w:pPr>
    </w:p>
    <w:p w14:paraId="178F3BB6" w14:textId="77777777" w:rsidR="00796914" w:rsidRPr="00796914" w:rsidRDefault="00796914" w:rsidP="00796914">
      <w:pPr>
        <w:autoSpaceDE w:val="0"/>
        <w:autoSpaceDN w:val="0"/>
        <w:adjustRightInd w:val="0"/>
        <w:spacing w:after="0" w:line="240" w:lineRule="auto"/>
        <w:rPr>
          <w:rFonts w:ascii="Arial" w:hAnsi="Arial" w:cs="Arial"/>
          <w:color w:val="000000"/>
        </w:rPr>
      </w:pPr>
      <w:r w:rsidRPr="00796914">
        <w:rPr>
          <w:rFonts w:ascii="Arial" w:hAnsi="Arial" w:cs="Arial"/>
          <w:color w:val="000000"/>
        </w:rPr>
        <w:t xml:space="preserve">Escalation of issues and complaints will follow a proven Atos process, tailored to your operational needs. To ensure critical issues are raised in a timely manner and to avoid adverse operational impacts we, and our support partners, will work during transition to identify and integrate all necessary escalation triggers and business rules into our approach. This will include escalation timeframes, paths, procedures, and contacts, enabling appropriate alignment of resources to incidents based on their severity and key organisational performance objectives and priorities. </w:t>
      </w:r>
    </w:p>
    <w:p w14:paraId="6CF26A8A" w14:textId="77777777" w:rsidR="00796914" w:rsidRPr="00457C6A" w:rsidRDefault="00796914" w:rsidP="00796914">
      <w:pPr>
        <w:rPr>
          <w:rFonts w:ascii="Arial" w:hAnsi="Arial" w:cs="Arial"/>
          <w:sz w:val="24"/>
          <w:szCs w:val="20"/>
        </w:rPr>
      </w:pPr>
      <w:r w:rsidRPr="00796914">
        <w:rPr>
          <w:rFonts w:ascii="Arial" w:hAnsi="Arial" w:cs="Arial"/>
          <w:color w:val="000000"/>
        </w:rPr>
        <w:t>Atos will use management data for problem analysis, looking for opportunities for improvement before issues occur. We will continually seek to improve levels of service through continuous service improvement initiatives. If issue does occur that is not resolved within service level expectations, we will achieve resolution through established escalation channels. Initially, we anticipate utilising the escalation matrix below:</w:t>
      </w:r>
    </w:p>
    <w:tbl>
      <w:tblPr>
        <w:tblStyle w:val="TableGrid"/>
        <w:tblW w:w="0" w:type="auto"/>
        <w:tblLook w:val="04A0" w:firstRow="1" w:lastRow="0" w:firstColumn="1" w:lastColumn="0" w:noHBand="0" w:noVBand="1"/>
      </w:tblPr>
      <w:tblGrid>
        <w:gridCol w:w="1413"/>
        <w:gridCol w:w="3827"/>
        <w:gridCol w:w="3776"/>
      </w:tblGrid>
      <w:tr w:rsidR="00796914" w:rsidRPr="00796914" w14:paraId="65A6BA62" w14:textId="77777777" w:rsidTr="00796914">
        <w:trPr>
          <w:trHeight w:val="103"/>
        </w:trPr>
        <w:tc>
          <w:tcPr>
            <w:tcW w:w="1413" w:type="dxa"/>
          </w:tcPr>
          <w:p w14:paraId="2AEE1D88" w14:textId="77777777" w:rsidR="00796914" w:rsidRPr="00796914" w:rsidRDefault="00796914" w:rsidP="00796914">
            <w:pPr>
              <w:autoSpaceDE w:val="0"/>
              <w:autoSpaceDN w:val="0"/>
              <w:adjustRightInd w:val="0"/>
              <w:rPr>
                <w:rFonts w:ascii="Arial" w:hAnsi="Arial" w:cs="Arial"/>
                <w:color w:val="000000"/>
              </w:rPr>
            </w:pPr>
            <w:r w:rsidRPr="00796914">
              <w:rPr>
                <w:rFonts w:ascii="Arial" w:hAnsi="Arial" w:cs="Arial"/>
                <w:b/>
                <w:bCs/>
                <w:color w:val="000000"/>
              </w:rPr>
              <w:t xml:space="preserve">Topic </w:t>
            </w:r>
          </w:p>
        </w:tc>
        <w:tc>
          <w:tcPr>
            <w:tcW w:w="3827" w:type="dxa"/>
          </w:tcPr>
          <w:p w14:paraId="0BEFA561" w14:textId="77777777" w:rsidR="00796914" w:rsidRPr="00796914" w:rsidRDefault="00796914" w:rsidP="00796914">
            <w:pPr>
              <w:autoSpaceDE w:val="0"/>
              <w:autoSpaceDN w:val="0"/>
              <w:adjustRightInd w:val="0"/>
              <w:rPr>
                <w:rFonts w:ascii="Arial" w:hAnsi="Arial" w:cs="Arial"/>
                <w:color w:val="000000"/>
              </w:rPr>
            </w:pPr>
            <w:r w:rsidRPr="00796914">
              <w:rPr>
                <w:rFonts w:ascii="Arial" w:hAnsi="Arial" w:cs="Arial"/>
                <w:b/>
                <w:bCs/>
                <w:color w:val="000000"/>
              </w:rPr>
              <w:t xml:space="preserve">Escalation Trigger </w:t>
            </w:r>
          </w:p>
        </w:tc>
        <w:tc>
          <w:tcPr>
            <w:tcW w:w="3776" w:type="dxa"/>
          </w:tcPr>
          <w:p w14:paraId="03A82BD8" w14:textId="77777777" w:rsidR="00796914" w:rsidRPr="00796914" w:rsidRDefault="00796914" w:rsidP="00796914">
            <w:pPr>
              <w:autoSpaceDE w:val="0"/>
              <w:autoSpaceDN w:val="0"/>
              <w:adjustRightInd w:val="0"/>
              <w:rPr>
                <w:rFonts w:ascii="Arial" w:hAnsi="Arial" w:cs="Arial"/>
                <w:color w:val="000000"/>
              </w:rPr>
            </w:pPr>
            <w:r w:rsidRPr="00796914">
              <w:rPr>
                <w:rFonts w:ascii="Arial" w:hAnsi="Arial" w:cs="Arial"/>
                <w:b/>
                <w:bCs/>
                <w:color w:val="000000"/>
              </w:rPr>
              <w:t xml:space="preserve">Escalation Path </w:t>
            </w:r>
          </w:p>
        </w:tc>
      </w:tr>
      <w:tr w:rsidR="00796914" w:rsidRPr="00796914" w14:paraId="20ED62DF" w14:textId="77777777" w:rsidTr="00796914">
        <w:trPr>
          <w:trHeight w:val="604"/>
        </w:trPr>
        <w:tc>
          <w:tcPr>
            <w:tcW w:w="1413" w:type="dxa"/>
          </w:tcPr>
          <w:p w14:paraId="4849354A" w14:textId="77777777" w:rsidR="00796914" w:rsidRPr="00796914" w:rsidRDefault="00796914" w:rsidP="00796914">
            <w:pPr>
              <w:autoSpaceDE w:val="0"/>
              <w:autoSpaceDN w:val="0"/>
              <w:adjustRightInd w:val="0"/>
              <w:rPr>
                <w:rFonts w:ascii="Arial" w:hAnsi="Arial" w:cs="Arial"/>
                <w:color w:val="000000"/>
              </w:rPr>
            </w:pPr>
            <w:r w:rsidRPr="00796914">
              <w:rPr>
                <w:rFonts w:ascii="Arial" w:hAnsi="Arial" w:cs="Arial"/>
                <w:color w:val="000000"/>
              </w:rPr>
              <w:t xml:space="preserve">Licence Delivery Issues </w:t>
            </w:r>
          </w:p>
        </w:tc>
        <w:tc>
          <w:tcPr>
            <w:tcW w:w="3827" w:type="dxa"/>
          </w:tcPr>
          <w:p w14:paraId="3B8E431B" w14:textId="77777777" w:rsidR="00796914" w:rsidRPr="00796914" w:rsidRDefault="00796914" w:rsidP="00796914">
            <w:pPr>
              <w:autoSpaceDE w:val="0"/>
              <w:autoSpaceDN w:val="0"/>
              <w:adjustRightInd w:val="0"/>
              <w:rPr>
                <w:rFonts w:ascii="Arial" w:hAnsi="Arial" w:cs="Arial"/>
                <w:sz w:val="24"/>
                <w:szCs w:val="24"/>
              </w:rPr>
            </w:pPr>
          </w:p>
          <w:p w14:paraId="5BB139E0" w14:textId="77777777" w:rsidR="00796914" w:rsidRPr="00796914" w:rsidRDefault="00796914" w:rsidP="00796914">
            <w:pPr>
              <w:autoSpaceDE w:val="0"/>
              <w:autoSpaceDN w:val="0"/>
              <w:adjustRightInd w:val="0"/>
              <w:rPr>
                <w:rFonts w:ascii="Arial" w:hAnsi="Arial" w:cs="Arial"/>
                <w:color w:val="000000"/>
              </w:rPr>
            </w:pPr>
            <w:r w:rsidRPr="00796914">
              <w:rPr>
                <w:rFonts w:ascii="Arial" w:hAnsi="Arial" w:cs="Arial"/>
                <w:color w:val="000000"/>
              </w:rPr>
              <w:t xml:space="preserve">1. Delivery SLA KPI breach as reported within Monthly Report. </w:t>
            </w:r>
          </w:p>
          <w:p w14:paraId="390622C3" w14:textId="77777777" w:rsidR="00796914" w:rsidRPr="00796914" w:rsidRDefault="00796914" w:rsidP="00796914">
            <w:pPr>
              <w:autoSpaceDE w:val="0"/>
              <w:autoSpaceDN w:val="0"/>
              <w:adjustRightInd w:val="0"/>
              <w:rPr>
                <w:rFonts w:ascii="Arial" w:hAnsi="Arial" w:cs="Arial"/>
                <w:color w:val="000000"/>
              </w:rPr>
            </w:pPr>
            <w:r w:rsidRPr="00796914">
              <w:rPr>
                <w:rFonts w:ascii="Arial" w:hAnsi="Arial" w:cs="Arial"/>
                <w:color w:val="000000"/>
              </w:rPr>
              <w:t xml:space="preserve">2. Mismatch of licence provision vs licence usage </w:t>
            </w:r>
          </w:p>
          <w:p w14:paraId="3B706B41" w14:textId="77777777" w:rsidR="00796914" w:rsidRPr="00796914" w:rsidRDefault="00796914" w:rsidP="00796914">
            <w:pPr>
              <w:autoSpaceDE w:val="0"/>
              <w:autoSpaceDN w:val="0"/>
              <w:adjustRightInd w:val="0"/>
              <w:rPr>
                <w:rFonts w:ascii="Arial" w:hAnsi="Arial" w:cs="Arial"/>
                <w:color w:val="000000"/>
              </w:rPr>
            </w:pPr>
          </w:p>
        </w:tc>
        <w:tc>
          <w:tcPr>
            <w:tcW w:w="3776" w:type="dxa"/>
          </w:tcPr>
          <w:p w14:paraId="62CF8357" w14:textId="77777777" w:rsidR="00796914" w:rsidRPr="00796914" w:rsidRDefault="00796914" w:rsidP="00796914">
            <w:pPr>
              <w:autoSpaceDE w:val="0"/>
              <w:autoSpaceDN w:val="0"/>
              <w:adjustRightInd w:val="0"/>
              <w:rPr>
                <w:rFonts w:ascii="Arial" w:hAnsi="Arial" w:cs="Arial"/>
                <w:sz w:val="24"/>
                <w:szCs w:val="24"/>
              </w:rPr>
            </w:pPr>
          </w:p>
          <w:p w14:paraId="4DEE7B91" w14:textId="77777777" w:rsidR="00796914" w:rsidRPr="00796914" w:rsidRDefault="00796914" w:rsidP="00796914">
            <w:pPr>
              <w:autoSpaceDE w:val="0"/>
              <w:autoSpaceDN w:val="0"/>
              <w:adjustRightInd w:val="0"/>
              <w:rPr>
                <w:rFonts w:ascii="Arial" w:hAnsi="Arial" w:cs="Arial"/>
                <w:color w:val="000000"/>
              </w:rPr>
            </w:pPr>
            <w:r w:rsidRPr="00796914">
              <w:rPr>
                <w:rFonts w:ascii="Arial" w:hAnsi="Arial" w:cs="Arial"/>
                <w:color w:val="000000"/>
              </w:rPr>
              <w:t xml:space="preserve">1. ELA Service Delivery Manager &amp; Atos Client Delivery Partner. </w:t>
            </w:r>
          </w:p>
          <w:p w14:paraId="51075725" w14:textId="77777777" w:rsidR="00796914" w:rsidRPr="00796914" w:rsidRDefault="00796914" w:rsidP="00796914">
            <w:pPr>
              <w:autoSpaceDE w:val="0"/>
              <w:autoSpaceDN w:val="0"/>
              <w:adjustRightInd w:val="0"/>
              <w:rPr>
                <w:rFonts w:ascii="Arial" w:hAnsi="Arial" w:cs="Arial"/>
                <w:color w:val="000000"/>
              </w:rPr>
            </w:pPr>
            <w:r w:rsidRPr="00796914">
              <w:rPr>
                <w:rFonts w:ascii="Arial" w:hAnsi="Arial" w:cs="Arial"/>
                <w:color w:val="000000"/>
              </w:rPr>
              <w:t xml:space="preserve">2. ELA Service Delivery Manager / Dep </w:t>
            </w:r>
            <w:proofErr w:type="spellStart"/>
            <w:r w:rsidRPr="00796914">
              <w:rPr>
                <w:rFonts w:ascii="Arial" w:hAnsi="Arial" w:cs="Arial"/>
                <w:color w:val="000000"/>
              </w:rPr>
              <w:t>Hd</w:t>
            </w:r>
            <w:proofErr w:type="spellEnd"/>
            <w:r w:rsidRPr="00796914">
              <w:rPr>
                <w:rFonts w:ascii="Arial" w:hAnsi="Arial" w:cs="Arial"/>
                <w:color w:val="000000"/>
              </w:rPr>
              <w:t xml:space="preserve"> Service Performance </w:t>
            </w:r>
          </w:p>
          <w:p w14:paraId="21A70EBE" w14:textId="77777777" w:rsidR="00796914" w:rsidRPr="00796914" w:rsidRDefault="00796914" w:rsidP="00796914">
            <w:pPr>
              <w:autoSpaceDE w:val="0"/>
              <w:autoSpaceDN w:val="0"/>
              <w:adjustRightInd w:val="0"/>
              <w:rPr>
                <w:rFonts w:ascii="Arial" w:hAnsi="Arial" w:cs="Arial"/>
                <w:color w:val="000000"/>
              </w:rPr>
            </w:pPr>
          </w:p>
        </w:tc>
      </w:tr>
      <w:tr w:rsidR="00796914" w:rsidRPr="00796914" w14:paraId="0EA43F76" w14:textId="77777777" w:rsidTr="00796914">
        <w:trPr>
          <w:trHeight w:val="332"/>
        </w:trPr>
        <w:tc>
          <w:tcPr>
            <w:tcW w:w="1413" w:type="dxa"/>
          </w:tcPr>
          <w:p w14:paraId="4DF6C24D" w14:textId="77777777" w:rsidR="00796914" w:rsidRPr="00796914" w:rsidRDefault="00796914" w:rsidP="00796914">
            <w:pPr>
              <w:autoSpaceDE w:val="0"/>
              <w:autoSpaceDN w:val="0"/>
              <w:adjustRightInd w:val="0"/>
              <w:rPr>
                <w:rFonts w:ascii="Arial" w:hAnsi="Arial" w:cs="Arial"/>
                <w:color w:val="000000"/>
              </w:rPr>
            </w:pPr>
            <w:r w:rsidRPr="00796914">
              <w:rPr>
                <w:rFonts w:ascii="Arial" w:hAnsi="Arial" w:cs="Arial"/>
                <w:color w:val="000000"/>
              </w:rPr>
              <w:t xml:space="preserve">Support Issues </w:t>
            </w:r>
          </w:p>
        </w:tc>
        <w:tc>
          <w:tcPr>
            <w:tcW w:w="3827" w:type="dxa"/>
          </w:tcPr>
          <w:p w14:paraId="0E88F425" w14:textId="77777777" w:rsidR="00796914" w:rsidRPr="00796914" w:rsidRDefault="00796914" w:rsidP="00796914">
            <w:pPr>
              <w:autoSpaceDE w:val="0"/>
              <w:autoSpaceDN w:val="0"/>
              <w:adjustRightInd w:val="0"/>
              <w:rPr>
                <w:rFonts w:ascii="Arial" w:hAnsi="Arial" w:cs="Arial"/>
                <w:sz w:val="24"/>
                <w:szCs w:val="24"/>
              </w:rPr>
            </w:pPr>
          </w:p>
          <w:p w14:paraId="370ADFB2" w14:textId="77777777" w:rsidR="00796914" w:rsidRPr="00796914" w:rsidRDefault="00796914" w:rsidP="00796914">
            <w:pPr>
              <w:autoSpaceDE w:val="0"/>
              <w:autoSpaceDN w:val="0"/>
              <w:adjustRightInd w:val="0"/>
              <w:rPr>
                <w:rFonts w:ascii="Arial" w:hAnsi="Arial" w:cs="Arial"/>
                <w:color w:val="000000"/>
              </w:rPr>
            </w:pPr>
            <w:r w:rsidRPr="00796914">
              <w:rPr>
                <w:rFonts w:ascii="Arial" w:hAnsi="Arial" w:cs="Arial"/>
                <w:color w:val="000000"/>
              </w:rPr>
              <w:t xml:space="preserve">1. Authority customer escalation of Level 1 support issue </w:t>
            </w:r>
          </w:p>
          <w:p w14:paraId="3734889B" w14:textId="77777777" w:rsidR="00796914" w:rsidRPr="00796914" w:rsidRDefault="00796914" w:rsidP="00796914">
            <w:pPr>
              <w:autoSpaceDE w:val="0"/>
              <w:autoSpaceDN w:val="0"/>
              <w:adjustRightInd w:val="0"/>
              <w:rPr>
                <w:rFonts w:ascii="Arial" w:hAnsi="Arial" w:cs="Arial"/>
                <w:color w:val="000000"/>
              </w:rPr>
            </w:pPr>
          </w:p>
        </w:tc>
        <w:tc>
          <w:tcPr>
            <w:tcW w:w="3776" w:type="dxa"/>
          </w:tcPr>
          <w:p w14:paraId="75696D16" w14:textId="77777777" w:rsidR="00796914" w:rsidRPr="00796914" w:rsidRDefault="00796914" w:rsidP="00796914">
            <w:pPr>
              <w:autoSpaceDE w:val="0"/>
              <w:autoSpaceDN w:val="0"/>
              <w:adjustRightInd w:val="0"/>
              <w:rPr>
                <w:rFonts w:ascii="Arial" w:hAnsi="Arial" w:cs="Arial"/>
                <w:sz w:val="24"/>
                <w:szCs w:val="24"/>
              </w:rPr>
            </w:pPr>
          </w:p>
          <w:p w14:paraId="688AC978" w14:textId="77777777" w:rsidR="00796914" w:rsidRPr="00796914" w:rsidRDefault="00796914" w:rsidP="00796914">
            <w:pPr>
              <w:autoSpaceDE w:val="0"/>
              <w:autoSpaceDN w:val="0"/>
              <w:adjustRightInd w:val="0"/>
              <w:rPr>
                <w:rFonts w:ascii="Arial" w:hAnsi="Arial" w:cs="Arial"/>
                <w:color w:val="000000"/>
              </w:rPr>
            </w:pPr>
            <w:r w:rsidRPr="00796914">
              <w:rPr>
                <w:rFonts w:ascii="Arial" w:hAnsi="Arial" w:cs="Arial"/>
                <w:color w:val="000000"/>
              </w:rPr>
              <w:t xml:space="preserve">1. ELA Service Delivery Manager / Dep </w:t>
            </w:r>
            <w:proofErr w:type="spellStart"/>
            <w:r w:rsidRPr="00796914">
              <w:rPr>
                <w:rFonts w:ascii="Arial" w:hAnsi="Arial" w:cs="Arial"/>
                <w:color w:val="000000"/>
              </w:rPr>
              <w:t>Hd</w:t>
            </w:r>
            <w:proofErr w:type="spellEnd"/>
            <w:r w:rsidRPr="00796914">
              <w:rPr>
                <w:rFonts w:ascii="Arial" w:hAnsi="Arial" w:cs="Arial"/>
                <w:color w:val="000000"/>
              </w:rPr>
              <w:t xml:space="preserve"> Service Performance </w:t>
            </w:r>
          </w:p>
          <w:p w14:paraId="2F5FF0C3" w14:textId="77777777" w:rsidR="00796914" w:rsidRPr="00796914" w:rsidRDefault="00796914" w:rsidP="00796914">
            <w:pPr>
              <w:autoSpaceDE w:val="0"/>
              <w:autoSpaceDN w:val="0"/>
              <w:adjustRightInd w:val="0"/>
              <w:rPr>
                <w:rFonts w:ascii="Arial" w:hAnsi="Arial" w:cs="Arial"/>
                <w:color w:val="000000"/>
              </w:rPr>
            </w:pPr>
          </w:p>
        </w:tc>
      </w:tr>
      <w:tr w:rsidR="00796914" w:rsidRPr="00796914" w14:paraId="152605CC" w14:textId="77777777" w:rsidTr="00796914">
        <w:trPr>
          <w:trHeight w:val="388"/>
        </w:trPr>
        <w:tc>
          <w:tcPr>
            <w:tcW w:w="1413" w:type="dxa"/>
          </w:tcPr>
          <w:p w14:paraId="4E234471" w14:textId="77777777" w:rsidR="00796914" w:rsidRPr="00796914" w:rsidRDefault="00796914" w:rsidP="00796914">
            <w:pPr>
              <w:autoSpaceDE w:val="0"/>
              <w:autoSpaceDN w:val="0"/>
              <w:adjustRightInd w:val="0"/>
              <w:rPr>
                <w:rFonts w:ascii="Arial" w:hAnsi="Arial" w:cs="Arial"/>
                <w:color w:val="000000"/>
              </w:rPr>
            </w:pPr>
            <w:r w:rsidRPr="00796914">
              <w:rPr>
                <w:rFonts w:ascii="Arial" w:hAnsi="Arial" w:cs="Arial"/>
                <w:color w:val="000000"/>
              </w:rPr>
              <w:t xml:space="preserve">Commercial Issues </w:t>
            </w:r>
          </w:p>
        </w:tc>
        <w:tc>
          <w:tcPr>
            <w:tcW w:w="3827" w:type="dxa"/>
          </w:tcPr>
          <w:p w14:paraId="3A059431" w14:textId="77777777" w:rsidR="00796914" w:rsidRPr="00796914" w:rsidRDefault="00796914" w:rsidP="00796914">
            <w:pPr>
              <w:autoSpaceDE w:val="0"/>
              <w:autoSpaceDN w:val="0"/>
              <w:adjustRightInd w:val="0"/>
              <w:rPr>
                <w:rFonts w:ascii="Arial" w:hAnsi="Arial" w:cs="Arial"/>
                <w:sz w:val="24"/>
                <w:szCs w:val="24"/>
              </w:rPr>
            </w:pPr>
          </w:p>
          <w:p w14:paraId="03130049" w14:textId="77777777" w:rsidR="00796914" w:rsidRPr="00796914" w:rsidRDefault="00796914" w:rsidP="00796914">
            <w:pPr>
              <w:autoSpaceDE w:val="0"/>
              <w:autoSpaceDN w:val="0"/>
              <w:adjustRightInd w:val="0"/>
              <w:rPr>
                <w:rFonts w:ascii="Arial" w:hAnsi="Arial" w:cs="Arial"/>
                <w:color w:val="000000"/>
              </w:rPr>
            </w:pPr>
            <w:r w:rsidRPr="00796914">
              <w:rPr>
                <w:rFonts w:ascii="Arial" w:hAnsi="Arial" w:cs="Arial"/>
                <w:color w:val="000000"/>
              </w:rPr>
              <w:t xml:space="preserve">1. Discrepancy or disagreement on reporting or technical nature of deliverables </w:t>
            </w:r>
          </w:p>
          <w:p w14:paraId="0AFE93E4" w14:textId="77777777" w:rsidR="00796914" w:rsidRPr="00796914" w:rsidRDefault="00796914" w:rsidP="00796914">
            <w:pPr>
              <w:autoSpaceDE w:val="0"/>
              <w:autoSpaceDN w:val="0"/>
              <w:adjustRightInd w:val="0"/>
              <w:rPr>
                <w:rFonts w:ascii="Arial" w:hAnsi="Arial" w:cs="Arial"/>
                <w:color w:val="000000"/>
              </w:rPr>
            </w:pPr>
          </w:p>
        </w:tc>
        <w:tc>
          <w:tcPr>
            <w:tcW w:w="3776" w:type="dxa"/>
          </w:tcPr>
          <w:p w14:paraId="637C3B1D" w14:textId="77777777" w:rsidR="00796914" w:rsidRPr="00796914" w:rsidRDefault="00796914" w:rsidP="00796914">
            <w:pPr>
              <w:autoSpaceDE w:val="0"/>
              <w:autoSpaceDN w:val="0"/>
              <w:adjustRightInd w:val="0"/>
              <w:rPr>
                <w:rFonts w:ascii="Arial" w:hAnsi="Arial" w:cs="Arial"/>
                <w:sz w:val="24"/>
                <w:szCs w:val="24"/>
              </w:rPr>
            </w:pPr>
          </w:p>
          <w:p w14:paraId="2FF4BB97" w14:textId="77777777" w:rsidR="00796914" w:rsidRPr="00796914" w:rsidRDefault="00796914" w:rsidP="00796914">
            <w:pPr>
              <w:autoSpaceDE w:val="0"/>
              <w:autoSpaceDN w:val="0"/>
              <w:adjustRightInd w:val="0"/>
              <w:rPr>
                <w:rFonts w:ascii="Arial" w:hAnsi="Arial" w:cs="Arial"/>
                <w:color w:val="000000"/>
              </w:rPr>
            </w:pPr>
            <w:r w:rsidRPr="00796914">
              <w:rPr>
                <w:rFonts w:ascii="Arial" w:hAnsi="Arial" w:cs="Arial"/>
                <w:color w:val="000000"/>
              </w:rPr>
              <w:t xml:space="preserve">1. ELA Service Delivery Manager / Dep </w:t>
            </w:r>
            <w:proofErr w:type="spellStart"/>
            <w:r w:rsidRPr="00796914">
              <w:rPr>
                <w:rFonts w:ascii="Arial" w:hAnsi="Arial" w:cs="Arial"/>
                <w:color w:val="000000"/>
              </w:rPr>
              <w:t>Hd</w:t>
            </w:r>
            <w:proofErr w:type="spellEnd"/>
            <w:r w:rsidRPr="00796914">
              <w:rPr>
                <w:rFonts w:ascii="Arial" w:hAnsi="Arial" w:cs="Arial"/>
                <w:color w:val="000000"/>
              </w:rPr>
              <w:t xml:space="preserve"> Service Performance </w:t>
            </w:r>
          </w:p>
          <w:p w14:paraId="5ACD6845" w14:textId="77777777" w:rsidR="00796914" w:rsidRPr="00796914" w:rsidRDefault="00796914" w:rsidP="00796914">
            <w:pPr>
              <w:autoSpaceDE w:val="0"/>
              <w:autoSpaceDN w:val="0"/>
              <w:adjustRightInd w:val="0"/>
              <w:rPr>
                <w:rFonts w:ascii="Arial" w:hAnsi="Arial" w:cs="Arial"/>
                <w:color w:val="000000"/>
              </w:rPr>
            </w:pPr>
          </w:p>
        </w:tc>
      </w:tr>
      <w:tr w:rsidR="00796914" w:rsidRPr="00796914" w14:paraId="7AB2004C" w14:textId="77777777" w:rsidTr="00796914">
        <w:trPr>
          <w:trHeight w:val="536"/>
        </w:trPr>
        <w:tc>
          <w:tcPr>
            <w:tcW w:w="1413" w:type="dxa"/>
          </w:tcPr>
          <w:p w14:paraId="6EB917B5" w14:textId="77777777" w:rsidR="00796914" w:rsidRPr="00796914" w:rsidRDefault="00796914" w:rsidP="00796914">
            <w:pPr>
              <w:autoSpaceDE w:val="0"/>
              <w:autoSpaceDN w:val="0"/>
              <w:adjustRightInd w:val="0"/>
              <w:rPr>
                <w:rFonts w:ascii="Arial" w:hAnsi="Arial" w:cs="Arial"/>
                <w:color w:val="000000"/>
              </w:rPr>
            </w:pPr>
            <w:r w:rsidRPr="00796914">
              <w:rPr>
                <w:rFonts w:ascii="Arial" w:hAnsi="Arial" w:cs="Arial"/>
                <w:color w:val="000000"/>
              </w:rPr>
              <w:t xml:space="preserve">Tooling Architectural Coherence Issues </w:t>
            </w:r>
          </w:p>
        </w:tc>
        <w:tc>
          <w:tcPr>
            <w:tcW w:w="3827" w:type="dxa"/>
          </w:tcPr>
          <w:p w14:paraId="4DCF6839" w14:textId="77777777" w:rsidR="00796914" w:rsidRPr="00796914" w:rsidRDefault="00796914" w:rsidP="00796914">
            <w:pPr>
              <w:autoSpaceDE w:val="0"/>
              <w:autoSpaceDN w:val="0"/>
              <w:adjustRightInd w:val="0"/>
              <w:rPr>
                <w:rFonts w:ascii="Arial" w:hAnsi="Arial" w:cs="Arial"/>
                <w:sz w:val="24"/>
                <w:szCs w:val="24"/>
              </w:rPr>
            </w:pPr>
          </w:p>
          <w:p w14:paraId="28DE3B15" w14:textId="77777777" w:rsidR="00796914" w:rsidRPr="00796914" w:rsidRDefault="00796914" w:rsidP="00796914">
            <w:pPr>
              <w:autoSpaceDE w:val="0"/>
              <w:autoSpaceDN w:val="0"/>
              <w:adjustRightInd w:val="0"/>
              <w:rPr>
                <w:rFonts w:ascii="Arial" w:hAnsi="Arial" w:cs="Arial"/>
                <w:color w:val="000000"/>
              </w:rPr>
            </w:pPr>
            <w:r w:rsidRPr="00796914">
              <w:rPr>
                <w:rFonts w:ascii="Arial" w:hAnsi="Arial" w:cs="Arial"/>
                <w:color w:val="000000"/>
              </w:rPr>
              <w:t xml:space="preserve">1. Discovery of, or discovery of an intent to deploy, tooling in a non-standard manner </w:t>
            </w:r>
          </w:p>
          <w:p w14:paraId="708D6F70" w14:textId="77777777" w:rsidR="00796914" w:rsidRPr="00796914" w:rsidRDefault="00796914" w:rsidP="00796914">
            <w:pPr>
              <w:autoSpaceDE w:val="0"/>
              <w:autoSpaceDN w:val="0"/>
              <w:adjustRightInd w:val="0"/>
              <w:rPr>
                <w:rFonts w:ascii="Arial" w:hAnsi="Arial" w:cs="Arial"/>
                <w:color w:val="000000"/>
              </w:rPr>
            </w:pPr>
          </w:p>
        </w:tc>
        <w:tc>
          <w:tcPr>
            <w:tcW w:w="3776" w:type="dxa"/>
          </w:tcPr>
          <w:p w14:paraId="7CF92195" w14:textId="77777777" w:rsidR="00796914" w:rsidRPr="00796914" w:rsidRDefault="00796914" w:rsidP="00796914">
            <w:pPr>
              <w:autoSpaceDE w:val="0"/>
              <w:autoSpaceDN w:val="0"/>
              <w:adjustRightInd w:val="0"/>
              <w:rPr>
                <w:rFonts w:ascii="Arial" w:hAnsi="Arial" w:cs="Arial"/>
                <w:sz w:val="24"/>
                <w:szCs w:val="24"/>
              </w:rPr>
            </w:pPr>
          </w:p>
          <w:p w14:paraId="7C8A41BE" w14:textId="77777777" w:rsidR="00796914" w:rsidRPr="00796914" w:rsidRDefault="00796914" w:rsidP="00796914">
            <w:pPr>
              <w:autoSpaceDE w:val="0"/>
              <w:autoSpaceDN w:val="0"/>
              <w:adjustRightInd w:val="0"/>
              <w:rPr>
                <w:rFonts w:ascii="Arial" w:hAnsi="Arial" w:cs="Arial"/>
                <w:color w:val="000000"/>
              </w:rPr>
            </w:pPr>
            <w:r w:rsidRPr="00796914">
              <w:rPr>
                <w:rFonts w:ascii="Arial" w:hAnsi="Arial" w:cs="Arial"/>
                <w:color w:val="000000"/>
              </w:rPr>
              <w:t xml:space="preserve">1. ELA Service Delivery Manager / OSM Lead Technical Architect </w:t>
            </w:r>
          </w:p>
          <w:p w14:paraId="5F091686" w14:textId="77777777" w:rsidR="00796914" w:rsidRPr="00796914" w:rsidRDefault="00796914" w:rsidP="00796914">
            <w:pPr>
              <w:autoSpaceDE w:val="0"/>
              <w:autoSpaceDN w:val="0"/>
              <w:adjustRightInd w:val="0"/>
              <w:rPr>
                <w:rFonts w:ascii="Arial" w:hAnsi="Arial" w:cs="Arial"/>
                <w:color w:val="000000"/>
              </w:rPr>
            </w:pPr>
          </w:p>
        </w:tc>
      </w:tr>
    </w:tbl>
    <w:p w14:paraId="19C259D9" w14:textId="77777777" w:rsidR="009C4D17" w:rsidRDefault="009C4D17" w:rsidP="00796914">
      <w:pPr>
        <w:rPr>
          <w:rFonts w:ascii="Arial" w:hAnsi="Arial" w:cs="Arial"/>
          <w:sz w:val="24"/>
          <w:szCs w:val="20"/>
        </w:rPr>
      </w:pPr>
    </w:p>
    <w:p w14:paraId="4FFDA595" w14:textId="77777777" w:rsidR="00796914" w:rsidRDefault="00796914" w:rsidP="00796914">
      <w:pPr>
        <w:autoSpaceDE w:val="0"/>
        <w:autoSpaceDN w:val="0"/>
        <w:adjustRightInd w:val="0"/>
        <w:spacing w:after="0" w:line="240" w:lineRule="auto"/>
        <w:rPr>
          <w:rFonts w:ascii="Arial" w:hAnsi="Arial" w:cs="Arial"/>
          <w:b/>
          <w:bCs/>
          <w:color w:val="000000"/>
        </w:rPr>
      </w:pPr>
      <w:r w:rsidRPr="00796914">
        <w:rPr>
          <w:rFonts w:ascii="Arial" w:hAnsi="Arial" w:cs="Arial"/>
          <w:b/>
          <w:bCs/>
          <w:color w:val="000000"/>
        </w:rPr>
        <w:t>Approach to Reporting</w:t>
      </w:r>
    </w:p>
    <w:p w14:paraId="50C63778" w14:textId="77777777" w:rsidR="00796914" w:rsidRPr="00796914" w:rsidRDefault="00796914" w:rsidP="00796914">
      <w:pPr>
        <w:autoSpaceDE w:val="0"/>
        <w:autoSpaceDN w:val="0"/>
        <w:adjustRightInd w:val="0"/>
        <w:spacing w:after="0" w:line="240" w:lineRule="auto"/>
        <w:rPr>
          <w:rFonts w:ascii="Arial" w:hAnsi="Arial" w:cs="Arial"/>
          <w:color w:val="000000"/>
        </w:rPr>
      </w:pPr>
      <w:r w:rsidRPr="00796914">
        <w:rPr>
          <w:rFonts w:ascii="Arial" w:hAnsi="Arial" w:cs="Arial"/>
          <w:b/>
          <w:bCs/>
          <w:color w:val="000000"/>
        </w:rPr>
        <w:t xml:space="preserve"> </w:t>
      </w:r>
    </w:p>
    <w:p w14:paraId="5F4AD779" w14:textId="77777777" w:rsidR="00796914" w:rsidRPr="00796914" w:rsidRDefault="00796914" w:rsidP="00796914">
      <w:pPr>
        <w:autoSpaceDE w:val="0"/>
        <w:autoSpaceDN w:val="0"/>
        <w:adjustRightInd w:val="0"/>
        <w:spacing w:after="0" w:line="240" w:lineRule="auto"/>
        <w:rPr>
          <w:rFonts w:ascii="Arial" w:hAnsi="Arial" w:cs="Arial"/>
          <w:color w:val="000000"/>
        </w:rPr>
      </w:pPr>
      <w:r w:rsidRPr="00796914">
        <w:rPr>
          <w:rFonts w:ascii="Arial" w:hAnsi="Arial" w:cs="Arial"/>
          <w:color w:val="000000"/>
        </w:rPr>
        <w:t xml:space="preserve">In order to drive the adoption of common tooling deployment across the Authority’s estate, Atos will compile, co-ordinate, reconcile and drill down into licence data, to provide the basis for a future roadmap for tooling deployment (MOD Enterprise–wide). This will be used to complement the development of the Authority’s Operational Service Management TOM. </w:t>
      </w:r>
    </w:p>
    <w:p w14:paraId="553937D7" w14:textId="77777777" w:rsidR="00796914" w:rsidRPr="00796914" w:rsidRDefault="00796914" w:rsidP="00796914">
      <w:pPr>
        <w:autoSpaceDE w:val="0"/>
        <w:autoSpaceDN w:val="0"/>
        <w:adjustRightInd w:val="0"/>
        <w:spacing w:after="0" w:line="240" w:lineRule="auto"/>
        <w:rPr>
          <w:rFonts w:ascii="Arial" w:hAnsi="Arial" w:cs="Arial"/>
          <w:color w:val="000000"/>
        </w:rPr>
      </w:pPr>
      <w:r w:rsidRPr="00796914">
        <w:rPr>
          <w:rFonts w:ascii="Arial" w:hAnsi="Arial" w:cs="Arial"/>
          <w:color w:val="000000"/>
        </w:rPr>
        <w:t xml:space="preserve">Within five working days from the start of each month, Atos will provide the Authority with a monthly report detailing the following information ensuring the quality of the service: </w:t>
      </w:r>
    </w:p>
    <w:p w14:paraId="0F2008C0" w14:textId="77777777" w:rsidR="00796914" w:rsidRPr="00796914" w:rsidRDefault="00796914" w:rsidP="00796914">
      <w:pPr>
        <w:autoSpaceDE w:val="0"/>
        <w:autoSpaceDN w:val="0"/>
        <w:adjustRightInd w:val="0"/>
        <w:spacing w:after="74" w:line="240" w:lineRule="auto"/>
        <w:rPr>
          <w:rFonts w:ascii="Arial" w:hAnsi="Arial" w:cs="Arial"/>
          <w:color w:val="000000"/>
        </w:rPr>
      </w:pPr>
      <w:r w:rsidRPr="00796914">
        <w:rPr>
          <w:rFonts w:ascii="Arial" w:hAnsi="Arial" w:cs="Arial"/>
          <w:color w:val="000000"/>
        </w:rPr>
        <w:t xml:space="preserve">► Updates on previous meeting action points </w:t>
      </w:r>
    </w:p>
    <w:p w14:paraId="5AFC78D4" w14:textId="77777777" w:rsidR="00796914" w:rsidRPr="00796914" w:rsidRDefault="00796914" w:rsidP="00796914">
      <w:pPr>
        <w:autoSpaceDE w:val="0"/>
        <w:autoSpaceDN w:val="0"/>
        <w:adjustRightInd w:val="0"/>
        <w:spacing w:after="74" w:line="240" w:lineRule="auto"/>
        <w:rPr>
          <w:rFonts w:ascii="Arial" w:hAnsi="Arial" w:cs="Arial"/>
          <w:color w:val="000000"/>
        </w:rPr>
      </w:pPr>
      <w:r w:rsidRPr="00796914">
        <w:rPr>
          <w:rFonts w:ascii="Arial" w:hAnsi="Arial" w:cs="Arial"/>
          <w:color w:val="000000"/>
        </w:rPr>
        <w:t xml:space="preserve">► SLA against level L1 support activities </w:t>
      </w:r>
    </w:p>
    <w:p w14:paraId="22B43702" w14:textId="77777777" w:rsidR="00796914" w:rsidRPr="00796914" w:rsidRDefault="00796914" w:rsidP="00796914">
      <w:pPr>
        <w:autoSpaceDE w:val="0"/>
        <w:autoSpaceDN w:val="0"/>
        <w:adjustRightInd w:val="0"/>
        <w:spacing w:after="74" w:line="240" w:lineRule="auto"/>
        <w:rPr>
          <w:rFonts w:ascii="Arial" w:hAnsi="Arial" w:cs="Arial"/>
          <w:color w:val="000000"/>
        </w:rPr>
      </w:pPr>
      <w:r w:rsidRPr="00796914">
        <w:rPr>
          <w:rFonts w:ascii="Arial" w:hAnsi="Arial" w:cs="Arial"/>
          <w:color w:val="000000"/>
        </w:rPr>
        <w:t xml:space="preserve">► Open tickets and route to closure / performance delivery expected future deployment </w:t>
      </w:r>
    </w:p>
    <w:p w14:paraId="76AF00F8" w14:textId="77777777" w:rsidR="00796914" w:rsidRPr="00796914" w:rsidRDefault="00796914" w:rsidP="00796914">
      <w:pPr>
        <w:autoSpaceDE w:val="0"/>
        <w:autoSpaceDN w:val="0"/>
        <w:adjustRightInd w:val="0"/>
        <w:spacing w:after="74" w:line="240" w:lineRule="auto"/>
        <w:rPr>
          <w:rFonts w:ascii="Arial" w:hAnsi="Arial" w:cs="Arial"/>
          <w:color w:val="000000"/>
        </w:rPr>
      </w:pPr>
      <w:r w:rsidRPr="00796914">
        <w:rPr>
          <w:rFonts w:ascii="Arial" w:hAnsi="Arial" w:cs="Arial"/>
          <w:color w:val="000000"/>
        </w:rPr>
        <w:t xml:space="preserve">► Details of critical service failures </w:t>
      </w:r>
    </w:p>
    <w:p w14:paraId="32C5219B" w14:textId="77777777" w:rsidR="00796914" w:rsidRPr="00796914" w:rsidRDefault="00796914" w:rsidP="00796914">
      <w:pPr>
        <w:autoSpaceDE w:val="0"/>
        <w:autoSpaceDN w:val="0"/>
        <w:adjustRightInd w:val="0"/>
        <w:spacing w:after="74" w:line="240" w:lineRule="auto"/>
        <w:rPr>
          <w:rFonts w:ascii="Arial" w:hAnsi="Arial" w:cs="Arial"/>
          <w:color w:val="000000"/>
        </w:rPr>
      </w:pPr>
      <w:r w:rsidRPr="00796914">
        <w:rPr>
          <w:rFonts w:ascii="Arial" w:hAnsi="Arial" w:cs="Arial"/>
          <w:color w:val="000000"/>
        </w:rPr>
        <w:t xml:space="preserve">► Any identified issues and risks to the contract, and recommended mitigation </w:t>
      </w:r>
    </w:p>
    <w:p w14:paraId="4FA7065B" w14:textId="77777777" w:rsidR="00796914" w:rsidRPr="00796914" w:rsidRDefault="00796914" w:rsidP="00796914">
      <w:pPr>
        <w:autoSpaceDE w:val="0"/>
        <w:autoSpaceDN w:val="0"/>
        <w:adjustRightInd w:val="0"/>
        <w:spacing w:after="74" w:line="240" w:lineRule="auto"/>
        <w:rPr>
          <w:rFonts w:ascii="Arial" w:hAnsi="Arial" w:cs="Arial"/>
          <w:color w:val="000000"/>
        </w:rPr>
      </w:pPr>
      <w:r w:rsidRPr="00796914">
        <w:rPr>
          <w:rFonts w:ascii="Arial" w:hAnsi="Arial" w:cs="Arial"/>
          <w:color w:val="000000"/>
        </w:rPr>
        <w:t xml:space="preserve">► Details on new licence and support requests </w:t>
      </w:r>
    </w:p>
    <w:p w14:paraId="55ABC319" w14:textId="77777777" w:rsidR="00796914" w:rsidRPr="00796914" w:rsidRDefault="00796914" w:rsidP="00796914">
      <w:pPr>
        <w:autoSpaceDE w:val="0"/>
        <w:autoSpaceDN w:val="0"/>
        <w:adjustRightInd w:val="0"/>
        <w:spacing w:after="74" w:line="240" w:lineRule="auto"/>
        <w:rPr>
          <w:rFonts w:ascii="Arial" w:hAnsi="Arial" w:cs="Arial"/>
          <w:color w:val="000000"/>
        </w:rPr>
      </w:pPr>
      <w:r w:rsidRPr="00796914">
        <w:rPr>
          <w:rFonts w:ascii="Arial" w:hAnsi="Arial" w:cs="Arial"/>
          <w:color w:val="000000"/>
        </w:rPr>
        <w:t xml:space="preserve">► Details on adoption activities and associated timelines, and benefits realised </w:t>
      </w:r>
    </w:p>
    <w:p w14:paraId="39688174" w14:textId="77777777" w:rsidR="00796914" w:rsidRPr="00796914" w:rsidRDefault="00796914" w:rsidP="00796914">
      <w:pPr>
        <w:autoSpaceDE w:val="0"/>
        <w:autoSpaceDN w:val="0"/>
        <w:adjustRightInd w:val="0"/>
        <w:spacing w:after="0" w:line="240" w:lineRule="auto"/>
        <w:rPr>
          <w:rFonts w:ascii="Arial" w:hAnsi="Arial" w:cs="Arial"/>
          <w:color w:val="000000"/>
        </w:rPr>
      </w:pPr>
      <w:r w:rsidRPr="00796914">
        <w:rPr>
          <w:rFonts w:ascii="Arial" w:hAnsi="Arial" w:cs="Arial"/>
          <w:color w:val="000000"/>
        </w:rPr>
        <w:t xml:space="preserve">► Details of any identified continuous service improvement opportunities, and the progress of any improvement plans previously agreed </w:t>
      </w:r>
    </w:p>
    <w:p w14:paraId="793B2424" w14:textId="77777777" w:rsidR="00796914" w:rsidRDefault="00796914" w:rsidP="00796914">
      <w:pPr>
        <w:autoSpaceDE w:val="0"/>
        <w:autoSpaceDN w:val="0"/>
        <w:adjustRightInd w:val="0"/>
        <w:spacing w:after="0" w:line="240" w:lineRule="auto"/>
        <w:rPr>
          <w:rFonts w:ascii="Arial" w:hAnsi="Arial" w:cs="Arial"/>
          <w:color w:val="000000"/>
        </w:rPr>
      </w:pPr>
      <w:r w:rsidRPr="00796914">
        <w:rPr>
          <w:rFonts w:ascii="Arial" w:hAnsi="Arial" w:cs="Arial"/>
          <w:color w:val="000000"/>
        </w:rPr>
        <w:t xml:space="preserve">► Details on licence optimisation and consolidation opportunities. </w:t>
      </w:r>
    </w:p>
    <w:p w14:paraId="6CE67395" w14:textId="77777777" w:rsidR="00796914" w:rsidRPr="00796914" w:rsidRDefault="00796914" w:rsidP="00796914">
      <w:pPr>
        <w:autoSpaceDE w:val="0"/>
        <w:autoSpaceDN w:val="0"/>
        <w:adjustRightInd w:val="0"/>
        <w:spacing w:after="0" w:line="240" w:lineRule="auto"/>
        <w:rPr>
          <w:rFonts w:ascii="Arial" w:hAnsi="Arial" w:cs="Arial"/>
          <w:color w:val="000000"/>
        </w:rPr>
      </w:pPr>
    </w:p>
    <w:p w14:paraId="5FED1ABB" w14:textId="77777777" w:rsidR="00796914" w:rsidRPr="00457C6A" w:rsidRDefault="00796914" w:rsidP="00796914">
      <w:pPr>
        <w:rPr>
          <w:rFonts w:ascii="Arial" w:hAnsi="Arial" w:cs="Arial"/>
          <w:sz w:val="24"/>
          <w:szCs w:val="20"/>
        </w:rPr>
      </w:pPr>
      <w:r w:rsidRPr="00796914">
        <w:rPr>
          <w:rFonts w:ascii="Arial" w:hAnsi="Arial" w:cs="Arial"/>
          <w:color w:val="000000"/>
        </w:rPr>
        <w:t>The Atos Service Delivery Manager will attend the monthly meetings with the Authority to discuss the reports, and the data, all metrics to be reviewed will be agreed in the kick-off meeting.</w:t>
      </w:r>
    </w:p>
    <w:p w14:paraId="26275EAA" w14:textId="77777777" w:rsidR="00796914" w:rsidRDefault="00796914">
      <w:pPr>
        <w:rPr>
          <w:rFonts w:ascii="Arial" w:hAnsi="Arial" w:cs="Arial"/>
          <w:b/>
          <w:bCs/>
          <w:color w:val="000000"/>
        </w:rPr>
      </w:pPr>
      <w:r>
        <w:rPr>
          <w:rFonts w:ascii="Arial" w:hAnsi="Arial" w:cs="Arial"/>
          <w:b/>
          <w:bCs/>
          <w:color w:val="000000"/>
        </w:rPr>
        <w:br w:type="page"/>
      </w:r>
    </w:p>
    <w:p w14:paraId="4F67545B" w14:textId="77777777" w:rsidR="00796914" w:rsidRDefault="00796914" w:rsidP="00796914">
      <w:pPr>
        <w:autoSpaceDE w:val="0"/>
        <w:autoSpaceDN w:val="0"/>
        <w:adjustRightInd w:val="0"/>
        <w:spacing w:after="0" w:line="240" w:lineRule="auto"/>
        <w:rPr>
          <w:rFonts w:ascii="Arial" w:hAnsi="Arial" w:cs="Arial"/>
          <w:b/>
          <w:bCs/>
          <w:color w:val="000000"/>
        </w:rPr>
      </w:pPr>
      <w:r w:rsidRPr="00796914">
        <w:rPr>
          <w:rFonts w:ascii="Arial" w:hAnsi="Arial" w:cs="Arial"/>
          <w:b/>
          <w:bCs/>
          <w:color w:val="000000"/>
        </w:rPr>
        <w:t xml:space="preserve">Software Asset Management Service </w:t>
      </w:r>
    </w:p>
    <w:p w14:paraId="4A1C1487" w14:textId="77777777" w:rsidR="00796914" w:rsidRPr="00796914" w:rsidRDefault="00796914" w:rsidP="00796914">
      <w:pPr>
        <w:autoSpaceDE w:val="0"/>
        <w:autoSpaceDN w:val="0"/>
        <w:adjustRightInd w:val="0"/>
        <w:spacing w:after="0" w:line="240" w:lineRule="auto"/>
        <w:rPr>
          <w:rFonts w:ascii="Arial" w:hAnsi="Arial" w:cs="Arial"/>
          <w:color w:val="000000"/>
        </w:rPr>
      </w:pPr>
    </w:p>
    <w:p w14:paraId="324C6758" w14:textId="77777777" w:rsidR="00796914" w:rsidRPr="00796914" w:rsidRDefault="00796914" w:rsidP="00796914">
      <w:pPr>
        <w:autoSpaceDE w:val="0"/>
        <w:autoSpaceDN w:val="0"/>
        <w:adjustRightInd w:val="0"/>
        <w:spacing w:after="0" w:line="240" w:lineRule="auto"/>
        <w:rPr>
          <w:rFonts w:ascii="Arial" w:hAnsi="Arial" w:cs="Arial"/>
          <w:color w:val="000000"/>
        </w:rPr>
      </w:pPr>
      <w:r w:rsidRPr="00796914">
        <w:rPr>
          <w:rFonts w:ascii="Arial" w:hAnsi="Arial" w:cs="Arial"/>
          <w:b/>
          <w:bCs/>
          <w:color w:val="000000"/>
        </w:rPr>
        <w:t xml:space="preserve">Licence Usage and Optimisation </w:t>
      </w:r>
    </w:p>
    <w:p w14:paraId="38256ED0" w14:textId="77777777" w:rsidR="00796914" w:rsidRPr="00796914" w:rsidRDefault="00796914" w:rsidP="00796914">
      <w:pPr>
        <w:autoSpaceDE w:val="0"/>
        <w:autoSpaceDN w:val="0"/>
        <w:adjustRightInd w:val="0"/>
        <w:spacing w:after="0" w:line="240" w:lineRule="auto"/>
        <w:rPr>
          <w:rFonts w:ascii="Arial" w:hAnsi="Arial" w:cs="Arial"/>
          <w:color w:val="000000"/>
        </w:rPr>
      </w:pPr>
      <w:r w:rsidRPr="00796914">
        <w:rPr>
          <w:rFonts w:ascii="Arial" w:hAnsi="Arial" w:cs="Arial"/>
          <w:color w:val="000000"/>
        </w:rPr>
        <w:t xml:space="preserve">In the first month of contract, Atos will rapidly assess the current BMC estate across the enterprise and create an initial baseline, from which ongoing asset management will be monitored and continuously improved. </w:t>
      </w:r>
    </w:p>
    <w:p w14:paraId="0F190538" w14:textId="77777777" w:rsidR="00796914" w:rsidRPr="00796914" w:rsidRDefault="00796914" w:rsidP="00796914">
      <w:pPr>
        <w:autoSpaceDE w:val="0"/>
        <w:autoSpaceDN w:val="0"/>
        <w:adjustRightInd w:val="0"/>
        <w:spacing w:after="0" w:line="240" w:lineRule="auto"/>
        <w:rPr>
          <w:rFonts w:ascii="Arial" w:hAnsi="Arial" w:cs="Arial"/>
          <w:color w:val="000000"/>
        </w:rPr>
      </w:pPr>
      <w:r w:rsidRPr="00796914">
        <w:rPr>
          <w:rFonts w:ascii="Arial" w:hAnsi="Arial" w:cs="Arial"/>
          <w:color w:val="000000"/>
        </w:rPr>
        <w:t xml:space="preserve">The areas of BMC software usage for consideration are: </w:t>
      </w:r>
    </w:p>
    <w:p w14:paraId="4DE9FF26" w14:textId="77777777" w:rsidR="00796914" w:rsidRPr="00796914" w:rsidRDefault="00796914" w:rsidP="00796914">
      <w:pPr>
        <w:autoSpaceDE w:val="0"/>
        <w:autoSpaceDN w:val="0"/>
        <w:adjustRightInd w:val="0"/>
        <w:spacing w:after="77" w:line="240" w:lineRule="auto"/>
        <w:rPr>
          <w:rFonts w:ascii="Arial" w:hAnsi="Arial" w:cs="Arial"/>
          <w:color w:val="000000"/>
        </w:rPr>
      </w:pPr>
      <w:r w:rsidRPr="00796914">
        <w:rPr>
          <w:rFonts w:ascii="Arial" w:hAnsi="Arial" w:cs="Arial"/>
          <w:color w:val="000000"/>
        </w:rPr>
        <w:t xml:space="preserve">► Entitlement (Extracted from BMC Contracts) </w:t>
      </w:r>
    </w:p>
    <w:p w14:paraId="24EE2B6C" w14:textId="77777777" w:rsidR="00796914" w:rsidRPr="00796914" w:rsidRDefault="00796914" w:rsidP="00796914">
      <w:pPr>
        <w:autoSpaceDE w:val="0"/>
        <w:autoSpaceDN w:val="0"/>
        <w:adjustRightInd w:val="0"/>
        <w:spacing w:after="77" w:line="240" w:lineRule="auto"/>
        <w:rPr>
          <w:rFonts w:ascii="Arial" w:hAnsi="Arial" w:cs="Arial"/>
          <w:color w:val="000000"/>
        </w:rPr>
      </w:pPr>
      <w:r w:rsidRPr="00796914">
        <w:rPr>
          <w:rFonts w:ascii="Arial" w:hAnsi="Arial" w:cs="Arial"/>
          <w:color w:val="000000"/>
        </w:rPr>
        <w:t xml:space="preserve">► Deployment (Initially taken from Support Contracts data) </w:t>
      </w:r>
    </w:p>
    <w:p w14:paraId="6004A72C" w14:textId="77777777" w:rsidR="00796914" w:rsidRPr="00796914" w:rsidRDefault="00796914" w:rsidP="00796914">
      <w:pPr>
        <w:autoSpaceDE w:val="0"/>
        <w:autoSpaceDN w:val="0"/>
        <w:adjustRightInd w:val="0"/>
        <w:spacing w:after="0" w:line="240" w:lineRule="auto"/>
        <w:rPr>
          <w:rFonts w:ascii="Arial" w:hAnsi="Arial" w:cs="Arial"/>
          <w:color w:val="000000"/>
        </w:rPr>
      </w:pPr>
      <w:r w:rsidRPr="00796914">
        <w:rPr>
          <w:rFonts w:ascii="Arial" w:hAnsi="Arial" w:cs="Arial"/>
          <w:color w:val="000000"/>
        </w:rPr>
        <w:t xml:space="preserve">► Usage (As described below). </w:t>
      </w:r>
    </w:p>
    <w:p w14:paraId="2D8E3421" w14:textId="77777777" w:rsidR="00796914" w:rsidRPr="00796914" w:rsidRDefault="00796914" w:rsidP="00796914">
      <w:pPr>
        <w:autoSpaceDE w:val="0"/>
        <w:autoSpaceDN w:val="0"/>
        <w:adjustRightInd w:val="0"/>
        <w:spacing w:after="0" w:line="240" w:lineRule="auto"/>
        <w:rPr>
          <w:rFonts w:ascii="Arial" w:hAnsi="Arial" w:cs="Arial"/>
          <w:color w:val="000000"/>
        </w:rPr>
      </w:pPr>
    </w:p>
    <w:p w14:paraId="4372941B" w14:textId="77777777" w:rsidR="00796914" w:rsidRPr="00796914" w:rsidRDefault="00796914" w:rsidP="00796914">
      <w:pPr>
        <w:autoSpaceDE w:val="0"/>
        <w:autoSpaceDN w:val="0"/>
        <w:adjustRightInd w:val="0"/>
        <w:spacing w:after="0" w:line="240" w:lineRule="auto"/>
        <w:rPr>
          <w:rFonts w:ascii="Arial" w:hAnsi="Arial" w:cs="Arial"/>
          <w:color w:val="000000"/>
        </w:rPr>
      </w:pPr>
      <w:r w:rsidRPr="00796914">
        <w:rPr>
          <w:rFonts w:ascii="Arial" w:hAnsi="Arial" w:cs="Arial"/>
          <w:color w:val="000000"/>
        </w:rPr>
        <w:t xml:space="preserve">Ongoing throughout the term of the contract, data will be derived from additional sources to enable the overall understanding of licence usage and drive optimisation. This data will be derived from the following sources: </w:t>
      </w:r>
    </w:p>
    <w:p w14:paraId="1DA8998A" w14:textId="77777777" w:rsidR="00796914" w:rsidRPr="00796914" w:rsidRDefault="00796914" w:rsidP="00796914">
      <w:pPr>
        <w:autoSpaceDE w:val="0"/>
        <w:autoSpaceDN w:val="0"/>
        <w:adjustRightInd w:val="0"/>
        <w:spacing w:after="74" w:line="240" w:lineRule="auto"/>
        <w:rPr>
          <w:rFonts w:ascii="Arial" w:hAnsi="Arial" w:cs="Arial"/>
          <w:color w:val="000000"/>
        </w:rPr>
      </w:pPr>
      <w:r w:rsidRPr="00796914">
        <w:rPr>
          <w:rFonts w:ascii="Arial" w:hAnsi="Arial" w:cs="Arial"/>
          <w:color w:val="000000"/>
        </w:rPr>
        <w:t xml:space="preserve">► Output from the MOD change process where all responsible parties will provide Atos with details of systems that are being decommissioned and details of all BMC installed licences where upon receipt of decommission status these licences will be added to the reuse pool of licences , and be made available for reuse </w:t>
      </w:r>
    </w:p>
    <w:p w14:paraId="681712C8" w14:textId="77777777" w:rsidR="00796914" w:rsidRPr="00796914" w:rsidRDefault="00796914" w:rsidP="00796914">
      <w:pPr>
        <w:autoSpaceDE w:val="0"/>
        <w:autoSpaceDN w:val="0"/>
        <w:adjustRightInd w:val="0"/>
        <w:spacing w:after="74" w:line="240" w:lineRule="auto"/>
        <w:rPr>
          <w:rFonts w:ascii="Arial" w:hAnsi="Arial" w:cs="Arial"/>
          <w:color w:val="000000"/>
        </w:rPr>
      </w:pPr>
      <w:r w:rsidRPr="00796914">
        <w:rPr>
          <w:rFonts w:ascii="Arial" w:hAnsi="Arial" w:cs="Arial"/>
          <w:color w:val="000000"/>
        </w:rPr>
        <w:t xml:space="preserve">► Every 2 months Atos will seek to obtain reports from systems management/tooling teams which provides an overview of BMC licence utilisation to an agreed data format, across the managed server assets. This will be reviewed by Atos to understand utilisation and where optimisation can be achieved (This approach will also enable the ability to manage and monitor the continued support for named (Fixed) and user licences are used across different MOD security domains) </w:t>
      </w:r>
    </w:p>
    <w:p w14:paraId="58385FB7" w14:textId="77777777" w:rsidR="00796914" w:rsidRPr="00796914" w:rsidRDefault="00796914" w:rsidP="00796914">
      <w:pPr>
        <w:autoSpaceDE w:val="0"/>
        <w:autoSpaceDN w:val="0"/>
        <w:adjustRightInd w:val="0"/>
        <w:spacing w:after="0" w:line="240" w:lineRule="auto"/>
        <w:rPr>
          <w:rFonts w:ascii="Arial" w:hAnsi="Arial" w:cs="Arial"/>
          <w:color w:val="000000"/>
        </w:rPr>
      </w:pPr>
      <w:r w:rsidRPr="00796914">
        <w:rPr>
          <w:rFonts w:ascii="Arial" w:hAnsi="Arial" w:cs="Arial"/>
          <w:color w:val="000000"/>
        </w:rPr>
        <w:t xml:space="preserve">► Pipeline reports from the Atos Adoption Manager will be generated to help understand the future requirements of the BMC product set. This will ensure that future demands are understood to define where additional licences are required, or if they can be provisioned from the reuse pool and maximise the return on investment. </w:t>
      </w:r>
    </w:p>
    <w:p w14:paraId="05BCE040" w14:textId="77777777" w:rsidR="00796914" w:rsidRPr="00796914" w:rsidRDefault="00796914" w:rsidP="00796914">
      <w:pPr>
        <w:autoSpaceDE w:val="0"/>
        <w:autoSpaceDN w:val="0"/>
        <w:adjustRightInd w:val="0"/>
        <w:spacing w:after="0" w:line="240" w:lineRule="auto"/>
        <w:rPr>
          <w:rFonts w:ascii="Arial" w:hAnsi="Arial" w:cs="Arial"/>
          <w:color w:val="000000"/>
        </w:rPr>
      </w:pPr>
    </w:p>
    <w:p w14:paraId="39F3B8E3" w14:textId="77777777" w:rsidR="00796914" w:rsidRPr="00796914" w:rsidRDefault="00796914" w:rsidP="00796914">
      <w:pPr>
        <w:autoSpaceDE w:val="0"/>
        <w:autoSpaceDN w:val="0"/>
        <w:adjustRightInd w:val="0"/>
        <w:spacing w:after="0" w:line="240" w:lineRule="auto"/>
        <w:rPr>
          <w:rFonts w:ascii="Arial" w:hAnsi="Arial" w:cs="Arial"/>
          <w:color w:val="000000"/>
        </w:rPr>
      </w:pPr>
      <w:r w:rsidRPr="00796914">
        <w:rPr>
          <w:rFonts w:ascii="Arial" w:hAnsi="Arial" w:cs="Arial"/>
          <w:color w:val="000000"/>
        </w:rPr>
        <w:t xml:space="preserve">The output of these data sources will be collated and reconciled into a datastore to provide the capability to present this data back as a single pane of glass via a shared accessible file location. There will also be the opportunity to review and discus this data as part of the ongoing service reporting meetings to assist and recommend approaches to optimisation and consolidation of the BMC licence usage. </w:t>
      </w:r>
    </w:p>
    <w:p w14:paraId="5608BACC" w14:textId="77777777" w:rsidR="00796914" w:rsidRPr="00796914" w:rsidRDefault="00796914" w:rsidP="00796914">
      <w:pPr>
        <w:autoSpaceDE w:val="0"/>
        <w:autoSpaceDN w:val="0"/>
        <w:adjustRightInd w:val="0"/>
        <w:spacing w:after="0" w:line="240" w:lineRule="auto"/>
        <w:rPr>
          <w:rFonts w:ascii="Arial" w:hAnsi="Arial" w:cs="Arial"/>
          <w:color w:val="000000"/>
        </w:rPr>
      </w:pPr>
      <w:r w:rsidRPr="00796914">
        <w:rPr>
          <w:rFonts w:ascii="Arial" w:hAnsi="Arial" w:cs="Arial"/>
          <w:color w:val="000000"/>
        </w:rPr>
        <w:t xml:space="preserve">The Licence Manager will be responsible for data governance and updates. In addition, the following services will also be provided as part of the Software Asset Management Services: </w:t>
      </w:r>
    </w:p>
    <w:p w14:paraId="27F31840" w14:textId="77777777" w:rsidR="00796914" w:rsidRPr="00796914" w:rsidRDefault="00796914" w:rsidP="00796914">
      <w:pPr>
        <w:autoSpaceDE w:val="0"/>
        <w:autoSpaceDN w:val="0"/>
        <w:adjustRightInd w:val="0"/>
        <w:spacing w:after="74" w:line="240" w:lineRule="auto"/>
        <w:rPr>
          <w:rFonts w:ascii="Arial" w:hAnsi="Arial" w:cs="Arial"/>
          <w:color w:val="000000"/>
        </w:rPr>
      </w:pPr>
      <w:r w:rsidRPr="00796914">
        <w:rPr>
          <w:rFonts w:ascii="Arial" w:hAnsi="Arial" w:cs="Arial"/>
          <w:color w:val="000000"/>
        </w:rPr>
        <w:t xml:space="preserve">► The single front door for service management, project management of delivery, implementation support, benefit realisation for new and existing applications </w:t>
      </w:r>
    </w:p>
    <w:p w14:paraId="33F6178F" w14:textId="77777777" w:rsidR="00796914" w:rsidRPr="00796914" w:rsidRDefault="00796914" w:rsidP="00796914">
      <w:pPr>
        <w:autoSpaceDE w:val="0"/>
        <w:autoSpaceDN w:val="0"/>
        <w:adjustRightInd w:val="0"/>
        <w:spacing w:after="74" w:line="240" w:lineRule="auto"/>
        <w:rPr>
          <w:rFonts w:ascii="Arial" w:hAnsi="Arial" w:cs="Arial"/>
          <w:color w:val="000000"/>
        </w:rPr>
      </w:pPr>
      <w:r w:rsidRPr="00796914">
        <w:rPr>
          <w:rFonts w:ascii="Arial" w:hAnsi="Arial" w:cs="Arial"/>
          <w:color w:val="000000"/>
        </w:rPr>
        <w:t xml:space="preserve">► A priced response using the provided rate card for newly identified licence requirements and services </w:t>
      </w:r>
    </w:p>
    <w:p w14:paraId="02F2874B" w14:textId="77777777" w:rsidR="00796914" w:rsidRPr="00796914" w:rsidRDefault="00796914" w:rsidP="00796914">
      <w:pPr>
        <w:autoSpaceDE w:val="0"/>
        <w:autoSpaceDN w:val="0"/>
        <w:adjustRightInd w:val="0"/>
        <w:spacing w:after="74" w:line="240" w:lineRule="auto"/>
        <w:rPr>
          <w:rFonts w:ascii="Arial" w:hAnsi="Arial" w:cs="Arial"/>
          <w:color w:val="000000"/>
        </w:rPr>
      </w:pPr>
      <w:r w:rsidRPr="00796914">
        <w:rPr>
          <w:rFonts w:ascii="Arial" w:hAnsi="Arial" w:cs="Arial"/>
          <w:color w:val="000000"/>
        </w:rPr>
        <w:t xml:space="preserve">► Subsequent provision of licence keys upon receipt of a purchase order </w:t>
      </w:r>
    </w:p>
    <w:p w14:paraId="2D3D0085" w14:textId="77777777" w:rsidR="00796914" w:rsidRPr="00796914" w:rsidRDefault="00796914" w:rsidP="00796914">
      <w:pPr>
        <w:autoSpaceDE w:val="0"/>
        <w:autoSpaceDN w:val="0"/>
        <w:adjustRightInd w:val="0"/>
        <w:spacing w:after="74" w:line="240" w:lineRule="auto"/>
        <w:rPr>
          <w:rFonts w:ascii="Arial" w:hAnsi="Arial" w:cs="Arial"/>
          <w:color w:val="000000"/>
        </w:rPr>
      </w:pPr>
      <w:r w:rsidRPr="00796914">
        <w:rPr>
          <w:rFonts w:ascii="Arial" w:hAnsi="Arial" w:cs="Arial"/>
          <w:color w:val="000000"/>
        </w:rPr>
        <w:t xml:space="preserve">► Coordination of support provision to ensure this is available once the product is deployed within the environment, ensuring a positive end user experience </w:t>
      </w:r>
    </w:p>
    <w:p w14:paraId="1849B19B" w14:textId="77777777" w:rsidR="00796914" w:rsidRPr="00796914" w:rsidRDefault="00796914" w:rsidP="00796914">
      <w:pPr>
        <w:autoSpaceDE w:val="0"/>
        <w:autoSpaceDN w:val="0"/>
        <w:adjustRightInd w:val="0"/>
        <w:spacing w:after="74" w:line="240" w:lineRule="auto"/>
        <w:rPr>
          <w:rFonts w:ascii="Arial" w:hAnsi="Arial" w:cs="Arial"/>
          <w:color w:val="000000"/>
        </w:rPr>
      </w:pPr>
      <w:r w:rsidRPr="00796914">
        <w:rPr>
          <w:rFonts w:ascii="Arial" w:hAnsi="Arial" w:cs="Arial"/>
          <w:color w:val="000000"/>
        </w:rPr>
        <w:t xml:space="preserve">► Management of the BMC licence portal to ensure that vendor records are up to date enabling traceability, if support calls need to be raised back to the vendor </w:t>
      </w:r>
    </w:p>
    <w:p w14:paraId="5E2F5622" w14:textId="77777777" w:rsidR="00796914" w:rsidRPr="00796914" w:rsidRDefault="00796914" w:rsidP="00796914">
      <w:pPr>
        <w:autoSpaceDE w:val="0"/>
        <w:autoSpaceDN w:val="0"/>
        <w:adjustRightInd w:val="0"/>
        <w:spacing w:after="0" w:line="240" w:lineRule="auto"/>
        <w:rPr>
          <w:rFonts w:ascii="Arial" w:hAnsi="Arial" w:cs="Arial"/>
          <w:color w:val="000000"/>
        </w:rPr>
      </w:pPr>
      <w:r w:rsidRPr="00796914">
        <w:rPr>
          <w:rFonts w:ascii="Arial" w:hAnsi="Arial" w:cs="Arial"/>
          <w:color w:val="000000"/>
        </w:rPr>
        <w:t xml:space="preserve">► Identification of opportunities for continuous service improvement and support to driving innovation in pursuit of an enhanced future capability for the Authority. </w:t>
      </w:r>
    </w:p>
    <w:p w14:paraId="5908337C" w14:textId="77777777" w:rsidR="009C4D17" w:rsidRPr="00457C6A" w:rsidRDefault="009C4D17" w:rsidP="009C4D17">
      <w:pPr>
        <w:rPr>
          <w:rFonts w:ascii="Arial" w:hAnsi="Arial" w:cs="Arial"/>
          <w:sz w:val="24"/>
          <w:szCs w:val="20"/>
        </w:rPr>
      </w:pPr>
    </w:p>
    <w:p w14:paraId="2AAC13C9" w14:textId="77777777" w:rsidR="009C4D17" w:rsidRPr="00457C6A" w:rsidRDefault="00796914" w:rsidP="009C4D17">
      <w:pPr>
        <w:rPr>
          <w:rFonts w:ascii="Arial" w:hAnsi="Arial" w:cs="Arial"/>
          <w:sz w:val="24"/>
          <w:szCs w:val="20"/>
        </w:rPr>
      </w:pPr>
      <w:r>
        <w:rPr>
          <w:b/>
          <w:bCs/>
        </w:rPr>
        <w:t>Adoption Partner Services</w:t>
      </w:r>
    </w:p>
    <w:p w14:paraId="267FC38A" w14:textId="77777777" w:rsidR="00796914" w:rsidRPr="00796914" w:rsidRDefault="00796914" w:rsidP="00796914">
      <w:pPr>
        <w:autoSpaceDE w:val="0"/>
        <w:autoSpaceDN w:val="0"/>
        <w:adjustRightInd w:val="0"/>
        <w:spacing w:after="0" w:line="240" w:lineRule="auto"/>
        <w:rPr>
          <w:rFonts w:ascii="Arial" w:hAnsi="Arial" w:cs="Arial"/>
          <w:color w:val="000000"/>
        </w:rPr>
      </w:pPr>
      <w:r w:rsidRPr="00796914">
        <w:rPr>
          <w:rFonts w:ascii="Arial" w:hAnsi="Arial" w:cs="Arial"/>
          <w:color w:val="000000"/>
        </w:rPr>
        <w:t>Enablement of new capability will be overseen and managed by a dedicated Adoption Manager (AM</w:t>
      </w:r>
      <w:proofErr w:type="gramStart"/>
      <w:r w:rsidRPr="00796914">
        <w:rPr>
          <w:rFonts w:ascii="Arial" w:hAnsi="Arial" w:cs="Arial"/>
          <w:color w:val="000000"/>
        </w:rPr>
        <w:t>) ,</w:t>
      </w:r>
      <w:proofErr w:type="gramEnd"/>
      <w:r w:rsidRPr="00796914">
        <w:rPr>
          <w:rFonts w:ascii="Arial" w:hAnsi="Arial" w:cs="Arial"/>
          <w:color w:val="000000"/>
        </w:rPr>
        <w:t xml:space="preserve"> provided as an investment by Atos with no cost to the Authority to drive innovation and collaboration across the enterprise. The AM will work in partnership with delivery teams ensuring effective deployment of BMC’s toolset and fully aligned to Defence Digital’s ITSM TOM, supporting the delivery of an improved ITSM capability across the Defence Portfolio. </w:t>
      </w:r>
    </w:p>
    <w:p w14:paraId="0E7D3D7B" w14:textId="77777777" w:rsidR="00796914" w:rsidRPr="00796914" w:rsidRDefault="00796914" w:rsidP="00796914">
      <w:pPr>
        <w:autoSpaceDE w:val="0"/>
        <w:autoSpaceDN w:val="0"/>
        <w:adjustRightInd w:val="0"/>
        <w:spacing w:after="0" w:line="240" w:lineRule="auto"/>
        <w:rPr>
          <w:rFonts w:ascii="Arial" w:hAnsi="Arial" w:cs="Arial"/>
          <w:color w:val="000000"/>
        </w:rPr>
      </w:pPr>
      <w:r w:rsidRPr="00796914">
        <w:rPr>
          <w:rFonts w:ascii="Arial" w:hAnsi="Arial" w:cs="Arial"/>
          <w:color w:val="000000"/>
        </w:rPr>
        <w:t xml:space="preserve">Responsibilities include: </w:t>
      </w:r>
    </w:p>
    <w:p w14:paraId="75AC61EF" w14:textId="77777777" w:rsidR="00796914" w:rsidRPr="00796914" w:rsidRDefault="00796914" w:rsidP="00796914">
      <w:pPr>
        <w:autoSpaceDE w:val="0"/>
        <w:autoSpaceDN w:val="0"/>
        <w:adjustRightInd w:val="0"/>
        <w:spacing w:after="74" w:line="240" w:lineRule="auto"/>
        <w:rPr>
          <w:rFonts w:ascii="Arial" w:hAnsi="Arial" w:cs="Arial"/>
          <w:color w:val="000000"/>
        </w:rPr>
      </w:pPr>
      <w:r w:rsidRPr="00796914">
        <w:rPr>
          <w:rFonts w:ascii="Arial" w:hAnsi="Arial" w:cs="Arial"/>
          <w:color w:val="000000"/>
        </w:rPr>
        <w:t xml:space="preserve">► Communicating and consulting with stakeholders, team members and colleagues to identify opportunities to standardise on the BMC toolset </w:t>
      </w:r>
    </w:p>
    <w:p w14:paraId="71360E40" w14:textId="77777777" w:rsidR="00796914" w:rsidRPr="00796914" w:rsidRDefault="00796914" w:rsidP="00796914">
      <w:pPr>
        <w:autoSpaceDE w:val="0"/>
        <w:autoSpaceDN w:val="0"/>
        <w:adjustRightInd w:val="0"/>
        <w:spacing w:after="74" w:line="240" w:lineRule="auto"/>
        <w:rPr>
          <w:rFonts w:ascii="Arial" w:hAnsi="Arial" w:cs="Arial"/>
          <w:color w:val="000000"/>
        </w:rPr>
      </w:pPr>
      <w:r w:rsidRPr="00796914">
        <w:rPr>
          <w:rFonts w:ascii="Arial" w:hAnsi="Arial" w:cs="Arial"/>
          <w:color w:val="000000"/>
        </w:rPr>
        <w:t xml:space="preserve">► Working with the Authority’s architecture standards and project teams to evangelise the BMC products and enable standardisation across the environment </w:t>
      </w:r>
    </w:p>
    <w:p w14:paraId="41CD93FA" w14:textId="77777777" w:rsidR="00796914" w:rsidRPr="00796914" w:rsidRDefault="00796914" w:rsidP="00796914">
      <w:pPr>
        <w:autoSpaceDE w:val="0"/>
        <w:autoSpaceDN w:val="0"/>
        <w:adjustRightInd w:val="0"/>
        <w:spacing w:after="74" w:line="240" w:lineRule="auto"/>
        <w:rPr>
          <w:rFonts w:ascii="Arial" w:hAnsi="Arial" w:cs="Arial"/>
          <w:color w:val="000000"/>
        </w:rPr>
      </w:pPr>
      <w:r w:rsidRPr="00796914">
        <w:rPr>
          <w:rFonts w:ascii="Arial" w:hAnsi="Arial" w:cs="Arial"/>
          <w:color w:val="000000"/>
        </w:rPr>
        <w:t xml:space="preserve">► Manage the provision of resources to advise with the planning, identification and improvement of services where BMC products can be used to replace non-standardised components within the enterprise </w:t>
      </w:r>
    </w:p>
    <w:p w14:paraId="06B2B8DD" w14:textId="77777777" w:rsidR="00796914" w:rsidRPr="00796914" w:rsidRDefault="00796914" w:rsidP="00796914">
      <w:pPr>
        <w:autoSpaceDE w:val="0"/>
        <w:autoSpaceDN w:val="0"/>
        <w:adjustRightInd w:val="0"/>
        <w:spacing w:after="74" w:line="240" w:lineRule="auto"/>
        <w:rPr>
          <w:rFonts w:ascii="Arial" w:hAnsi="Arial" w:cs="Arial"/>
          <w:color w:val="000000"/>
        </w:rPr>
      </w:pPr>
      <w:r w:rsidRPr="00796914">
        <w:rPr>
          <w:rFonts w:ascii="Arial" w:hAnsi="Arial" w:cs="Arial"/>
          <w:color w:val="000000"/>
        </w:rPr>
        <w:t xml:space="preserve">► Advise on licensing options to develop the software portfolio and services to ensure continued alignment to business needs and strategic goals </w:t>
      </w:r>
    </w:p>
    <w:p w14:paraId="116A9E00" w14:textId="77777777" w:rsidR="00796914" w:rsidRPr="00796914" w:rsidRDefault="00796914" w:rsidP="00796914">
      <w:pPr>
        <w:autoSpaceDE w:val="0"/>
        <w:autoSpaceDN w:val="0"/>
        <w:adjustRightInd w:val="0"/>
        <w:spacing w:after="0" w:line="240" w:lineRule="auto"/>
        <w:rPr>
          <w:rFonts w:ascii="Arial" w:hAnsi="Arial" w:cs="Arial"/>
          <w:color w:val="000000"/>
        </w:rPr>
      </w:pPr>
      <w:r w:rsidRPr="00796914">
        <w:rPr>
          <w:rFonts w:ascii="Arial" w:hAnsi="Arial" w:cs="Arial"/>
          <w:color w:val="000000"/>
        </w:rPr>
        <w:t xml:space="preserve">► The facilitation of proof of concept demonstrations, user education workshops (e.g. lunch and learns), new product and capability briefings as required. </w:t>
      </w:r>
    </w:p>
    <w:p w14:paraId="423C23D1" w14:textId="77777777" w:rsidR="00796914" w:rsidRPr="00796914" w:rsidRDefault="00796914" w:rsidP="00796914">
      <w:pPr>
        <w:autoSpaceDE w:val="0"/>
        <w:autoSpaceDN w:val="0"/>
        <w:adjustRightInd w:val="0"/>
        <w:spacing w:after="0" w:line="240" w:lineRule="auto"/>
        <w:rPr>
          <w:rFonts w:ascii="Arial" w:hAnsi="Arial" w:cs="Arial"/>
          <w:color w:val="000000"/>
        </w:rPr>
      </w:pPr>
    </w:p>
    <w:p w14:paraId="1836DD26" w14:textId="77777777" w:rsidR="00796914" w:rsidRPr="00796914" w:rsidRDefault="00796914" w:rsidP="00796914">
      <w:pPr>
        <w:autoSpaceDE w:val="0"/>
        <w:autoSpaceDN w:val="0"/>
        <w:adjustRightInd w:val="0"/>
        <w:spacing w:after="0" w:line="240" w:lineRule="auto"/>
        <w:rPr>
          <w:rFonts w:ascii="Arial" w:hAnsi="Arial" w:cs="Arial"/>
          <w:color w:val="000000"/>
        </w:rPr>
      </w:pPr>
      <w:r w:rsidRPr="00796914">
        <w:rPr>
          <w:rFonts w:ascii="Arial" w:hAnsi="Arial" w:cs="Arial"/>
          <w:color w:val="000000"/>
        </w:rPr>
        <w:t xml:space="preserve">The output from these activities will identify opportunities for improvement across the enterprise (including all TLBs) and present these back to the Authority at monthly reporting meetings for go/no go decisions. Atos will then develop proposals for Investment Approval and subsequently facilitate delivery of approved adoption plans. </w:t>
      </w:r>
    </w:p>
    <w:p w14:paraId="0BCEB494" w14:textId="77777777" w:rsidR="00796914" w:rsidRDefault="00796914" w:rsidP="00796914">
      <w:pPr>
        <w:tabs>
          <w:tab w:val="left" w:pos="1850"/>
        </w:tabs>
        <w:rPr>
          <w:rFonts w:ascii="Arial" w:hAnsi="Arial" w:cs="Arial"/>
          <w:color w:val="000000"/>
        </w:rPr>
      </w:pPr>
      <w:r w:rsidRPr="00796914">
        <w:rPr>
          <w:rFonts w:ascii="Arial" w:hAnsi="Arial" w:cs="Arial"/>
          <w:color w:val="000000"/>
        </w:rPr>
        <w:t>Benefits will include the adoption of architectural standards, common tooling, standardisation of tooling deployments, and information flows between Departments, generating a more coherent, system view in support of OSM oversight. A rate card for adoption services and confirmation of an agreed discount level for currently available products is provided within the pricing.</w:t>
      </w:r>
    </w:p>
    <w:p w14:paraId="13F246F8" w14:textId="77777777" w:rsidR="00796914" w:rsidRDefault="00796914" w:rsidP="00796914">
      <w:pPr>
        <w:tabs>
          <w:tab w:val="left" w:pos="1850"/>
        </w:tabs>
        <w:rPr>
          <w:b/>
          <w:bCs/>
        </w:rPr>
      </w:pPr>
      <w:r>
        <w:rPr>
          <w:b/>
          <w:bCs/>
        </w:rPr>
        <w:t>Social Value</w:t>
      </w:r>
    </w:p>
    <w:p w14:paraId="50994A38" w14:textId="77777777" w:rsidR="00796914" w:rsidRPr="00796914" w:rsidRDefault="00796914" w:rsidP="00796914">
      <w:pPr>
        <w:autoSpaceDE w:val="0"/>
        <w:autoSpaceDN w:val="0"/>
        <w:adjustRightInd w:val="0"/>
        <w:spacing w:after="0" w:line="240" w:lineRule="auto"/>
        <w:rPr>
          <w:rFonts w:ascii="Arial" w:hAnsi="Arial" w:cs="Arial"/>
          <w:color w:val="000000"/>
        </w:rPr>
      </w:pPr>
      <w:r w:rsidRPr="00796914">
        <w:rPr>
          <w:rFonts w:ascii="Arial" w:hAnsi="Arial" w:cs="Arial"/>
          <w:color w:val="000000"/>
        </w:rPr>
        <w:t xml:space="preserve">Atos operates a global programme that supports employees’ working experience. All staff working on this contract will be protected and supported through the programme. It includes: </w:t>
      </w:r>
    </w:p>
    <w:p w14:paraId="23C1340A" w14:textId="77777777" w:rsidR="00796914" w:rsidRPr="00796914" w:rsidRDefault="00796914" w:rsidP="00796914">
      <w:pPr>
        <w:autoSpaceDE w:val="0"/>
        <w:autoSpaceDN w:val="0"/>
        <w:adjustRightInd w:val="0"/>
        <w:spacing w:after="70" w:line="240" w:lineRule="auto"/>
        <w:rPr>
          <w:rFonts w:ascii="Arial" w:hAnsi="Arial" w:cs="Arial"/>
          <w:color w:val="000000"/>
        </w:rPr>
      </w:pPr>
      <w:r w:rsidRPr="00796914">
        <w:rPr>
          <w:rFonts w:ascii="Arial" w:hAnsi="Arial" w:cs="Arial"/>
          <w:color w:val="000000"/>
        </w:rPr>
        <w:t xml:space="preserve">► </w:t>
      </w:r>
      <w:r w:rsidRPr="00796914">
        <w:rPr>
          <w:rFonts w:ascii="Arial" w:hAnsi="Arial" w:cs="Arial"/>
          <w:b/>
          <w:bCs/>
          <w:color w:val="000000"/>
        </w:rPr>
        <w:t xml:space="preserve">Social Value: </w:t>
      </w:r>
      <w:r w:rsidRPr="00796914">
        <w:rPr>
          <w:rFonts w:ascii="Arial" w:hAnsi="Arial" w:cs="Arial"/>
          <w:color w:val="000000"/>
        </w:rPr>
        <w:t xml:space="preserve">highlighting the value of having a social purpose; includes paid volunteering time for initiatives that support others </w:t>
      </w:r>
    </w:p>
    <w:p w14:paraId="45F63A7A" w14:textId="77777777" w:rsidR="00796914" w:rsidRPr="00796914" w:rsidRDefault="00796914" w:rsidP="00796914">
      <w:pPr>
        <w:autoSpaceDE w:val="0"/>
        <w:autoSpaceDN w:val="0"/>
        <w:adjustRightInd w:val="0"/>
        <w:spacing w:after="70" w:line="240" w:lineRule="auto"/>
        <w:rPr>
          <w:rFonts w:ascii="Arial" w:hAnsi="Arial" w:cs="Arial"/>
          <w:color w:val="000000"/>
        </w:rPr>
      </w:pPr>
      <w:r w:rsidRPr="00796914">
        <w:rPr>
          <w:rFonts w:ascii="Arial" w:hAnsi="Arial" w:cs="Arial"/>
          <w:color w:val="000000"/>
        </w:rPr>
        <w:t xml:space="preserve">► </w:t>
      </w:r>
      <w:r w:rsidRPr="00796914">
        <w:rPr>
          <w:rFonts w:ascii="Arial" w:hAnsi="Arial" w:cs="Arial"/>
          <w:b/>
          <w:bCs/>
          <w:color w:val="000000"/>
        </w:rPr>
        <w:t xml:space="preserve">Wellbeing: </w:t>
      </w:r>
      <w:r w:rsidRPr="00796914">
        <w:rPr>
          <w:rFonts w:ascii="Arial" w:hAnsi="Arial" w:cs="Arial"/>
          <w:color w:val="000000"/>
        </w:rPr>
        <w:t xml:space="preserve">physical and mental wellbeing advice and professional support services. </w:t>
      </w:r>
    </w:p>
    <w:p w14:paraId="122E21CE" w14:textId="77777777" w:rsidR="00796914" w:rsidRPr="00796914" w:rsidRDefault="00796914" w:rsidP="00796914">
      <w:pPr>
        <w:autoSpaceDE w:val="0"/>
        <w:autoSpaceDN w:val="0"/>
        <w:adjustRightInd w:val="0"/>
        <w:spacing w:after="70" w:line="240" w:lineRule="auto"/>
        <w:rPr>
          <w:rFonts w:ascii="Arial" w:hAnsi="Arial" w:cs="Arial"/>
          <w:color w:val="000000"/>
        </w:rPr>
      </w:pPr>
      <w:r w:rsidRPr="00796914">
        <w:rPr>
          <w:rFonts w:ascii="Arial" w:hAnsi="Arial" w:cs="Arial"/>
          <w:color w:val="000000"/>
        </w:rPr>
        <w:t xml:space="preserve">► </w:t>
      </w:r>
      <w:r w:rsidRPr="00796914">
        <w:rPr>
          <w:rFonts w:ascii="Arial" w:hAnsi="Arial" w:cs="Arial"/>
          <w:b/>
          <w:bCs/>
          <w:color w:val="000000"/>
        </w:rPr>
        <w:t xml:space="preserve">Diversity and Inclusion: </w:t>
      </w:r>
      <w:r w:rsidRPr="00796914">
        <w:rPr>
          <w:rFonts w:ascii="Arial" w:hAnsi="Arial" w:cs="Arial"/>
          <w:color w:val="000000"/>
        </w:rPr>
        <w:t xml:space="preserve">access to D&amp;I policies and networks that foster collaboration, support, D&amp;I initiatives and best practice </w:t>
      </w:r>
    </w:p>
    <w:p w14:paraId="0ED39A41" w14:textId="77777777" w:rsidR="00796914" w:rsidRPr="00796914" w:rsidRDefault="00796914" w:rsidP="00796914">
      <w:pPr>
        <w:autoSpaceDE w:val="0"/>
        <w:autoSpaceDN w:val="0"/>
        <w:adjustRightInd w:val="0"/>
        <w:spacing w:after="70" w:line="240" w:lineRule="auto"/>
        <w:rPr>
          <w:rFonts w:ascii="Arial" w:hAnsi="Arial" w:cs="Arial"/>
          <w:color w:val="000000"/>
        </w:rPr>
      </w:pPr>
      <w:r w:rsidRPr="00796914">
        <w:rPr>
          <w:rFonts w:ascii="Arial" w:hAnsi="Arial" w:cs="Arial"/>
          <w:color w:val="000000"/>
        </w:rPr>
        <w:t xml:space="preserve">► </w:t>
      </w:r>
      <w:proofErr w:type="spellStart"/>
      <w:r w:rsidRPr="00796914">
        <w:rPr>
          <w:rFonts w:ascii="Arial" w:hAnsi="Arial" w:cs="Arial"/>
          <w:b/>
          <w:bCs/>
          <w:color w:val="000000"/>
        </w:rPr>
        <w:t>Life@</w:t>
      </w:r>
      <w:proofErr w:type="gramStart"/>
      <w:r w:rsidRPr="00796914">
        <w:rPr>
          <w:rFonts w:ascii="Arial" w:hAnsi="Arial" w:cs="Arial"/>
          <w:b/>
          <w:bCs/>
          <w:color w:val="000000"/>
        </w:rPr>
        <w:t>Work</w:t>
      </w:r>
      <w:proofErr w:type="spellEnd"/>
      <w:r w:rsidRPr="00796914">
        <w:rPr>
          <w:rFonts w:ascii="Arial" w:hAnsi="Arial" w:cs="Arial"/>
          <w:b/>
          <w:bCs/>
          <w:color w:val="000000"/>
        </w:rPr>
        <w:t>:</w:t>
      </w:r>
      <w:proofErr w:type="gramEnd"/>
      <w:r w:rsidRPr="00796914">
        <w:rPr>
          <w:rFonts w:ascii="Arial" w:hAnsi="Arial" w:cs="Arial"/>
          <w:b/>
          <w:bCs/>
          <w:color w:val="000000"/>
        </w:rPr>
        <w:t xml:space="preserve"> </w:t>
      </w:r>
      <w:r w:rsidRPr="00796914">
        <w:rPr>
          <w:rFonts w:ascii="Arial" w:hAnsi="Arial" w:cs="Arial"/>
          <w:color w:val="000000"/>
        </w:rPr>
        <w:t xml:space="preserve">promotes a positive working environment, including flexible working, personal growth and encourages social collaboration within teams and communities </w:t>
      </w:r>
    </w:p>
    <w:p w14:paraId="66D16EDA" w14:textId="77777777" w:rsidR="00796914" w:rsidRPr="00796914" w:rsidRDefault="00796914" w:rsidP="00796914">
      <w:pPr>
        <w:autoSpaceDE w:val="0"/>
        <w:autoSpaceDN w:val="0"/>
        <w:adjustRightInd w:val="0"/>
        <w:spacing w:after="0" w:line="240" w:lineRule="auto"/>
        <w:rPr>
          <w:rFonts w:ascii="Arial" w:hAnsi="Arial" w:cs="Arial"/>
          <w:color w:val="000000"/>
        </w:rPr>
      </w:pPr>
      <w:r w:rsidRPr="00796914">
        <w:rPr>
          <w:rFonts w:ascii="Arial" w:hAnsi="Arial" w:cs="Arial"/>
          <w:color w:val="000000"/>
        </w:rPr>
        <w:t xml:space="preserve">► </w:t>
      </w:r>
      <w:r w:rsidRPr="00796914">
        <w:rPr>
          <w:rFonts w:ascii="Arial" w:hAnsi="Arial" w:cs="Arial"/>
          <w:b/>
          <w:bCs/>
          <w:color w:val="000000"/>
        </w:rPr>
        <w:t xml:space="preserve">Employee Experience with our </w:t>
      </w:r>
      <w:proofErr w:type="gramStart"/>
      <w:r w:rsidRPr="00796914">
        <w:rPr>
          <w:rFonts w:ascii="Arial" w:hAnsi="Arial" w:cs="Arial"/>
          <w:b/>
          <w:bCs/>
          <w:color w:val="000000"/>
        </w:rPr>
        <w:t>Customers:</w:t>
      </w:r>
      <w:proofErr w:type="gramEnd"/>
      <w:r w:rsidRPr="00796914">
        <w:rPr>
          <w:rFonts w:ascii="Arial" w:hAnsi="Arial" w:cs="Arial"/>
          <w:b/>
          <w:bCs/>
          <w:color w:val="000000"/>
        </w:rPr>
        <w:t xml:space="preserve"> </w:t>
      </w:r>
      <w:r w:rsidRPr="00796914">
        <w:rPr>
          <w:rFonts w:ascii="Arial" w:hAnsi="Arial" w:cs="Arial"/>
          <w:color w:val="000000"/>
        </w:rPr>
        <w:t xml:space="preserve">supports client teams’ confidence; provision of speak-up channels to voice concerns, creates a positive working culture. </w:t>
      </w:r>
    </w:p>
    <w:p w14:paraId="0B9686BA" w14:textId="77777777" w:rsidR="00796914" w:rsidRDefault="00796914" w:rsidP="00796914">
      <w:pPr>
        <w:tabs>
          <w:tab w:val="left" w:pos="1850"/>
        </w:tabs>
        <w:rPr>
          <w:b/>
          <w:bCs/>
        </w:rPr>
      </w:pPr>
    </w:p>
    <w:p w14:paraId="28BB45C5" w14:textId="77777777" w:rsidR="00796914" w:rsidRPr="00796914" w:rsidRDefault="00796914" w:rsidP="00796914">
      <w:pPr>
        <w:autoSpaceDE w:val="0"/>
        <w:autoSpaceDN w:val="0"/>
        <w:adjustRightInd w:val="0"/>
        <w:spacing w:after="0" w:line="240" w:lineRule="auto"/>
        <w:rPr>
          <w:rFonts w:ascii="Arial" w:hAnsi="Arial" w:cs="Arial"/>
          <w:color w:val="000000"/>
        </w:rPr>
      </w:pPr>
      <w:r w:rsidRPr="00796914">
        <w:rPr>
          <w:rFonts w:ascii="Arial" w:hAnsi="Arial" w:cs="Arial"/>
          <w:color w:val="000000"/>
        </w:rPr>
        <w:t xml:space="preserve">Atos is a Gold member of the Armed Forces Covenant. We actively encourage our employees to participate in fundraising and volunteering activities, through paid volunteering time (6 days/year) and we propose to run a joint MOD/Atos community project every six months. </w:t>
      </w:r>
    </w:p>
    <w:p w14:paraId="337052E3" w14:textId="77777777" w:rsidR="00796914" w:rsidRDefault="00796914" w:rsidP="00796914">
      <w:pPr>
        <w:tabs>
          <w:tab w:val="left" w:pos="1850"/>
        </w:tabs>
        <w:rPr>
          <w:b/>
          <w:bCs/>
        </w:rPr>
      </w:pPr>
      <w:r w:rsidRPr="00796914">
        <w:rPr>
          <w:rFonts w:ascii="Arial" w:hAnsi="Arial" w:cs="Arial"/>
          <w:color w:val="000000"/>
        </w:rPr>
        <w:t>Atos engages with communities, including local recruitment and training via our Graduate, Intern and Apprenticeship schemes. We will work in partnership with MOD to make our training programmes available to the Authority’s staff and supply chain. Atos seeks to minimise its environmental impact; we hold ISO 14001 accreditation. We routinely use e-collaboration tools; during the COVID-19 lockdowns 93% of our employees have worked remotely. For this contract we aim to minimise travel, and where this is not possible, employ local resources and use the lowest carbon means of travel.</w:t>
      </w:r>
      <w:bookmarkStart w:id="1" w:name="_GoBack"/>
      <w:bookmarkEnd w:id="1"/>
    </w:p>
    <w:p w14:paraId="77288A68" w14:textId="77777777" w:rsidR="009C4D17" w:rsidRPr="00457C6A" w:rsidRDefault="009C4D17" w:rsidP="00796914">
      <w:pPr>
        <w:tabs>
          <w:tab w:val="left" w:pos="1850"/>
        </w:tabs>
        <w:rPr>
          <w:rFonts w:ascii="Arial" w:hAnsi="Arial" w:cs="Arial"/>
          <w:sz w:val="24"/>
          <w:szCs w:val="20"/>
        </w:rPr>
      </w:pPr>
      <w:r w:rsidRPr="00457C6A">
        <w:rPr>
          <w:rFonts w:ascii="Arial" w:hAnsi="Arial" w:cs="Arial"/>
          <w:sz w:val="24"/>
          <w:szCs w:val="20"/>
        </w:rPr>
        <w:tab/>
      </w:r>
    </w:p>
    <w:p w14:paraId="69529D9B" w14:textId="77777777" w:rsidR="00094413" w:rsidRPr="00457C6A" w:rsidRDefault="009C4D17" w:rsidP="009C4D17">
      <w:pPr>
        <w:tabs>
          <w:tab w:val="left" w:pos="1850"/>
        </w:tabs>
        <w:rPr>
          <w:rFonts w:ascii="Arial" w:hAnsi="Arial" w:cs="Arial"/>
          <w:sz w:val="24"/>
          <w:szCs w:val="20"/>
        </w:rPr>
        <w:sectPr w:rsidR="00094413" w:rsidRPr="00457C6A">
          <w:headerReference w:type="default" r:id="rId9"/>
          <w:footerReference w:type="default" r:id="rId10"/>
          <w:pgSz w:w="11906" w:h="16838"/>
          <w:pgMar w:top="1440" w:right="1440" w:bottom="1440" w:left="1440" w:header="706" w:footer="706" w:gutter="0"/>
          <w:cols w:space="708"/>
          <w:docGrid w:linePitch="360"/>
        </w:sectPr>
      </w:pPr>
      <w:r w:rsidRPr="00457C6A">
        <w:rPr>
          <w:rFonts w:ascii="Arial" w:hAnsi="Arial" w:cs="Arial"/>
          <w:sz w:val="24"/>
          <w:szCs w:val="20"/>
        </w:rPr>
        <w:tab/>
      </w:r>
    </w:p>
    <w:p w14:paraId="21753DD2" w14:textId="77777777" w:rsidR="00094413" w:rsidRPr="00457C6A" w:rsidRDefault="00094413">
      <w:pPr>
        <w:rPr>
          <w:rFonts w:ascii="Arial" w:hAnsi="Arial" w:cs="Arial"/>
          <w:sz w:val="24"/>
          <w:szCs w:val="20"/>
        </w:rPr>
      </w:pPr>
    </w:p>
    <w:sectPr w:rsidR="00094413" w:rsidRPr="00457C6A">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1AFC74" w14:textId="77777777" w:rsidR="00243A21" w:rsidRDefault="00243A21">
      <w:pPr>
        <w:spacing w:after="0" w:line="240" w:lineRule="auto"/>
      </w:pPr>
      <w:r>
        <w:separator/>
      </w:r>
    </w:p>
  </w:endnote>
  <w:endnote w:type="continuationSeparator" w:id="0">
    <w:p w14:paraId="22EBFA2C" w14:textId="77777777" w:rsidR="00243A21" w:rsidRDefault="00243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23DBF" w14:textId="77777777" w:rsidR="00F675D5" w:rsidRPr="001F18F8" w:rsidRDefault="00F675D5" w:rsidP="005D7AD1">
    <w:pPr>
      <w:tabs>
        <w:tab w:val="center" w:pos="4513"/>
        <w:tab w:val="right" w:pos="9026"/>
      </w:tabs>
      <w:spacing w:after="0"/>
      <w:rPr>
        <w:color w:val="A6A6A6" w:themeColor="background1" w:themeShade="A6"/>
      </w:rPr>
    </w:pPr>
  </w:p>
  <w:p w14:paraId="3527B2B6" w14:textId="77777777" w:rsidR="00F675D5" w:rsidRPr="001F18F8" w:rsidRDefault="00F675D5" w:rsidP="005D7AD1">
    <w:pPr>
      <w:tabs>
        <w:tab w:val="center" w:pos="4513"/>
        <w:tab w:val="right" w:pos="9026"/>
      </w:tabs>
      <w:spacing w:after="0"/>
      <w:rPr>
        <w:rFonts w:ascii="Arial" w:hAnsi="Arial" w:cs="Arial"/>
        <w:color w:val="A6A6A6" w:themeColor="background1" w:themeShade="A6"/>
        <w:sz w:val="20"/>
      </w:rPr>
    </w:pPr>
    <w:r w:rsidRPr="001F18F8">
      <w:rPr>
        <w:rFonts w:ascii="Arial" w:hAnsi="Arial" w:cs="Arial"/>
        <w:color w:val="A6A6A6" w:themeColor="background1" w:themeShade="A6"/>
        <w:sz w:val="20"/>
      </w:rPr>
      <w:t>Framework Ref: RM</w:t>
    </w:r>
    <w:r w:rsidR="009D766E">
      <w:rPr>
        <w:rFonts w:ascii="Arial" w:hAnsi="Arial" w:cs="Arial"/>
        <w:color w:val="A6A6A6" w:themeColor="background1" w:themeShade="A6"/>
        <w:sz w:val="20"/>
      </w:rPr>
      <w:t>6068</w:t>
    </w:r>
  </w:p>
  <w:p w14:paraId="4EFFC04A" w14:textId="77777777" w:rsidR="00F675D5" w:rsidRPr="001F18F8" w:rsidRDefault="00F675D5" w:rsidP="005D7AD1">
    <w:pPr>
      <w:pStyle w:val="Footer"/>
      <w:rPr>
        <w:rFonts w:ascii="Arial" w:hAnsi="Arial" w:cs="Arial"/>
        <w:color w:val="A6A6A6" w:themeColor="background1" w:themeShade="A6"/>
        <w:sz w:val="20"/>
      </w:rPr>
    </w:pPr>
    <w:r w:rsidRPr="001F18F8">
      <w:rPr>
        <w:rFonts w:ascii="Arial" w:hAnsi="Arial" w:cs="Arial"/>
        <w:color w:val="A6A6A6" w:themeColor="background1" w:themeShade="A6"/>
        <w:sz w:val="20"/>
      </w:rPr>
      <w:t>Project Version: v1.0</w:t>
    </w:r>
    <w:r w:rsidRPr="001F18F8">
      <w:rPr>
        <w:rFonts w:ascii="Arial" w:hAnsi="Arial" w:cs="Arial"/>
        <w:color w:val="A6A6A6" w:themeColor="background1" w:themeShade="A6"/>
        <w:sz w:val="20"/>
      </w:rPr>
      <w:tab/>
    </w:r>
    <w:r w:rsidRPr="001F18F8">
      <w:rPr>
        <w:rFonts w:ascii="Arial" w:hAnsi="Arial" w:cs="Arial"/>
        <w:color w:val="A6A6A6" w:themeColor="background1" w:themeShade="A6"/>
        <w:sz w:val="20"/>
      </w:rPr>
      <w:tab/>
    </w:r>
    <w:r w:rsidRPr="001F18F8">
      <w:rPr>
        <w:rFonts w:ascii="Arial" w:hAnsi="Arial" w:cs="Arial"/>
        <w:color w:val="A6A6A6" w:themeColor="background1" w:themeShade="A6"/>
        <w:sz w:val="20"/>
      </w:rPr>
      <w:tab/>
    </w:r>
    <w:r w:rsidRPr="001F18F8">
      <w:rPr>
        <w:rFonts w:ascii="Arial" w:hAnsi="Arial" w:cs="Arial"/>
        <w:color w:val="A6A6A6" w:themeColor="background1" w:themeShade="A6"/>
        <w:sz w:val="20"/>
      </w:rPr>
      <w:fldChar w:fldCharType="begin"/>
    </w:r>
    <w:r w:rsidRPr="001F18F8">
      <w:rPr>
        <w:rFonts w:ascii="Arial" w:hAnsi="Arial" w:cs="Arial"/>
        <w:color w:val="A6A6A6" w:themeColor="background1" w:themeShade="A6"/>
        <w:sz w:val="20"/>
      </w:rPr>
      <w:instrText xml:space="preserve"> PAGE   \* MERGEFORMAT </w:instrText>
    </w:r>
    <w:r w:rsidRPr="001F18F8">
      <w:rPr>
        <w:rFonts w:ascii="Arial" w:hAnsi="Arial" w:cs="Arial"/>
        <w:color w:val="A6A6A6" w:themeColor="background1" w:themeShade="A6"/>
        <w:sz w:val="20"/>
      </w:rPr>
      <w:fldChar w:fldCharType="separate"/>
    </w:r>
    <w:r w:rsidR="009D766E">
      <w:rPr>
        <w:rFonts w:ascii="Arial" w:hAnsi="Arial" w:cs="Arial"/>
        <w:noProof/>
        <w:color w:val="A6A6A6" w:themeColor="background1" w:themeShade="A6"/>
        <w:sz w:val="20"/>
      </w:rPr>
      <w:t>2</w:t>
    </w:r>
    <w:r w:rsidRPr="001F18F8">
      <w:rPr>
        <w:rFonts w:ascii="Arial" w:hAnsi="Arial" w:cs="Arial"/>
        <w:noProof/>
        <w:color w:val="A6A6A6" w:themeColor="background1" w:themeShade="A6"/>
        <w:sz w:val="20"/>
      </w:rPr>
      <w:fldChar w:fldCharType="end"/>
    </w:r>
  </w:p>
  <w:p w14:paraId="4480BE5C" w14:textId="77777777" w:rsidR="00F675D5" w:rsidRPr="001F18F8" w:rsidRDefault="00F675D5" w:rsidP="005D7AD1">
    <w:pPr>
      <w:tabs>
        <w:tab w:val="left" w:pos="2731"/>
      </w:tabs>
      <w:overflowPunct w:val="0"/>
      <w:autoSpaceDE w:val="0"/>
      <w:autoSpaceDN w:val="0"/>
      <w:adjustRightInd w:val="0"/>
      <w:spacing w:after="0" w:line="240" w:lineRule="auto"/>
      <w:jc w:val="both"/>
      <w:rPr>
        <w:rFonts w:ascii="Arial" w:eastAsia="Times New Roman" w:hAnsi="Arial" w:cs="Arial"/>
        <w:color w:val="A6A6A6" w:themeColor="background1" w:themeShade="A6"/>
        <w:sz w:val="20"/>
      </w:rPr>
    </w:pPr>
    <w:r>
      <w:rPr>
        <w:rFonts w:ascii="Arial" w:hAnsi="Arial" w:cs="Arial"/>
        <w:color w:val="A6A6A6" w:themeColor="background1" w:themeShade="A6"/>
        <w:sz w:val="20"/>
      </w:rPr>
      <w:t>Model Version</w:t>
    </w:r>
    <w:r w:rsidRPr="001F18F8">
      <w:rPr>
        <w:rFonts w:ascii="Arial" w:hAnsi="Arial" w:cs="Arial"/>
        <w:color w:val="A6A6A6" w:themeColor="background1" w:themeShade="A6"/>
        <w:sz w:val="20"/>
      </w:rPr>
      <w:t>: v3.</w:t>
    </w:r>
    <w:r w:rsidR="009C4D17">
      <w:rPr>
        <w:rFonts w:ascii="Arial" w:hAnsi="Arial" w:cs="Arial"/>
        <w:color w:val="A6A6A6" w:themeColor="background1" w:themeShade="A6"/>
        <w:sz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1E1C21" w14:textId="77777777" w:rsidR="00243A21" w:rsidRDefault="00243A21">
      <w:pPr>
        <w:spacing w:after="0" w:line="240" w:lineRule="auto"/>
      </w:pPr>
      <w:r>
        <w:separator/>
      </w:r>
    </w:p>
  </w:footnote>
  <w:footnote w:type="continuationSeparator" w:id="0">
    <w:p w14:paraId="3FBC35B2" w14:textId="77777777" w:rsidR="00243A21" w:rsidRDefault="00243A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5FD2D" w14:textId="77777777" w:rsidR="00F675D5" w:rsidRPr="00F65D49" w:rsidRDefault="00F675D5">
    <w:pPr>
      <w:tabs>
        <w:tab w:val="center" w:pos="4513"/>
        <w:tab w:val="right" w:pos="9026"/>
      </w:tabs>
      <w:spacing w:after="0"/>
      <w:rPr>
        <w:rFonts w:ascii="Arial" w:hAnsi="Arial" w:cs="Arial"/>
        <w:sz w:val="20"/>
      </w:rPr>
    </w:pPr>
    <w:r w:rsidRPr="00F65D49">
      <w:rPr>
        <w:rFonts w:ascii="Arial" w:hAnsi="Arial" w:cs="Arial"/>
        <w:b/>
        <w:sz w:val="20"/>
      </w:rPr>
      <w:t>Call-Off Schedule 4 (Call-Off Tender)</w:t>
    </w:r>
  </w:p>
  <w:p w14:paraId="49FEAD05" w14:textId="77777777" w:rsidR="00F675D5" w:rsidRPr="00F65D49" w:rsidRDefault="00F675D5">
    <w:pPr>
      <w:tabs>
        <w:tab w:val="center" w:pos="4513"/>
        <w:tab w:val="right" w:pos="9026"/>
      </w:tabs>
      <w:spacing w:after="0"/>
      <w:rPr>
        <w:rFonts w:ascii="Arial" w:hAnsi="Arial" w:cs="Arial"/>
        <w:sz w:val="20"/>
      </w:rPr>
    </w:pPr>
    <w:r w:rsidRPr="00F65D49">
      <w:rPr>
        <w:rFonts w:ascii="Arial" w:hAnsi="Arial" w:cs="Arial"/>
        <w:sz w:val="20"/>
      </w:rPr>
      <w:t>Call-Off Ref:</w:t>
    </w:r>
  </w:p>
  <w:p w14:paraId="4A407474" w14:textId="77777777" w:rsidR="00F675D5" w:rsidRPr="00F65D49" w:rsidRDefault="00F675D5">
    <w:pPr>
      <w:tabs>
        <w:tab w:val="center" w:pos="4513"/>
        <w:tab w:val="right" w:pos="9026"/>
      </w:tabs>
      <w:spacing w:after="0"/>
      <w:rPr>
        <w:rFonts w:ascii="Arial" w:hAnsi="Arial" w:cs="Arial"/>
        <w:sz w:val="20"/>
      </w:rPr>
    </w:pPr>
    <w:r w:rsidRPr="00F65D49">
      <w:rPr>
        <w:rFonts w:ascii="Arial" w:hAnsi="Arial" w:cs="Arial"/>
        <w:sz w:val="20"/>
      </w:rPr>
      <w:t>Crown Copyright</w:t>
    </w:r>
    <w:r w:rsidRPr="00F65D49">
      <w:rPr>
        <w:rFonts w:ascii="Arial" w:hAnsi="Arial" w:cs="Arial"/>
        <w:sz w:val="14"/>
        <w:szCs w:val="16"/>
        <w:lang w:eastAsia="en-GB"/>
      </w:rPr>
      <w:t xml:space="preserve"> </w:t>
    </w:r>
    <w:r w:rsidRPr="00F65D49">
      <w:rPr>
        <w:rFonts w:ascii="Arial" w:hAnsi="Arial" w:cs="Arial"/>
        <w:sz w:val="20"/>
        <w:szCs w:val="16"/>
        <w:lang w:eastAsia="en-GB"/>
      </w:rPr>
      <w:t>2018</w:t>
    </w:r>
  </w:p>
  <w:p w14:paraId="25C0659A" w14:textId="77777777" w:rsidR="00F675D5" w:rsidRDefault="00F675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248"/>
    <w:rsid w:val="00027D24"/>
    <w:rsid w:val="000833BE"/>
    <w:rsid w:val="00094413"/>
    <w:rsid w:val="000B77C5"/>
    <w:rsid w:val="0011196C"/>
    <w:rsid w:val="001F18F8"/>
    <w:rsid w:val="001F1F12"/>
    <w:rsid w:val="00243A21"/>
    <w:rsid w:val="002B634A"/>
    <w:rsid w:val="00314EE9"/>
    <w:rsid w:val="00357675"/>
    <w:rsid w:val="00385F8C"/>
    <w:rsid w:val="00422F7C"/>
    <w:rsid w:val="004322DB"/>
    <w:rsid w:val="00457C6A"/>
    <w:rsid w:val="00530884"/>
    <w:rsid w:val="005D7AD1"/>
    <w:rsid w:val="005E7151"/>
    <w:rsid w:val="00796914"/>
    <w:rsid w:val="00825248"/>
    <w:rsid w:val="00912C82"/>
    <w:rsid w:val="009C4D17"/>
    <w:rsid w:val="009D766E"/>
    <w:rsid w:val="009F1270"/>
    <w:rsid w:val="00AD23E1"/>
    <w:rsid w:val="00D1327E"/>
    <w:rsid w:val="00D87C89"/>
    <w:rsid w:val="00E157ED"/>
    <w:rsid w:val="00E524D4"/>
    <w:rsid w:val="00E93C60"/>
    <w:rsid w:val="00F04E1F"/>
    <w:rsid w:val="00F53CCD"/>
    <w:rsid w:val="00F65D49"/>
    <w:rsid w:val="00F675D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828C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87C89"/>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531525">
      <w:bodyDiv w:val="1"/>
      <w:marLeft w:val="0"/>
      <w:marRight w:val="0"/>
      <w:marTop w:val="0"/>
      <w:marBottom w:val="0"/>
      <w:divBdr>
        <w:top w:val="none" w:sz="0" w:space="0" w:color="auto"/>
        <w:left w:val="none" w:sz="0" w:space="0" w:color="auto"/>
        <w:bottom w:val="none" w:sz="0" w:space="0" w:color="auto"/>
        <w:right w:val="none" w:sz="0" w:space="0" w:color="auto"/>
      </w:divBdr>
    </w:div>
    <w:div w:id="583956739">
      <w:bodyDiv w:val="1"/>
      <w:marLeft w:val="0"/>
      <w:marRight w:val="0"/>
      <w:marTop w:val="0"/>
      <w:marBottom w:val="0"/>
      <w:divBdr>
        <w:top w:val="none" w:sz="0" w:space="0" w:color="auto"/>
        <w:left w:val="none" w:sz="0" w:space="0" w:color="auto"/>
        <w:bottom w:val="none" w:sz="0" w:space="0" w:color="auto"/>
        <w:right w:val="none" w:sz="0" w:space="0" w:color="auto"/>
      </w:divBdr>
    </w:div>
    <w:div w:id="587615222">
      <w:bodyDiv w:val="1"/>
      <w:marLeft w:val="0"/>
      <w:marRight w:val="0"/>
      <w:marTop w:val="0"/>
      <w:marBottom w:val="0"/>
      <w:divBdr>
        <w:top w:val="none" w:sz="0" w:space="0" w:color="auto"/>
        <w:left w:val="none" w:sz="0" w:space="0" w:color="auto"/>
        <w:bottom w:val="none" w:sz="0" w:space="0" w:color="auto"/>
        <w:right w:val="none" w:sz="0" w:space="0" w:color="auto"/>
      </w:divBdr>
    </w:div>
    <w:div w:id="954293102">
      <w:bodyDiv w:val="1"/>
      <w:marLeft w:val="0"/>
      <w:marRight w:val="0"/>
      <w:marTop w:val="0"/>
      <w:marBottom w:val="0"/>
      <w:divBdr>
        <w:top w:val="none" w:sz="0" w:space="0" w:color="auto"/>
        <w:left w:val="none" w:sz="0" w:space="0" w:color="auto"/>
        <w:bottom w:val="none" w:sz="0" w:space="0" w:color="auto"/>
        <w:right w:val="none" w:sz="0" w:space="0" w:color="auto"/>
      </w:divBdr>
    </w:div>
    <w:div w:id="1039089737">
      <w:bodyDiv w:val="1"/>
      <w:marLeft w:val="0"/>
      <w:marRight w:val="0"/>
      <w:marTop w:val="0"/>
      <w:marBottom w:val="0"/>
      <w:divBdr>
        <w:top w:val="none" w:sz="0" w:space="0" w:color="auto"/>
        <w:left w:val="none" w:sz="0" w:space="0" w:color="auto"/>
        <w:bottom w:val="none" w:sz="0" w:space="0" w:color="auto"/>
        <w:right w:val="none" w:sz="0" w:space="0" w:color="auto"/>
      </w:divBdr>
    </w:div>
    <w:div w:id="122397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C963FEBEAFFD439F1407C2DB1A7594" ma:contentTypeVersion="8" ma:contentTypeDescription="Create a new document." ma:contentTypeScope="" ma:versionID="1d7a48efbfb8a645298de8d686df11bc">
  <xsd:schema xmlns:xsd="http://www.w3.org/2001/XMLSchema" xmlns:xs="http://www.w3.org/2001/XMLSchema" xmlns:p="http://schemas.microsoft.com/office/2006/metadata/properties" xmlns:ns2="e2b35971-f043-4b2c-90be-32503d656b9c" targetNamespace="http://schemas.microsoft.com/office/2006/metadata/properties" ma:root="true" ma:fieldsID="b8f19c2dfbe0e61a787a356b66195fad" ns2:_="">
    <xsd:import namespace="e2b35971-f043-4b2c-90be-32503d656b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b35971-f043-4b2c-90be-32503d656b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AB5599-0AB5-4DF2-94EF-84A1FA122B5C}"/>
</file>

<file path=customXml/itemProps2.xml><?xml version="1.0" encoding="utf-8"?>
<ds:datastoreItem xmlns:ds="http://schemas.openxmlformats.org/officeDocument/2006/customXml" ds:itemID="{7162B09E-0F09-46BA-9AB4-C44B5D1D74DF}">
  <ds:schemaRefs>
    <ds:schemaRef ds:uri="http://schemas.microsoft.com/sharepoint/v3/contenttype/forms"/>
  </ds:schemaRefs>
</ds:datastoreItem>
</file>

<file path=customXml/itemProps3.xml><?xml version="1.0" encoding="utf-8"?>
<ds:datastoreItem xmlns:ds="http://schemas.openxmlformats.org/officeDocument/2006/customXml" ds:itemID="{0D573D1C-C0E9-456B-A4EA-FAB80B1FACCD}">
  <ds:schemaRefs>
    <ds:schemaRef ds:uri="http://purl.org/dc/terms/"/>
    <ds:schemaRef ds:uri="http://schemas.microsoft.com/office/2006/documentManagement/types"/>
    <ds:schemaRef ds:uri="http://www.w3.org/XML/1998/namespace"/>
    <ds:schemaRef ds:uri="http://purl.org/dc/elements/1.1/"/>
    <ds:schemaRef ds:uri="e2b35971-f043-4b2c-90be-32503d656b9c"/>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2462</Words>
  <Characters>14040</Characters>
  <Application>Microsoft Office Word</Application>
  <DocSecurity>4</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2021-03-04T11:33:00Z</dcterms:created>
  <dcterms:modified xsi:type="dcterms:W3CDTF">2021-03-04T11:33:00Z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y fmtid="{D5CDD505-2E9C-101B-9397-08002B2CF9AE}" pid="3" name="ContentTypeId">
    <vt:lpwstr>0x010100DFC963FEBEAFFD439F1407C2DB1A7594</vt:lpwstr>
  </property>
</Properties>
</file>