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0F0" w:rsidRDefault="007739D9">
      <w:pPr>
        <w:rPr>
          <w:sz w:val="32"/>
          <w:szCs w:val="32"/>
        </w:rPr>
      </w:pPr>
      <w:r>
        <w:rPr>
          <w:b/>
          <w:sz w:val="32"/>
          <w:szCs w:val="32"/>
        </w:rPr>
        <w:t>Appendix A – Caradoc Surgery background information, geographic and population details</w:t>
      </w:r>
      <w:r w:rsidR="00F430F0">
        <w:rPr>
          <w:b/>
          <w:sz w:val="32"/>
          <w:szCs w:val="32"/>
        </w:rPr>
        <w:t xml:space="preserve"> </w:t>
      </w:r>
    </w:p>
    <w:p w:rsidR="007739D9" w:rsidRPr="00F430F0" w:rsidRDefault="007739D9">
      <w:pPr>
        <w:rPr>
          <w:sz w:val="28"/>
          <w:szCs w:val="28"/>
        </w:rPr>
      </w:pPr>
      <w:r>
        <w:rPr>
          <w:sz w:val="28"/>
          <w:szCs w:val="28"/>
        </w:rPr>
        <w:t>Provision of Primary Medical GP Services at Caradoc Surgery, Frinton on Sea, Essex</w:t>
      </w:r>
    </w:p>
    <w:p w:rsidR="007739D9" w:rsidRPr="00F430F0" w:rsidRDefault="007739D9" w:rsidP="00DB376A">
      <w:pPr>
        <w:tabs>
          <w:tab w:val="right" w:pos="9026"/>
        </w:tabs>
        <w:rPr>
          <w:b/>
        </w:rPr>
      </w:pPr>
      <w:r>
        <w:rPr>
          <w:b/>
        </w:rPr>
        <w:t>Surgery Location</w:t>
      </w:r>
      <w:r w:rsidR="00DB376A">
        <w:rPr>
          <w:b/>
        </w:rPr>
        <w:tab/>
      </w:r>
    </w:p>
    <w:p w:rsidR="009223BC" w:rsidRDefault="009223BC">
      <w:r>
        <w:t>The surgery is located within the North East Essex Clinical Commissioning G</w:t>
      </w:r>
      <w:r w:rsidR="00EF73B9">
        <w:t>roup</w:t>
      </w:r>
      <w:r w:rsidR="005C56B9">
        <w:t>. The local council is Tendring District Council.</w:t>
      </w:r>
    </w:p>
    <w:p w:rsidR="007739D9" w:rsidRDefault="007739D9" w:rsidP="007739D9">
      <w:pPr>
        <w:pStyle w:val="NoSpacing"/>
      </w:pPr>
      <w:r>
        <w:t>Tendring is located in the north eastern peninsula of Essex and covers an area of approximately 130 square miles. The main populous areas are those on the coast line such as Frinton, Walton, Brightlingsea, Clacton and Harwich.</w:t>
      </w:r>
    </w:p>
    <w:p w:rsidR="00130D57" w:rsidRDefault="00130D57"/>
    <w:p w:rsidR="004F08B8" w:rsidRDefault="00C91E68">
      <w:hyperlink r:id="rId8" w:history="1">
        <w:r w:rsidR="004F08B8" w:rsidRPr="004F08B8">
          <w:rPr>
            <w:rStyle w:val="Hyperlink"/>
          </w:rPr>
          <w:t>www.caradocsurgery.co.uk</w:t>
        </w:r>
      </w:hyperlink>
      <w:r w:rsidR="004F08B8">
        <w:t xml:space="preserve"> </w:t>
      </w:r>
    </w:p>
    <w:p w:rsidR="00195E7B" w:rsidRPr="00195E7B" w:rsidRDefault="00195E7B" w:rsidP="00195E7B">
      <w:pPr>
        <w:spacing w:after="0"/>
        <w:rPr>
          <w:b/>
        </w:rPr>
      </w:pPr>
      <w:r w:rsidRPr="00195E7B">
        <w:rPr>
          <w:b/>
        </w:rPr>
        <w:t>Background</w:t>
      </w:r>
    </w:p>
    <w:p w:rsidR="00195E7B" w:rsidRDefault="00195E7B" w:rsidP="009F565A">
      <w:pPr>
        <w:tabs>
          <w:tab w:val="left" w:pos="709"/>
          <w:tab w:val="left" w:pos="1418"/>
          <w:tab w:val="left" w:pos="2835"/>
          <w:tab w:val="left" w:pos="3544"/>
          <w:tab w:val="left" w:pos="4253"/>
          <w:tab w:val="left" w:pos="4961"/>
          <w:tab w:val="left" w:pos="5670"/>
          <w:tab w:val="left" w:pos="6379"/>
          <w:tab w:val="left" w:pos="7088"/>
          <w:tab w:val="left" w:pos="7796"/>
          <w:tab w:val="left" w:pos="8505"/>
        </w:tabs>
        <w:spacing w:after="0" w:line="312" w:lineRule="auto"/>
        <w:outlineLvl w:val="0"/>
      </w:pPr>
      <w:r w:rsidRPr="00612DD1">
        <w:t xml:space="preserve">In October 2014 </w:t>
      </w:r>
      <w:r>
        <w:t>the contract holder</w:t>
      </w:r>
      <w:r w:rsidRPr="00612DD1">
        <w:t xml:space="preserve"> decided to terminate </w:t>
      </w:r>
      <w:r>
        <w:t>the</w:t>
      </w:r>
      <w:r w:rsidRPr="00612DD1">
        <w:t xml:space="preserve"> G</w:t>
      </w:r>
      <w:r w:rsidR="007739D9">
        <w:t xml:space="preserve">eneral </w:t>
      </w:r>
      <w:r w:rsidRPr="00612DD1">
        <w:t>M</w:t>
      </w:r>
      <w:r w:rsidR="007739D9">
        <w:t xml:space="preserve">edical </w:t>
      </w:r>
      <w:r w:rsidRPr="00612DD1">
        <w:t>S</w:t>
      </w:r>
      <w:r w:rsidR="001C5E1F">
        <w:t>ervices (GMS)</w:t>
      </w:r>
      <w:r w:rsidRPr="00612DD1">
        <w:t xml:space="preserve"> Contract.</w:t>
      </w:r>
      <w:r w:rsidR="00766EEA">
        <w:t xml:space="preserve"> </w:t>
      </w:r>
      <w:r w:rsidR="004F08B8">
        <w:t xml:space="preserve">A </w:t>
      </w:r>
      <w:r w:rsidR="004F08B8" w:rsidRPr="00612DD1">
        <w:t>local</w:t>
      </w:r>
      <w:r w:rsidRPr="00612DD1">
        <w:t xml:space="preserve"> provider put in a collaborative bid to run G</w:t>
      </w:r>
      <w:r w:rsidR="00571338">
        <w:t xml:space="preserve">eneral </w:t>
      </w:r>
      <w:r w:rsidRPr="00612DD1">
        <w:t>M</w:t>
      </w:r>
      <w:r w:rsidR="00571338">
        <w:t xml:space="preserve">edical </w:t>
      </w:r>
      <w:r w:rsidRPr="00612DD1">
        <w:t>S</w:t>
      </w:r>
      <w:r w:rsidR="00571338">
        <w:t>ervices</w:t>
      </w:r>
      <w:r w:rsidRPr="00612DD1">
        <w:t xml:space="preserve"> at the Caradoc Surgery for a ‘caretaker’ period of 1 year</w:t>
      </w:r>
      <w:r w:rsidR="006B7CB2">
        <w:t xml:space="preserve"> under APMS contract</w:t>
      </w:r>
      <w:r w:rsidRPr="00612DD1">
        <w:t xml:space="preserve"> while </w:t>
      </w:r>
      <w:r>
        <w:t>NHS England</w:t>
      </w:r>
      <w:r w:rsidRPr="00612DD1">
        <w:t xml:space="preserve"> undertakes a full procurement process.  </w:t>
      </w:r>
      <w:bookmarkStart w:id="0" w:name="_GoBack"/>
      <w:bookmarkEnd w:id="0"/>
      <w:r w:rsidRPr="00612DD1">
        <w:t>The APMS contract expires 31</w:t>
      </w:r>
      <w:r w:rsidRPr="00612DD1">
        <w:rPr>
          <w:vertAlign w:val="superscript"/>
        </w:rPr>
        <w:t>st</w:t>
      </w:r>
      <w:r w:rsidRPr="00612DD1">
        <w:t xml:space="preserve"> October 2015. </w:t>
      </w:r>
      <w:r>
        <w:t xml:space="preserve">NHS England is seeking to </w:t>
      </w:r>
      <w:r w:rsidRPr="00612DD1">
        <w:t xml:space="preserve">identify a provider who will deliver </w:t>
      </w:r>
      <w:r w:rsidRPr="00772705">
        <w:t>General Medical Services for patients of Caradoc Surgery</w:t>
      </w:r>
      <w:r>
        <w:t xml:space="preserve"> under an APMS contract.</w:t>
      </w:r>
    </w:p>
    <w:p w:rsidR="009F565A" w:rsidRDefault="009F565A" w:rsidP="009F565A">
      <w:pPr>
        <w:tabs>
          <w:tab w:val="left" w:pos="709"/>
          <w:tab w:val="left" w:pos="1418"/>
          <w:tab w:val="left" w:pos="2835"/>
          <w:tab w:val="left" w:pos="3544"/>
          <w:tab w:val="left" w:pos="4253"/>
          <w:tab w:val="left" w:pos="4961"/>
          <w:tab w:val="left" w:pos="5670"/>
          <w:tab w:val="left" w:pos="6379"/>
          <w:tab w:val="left" w:pos="7088"/>
          <w:tab w:val="left" w:pos="7796"/>
          <w:tab w:val="left" w:pos="8505"/>
        </w:tabs>
        <w:spacing w:after="0" w:line="312" w:lineRule="auto"/>
        <w:outlineLvl w:val="0"/>
      </w:pPr>
    </w:p>
    <w:p w:rsidR="009223BC" w:rsidRDefault="009223BC" w:rsidP="009223BC">
      <w:pPr>
        <w:spacing w:after="0" w:line="240" w:lineRule="auto"/>
        <w:rPr>
          <w:b/>
        </w:rPr>
      </w:pPr>
      <w:r w:rsidRPr="009223BC">
        <w:rPr>
          <w:b/>
        </w:rPr>
        <w:t>Practice Profile</w:t>
      </w:r>
    </w:p>
    <w:p w:rsidR="007739D9" w:rsidRPr="009223BC" w:rsidRDefault="007739D9" w:rsidP="009223BC">
      <w:pPr>
        <w:spacing w:after="0" w:line="240" w:lineRule="auto"/>
        <w:rPr>
          <w:b/>
        </w:rPr>
      </w:pPr>
    </w:p>
    <w:p w:rsidR="009223BC" w:rsidRDefault="009223BC" w:rsidP="009223BC">
      <w:pPr>
        <w:spacing w:line="240" w:lineRule="auto"/>
      </w:pPr>
      <w:r>
        <w:t xml:space="preserve">Practice List Size – 7737 </w:t>
      </w:r>
      <w:r w:rsidRPr="009223BC">
        <w:rPr>
          <w:sz w:val="16"/>
          <w:szCs w:val="16"/>
        </w:rPr>
        <w:t>1.4.15</w:t>
      </w:r>
      <w:r>
        <w:tab/>
      </w:r>
      <w:r>
        <w:tab/>
        <w:t xml:space="preserve">(Weighted – 9960.87) </w:t>
      </w:r>
      <w:r w:rsidRPr="009223BC">
        <w:rPr>
          <w:sz w:val="16"/>
          <w:szCs w:val="16"/>
        </w:rPr>
        <w:t>1.1.15</w:t>
      </w:r>
    </w:p>
    <w:p w:rsidR="009223BC" w:rsidRDefault="009223BC" w:rsidP="009223BC">
      <w:pPr>
        <w:pStyle w:val="ListParagraph"/>
        <w:numPr>
          <w:ilvl w:val="0"/>
          <w:numId w:val="1"/>
        </w:numPr>
      </w:pPr>
      <w:r>
        <w:t>Under 65 – 4526</w:t>
      </w:r>
    </w:p>
    <w:p w:rsidR="009223BC" w:rsidRDefault="009223BC" w:rsidP="009223BC">
      <w:pPr>
        <w:pStyle w:val="ListParagraph"/>
        <w:numPr>
          <w:ilvl w:val="0"/>
          <w:numId w:val="1"/>
        </w:numPr>
      </w:pPr>
      <w:r>
        <w:t>65-74 – 1529</w:t>
      </w:r>
    </w:p>
    <w:p w:rsidR="009223BC" w:rsidRDefault="009223BC" w:rsidP="009223BC">
      <w:pPr>
        <w:pStyle w:val="ListParagraph"/>
        <w:numPr>
          <w:ilvl w:val="0"/>
          <w:numId w:val="1"/>
        </w:numPr>
      </w:pPr>
      <w:r>
        <w:t>Over 75 – 1682</w:t>
      </w:r>
    </w:p>
    <w:p w:rsidR="008F7CE9" w:rsidRDefault="008F7CE9" w:rsidP="008F7CE9">
      <w:pPr>
        <w:pStyle w:val="ListParagraph"/>
        <w:numPr>
          <w:ilvl w:val="0"/>
          <w:numId w:val="1"/>
        </w:numPr>
      </w:pPr>
      <w:r>
        <w:t xml:space="preserve">41.5% of patients aged 65 and over </w:t>
      </w:r>
      <w:r w:rsidR="00EC502F">
        <w:t>(</w:t>
      </w:r>
      <w:r w:rsidR="00225E03">
        <w:t>national</w:t>
      </w:r>
      <w:r w:rsidR="00EC502F">
        <w:t xml:space="preserve"> average </w:t>
      </w:r>
      <w:r w:rsidR="00225E03">
        <w:t>is 16.6% Source: Equip October 2014)</w:t>
      </w:r>
    </w:p>
    <w:p w:rsidR="009223BC" w:rsidRPr="00F3509F" w:rsidRDefault="00F3509F" w:rsidP="00F3509F">
      <w:pPr>
        <w:spacing w:after="0"/>
        <w:rPr>
          <w:b/>
        </w:rPr>
      </w:pPr>
      <w:r w:rsidRPr="00F3509F">
        <w:rPr>
          <w:b/>
        </w:rPr>
        <w:t>Current Contract Position</w:t>
      </w:r>
    </w:p>
    <w:p w:rsidR="00F3509F" w:rsidRDefault="00F3509F" w:rsidP="00F3509F">
      <w:pPr>
        <w:pStyle w:val="ListParagraph"/>
        <w:numPr>
          <w:ilvl w:val="0"/>
          <w:numId w:val="1"/>
        </w:numPr>
      </w:pPr>
      <w:r>
        <w:t xml:space="preserve">The current contractual arrangements will expire at the end of October 2015. </w:t>
      </w:r>
      <w:r w:rsidR="00EC502F">
        <w:t>It is expected that the new contract will commence on</w:t>
      </w:r>
      <w:r>
        <w:t xml:space="preserve"> 1</w:t>
      </w:r>
      <w:r w:rsidRPr="00F3509F">
        <w:t>st</w:t>
      </w:r>
      <w:r>
        <w:t xml:space="preserve"> November 2015.</w:t>
      </w:r>
    </w:p>
    <w:p w:rsidR="00F3509F" w:rsidRDefault="00130D57" w:rsidP="00F3509F">
      <w:pPr>
        <w:pStyle w:val="ListParagraph"/>
        <w:numPr>
          <w:ilvl w:val="0"/>
          <w:numId w:val="1"/>
        </w:numPr>
      </w:pPr>
      <w:r>
        <w:t xml:space="preserve">The incumbent provider </w:t>
      </w:r>
      <w:r w:rsidR="00B374F8">
        <w:t>currently lease the Caradoc Surgery premises from two former contract holders</w:t>
      </w:r>
    </w:p>
    <w:p w:rsidR="00AA4AC7" w:rsidRDefault="00594EC3" w:rsidP="00F3509F">
      <w:pPr>
        <w:pStyle w:val="ListParagraph"/>
        <w:numPr>
          <w:ilvl w:val="0"/>
          <w:numId w:val="1"/>
        </w:numPr>
      </w:pPr>
      <w:r w:rsidRPr="00F3509F">
        <w:t>The contract offered will be an Alternative Provider of Medical Services (APMS) agreement</w:t>
      </w:r>
    </w:p>
    <w:p w:rsidR="00F3509F" w:rsidRDefault="00F3509F" w:rsidP="00F3509F">
      <w:pPr>
        <w:pStyle w:val="ListParagraph"/>
        <w:numPr>
          <w:ilvl w:val="0"/>
          <w:numId w:val="1"/>
        </w:numPr>
      </w:pPr>
      <w:r>
        <w:t>Contract offer will be for 10 years, with the possibility for extensions of up to a further five years should the commissioner require</w:t>
      </w:r>
    </w:p>
    <w:p w:rsidR="00F3509F" w:rsidRDefault="00F3509F" w:rsidP="00F3509F">
      <w:pPr>
        <w:pStyle w:val="ListParagraph"/>
        <w:numPr>
          <w:ilvl w:val="0"/>
          <w:numId w:val="1"/>
        </w:numPr>
      </w:pPr>
      <w:r>
        <w:t>APMS contracts will be subject to all relevant Regulations, Directions and Legislation</w:t>
      </w:r>
    </w:p>
    <w:p w:rsidR="002C1500" w:rsidRDefault="002C1500" w:rsidP="00F3509F">
      <w:pPr>
        <w:pStyle w:val="ListParagraph"/>
        <w:numPr>
          <w:ilvl w:val="0"/>
          <w:numId w:val="1"/>
        </w:numPr>
      </w:pPr>
      <w:r>
        <w:t>Staff will be subject to TUPE arrangements</w:t>
      </w:r>
    </w:p>
    <w:p w:rsidR="005C56B9" w:rsidRPr="005C56B9" w:rsidRDefault="005C56B9" w:rsidP="005C56B9">
      <w:pPr>
        <w:rPr>
          <w:b/>
        </w:rPr>
      </w:pPr>
      <w:r w:rsidRPr="005C56B9">
        <w:rPr>
          <w:b/>
        </w:rPr>
        <w:lastRenderedPageBreak/>
        <w:t>Population Growth in Frinton</w:t>
      </w:r>
    </w:p>
    <w:p w:rsidR="005C56B9" w:rsidRDefault="005C56B9" w:rsidP="005C56B9">
      <w:r>
        <w:t xml:space="preserve">There are </w:t>
      </w:r>
      <w:r w:rsidR="00392322">
        <w:t>several minor</w:t>
      </w:r>
      <w:r>
        <w:t xml:space="preserve"> developments planned for Frinton. The predicted growth to 2021 is:</w:t>
      </w:r>
    </w:p>
    <w:p w:rsidR="005C56B9" w:rsidRDefault="005C56B9" w:rsidP="000D60BB">
      <w:pPr>
        <w:pStyle w:val="ListParagraph"/>
        <w:numPr>
          <w:ilvl w:val="0"/>
          <w:numId w:val="1"/>
        </w:numPr>
      </w:pPr>
      <w:r>
        <w:t>662 homes</w:t>
      </w:r>
    </w:p>
    <w:p w:rsidR="005C56B9" w:rsidRDefault="005C56B9" w:rsidP="000D60BB">
      <w:pPr>
        <w:pStyle w:val="ListParagraph"/>
        <w:numPr>
          <w:ilvl w:val="0"/>
          <w:numId w:val="1"/>
        </w:numPr>
      </w:pPr>
      <w:r>
        <w:t>1456 patients</w:t>
      </w:r>
    </w:p>
    <w:p w:rsidR="005C56B9" w:rsidRDefault="005C56B9" w:rsidP="000D60BB">
      <w:pPr>
        <w:pStyle w:val="ListParagraph"/>
        <w:numPr>
          <w:ilvl w:val="0"/>
          <w:numId w:val="1"/>
        </w:numPr>
      </w:pPr>
      <w:r w:rsidRPr="00B53985">
        <w:t xml:space="preserve">Potential impact of </w:t>
      </w:r>
      <w:r w:rsidR="00B53985" w:rsidRPr="00B53985">
        <w:t>728</w:t>
      </w:r>
      <w:r w:rsidRPr="00B53985">
        <w:t xml:space="preserve"> </w:t>
      </w:r>
      <w:r w:rsidR="00B53985">
        <w:t xml:space="preserve">additional </w:t>
      </w:r>
      <w:r w:rsidRPr="00B53985">
        <w:t>patients</w:t>
      </w:r>
      <w:r w:rsidR="00B53985">
        <w:t>*(*potential impact is calculated by dividing estimated new residents by practices within 2km of development)</w:t>
      </w:r>
    </w:p>
    <w:p w:rsidR="000D60BB" w:rsidRDefault="000D60BB" w:rsidP="000D60BB">
      <w:pPr>
        <w:pStyle w:val="ListParagraph"/>
        <w:numPr>
          <w:ilvl w:val="0"/>
          <w:numId w:val="1"/>
        </w:numPr>
      </w:pPr>
      <w:r>
        <w:t>Projected list size growth**(**projected list size is estimated by extrapolating the actual trend in growth to October 2014 with the addition of projected housing developments)</w:t>
      </w:r>
    </w:p>
    <w:tbl>
      <w:tblPr>
        <w:tblW w:w="2601" w:type="dxa"/>
        <w:tblInd w:w="503" w:type="dxa"/>
        <w:tblLook w:val="04A0" w:firstRow="1" w:lastRow="0" w:firstColumn="1" w:lastColumn="0" w:noHBand="0" w:noVBand="1"/>
      </w:tblPr>
      <w:tblGrid>
        <w:gridCol w:w="1041"/>
        <w:gridCol w:w="1560"/>
      </w:tblGrid>
      <w:tr w:rsidR="00382DD3" w:rsidRPr="00382DD3" w:rsidTr="00F430F0">
        <w:trPr>
          <w:trHeight w:val="288"/>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Date</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Actual </w:t>
            </w:r>
            <w:r w:rsidRPr="00382DD3">
              <w:rPr>
                <w:rFonts w:ascii="Calibri" w:eastAsia="Times New Roman" w:hAnsi="Calibri" w:cs="Calibri"/>
                <w:color w:val="000000"/>
                <w:lang w:eastAsia="en-GB"/>
              </w:rPr>
              <w:t>List Size</w:t>
            </w:r>
          </w:p>
        </w:tc>
      </w:tr>
      <w:tr w:rsidR="00382DD3" w:rsidRPr="00382DD3" w:rsidTr="00F430F0">
        <w:trPr>
          <w:trHeight w:val="288"/>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Jul-13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8125</w:t>
            </w:r>
          </w:p>
        </w:tc>
      </w:tr>
      <w:tr w:rsidR="00382DD3" w:rsidRPr="00382DD3" w:rsidTr="00F430F0">
        <w:trPr>
          <w:trHeight w:val="288"/>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Oct-13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8136</w:t>
            </w:r>
          </w:p>
        </w:tc>
      </w:tr>
      <w:tr w:rsidR="00382DD3" w:rsidRPr="00382DD3" w:rsidTr="00F430F0">
        <w:trPr>
          <w:trHeight w:val="288"/>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Jan-14</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8162</w:t>
            </w:r>
          </w:p>
        </w:tc>
      </w:tr>
      <w:tr w:rsidR="00382DD3" w:rsidRPr="00382DD3" w:rsidTr="00F430F0">
        <w:trPr>
          <w:trHeight w:val="288"/>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Apr-14</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8170</w:t>
            </w:r>
          </w:p>
        </w:tc>
      </w:tr>
      <w:tr w:rsidR="00382DD3" w:rsidRPr="00382DD3" w:rsidTr="00F430F0">
        <w:trPr>
          <w:trHeight w:val="288"/>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Jul-14</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8137</w:t>
            </w:r>
          </w:p>
        </w:tc>
      </w:tr>
      <w:tr w:rsidR="00382DD3" w:rsidRPr="00382DD3" w:rsidTr="00F430F0">
        <w:trPr>
          <w:trHeight w:val="288"/>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Oct-14</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8188</w:t>
            </w:r>
          </w:p>
        </w:tc>
      </w:tr>
      <w:tr w:rsidR="00382DD3" w:rsidRPr="00382DD3" w:rsidTr="00F430F0">
        <w:trPr>
          <w:trHeight w:val="288"/>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Jan-15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8021</w:t>
            </w:r>
          </w:p>
        </w:tc>
      </w:tr>
      <w:tr w:rsidR="00382DD3" w:rsidRPr="00382DD3" w:rsidTr="00F430F0">
        <w:trPr>
          <w:trHeight w:val="288"/>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Apr-15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82DD3" w:rsidRPr="00382DD3" w:rsidRDefault="00382DD3" w:rsidP="007F60D8">
            <w:pPr>
              <w:spacing w:after="0" w:line="240" w:lineRule="auto"/>
              <w:rPr>
                <w:rFonts w:ascii="Calibri" w:eastAsia="Times New Roman" w:hAnsi="Calibri" w:cs="Calibri"/>
                <w:color w:val="000000"/>
                <w:lang w:eastAsia="en-GB"/>
              </w:rPr>
            </w:pPr>
            <w:r w:rsidRPr="00382DD3">
              <w:rPr>
                <w:rFonts w:ascii="Calibri" w:eastAsia="Times New Roman" w:hAnsi="Calibri" w:cs="Calibri"/>
                <w:color w:val="000000"/>
                <w:lang w:eastAsia="en-GB"/>
              </w:rPr>
              <w:t>7737</w:t>
            </w:r>
          </w:p>
        </w:tc>
      </w:tr>
    </w:tbl>
    <w:tbl>
      <w:tblPr>
        <w:tblpPr w:leftFromText="180" w:rightFromText="180" w:vertAnchor="text" w:horzAnchor="page" w:tblpX="2005" w:tblpY="438"/>
        <w:tblW w:w="2256" w:type="dxa"/>
        <w:tblLook w:val="04A0" w:firstRow="1" w:lastRow="0" w:firstColumn="1" w:lastColumn="0" w:noHBand="0" w:noVBand="1"/>
      </w:tblPr>
      <w:tblGrid>
        <w:gridCol w:w="960"/>
        <w:gridCol w:w="1296"/>
      </w:tblGrid>
      <w:tr w:rsidR="00382DD3" w:rsidRPr="000D60BB" w:rsidTr="00382DD3">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rPr>
                <w:rFonts w:ascii="Calibri" w:eastAsia="Times New Roman" w:hAnsi="Calibri" w:cs="Calibri"/>
                <w:color w:val="000000"/>
                <w:lang w:eastAsia="en-GB"/>
              </w:rPr>
            </w:pPr>
            <w:r w:rsidRPr="000D60BB">
              <w:rPr>
                <w:rFonts w:ascii="Calibri" w:eastAsia="Times New Roman" w:hAnsi="Calibri" w:cs="Calibri"/>
                <w:color w:val="000000"/>
                <w:lang w:eastAsia="en-GB"/>
              </w:rPr>
              <w:t>Date</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Projected** </w:t>
            </w:r>
            <w:r w:rsidRPr="000D60BB">
              <w:rPr>
                <w:rFonts w:ascii="Calibri" w:eastAsia="Times New Roman" w:hAnsi="Calibri" w:cs="Calibri"/>
                <w:color w:val="000000"/>
                <w:lang w:eastAsia="en-GB"/>
              </w:rPr>
              <w:t>List Size</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Jul-15</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8204</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Oct-15</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8214</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Jan-16</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8223</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Apr-16</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8275</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Jul-16</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8284</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Oct-16</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8294</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Jan-17</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8303</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Apr-17</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8312</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Jul-17</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8322</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Oct-17</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8331</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Jan-18</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8340</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Apr-18</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8350</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Jul-18</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8359</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Oct-18</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8368</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Jan-19</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8378</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Apr-19</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8387</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Jul-19</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8396</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Oct-19</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8406</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Jan-20</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8415</w:t>
            </w:r>
          </w:p>
        </w:tc>
      </w:tr>
      <w:tr w:rsidR="00382DD3" w:rsidRPr="000D60BB" w:rsidTr="00382DD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Apr-20</w:t>
            </w:r>
          </w:p>
        </w:tc>
        <w:tc>
          <w:tcPr>
            <w:tcW w:w="1296" w:type="dxa"/>
            <w:tcBorders>
              <w:top w:val="nil"/>
              <w:left w:val="nil"/>
              <w:bottom w:val="single" w:sz="4" w:space="0" w:color="auto"/>
              <w:right w:val="single" w:sz="4" w:space="0" w:color="auto"/>
            </w:tcBorders>
            <w:shd w:val="clear" w:color="auto" w:fill="auto"/>
            <w:noWrap/>
            <w:vAlign w:val="bottom"/>
            <w:hideMark/>
          </w:tcPr>
          <w:p w:rsidR="00382DD3" w:rsidRPr="000D60BB" w:rsidRDefault="00382DD3" w:rsidP="00382DD3">
            <w:pPr>
              <w:spacing w:after="0" w:line="240" w:lineRule="auto"/>
              <w:jc w:val="right"/>
              <w:rPr>
                <w:rFonts w:ascii="Calibri" w:eastAsia="Times New Roman" w:hAnsi="Calibri" w:cs="Calibri"/>
                <w:color w:val="000000"/>
                <w:lang w:eastAsia="en-GB"/>
              </w:rPr>
            </w:pPr>
            <w:r w:rsidRPr="000D60BB">
              <w:rPr>
                <w:rFonts w:ascii="Calibri" w:eastAsia="Times New Roman" w:hAnsi="Calibri" w:cs="Calibri"/>
                <w:color w:val="000000"/>
                <w:lang w:eastAsia="en-GB"/>
              </w:rPr>
              <w:t>8424</w:t>
            </w:r>
          </w:p>
        </w:tc>
      </w:tr>
    </w:tbl>
    <w:p w:rsidR="00382DD3" w:rsidRDefault="00382DD3" w:rsidP="00382DD3"/>
    <w:p w:rsidR="00382DD3" w:rsidRDefault="00382DD3" w:rsidP="00382DD3"/>
    <w:p w:rsidR="00382DD3" w:rsidRDefault="00382DD3"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130D57" w:rsidRDefault="00130D57" w:rsidP="00ED5114">
      <w:pPr>
        <w:rPr>
          <w:b/>
        </w:rPr>
      </w:pPr>
    </w:p>
    <w:p w:rsidR="00ED5114" w:rsidRPr="00ED5114" w:rsidRDefault="00ED5114" w:rsidP="00ED5114">
      <w:pPr>
        <w:rPr>
          <w:b/>
        </w:rPr>
      </w:pPr>
      <w:r w:rsidRPr="00ED5114">
        <w:rPr>
          <w:b/>
        </w:rPr>
        <w:lastRenderedPageBreak/>
        <w:t>Practice Boundary</w:t>
      </w:r>
    </w:p>
    <w:p w:rsidR="00ED5114" w:rsidRPr="00F3509F" w:rsidRDefault="00ED5114" w:rsidP="00ED5114">
      <w:r>
        <w:object w:dxaOrig="10104" w:dyaOrig="7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300.25pt" o:ole="">
            <v:imagedata r:id="rId9" o:title=""/>
          </v:shape>
          <o:OLEObject Type="Embed" ProgID="AcroExch.Document.11" ShapeID="_x0000_i1025" DrawAspect="Content" ObjectID="_1492859543" r:id="rId10"/>
        </w:object>
      </w:r>
    </w:p>
    <w:p w:rsidR="00383E78" w:rsidRDefault="00383E78" w:rsidP="00F3509F">
      <w:pPr>
        <w:spacing w:after="0"/>
      </w:pPr>
    </w:p>
    <w:p w:rsidR="00BC3E87" w:rsidRDefault="00BC3E87" w:rsidP="00F3509F">
      <w:pPr>
        <w:spacing w:after="0"/>
      </w:pPr>
    </w:p>
    <w:p w:rsidR="00BC3E87" w:rsidRDefault="00BC3E87" w:rsidP="00F3509F">
      <w:pPr>
        <w:spacing w:after="0"/>
      </w:pPr>
    </w:p>
    <w:p w:rsidR="00F3509F" w:rsidRDefault="00F3509F" w:rsidP="009223BC"/>
    <w:sectPr w:rsidR="00F3509F">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FE8" w:rsidRDefault="00612FE8" w:rsidP="00612FE8">
      <w:pPr>
        <w:spacing w:after="0" w:line="240" w:lineRule="auto"/>
      </w:pPr>
      <w:r>
        <w:separator/>
      </w:r>
    </w:p>
  </w:endnote>
  <w:endnote w:type="continuationSeparator" w:id="0">
    <w:p w:rsidR="00612FE8" w:rsidRDefault="00612FE8" w:rsidP="00612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FE8" w:rsidRDefault="00612FE8" w:rsidP="00612FE8">
      <w:pPr>
        <w:spacing w:after="0" w:line="240" w:lineRule="auto"/>
      </w:pPr>
      <w:r>
        <w:separator/>
      </w:r>
    </w:p>
  </w:footnote>
  <w:footnote w:type="continuationSeparator" w:id="0">
    <w:p w:rsidR="00612FE8" w:rsidRDefault="00612FE8" w:rsidP="00612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FE8" w:rsidRDefault="00612FE8">
    <w:pPr>
      <w:pStyle w:val="Header"/>
    </w:pPr>
    <w:r>
      <w:rPr>
        <w:noProof/>
        <w:lang w:eastAsia="en-GB"/>
      </w:rPr>
      <w:drawing>
        <wp:anchor distT="0" distB="0" distL="114300" distR="114300" simplePos="0" relativeHeight="251658240" behindDoc="1" locked="0" layoutInCell="1" allowOverlap="1">
          <wp:simplePos x="0" y="0"/>
          <wp:positionH relativeFrom="column">
            <wp:posOffset>5218430</wp:posOffset>
          </wp:positionH>
          <wp:positionV relativeFrom="paragraph">
            <wp:posOffset>-111760</wp:posOffset>
          </wp:positionV>
          <wp:extent cx="916940" cy="569595"/>
          <wp:effectExtent l="0" t="0" r="0" b="1905"/>
          <wp:wrapTight wrapText="bothSides">
            <wp:wrapPolygon edited="0">
              <wp:start x="0" y="0"/>
              <wp:lineTo x="0" y="20950"/>
              <wp:lineTo x="21091" y="20950"/>
              <wp:lineTo x="21091" y="0"/>
              <wp:lineTo x="0" y="0"/>
            </wp:wrapPolygon>
          </wp:wrapTight>
          <wp:docPr id="1" name="Picture 1" descr="NHS England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England 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940" cy="569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A23DB"/>
    <w:multiLevelType w:val="hybridMultilevel"/>
    <w:tmpl w:val="7F9E51FE"/>
    <w:lvl w:ilvl="0" w:tplc="CCA445B4">
      <w:start w:val="1"/>
      <w:numFmt w:val="bullet"/>
      <w:lvlText w:val="•"/>
      <w:lvlJc w:val="left"/>
      <w:pPr>
        <w:tabs>
          <w:tab w:val="num" w:pos="720"/>
        </w:tabs>
        <w:ind w:left="720" w:hanging="360"/>
      </w:pPr>
      <w:rPr>
        <w:rFonts w:ascii="Arial" w:hAnsi="Arial" w:hint="default"/>
      </w:rPr>
    </w:lvl>
    <w:lvl w:ilvl="1" w:tplc="76DEC68A" w:tentative="1">
      <w:start w:val="1"/>
      <w:numFmt w:val="bullet"/>
      <w:lvlText w:val="•"/>
      <w:lvlJc w:val="left"/>
      <w:pPr>
        <w:tabs>
          <w:tab w:val="num" w:pos="1440"/>
        </w:tabs>
        <w:ind w:left="1440" w:hanging="360"/>
      </w:pPr>
      <w:rPr>
        <w:rFonts w:ascii="Arial" w:hAnsi="Arial" w:hint="default"/>
      </w:rPr>
    </w:lvl>
    <w:lvl w:ilvl="2" w:tplc="25E883CE" w:tentative="1">
      <w:start w:val="1"/>
      <w:numFmt w:val="bullet"/>
      <w:lvlText w:val="•"/>
      <w:lvlJc w:val="left"/>
      <w:pPr>
        <w:tabs>
          <w:tab w:val="num" w:pos="2160"/>
        </w:tabs>
        <w:ind w:left="2160" w:hanging="360"/>
      </w:pPr>
      <w:rPr>
        <w:rFonts w:ascii="Arial" w:hAnsi="Arial" w:hint="default"/>
      </w:rPr>
    </w:lvl>
    <w:lvl w:ilvl="3" w:tplc="0E066798" w:tentative="1">
      <w:start w:val="1"/>
      <w:numFmt w:val="bullet"/>
      <w:lvlText w:val="•"/>
      <w:lvlJc w:val="left"/>
      <w:pPr>
        <w:tabs>
          <w:tab w:val="num" w:pos="2880"/>
        </w:tabs>
        <w:ind w:left="2880" w:hanging="360"/>
      </w:pPr>
      <w:rPr>
        <w:rFonts w:ascii="Arial" w:hAnsi="Arial" w:hint="default"/>
      </w:rPr>
    </w:lvl>
    <w:lvl w:ilvl="4" w:tplc="AEB032AC" w:tentative="1">
      <w:start w:val="1"/>
      <w:numFmt w:val="bullet"/>
      <w:lvlText w:val="•"/>
      <w:lvlJc w:val="left"/>
      <w:pPr>
        <w:tabs>
          <w:tab w:val="num" w:pos="3600"/>
        </w:tabs>
        <w:ind w:left="3600" w:hanging="360"/>
      </w:pPr>
      <w:rPr>
        <w:rFonts w:ascii="Arial" w:hAnsi="Arial" w:hint="default"/>
      </w:rPr>
    </w:lvl>
    <w:lvl w:ilvl="5" w:tplc="44723C2C" w:tentative="1">
      <w:start w:val="1"/>
      <w:numFmt w:val="bullet"/>
      <w:lvlText w:val="•"/>
      <w:lvlJc w:val="left"/>
      <w:pPr>
        <w:tabs>
          <w:tab w:val="num" w:pos="4320"/>
        </w:tabs>
        <w:ind w:left="4320" w:hanging="360"/>
      </w:pPr>
      <w:rPr>
        <w:rFonts w:ascii="Arial" w:hAnsi="Arial" w:hint="default"/>
      </w:rPr>
    </w:lvl>
    <w:lvl w:ilvl="6" w:tplc="B668514C" w:tentative="1">
      <w:start w:val="1"/>
      <w:numFmt w:val="bullet"/>
      <w:lvlText w:val="•"/>
      <w:lvlJc w:val="left"/>
      <w:pPr>
        <w:tabs>
          <w:tab w:val="num" w:pos="5040"/>
        </w:tabs>
        <w:ind w:left="5040" w:hanging="360"/>
      </w:pPr>
      <w:rPr>
        <w:rFonts w:ascii="Arial" w:hAnsi="Arial" w:hint="default"/>
      </w:rPr>
    </w:lvl>
    <w:lvl w:ilvl="7" w:tplc="611C0B40" w:tentative="1">
      <w:start w:val="1"/>
      <w:numFmt w:val="bullet"/>
      <w:lvlText w:val="•"/>
      <w:lvlJc w:val="left"/>
      <w:pPr>
        <w:tabs>
          <w:tab w:val="num" w:pos="5760"/>
        </w:tabs>
        <w:ind w:left="5760" w:hanging="360"/>
      </w:pPr>
      <w:rPr>
        <w:rFonts w:ascii="Arial" w:hAnsi="Arial" w:hint="default"/>
      </w:rPr>
    </w:lvl>
    <w:lvl w:ilvl="8" w:tplc="DBD88AF0" w:tentative="1">
      <w:start w:val="1"/>
      <w:numFmt w:val="bullet"/>
      <w:lvlText w:val="•"/>
      <w:lvlJc w:val="left"/>
      <w:pPr>
        <w:tabs>
          <w:tab w:val="num" w:pos="6480"/>
        </w:tabs>
        <w:ind w:left="6480" w:hanging="360"/>
      </w:pPr>
      <w:rPr>
        <w:rFonts w:ascii="Arial" w:hAnsi="Arial" w:hint="default"/>
      </w:rPr>
    </w:lvl>
  </w:abstractNum>
  <w:abstractNum w:abstractNumId="1">
    <w:nsid w:val="152D09FC"/>
    <w:multiLevelType w:val="hybridMultilevel"/>
    <w:tmpl w:val="891A5014"/>
    <w:lvl w:ilvl="0" w:tplc="6F2A2E94">
      <w:start w:val="1"/>
      <w:numFmt w:val="bullet"/>
      <w:lvlText w:val="•"/>
      <w:lvlJc w:val="left"/>
      <w:pPr>
        <w:tabs>
          <w:tab w:val="num" w:pos="720"/>
        </w:tabs>
        <w:ind w:left="720" w:hanging="360"/>
      </w:pPr>
      <w:rPr>
        <w:rFonts w:ascii="Arial" w:hAnsi="Arial" w:hint="default"/>
      </w:rPr>
    </w:lvl>
    <w:lvl w:ilvl="1" w:tplc="70D040B2" w:tentative="1">
      <w:start w:val="1"/>
      <w:numFmt w:val="bullet"/>
      <w:lvlText w:val="•"/>
      <w:lvlJc w:val="left"/>
      <w:pPr>
        <w:tabs>
          <w:tab w:val="num" w:pos="1440"/>
        </w:tabs>
        <w:ind w:left="1440" w:hanging="360"/>
      </w:pPr>
      <w:rPr>
        <w:rFonts w:ascii="Arial" w:hAnsi="Arial" w:hint="default"/>
      </w:rPr>
    </w:lvl>
    <w:lvl w:ilvl="2" w:tplc="3BEC53C6" w:tentative="1">
      <w:start w:val="1"/>
      <w:numFmt w:val="bullet"/>
      <w:lvlText w:val="•"/>
      <w:lvlJc w:val="left"/>
      <w:pPr>
        <w:tabs>
          <w:tab w:val="num" w:pos="2160"/>
        </w:tabs>
        <w:ind w:left="2160" w:hanging="360"/>
      </w:pPr>
      <w:rPr>
        <w:rFonts w:ascii="Arial" w:hAnsi="Arial" w:hint="default"/>
      </w:rPr>
    </w:lvl>
    <w:lvl w:ilvl="3" w:tplc="66064D86" w:tentative="1">
      <w:start w:val="1"/>
      <w:numFmt w:val="bullet"/>
      <w:lvlText w:val="•"/>
      <w:lvlJc w:val="left"/>
      <w:pPr>
        <w:tabs>
          <w:tab w:val="num" w:pos="2880"/>
        </w:tabs>
        <w:ind w:left="2880" w:hanging="360"/>
      </w:pPr>
      <w:rPr>
        <w:rFonts w:ascii="Arial" w:hAnsi="Arial" w:hint="default"/>
      </w:rPr>
    </w:lvl>
    <w:lvl w:ilvl="4" w:tplc="9DC034BA" w:tentative="1">
      <w:start w:val="1"/>
      <w:numFmt w:val="bullet"/>
      <w:lvlText w:val="•"/>
      <w:lvlJc w:val="left"/>
      <w:pPr>
        <w:tabs>
          <w:tab w:val="num" w:pos="3600"/>
        </w:tabs>
        <w:ind w:left="3600" w:hanging="360"/>
      </w:pPr>
      <w:rPr>
        <w:rFonts w:ascii="Arial" w:hAnsi="Arial" w:hint="default"/>
      </w:rPr>
    </w:lvl>
    <w:lvl w:ilvl="5" w:tplc="279CE2C4" w:tentative="1">
      <w:start w:val="1"/>
      <w:numFmt w:val="bullet"/>
      <w:lvlText w:val="•"/>
      <w:lvlJc w:val="left"/>
      <w:pPr>
        <w:tabs>
          <w:tab w:val="num" w:pos="4320"/>
        </w:tabs>
        <w:ind w:left="4320" w:hanging="360"/>
      </w:pPr>
      <w:rPr>
        <w:rFonts w:ascii="Arial" w:hAnsi="Arial" w:hint="default"/>
      </w:rPr>
    </w:lvl>
    <w:lvl w:ilvl="6" w:tplc="1A2ECC82" w:tentative="1">
      <w:start w:val="1"/>
      <w:numFmt w:val="bullet"/>
      <w:lvlText w:val="•"/>
      <w:lvlJc w:val="left"/>
      <w:pPr>
        <w:tabs>
          <w:tab w:val="num" w:pos="5040"/>
        </w:tabs>
        <w:ind w:left="5040" w:hanging="360"/>
      </w:pPr>
      <w:rPr>
        <w:rFonts w:ascii="Arial" w:hAnsi="Arial" w:hint="default"/>
      </w:rPr>
    </w:lvl>
    <w:lvl w:ilvl="7" w:tplc="4EE64956" w:tentative="1">
      <w:start w:val="1"/>
      <w:numFmt w:val="bullet"/>
      <w:lvlText w:val="•"/>
      <w:lvlJc w:val="left"/>
      <w:pPr>
        <w:tabs>
          <w:tab w:val="num" w:pos="5760"/>
        </w:tabs>
        <w:ind w:left="5760" w:hanging="360"/>
      </w:pPr>
      <w:rPr>
        <w:rFonts w:ascii="Arial" w:hAnsi="Arial" w:hint="default"/>
      </w:rPr>
    </w:lvl>
    <w:lvl w:ilvl="8" w:tplc="B470ACB4" w:tentative="1">
      <w:start w:val="1"/>
      <w:numFmt w:val="bullet"/>
      <w:lvlText w:val="•"/>
      <w:lvlJc w:val="left"/>
      <w:pPr>
        <w:tabs>
          <w:tab w:val="num" w:pos="6480"/>
        </w:tabs>
        <w:ind w:left="6480" w:hanging="360"/>
      </w:pPr>
      <w:rPr>
        <w:rFonts w:ascii="Arial" w:hAnsi="Arial" w:hint="default"/>
      </w:rPr>
    </w:lvl>
  </w:abstractNum>
  <w:abstractNum w:abstractNumId="2">
    <w:nsid w:val="183E3A83"/>
    <w:multiLevelType w:val="hybridMultilevel"/>
    <w:tmpl w:val="C1488B9E"/>
    <w:lvl w:ilvl="0" w:tplc="C05AB39E">
      <w:start w:val="1"/>
      <w:numFmt w:val="bullet"/>
      <w:lvlText w:val="•"/>
      <w:lvlJc w:val="left"/>
      <w:pPr>
        <w:tabs>
          <w:tab w:val="num" w:pos="720"/>
        </w:tabs>
        <w:ind w:left="720" w:hanging="360"/>
      </w:pPr>
      <w:rPr>
        <w:rFonts w:ascii="Arial" w:hAnsi="Arial" w:hint="default"/>
      </w:rPr>
    </w:lvl>
    <w:lvl w:ilvl="1" w:tplc="4D46E0E6" w:tentative="1">
      <w:start w:val="1"/>
      <w:numFmt w:val="bullet"/>
      <w:lvlText w:val="•"/>
      <w:lvlJc w:val="left"/>
      <w:pPr>
        <w:tabs>
          <w:tab w:val="num" w:pos="1440"/>
        </w:tabs>
        <w:ind w:left="1440" w:hanging="360"/>
      </w:pPr>
      <w:rPr>
        <w:rFonts w:ascii="Arial" w:hAnsi="Arial" w:hint="default"/>
      </w:rPr>
    </w:lvl>
    <w:lvl w:ilvl="2" w:tplc="8E3AC9CE" w:tentative="1">
      <w:start w:val="1"/>
      <w:numFmt w:val="bullet"/>
      <w:lvlText w:val="•"/>
      <w:lvlJc w:val="left"/>
      <w:pPr>
        <w:tabs>
          <w:tab w:val="num" w:pos="2160"/>
        </w:tabs>
        <w:ind w:left="2160" w:hanging="360"/>
      </w:pPr>
      <w:rPr>
        <w:rFonts w:ascii="Arial" w:hAnsi="Arial" w:hint="default"/>
      </w:rPr>
    </w:lvl>
    <w:lvl w:ilvl="3" w:tplc="619C1D9C" w:tentative="1">
      <w:start w:val="1"/>
      <w:numFmt w:val="bullet"/>
      <w:lvlText w:val="•"/>
      <w:lvlJc w:val="left"/>
      <w:pPr>
        <w:tabs>
          <w:tab w:val="num" w:pos="2880"/>
        </w:tabs>
        <w:ind w:left="2880" w:hanging="360"/>
      </w:pPr>
      <w:rPr>
        <w:rFonts w:ascii="Arial" w:hAnsi="Arial" w:hint="default"/>
      </w:rPr>
    </w:lvl>
    <w:lvl w:ilvl="4" w:tplc="49A6B194" w:tentative="1">
      <w:start w:val="1"/>
      <w:numFmt w:val="bullet"/>
      <w:lvlText w:val="•"/>
      <w:lvlJc w:val="left"/>
      <w:pPr>
        <w:tabs>
          <w:tab w:val="num" w:pos="3600"/>
        </w:tabs>
        <w:ind w:left="3600" w:hanging="360"/>
      </w:pPr>
      <w:rPr>
        <w:rFonts w:ascii="Arial" w:hAnsi="Arial" w:hint="default"/>
      </w:rPr>
    </w:lvl>
    <w:lvl w:ilvl="5" w:tplc="1C9607EE" w:tentative="1">
      <w:start w:val="1"/>
      <w:numFmt w:val="bullet"/>
      <w:lvlText w:val="•"/>
      <w:lvlJc w:val="left"/>
      <w:pPr>
        <w:tabs>
          <w:tab w:val="num" w:pos="4320"/>
        </w:tabs>
        <w:ind w:left="4320" w:hanging="360"/>
      </w:pPr>
      <w:rPr>
        <w:rFonts w:ascii="Arial" w:hAnsi="Arial" w:hint="default"/>
      </w:rPr>
    </w:lvl>
    <w:lvl w:ilvl="6" w:tplc="B7781122" w:tentative="1">
      <w:start w:val="1"/>
      <w:numFmt w:val="bullet"/>
      <w:lvlText w:val="•"/>
      <w:lvlJc w:val="left"/>
      <w:pPr>
        <w:tabs>
          <w:tab w:val="num" w:pos="5040"/>
        </w:tabs>
        <w:ind w:left="5040" w:hanging="360"/>
      </w:pPr>
      <w:rPr>
        <w:rFonts w:ascii="Arial" w:hAnsi="Arial" w:hint="default"/>
      </w:rPr>
    </w:lvl>
    <w:lvl w:ilvl="7" w:tplc="B1C2F51C" w:tentative="1">
      <w:start w:val="1"/>
      <w:numFmt w:val="bullet"/>
      <w:lvlText w:val="•"/>
      <w:lvlJc w:val="left"/>
      <w:pPr>
        <w:tabs>
          <w:tab w:val="num" w:pos="5760"/>
        </w:tabs>
        <w:ind w:left="5760" w:hanging="360"/>
      </w:pPr>
      <w:rPr>
        <w:rFonts w:ascii="Arial" w:hAnsi="Arial" w:hint="default"/>
      </w:rPr>
    </w:lvl>
    <w:lvl w:ilvl="8" w:tplc="FE80338C" w:tentative="1">
      <w:start w:val="1"/>
      <w:numFmt w:val="bullet"/>
      <w:lvlText w:val="•"/>
      <w:lvlJc w:val="left"/>
      <w:pPr>
        <w:tabs>
          <w:tab w:val="num" w:pos="6480"/>
        </w:tabs>
        <w:ind w:left="6480" w:hanging="360"/>
      </w:pPr>
      <w:rPr>
        <w:rFonts w:ascii="Arial" w:hAnsi="Arial" w:hint="default"/>
      </w:rPr>
    </w:lvl>
  </w:abstractNum>
  <w:abstractNum w:abstractNumId="3">
    <w:nsid w:val="462F3434"/>
    <w:multiLevelType w:val="hybridMultilevel"/>
    <w:tmpl w:val="CCCA1A9A"/>
    <w:lvl w:ilvl="0" w:tplc="C05AB39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680580"/>
    <w:multiLevelType w:val="hybridMultilevel"/>
    <w:tmpl w:val="5838D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27F4339"/>
    <w:multiLevelType w:val="hybridMultilevel"/>
    <w:tmpl w:val="405C9BA6"/>
    <w:lvl w:ilvl="0" w:tplc="C05AB39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F60B23"/>
    <w:multiLevelType w:val="hybridMultilevel"/>
    <w:tmpl w:val="FEBC22A6"/>
    <w:lvl w:ilvl="0" w:tplc="AFD8A8E8">
      <w:start w:val="1"/>
      <w:numFmt w:val="bullet"/>
      <w:lvlText w:val="•"/>
      <w:lvlJc w:val="left"/>
      <w:pPr>
        <w:tabs>
          <w:tab w:val="num" w:pos="720"/>
        </w:tabs>
        <w:ind w:left="720" w:hanging="360"/>
      </w:pPr>
      <w:rPr>
        <w:rFonts w:ascii="Arial" w:hAnsi="Arial" w:hint="default"/>
      </w:rPr>
    </w:lvl>
    <w:lvl w:ilvl="1" w:tplc="7EC4885C" w:tentative="1">
      <w:start w:val="1"/>
      <w:numFmt w:val="bullet"/>
      <w:lvlText w:val="•"/>
      <w:lvlJc w:val="left"/>
      <w:pPr>
        <w:tabs>
          <w:tab w:val="num" w:pos="1440"/>
        </w:tabs>
        <w:ind w:left="1440" w:hanging="360"/>
      </w:pPr>
      <w:rPr>
        <w:rFonts w:ascii="Arial" w:hAnsi="Arial" w:hint="default"/>
      </w:rPr>
    </w:lvl>
    <w:lvl w:ilvl="2" w:tplc="A3322AFA" w:tentative="1">
      <w:start w:val="1"/>
      <w:numFmt w:val="bullet"/>
      <w:lvlText w:val="•"/>
      <w:lvlJc w:val="left"/>
      <w:pPr>
        <w:tabs>
          <w:tab w:val="num" w:pos="2160"/>
        </w:tabs>
        <w:ind w:left="2160" w:hanging="360"/>
      </w:pPr>
      <w:rPr>
        <w:rFonts w:ascii="Arial" w:hAnsi="Arial" w:hint="default"/>
      </w:rPr>
    </w:lvl>
    <w:lvl w:ilvl="3" w:tplc="17625A78" w:tentative="1">
      <w:start w:val="1"/>
      <w:numFmt w:val="bullet"/>
      <w:lvlText w:val="•"/>
      <w:lvlJc w:val="left"/>
      <w:pPr>
        <w:tabs>
          <w:tab w:val="num" w:pos="2880"/>
        </w:tabs>
        <w:ind w:left="2880" w:hanging="360"/>
      </w:pPr>
      <w:rPr>
        <w:rFonts w:ascii="Arial" w:hAnsi="Arial" w:hint="default"/>
      </w:rPr>
    </w:lvl>
    <w:lvl w:ilvl="4" w:tplc="FECED17C" w:tentative="1">
      <w:start w:val="1"/>
      <w:numFmt w:val="bullet"/>
      <w:lvlText w:val="•"/>
      <w:lvlJc w:val="left"/>
      <w:pPr>
        <w:tabs>
          <w:tab w:val="num" w:pos="3600"/>
        </w:tabs>
        <w:ind w:left="3600" w:hanging="360"/>
      </w:pPr>
      <w:rPr>
        <w:rFonts w:ascii="Arial" w:hAnsi="Arial" w:hint="default"/>
      </w:rPr>
    </w:lvl>
    <w:lvl w:ilvl="5" w:tplc="3DCE88FA" w:tentative="1">
      <w:start w:val="1"/>
      <w:numFmt w:val="bullet"/>
      <w:lvlText w:val="•"/>
      <w:lvlJc w:val="left"/>
      <w:pPr>
        <w:tabs>
          <w:tab w:val="num" w:pos="4320"/>
        </w:tabs>
        <w:ind w:left="4320" w:hanging="360"/>
      </w:pPr>
      <w:rPr>
        <w:rFonts w:ascii="Arial" w:hAnsi="Arial" w:hint="default"/>
      </w:rPr>
    </w:lvl>
    <w:lvl w:ilvl="6" w:tplc="7C3EFE0C" w:tentative="1">
      <w:start w:val="1"/>
      <w:numFmt w:val="bullet"/>
      <w:lvlText w:val="•"/>
      <w:lvlJc w:val="left"/>
      <w:pPr>
        <w:tabs>
          <w:tab w:val="num" w:pos="5040"/>
        </w:tabs>
        <w:ind w:left="5040" w:hanging="360"/>
      </w:pPr>
      <w:rPr>
        <w:rFonts w:ascii="Arial" w:hAnsi="Arial" w:hint="default"/>
      </w:rPr>
    </w:lvl>
    <w:lvl w:ilvl="7" w:tplc="AA2286A4" w:tentative="1">
      <w:start w:val="1"/>
      <w:numFmt w:val="bullet"/>
      <w:lvlText w:val="•"/>
      <w:lvlJc w:val="left"/>
      <w:pPr>
        <w:tabs>
          <w:tab w:val="num" w:pos="5760"/>
        </w:tabs>
        <w:ind w:left="5760" w:hanging="360"/>
      </w:pPr>
      <w:rPr>
        <w:rFonts w:ascii="Arial" w:hAnsi="Arial" w:hint="default"/>
      </w:rPr>
    </w:lvl>
    <w:lvl w:ilvl="8" w:tplc="B5E476C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5"/>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FE8"/>
    <w:rsid w:val="00076939"/>
    <w:rsid w:val="000D60BB"/>
    <w:rsid w:val="00130D57"/>
    <w:rsid w:val="001516ED"/>
    <w:rsid w:val="00152726"/>
    <w:rsid w:val="00195E7B"/>
    <w:rsid w:val="001C5E1F"/>
    <w:rsid w:val="00225E03"/>
    <w:rsid w:val="002C1500"/>
    <w:rsid w:val="002C4E60"/>
    <w:rsid w:val="00382DD3"/>
    <w:rsid w:val="00383E78"/>
    <w:rsid w:val="00392322"/>
    <w:rsid w:val="00415B1C"/>
    <w:rsid w:val="004F08B8"/>
    <w:rsid w:val="0051628A"/>
    <w:rsid w:val="00571338"/>
    <w:rsid w:val="00594EC3"/>
    <w:rsid w:val="005C56B9"/>
    <w:rsid w:val="00612FE8"/>
    <w:rsid w:val="006B7CB2"/>
    <w:rsid w:val="00705003"/>
    <w:rsid w:val="00712482"/>
    <w:rsid w:val="007268BA"/>
    <w:rsid w:val="00766EEA"/>
    <w:rsid w:val="007739D9"/>
    <w:rsid w:val="0079630C"/>
    <w:rsid w:val="007B7372"/>
    <w:rsid w:val="00807B34"/>
    <w:rsid w:val="00834193"/>
    <w:rsid w:val="0087198E"/>
    <w:rsid w:val="008F7CE9"/>
    <w:rsid w:val="009223BC"/>
    <w:rsid w:val="009F565A"/>
    <w:rsid w:val="00AA4AC7"/>
    <w:rsid w:val="00B374F8"/>
    <w:rsid w:val="00B53985"/>
    <w:rsid w:val="00B5698C"/>
    <w:rsid w:val="00BA14E1"/>
    <w:rsid w:val="00BC3E87"/>
    <w:rsid w:val="00C91E68"/>
    <w:rsid w:val="00CF232D"/>
    <w:rsid w:val="00DB376A"/>
    <w:rsid w:val="00EC502F"/>
    <w:rsid w:val="00ED5114"/>
    <w:rsid w:val="00EF73B9"/>
    <w:rsid w:val="00F251BF"/>
    <w:rsid w:val="00F3509F"/>
    <w:rsid w:val="00F43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FE8"/>
  </w:style>
  <w:style w:type="paragraph" w:styleId="Footer">
    <w:name w:val="footer"/>
    <w:basedOn w:val="Normal"/>
    <w:link w:val="FooterChar"/>
    <w:uiPriority w:val="99"/>
    <w:unhideWhenUsed/>
    <w:rsid w:val="00612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FE8"/>
  </w:style>
  <w:style w:type="paragraph" w:styleId="ListParagraph">
    <w:name w:val="List Paragraph"/>
    <w:basedOn w:val="Normal"/>
    <w:uiPriority w:val="34"/>
    <w:qFormat/>
    <w:rsid w:val="009223BC"/>
    <w:pPr>
      <w:ind w:left="720"/>
      <w:contextualSpacing/>
    </w:pPr>
  </w:style>
  <w:style w:type="paragraph" w:customStyle="1" w:styleId="Default">
    <w:name w:val="Default"/>
    <w:rsid w:val="008F7CE9"/>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9F565A"/>
    <w:pPr>
      <w:spacing w:after="0" w:line="240" w:lineRule="auto"/>
    </w:pPr>
  </w:style>
  <w:style w:type="paragraph" w:styleId="BalloonText">
    <w:name w:val="Balloon Text"/>
    <w:basedOn w:val="Normal"/>
    <w:link w:val="BalloonTextChar"/>
    <w:uiPriority w:val="99"/>
    <w:semiHidden/>
    <w:unhideWhenUsed/>
    <w:rsid w:val="00773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9D9"/>
    <w:rPr>
      <w:rFonts w:ascii="Tahoma" w:hAnsi="Tahoma" w:cs="Tahoma"/>
      <w:sz w:val="16"/>
      <w:szCs w:val="16"/>
    </w:rPr>
  </w:style>
  <w:style w:type="character" w:styleId="CommentReference">
    <w:name w:val="annotation reference"/>
    <w:basedOn w:val="DefaultParagraphFont"/>
    <w:uiPriority w:val="99"/>
    <w:semiHidden/>
    <w:unhideWhenUsed/>
    <w:rsid w:val="001C5E1F"/>
    <w:rPr>
      <w:sz w:val="16"/>
      <w:szCs w:val="16"/>
    </w:rPr>
  </w:style>
  <w:style w:type="paragraph" w:styleId="CommentText">
    <w:name w:val="annotation text"/>
    <w:basedOn w:val="Normal"/>
    <w:link w:val="CommentTextChar"/>
    <w:uiPriority w:val="99"/>
    <w:semiHidden/>
    <w:unhideWhenUsed/>
    <w:rsid w:val="001C5E1F"/>
    <w:pPr>
      <w:spacing w:line="240" w:lineRule="auto"/>
    </w:pPr>
    <w:rPr>
      <w:sz w:val="20"/>
      <w:szCs w:val="20"/>
    </w:rPr>
  </w:style>
  <w:style w:type="character" w:customStyle="1" w:styleId="CommentTextChar">
    <w:name w:val="Comment Text Char"/>
    <w:basedOn w:val="DefaultParagraphFont"/>
    <w:link w:val="CommentText"/>
    <w:uiPriority w:val="99"/>
    <w:semiHidden/>
    <w:rsid w:val="001C5E1F"/>
    <w:rPr>
      <w:sz w:val="20"/>
      <w:szCs w:val="20"/>
    </w:rPr>
  </w:style>
  <w:style w:type="paragraph" w:styleId="CommentSubject">
    <w:name w:val="annotation subject"/>
    <w:basedOn w:val="CommentText"/>
    <w:next w:val="CommentText"/>
    <w:link w:val="CommentSubjectChar"/>
    <w:uiPriority w:val="99"/>
    <w:semiHidden/>
    <w:unhideWhenUsed/>
    <w:rsid w:val="001C5E1F"/>
    <w:rPr>
      <w:b/>
      <w:bCs/>
    </w:rPr>
  </w:style>
  <w:style w:type="character" w:customStyle="1" w:styleId="CommentSubjectChar">
    <w:name w:val="Comment Subject Char"/>
    <w:basedOn w:val="CommentTextChar"/>
    <w:link w:val="CommentSubject"/>
    <w:uiPriority w:val="99"/>
    <w:semiHidden/>
    <w:rsid w:val="001C5E1F"/>
    <w:rPr>
      <w:b/>
      <w:bCs/>
      <w:sz w:val="20"/>
      <w:szCs w:val="20"/>
    </w:rPr>
  </w:style>
  <w:style w:type="character" w:styleId="Hyperlink">
    <w:name w:val="Hyperlink"/>
    <w:basedOn w:val="DefaultParagraphFont"/>
    <w:uiPriority w:val="99"/>
    <w:unhideWhenUsed/>
    <w:rsid w:val="005713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FE8"/>
  </w:style>
  <w:style w:type="paragraph" w:styleId="Footer">
    <w:name w:val="footer"/>
    <w:basedOn w:val="Normal"/>
    <w:link w:val="FooterChar"/>
    <w:uiPriority w:val="99"/>
    <w:unhideWhenUsed/>
    <w:rsid w:val="00612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FE8"/>
  </w:style>
  <w:style w:type="paragraph" w:styleId="ListParagraph">
    <w:name w:val="List Paragraph"/>
    <w:basedOn w:val="Normal"/>
    <w:uiPriority w:val="34"/>
    <w:qFormat/>
    <w:rsid w:val="009223BC"/>
    <w:pPr>
      <w:ind w:left="720"/>
      <w:contextualSpacing/>
    </w:pPr>
  </w:style>
  <w:style w:type="paragraph" w:customStyle="1" w:styleId="Default">
    <w:name w:val="Default"/>
    <w:rsid w:val="008F7CE9"/>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9F565A"/>
    <w:pPr>
      <w:spacing w:after="0" w:line="240" w:lineRule="auto"/>
    </w:pPr>
  </w:style>
  <w:style w:type="paragraph" w:styleId="BalloonText">
    <w:name w:val="Balloon Text"/>
    <w:basedOn w:val="Normal"/>
    <w:link w:val="BalloonTextChar"/>
    <w:uiPriority w:val="99"/>
    <w:semiHidden/>
    <w:unhideWhenUsed/>
    <w:rsid w:val="00773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9D9"/>
    <w:rPr>
      <w:rFonts w:ascii="Tahoma" w:hAnsi="Tahoma" w:cs="Tahoma"/>
      <w:sz w:val="16"/>
      <w:szCs w:val="16"/>
    </w:rPr>
  </w:style>
  <w:style w:type="character" w:styleId="CommentReference">
    <w:name w:val="annotation reference"/>
    <w:basedOn w:val="DefaultParagraphFont"/>
    <w:uiPriority w:val="99"/>
    <w:semiHidden/>
    <w:unhideWhenUsed/>
    <w:rsid w:val="001C5E1F"/>
    <w:rPr>
      <w:sz w:val="16"/>
      <w:szCs w:val="16"/>
    </w:rPr>
  </w:style>
  <w:style w:type="paragraph" w:styleId="CommentText">
    <w:name w:val="annotation text"/>
    <w:basedOn w:val="Normal"/>
    <w:link w:val="CommentTextChar"/>
    <w:uiPriority w:val="99"/>
    <w:semiHidden/>
    <w:unhideWhenUsed/>
    <w:rsid w:val="001C5E1F"/>
    <w:pPr>
      <w:spacing w:line="240" w:lineRule="auto"/>
    </w:pPr>
    <w:rPr>
      <w:sz w:val="20"/>
      <w:szCs w:val="20"/>
    </w:rPr>
  </w:style>
  <w:style w:type="character" w:customStyle="1" w:styleId="CommentTextChar">
    <w:name w:val="Comment Text Char"/>
    <w:basedOn w:val="DefaultParagraphFont"/>
    <w:link w:val="CommentText"/>
    <w:uiPriority w:val="99"/>
    <w:semiHidden/>
    <w:rsid w:val="001C5E1F"/>
    <w:rPr>
      <w:sz w:val="20"/>
      <w:szCs w:val="20"/>
    </w:rPr>
  </w:style>
  <w:style w:type="paragraph" w:styleId="CommentSubject">
    <w:name w:val="annotation subject"/>
    <w:basedOn w:val="CommentText"/>
    <w:next w:val="CommentText"/>
    <w:link w:val="CommentSubjectChar"/>
    <w:uiPriority w:val="99"/>
    <w:semiHidden/>
    <w:unhideWhenUsed/>
    <w:rsid w:val="001C5E1F"/>
    <w:rPr>
      <w:b/>
      <w:bCs/>
    </w:rPr>
  </w:style>
  <w:style w:type="character" w:customStyle="1" w:styleId="CommentSubjectChar">
    <w:name w:val="Comment Subject Char"/>
    <w:basedOn w:val="CommentTextChar"/>
    <w:link w:val="CommentSubject"/>
    <w:uiPriority w:val="99"/>
    <w:semiHidden/>
    <w:rsid w:val="001C5E1F"/>
    <w:rPr>
      <w:b/>
      <w:bCs/>
      <w:sz w:val="20"/>
      <w:szCs w:val="20"/>
    </w:rPr>
  </w:style>
  <w:style w:type="character" w:styleId="Hyperlink">
    <w:name w:val="Hyperlink"/>
    <w:basedOn w:val="DefaultParagraphFont"/>
    <w:uiPriority w:val="99"/>
    <w:unhideWhenUsed/>
    <w:rsid w:val="005713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2380">
      <w:bodyDiv w:val="1"/>
      <w:marLeft w:val="0"/>
      <w:marRight w:val="0"/>
      <w:marTop w:val="0"/>
      <w:marBottom w:val="0"/>
      <w:divBdr>
        <w:top w:val="none" w:sz="0" w:space="0" w:color="auto"/>
        <w:left w:val="none" w:sz="0" w:space="0" w:color="auto"/>
        <w:bottom w:val="none" w:sz="0" w:space="0" w:color="auto"/>
        <w:right w:val="none" w:sz="0" w:space="0" w:color="auto"/>
      </w:divBdr>
      <w:divsChild>
        <w:div w:id="870647526">
          <w:marLeft w:val="446"/>
          <w:marRight w:val="0"/>
          <w:marTop w:val="0"/>
          <w:marBottom w:val="0"/>
          <w:divBdr>
            <w:top w:val="none" w:sz="0" w:space="0" w:color="auto"/>
            <w:left w:val="none" w:sz="0" w:space="0" w:color="auto"/>
            <w:bottom w:val="none" w:sz="0" w:space="0" w:color="auto"/>
            <w:right w:val="none" w:sz="0" w:space="0" w:color="auto"/>
          </w:divBdr>
        </w:div>
        <w:div w:id="1864514050">
          <w:marLeft w:val="446"/>
          <w:marRight w:val="0"/>
          <w:marTop w:val="0"/>
          <w:marBottom w:val="0"/>
          <w:divBdr>
            <w:top w:val="none" w:sz="0" w:space="0" w:color="auto"/>
            <w:left w:val="none" w:sz="0" w:space="0" w:color="auto"/>
            <w:bottom w:val="none" w:sz="0" w:space="0" w:color="auto"/>
            <w:right w:val="none" w:sz="0" w:space="0" w:color="auto"/>
          </w:divBdr>
        </w:div>
      </w:divsChild>
    </w:div>
    <w:div w:id="880556610">
      <w:bodyDiv w:val="1"/>
      <w:marLeft w:val="0"/>
      <w:marRight w:val="0"/>
      <w:marTop w:val="0"/>
      <w:marBottom w:val="0"/>
      <w:divBdr>
        <w:top w:val="none" w:sz="0" w:space="0" w:color="auto"/>
        <w:left w:val="none" w:sz="0" w:space="0" w:color="auto"/>
        <w:bottom w:val="none" w:sz="0" w:space="0" w:color="auto"/>
        <w:right w:val="none" w:sz="0" w:space="0" w:color="auto"/>
      </w:divBdr>
    </w:div>
    <w:div w:id="912400037">
      <w:bodyDiv w:val="1"/>
      <w:marLeft w:val="0"/>
      <w:marRight w:val="0"/>
      <w:marTop w:val="0"/>
      <w:marBottom w:val="0"/>
      <w:divBdr>
        <w:top w:val="none" w:sz="0" w:space="0" w:color="auto"/>
        <w:left w:val="none" w:sz="0" w:space="0" w:color="auto"/>
        <w:bottom w:val="none" w:sz="0" w:space="0" w:color="auto"/>
        <w:right w:val="none" w:sz="0" w:space="0" w:color="auto"/>
      </w:divBdr>
      <w:divsChild>
        <w:div w:id="942423437">
          <w:marLeft w:val="346"/>
          <w:marRight w:val="0"/>
          <w:marTop w:val="0"/>
          <w:marBottom w:val="0"/>
          <w:divBdr>
            <w:top w:val="none" w:sz="0" w:space="0" w:color="auto"/>
            <w:left w:val="none" w:sz="0" w:space="0" w:color="auto"/>
            <w:bottom w:val="none" w:sz="0" w:space="0" w:color="auto"/>
            <w:right w:val="none" w:sz="0" w:space="0" w:color="auto"/>
          </w:divBdr>
        </w:div>
        <w:div w:id="482814682">
          <w:marLeft w:val="346"/>
          <w:marRight w:val="0"/>
          <w:marTop w:val="0"/>
          <w:marBottom w:val="0"/>
          <w:divBdr>
            <w:top w:val="none" w:sz="0" w:space="0" w:color="auto"/>
            <w:left w:val="none" w:sz="0" w:space="0" w:color="auto"/>
            <w:bottom w:val="none" w:sz="0" w:space="0" w:color="auto"/>
            <w:right w:val="none" w:sz="0" w:space="0" w:color="auto"/>
          </w:divBdr>
        </w:div>
        <w:div w:id="1400596416">
          <w:marLeft w:val="346"/>
          <w:marRight w:val="0"/>
          <w:marTop w:val="0"/>
          <w:marBottom w:val="0"/>
          <w:divBdr>
            <w:top w:val="none" w:sz="0" w:space="0" w:color="auto"/>
            <w:left w:val="none" w:sz="0" w:space="0" w:color="auto"/>
            <w:bottom w:val="none" w:sz="0" w:space="0" w:color="auto"/>
            <w:right w:val="none" w:sz="0" w:space="0" w:color="auto"/>
          </w:divBdr>
        </w:div>
        <w:div w:id="140970903">
          <w:marLeft w:val="346"/>
          <w:marRight w:val="0"/>
          <w:marTop w:val="0"/>
          <w:marBottom w:val="0"/>
          <w:divBdr>
            <w:top w:val="none" w:sz="0" w:space="0" w:color="auto"/>
            <w:left w:val="none" w:sz="0" w:space="0" w:color="auto"/>
            <w:bottom w:val="none" w:sz="0" w:space="0" w:color="auto"/>
            <w:right w:val="none" w:sz="0" w:space="0" w:color="auto"/>
          </w:divBdr>
        </w:div>
        <w:div w:id="1152789638">
          <w:marLeft w:val="346"/>
          <w:marRight w:val="0"/>
          <w:marTop w:val="0"/>
          <w:marBottom w:val="0"/>
          <w:divBdr>
            <w:top w:val="none" w:sz="0" w:space="0" w:color="auto"/>
            <w:left w:val="none" w:sz="0" w:space="0" w:color="auto"/>
            <w:bottom w:val="none" w:sz="0" w:space="0" w:color="auto"/>
            <w:right w:val="none" w:sz="0" w:space="0" w:color="auto"/>
          </w:divBdr>
        </w:div>
      </w:divsChild>
    </w:div>
    <w:div w:id="1144157144">
      <w:bodyDiv w:val="1"/>
      <w:marLeft w:val="0"/>
      <w:marRight w:val="0"/>
      <w:marTop w:val="0"/>
      <w:marBottom w:val="0"/>
      <w:divBdr>
        <w:top w:val="none" w:sz="0" w:space="0" w:color="auto"/>
        <w:left w:val="none" w:sz="0" w:space="0" w:color="auto"/>
        <w:bottom w:val="none" w:sz="0" w:space="0" w:color="auto"/>
        <w:right w:val="none" w:sz="0" w:space="0" w:color="auto"/>
      </w:divBdr>
      <w:divsChild>
        <w:div w:id="1268124931">
          <w:marLeft w:val="446"/>
          <w:marRight w:val="0"/>
          <w:marTop w:val="0"/>
          <w:marBottom w:val="0"/>
          <w:divBdr>
            <w:top w:val="none" w:sz="0" w:space="0" w:color="auto"/>
            <w:left w:val="none" w:sz="0" w:space="0" w:color="auto"/>
            <w:bottom w:val="none" w:sz="0" w:space="0" w:color="auto"/>
            <w:right w:val="none" w:sz="0" w:space="0" w:color="auto"/>
          </w:divBdr>
        </w:div>
      </w:divsChild>
    </w:div>
    <w:div w:id="1234661336">
      <w:bodyDiv w:val="1"/>
      <w:marLeft w:val="0"/>
      <w:marRight w:val="0"/>
      <w:marTop w:val="0"/>
      <w:marBottom w:val="0"/>
      <w:divBdr>
        <w:top w:val="none" w:sz="0" w:space="0" w:color="auto"/>
        <w:left w:val="none" w:sz="0" w:space="0" w:color="auto"/>
        <w:bottom w:val="none" w:sz="0" w:space="0" w:color="auto"/>
        <w:right w:val="none" w:sz="0" w:space="0" w:color="auto"/>
      </w:divBdr>
      <w:divsChild>
        <w:div w:id="1929461386">
          <w:marLeft w:val="346"/>
          <w:marRight w:val="0"/>
          <w:marTop w:val="240"/>
          <w:marBottom w:val="0"/>
          <w:divBdr>
            <w:top w:val="none" w:sz="0" w:space="0" w:color="auto"/>
            <w:left w:val="none" w:sz="0" w:space="0" w:color="auto"/>
            <w:bottom w:val="none" w:sz="0" w:space="0" w:color="auto"/>
            <w:right w:val="none" w:sz="0" w:space="0" w:color="auto"/>
          </w:divBdr>
        </w:div>
      </w:divsChild>
    </w:div>
    <w:div w:id="192375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radocsurgery.co.u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Cansell</dc:creator>
  <cp:lastModifiedBy>Surinder Kahlon (GEM)</cp:lastModifiedBy>
  <cp:revision>4</cp:revision>
  <dcterms:created xsi:type="dcterms:W3CDTF">2015-05-11T08:21:00Z</dcterms:created>
  <dcterms:modified xsi:type="dcterms:W3CDTF">2015-05-11T13:26:00Z</dcterms:modified>
</cp:coreProperties>
</file>