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893" w:rsidRPr="00C11CC0" w:rsidRDefault="00041893" w:rsidP="00827939">
      <w:pPr>
        <w:pStyle w:val="Title"/>
      </w:pPr>
      <w:r w:rsidRPr="001A3C70">
        <w:t>FOL</w:t>
      </w:r>
      <w:r w:rsidR="000548DC" w:rsidRPr="001A3C70">
        <w:t>1</w:t>
      </w:r>
      <w:r w:rsidR="00C90E57" w:rsidRPr="001A3C70">
        <w:t>7</w:t>
      </w:r>
      <w:r w:rsidRPr="001A3C70">
        <w:t>/</w:t>
      </w:r>
      <w:r w:rsidR="001A3C70">
        <w:t>224</w:t>
      </w:r>
      <w:r w:rsidRPr="001A3C70">
        <w:t xml:space="preserve">: </w:t>
      </w:r>
      <w:r w:rsidR="00BE643C" w:rsidRPr="00384D5C">
        <w:t>Serpentine Kitchen</w:t>
      </w:r>
    </w:p>
    <w:p w:rsidR="00041893" w:rsidRPr="00C11CC0" w:rsidRDefault="00041893" w:rsidP="00C11CC0">
      <w:pPr>
        <w:pStyle w:val="Title"/>
      </w:pPr>
      <w:r w:rsidRPr="00C11CC0">
        <w:t>Catering Concession Contract</w:t>
      </w:r>
    </w:p>
    <w:p w:rsidR="00041893" w:rsidRPr="00B27D37" w:rsidRDefault="00041893" w:rsidP="00827939">
      <w:pPr>
        <w:pStyle w:val="Subtitle"/>
      </w:pPr>
      <w:r w:rsidRPr="00B27D37">
        <w:t xml:space="preserve">Section </w:t>
      </w:r>
      <w:r w:rsidR="000548DC">
        <w:t>A</w:t>
      </w:r>
    </w:p>
    <w:p w:rsidR="00041893" w:rsidRDefault="004A75F3" w:rsidP="00827939">
      <w:pPr>
        <w:pStyle w:val="Subtitle"/>
      </w:pPr>
      <w:bookmarkStart w:id="0" w:name="_GoBack"/>
      <w:r>
        <w:t>Instructions to Tenderers</w:t>
      </w:r>
    </w:p>
    <w:bookmarkEnd w:id="0"/>
    <w:p w:rsidR="00131923" w:rsidRPr="00AA3A69" w:rsidRDefault="00131923" w:rsidP="00AA3A69">
      <w:pPr>
        <w:pStyle w:val="ListParagraph"/>
        <w:numPr>
          <w:ilvl w:val="0"/>
          <w:numId w:val="25"/>
        </w:numPr>
        <w:spacing w:before="360"/>
        <w:ind w:left="851" w:hanging="851"/>
        <w:contextualSpacing w:val="0"/>
        <w:rPr>
          <w:rFonts w:ascii="Book Antiqua" w:hAnsi="Book Antiqua"/>
          <w:color w:val="7FC241"/>
          <w:sz w:val="40"/>
          <w:szCs w:val="40"/>
        </w:rPr>
      </w:pPr>
      <w:r w:rsidRPr="00AA3A69">
        <w:rPr>
          <w:rFonts w:ascii="Book Antiqua" w:hAnsi="Book Antiqua"/>
          <w:color w:val="7FC241"/>
          <w:sz w:val="40"/>
          <w:szCs w:val="40"/>
        </w:rPr>
        <w:lastRenderedPageBreak/>
        <w:t>Contract Duration</w:t>
      </w:r>
    </w:p>
    <w:p w:rsidR="00131923" w:rsidRDefault="00131923" w:rsidP="00AA3A69">
      <w:pPr>
        <w:pStyle w:val="ListParagraph"/>
        <w:numPr>
          <w:ilvl w:val="1"/>
          <w:numId w:val="25"/>
        </w:numPr>
        <w:ind w:left="851" w:hanging="851"/>
        <w:contextualSpacing w:val="0"/>
      </w:pPr>
      <w:r>
        <w:t xml:space="preserve">The contract for </w:t>
      </w:r>
      <w:r w:rsidR="00BE643C" w:rsidRPr="00BE643C">
        <w:t>Serpentine Kitchen</w:t>
      </w:r>
      <w:r w:rsidRPr="00BE643C">
        <w:t xml:space="preserve"> in </w:t>
      </w:r>
      <w:r w:rsidR="001D76E6" w:rsidRPr="00BE643C">
        <w:t xml:space="preserve">Hyde Park </w:t>
      </w:r>
      <w:r w:rsidR="00BE643C" w:rsidRPr="00BE643C">
        <w:t xml:space="preserve">(currently known as The Serpentine Bar and Kitchen) </w:t>
      </w:r>
      <w:r w:rsidRPr="00BE643C">
        <w:t xml:space="preserve">is offered for an initial </w:t>
      </w:r>
      <w:r w:rsidR="00BE643C" w:rsidRPr="00BE643C">
        <w:t>5</w:t>
      </w:r>
      <w:r w:rsidRPr="00BE643C">
        <w:t xml:space="preserve"> year period commencing </w:t>
      </w:r>
      <w:r w:rsidR="001D76E6" w:rsidRPr="00BE643C">
        <w:t>23</w:t>
      </w:r>
      <w:r w:rsidR="001D76E6" w:rsidRPr="00BE643C">
        <w:rPr>
          <w:vertAlign w:val="superscript"/>
        </w:rPr>
        <w:t>rd</w:t>
      </w:r>
      <w:r w:rsidR="001D76E6" w:rsidRPr="00BE643C">
        <w:t xml:space="preserve"> January 2018</w:t>
      </w:r>
      <w:r w:rsidRPr="00BE643C">
        <w:t xml:space="preserve">, with an option to extend by </w:t>
      </w:r>
      <w:r w:rsidR="00BE643C" w:rsidRPr="00BE643C">
        <w:t>5</w:t>
      </w:r>
      <w:r w:rsidRPr="00BE643C">
        <w:t xml:space="preserve"> years by mutual</w:t>
      </w:r>
      <w:r>
        <w:t xml:space="preserve"> agreement but entirely at the discretion of TRP and subject to the needs of TRP, the Concession Holder’s satisfactory performance and agreement being reached on the terms of the extension.</w:t>
      </w:r>
    </w:p>
    <w:p w:rsidR="00131923" w:rsidRPr="00AA3A69" w:rsidRDefault="00131923" w:rsidP="00AA3A69">
      <w:pPr>
        <w:pStyle w:val="ListParagraph"/>
        <w:numPr>
          <w:ilvl w:val="0"/>
          <w:numId w:val="25"/>
        </w:numPr>
        <w:spacing w:before="360"/>
        <w:ind w:left="851" w:hanging="851"/>
        <w:contextualSpacing w:val="0"/>
        <w:rPr>
          <w:rFonts w:ascii="Book Antiqua" w:hAnsi="Book Antiqua"/>
          <w:color w:val="7FC241"/>
          <w:sz w:val="40"/>
          <w:szCs w:val="40"/>
        </w:rPr>
      </w:pPr>
      <w:r w:rsidRPr="00AA3A69">
        <w:rPr>
          <w:rFonts w:ascii="Book Antiqua" w:hAnsi="Book Antiqua"/>
          <w:color w:val="7FC241"/>
          <w:sz w:val="40"/>
          <w:szCs w:val="40"/>
        </w:rPr>
        <w:t>The Tender Process</w:t>
      </w:r>
    </w:p>
    <w:p w:rsidR="00371C25" w:rsidRPr="005C0623" w:rsidRDefault="00371C25" w:rsidP="00131923">
      <w:pPr>
        <w:pStyle w:val="ListParagraph"/>
        <w:numPr>
          <w:ilvl w:val="1"/>
          <w:numId w:val="25"/>
        </w:numPr>
        <w:ind w:left="851" w:hanging="851"/>
        <w:contextualSpacing w:val="0"/>
      </w:pPr>
      <w:r w:rsidRPr="005C0623">
        <w:t xml:space="preserve">TRP will use a two stage tendering process comprising an initial selection questionnaire </w:t>
      </w:r>
      <w:r w:rsidR="0041229E">
        <w:t xml:space="preserve">to assess supplier capability and experience </w:t>
      </w:r>
      <w:r w:rsidRPr="005C0623">
        <w:t xml:space="preserve">followed by a tender stage.  </w:t>
      </w:r>
      <w:r w:rsidR="005C0623" w:rsidRPr="005C0623">
        <w:t>Only the</w:t>
      </w:r>
      <w:r w:rsidRPr="005C0623">
        <w:t xml:space="preserve"> top four highest scoring suppliers at selection </w:t>
      </w:r>
      <w:r w:rsidR="005C0623" w:rsidRPr="005C0623">
        <w:t>stage will progress to tender.</w:t>
      </w:r>
    </w:p>
    <w:p w:rsidR="00131923" w:rsidRDefault="00131923" w:rsidP="00131923">
      <w:pPr>
        <w:pStyle w:val="ListParagraph"/>
        <w:numPr>
          <w:ilvl w:val="1"/>
          <w:numId w:val="25"/>
        </w:numPr>
        <w:ind w:left="851" w:hanging="851"/>
      </w:pPr>
      <w:r w:rsidRPr="00AA3A69">
        <w:rPr>
          <w:b/>
          <w:color w:val="7FC241"/>
        </w:rPr>
        <w:t>Tender documentation:</w:t>
      </w:r>
      <w:r>
        <w:t xml:space="preserve"> the </w:t>
      </w:r>
      <w:r w:rsidR="005C0623">
        <w:t>tender pack</w:t>
      </w:r>
      <w:r>
        <w:t xml:space="preserve"> comprises the following documents:</w:t>
      </w:r>
    </w:p>
    <w:p w:rsidR="005C0623" w:rsidRDefault="005C0623" w:rsidP="00AA3A69">
      <w:pPr>
        <w:pStyle w:val="Bullets"/>
        <w:tabs>
          <w:tab w:val="left" w:pos="2552"/>
        </w:tabs>
        <w:ind w:left="1276"/>
      </w:pPr>
      <w:r>
        <w:t>Selection Questionnaire</w:t>
      </w:r>
    </w:p>
    <w:p w:rsidR="005C0623" w:rsidRDefault="005C0623" w:rsidP="00AA3A69">
      <w:pPr>
        <w:pStyle w:val="Bullets"/>
        <w:tabs>
          <w:tab w:val="left" w:pos="2552"/>
        </w:tabs>
        <w:ind w:left="1276"/>
      </w:pPr>
      <w:r>
        <w:t>Caterer Reference Form</w:t>
      </w:r>
    </w:p>
    <w:p w:rsidR="00131923" w:rsidRDefault="00131923" w:rsidP="00AA3A69">
      <w:pPr>
        <w:pStyle w:val="Bullets"/>
        <w:tabs>
          <w:tab w:val="left" w:pos="2552"/>
        </w:tabs>
        <w:ind w:left="1276"/>
      </w:pPr>
      <w:r>
        <w:t>Section A</w:t>
      </w:r>
      <w:r>
        <w:tab/>
        <w:t>Instructions to Tenderers</w:t>
      </w:r>
    </w:p>
    <w:p w:rsidR="00131923" w:rsidRDefault="00131923" w:rsidP="00AA3A69">
      <w:pPr>
        <w:pStyle w:val="Bullets"/>
        <w:tabs>
          <w:tab w:val="left" w:pos="2552"/>
        </w:tabs>
        <w:ind w:left="1276"/>
      </w:pPr>
      <w:r>
        <w:t>Section B</w:t>
      </w:r>
      <w:r>
        <w:tab/>
        <w:t>Evaluation Criteria</w:t>
      </w:r>
    </w:p>
    <w:p w:rsidR="00131923" w:rsidRDefault="00131923" w:rsidP="00AA3A69">
      <w:pPr>
        <w:pStyle w:val="Bullets"/>
        <w:tabs>
          <w:tab w:val="left" w:pos="2552"/>
        </w:tabs>
        <w:ind w:left="1276"/>
      </w:pPr>
      <w:r>
        <w:t>Section C</w:t>
      </w:r>
      <w:r>
        <w:tab/>
        <w:t>Background Information</w:t>
      </w:r>
    </w:p>
    <w:p w:rsidR="00131923" w:rsidRDefault="00131923" w:rsidP="00AA3A69">
      <w:pPr>
        <w:pStyle w:val="Bullets"/>
        <w:tabs>
          <w:tab w:val="left" w:pos="2552"/>
        </w:tabs>
        <w:ind w:left="1276"/>
      </w:pPr>
      <w:r>
        <w:t>Section D</w:t>
      </w:r>
      <w:r>
        <w:tab/>
        <w:t>Contract and Schedules (including Specification of Requirements)</w:t>
      </w:r>
    </w:p>
    <w:p w:rsidR="00131923" w:rsidRDefault="00131923" w:rsidP="00AA3A69">
      <w:pPr>
        <w:pStyle w:val="Bullets"/>
        <w:tabs>
          <w:tab w:val="left" w:pos="2552"/>
        </w:tabs>
        <w:ind w:left="1276"/>
      </w:pPr>
      <w:r>
        <w:t>Section E</w:t>
      </w:r>
      <w:r>
        <w:tab/>
        <w:t>Tender Submissions (including Form of Tender and Submission Pro Forma)</w:t>
      </w:r>
    </w:p>
    <w:p w:rsidR="00131923" w:rsidRDefault="00131923" w:rsidP="00442911">
      <w:pPr>
        <w:pStyle w:val="Bullets"/>
        <w:tabs>
          <w:tab w:val="left" w:pos="2552"/>
        </w:tabs>
        <w:spacing w:line="360" w:lineRule="auto"/>
        <w:ind w:left="1276" w:hanging="357"/>
      </w:pPr>
      <w:r>
        <w:t>Section F</w:t>
      </w:r>
      <w:r>
        <w:tab/>
        <w:t>Appendices</w:t>
      </w:r>
    </w:p>
    <w:p w:rsidR="00825AF0" w:rsidRPr="009B5BAD" w:rsidRDefault="00825AF0" w:rsidP="00825AF0">
      <w:pPr>
        <w:pStyle w:val="ListParagraph"/>
        <w:numPr>
          <w:ilvl w:val="1"/>
          <w:numId w:val="25"/>
        </w:numPr>
        <w:ind w:left="851" w:hanging="851"/>
        <w:contextualSpacing w:val="0"/>
      </w:pPr>
      <w:r w:rsidRPr="009B5BAD">
        <w:rPr>
          <w:b/>
          <w:color w:val="7FC241"/>
        </w:rPr>
        <w:t xml:space="preserve">Return of </w:t>
      </w:r>
      <w:r w:rsidR="00F90650">
        <w:rPr>
          <w:b/>
          <w:color w:val="7FC241"/>
        </w:rPr>
        <w:t>s</w:t>
      </w:r>
      <w:r w:rsidRPr="009B5BAD">
        <w:rPr>
          <w:b/>
          <w:color w:val="7FC241"/>
        </w:rPr>
        <w:t xml:space="preserve">election </w:t>
      </w:r>
      <w:r w:rsidR="00F90650">
        <w:rPr>
          <w:b/>
          <w:color w:val="7FC241"/>
        </w:rPr>
        <w:t>q</w:t>
      </w:r>
      <w:r w:rsidRPr="009B5BAD">
        <w:rPr>
          <w:b/>
          <w:color w:val="7FC241"/>
        </w:rPr>
        <w:t>uestionnaires:</w:t>
      </w:r>
      <w:r>
        <w:t xml:space="preserve"> completed selection questionnaires </w:t>
      </w:r>
      <w:r w:rsidR="0041229E">
        <w:t>must</w:t>
      </w:r>
      <w:r>
        <w:t xml:space="preserve"> be emailed to </w:t>
      </w:r>
      <w:hyperlink r:id="rId8" w:history="1">
        <w:r w:rsidRPr="00CA6523">
          <w:rPr>
            <w:rStyle w:val="Hyperlink"/>
          </w:rPr>
          <w:t>procurement@royalparks.gsi.gov.uk</w:t>
        </w:r>
      </w:hyperlink>
      <w:r>
        <w:t xml:space="preserve"> </w:t>
      </w:r>
      <w:r w:rsidRPr="001A6504">
        <w:rPr>
          <w:b/>
        </w:rPr>
        <w:t>no later than 14:00 on</w:t>
      </w:r>
      <w:r w:rsidR="00B96ABE" w:rsidRPr="001A6504">
        <w:rPr>
          <w:b/>
        </w:rPr>
        <w:t xml:space="preserve"> </w:t>
      </w:r>
      <w:r w:rsidR="001A3C70" w:rsidRPr="001A6504">
        <w:rPr>
          <w:b/>
        </w:rPr>
        <w:t>Monday</w:t>
      </w:r>
      <w:r w:rsidR="00A924DE" w:rsidRPr="001A6504">
        <w:rPr>
          <w:b/>
        </w:rPr>
        <w:t>,</w:t>
      </w:r>
      <w:r w:rsidR="00B96ABE" w:rsidRPr="001A6504">
        <w:rPr>
          <w:b/>
        </w:rPr>
        <w:t xml:space="preserve"> </w:t>
      </w:r>
      <w:r w:rsidR="001A3C70" w:rsidRPr="001A6504">
        <w:rPr>
          <w:b/>
        </w:rPr>
        <w:t>29</w:t>
      </w:r>
      <w:r w:rsidR="00B96ABE" w:rsidRPr="001A6504">
        <w:rPr>
          <w:b/>
          <w:vertAlign w:val="superscript"/>
        </w:rPr>
        <w:t>th</w:t>
      </w:r>
      <w:r w:rsidR="00B96ABE" w:rsidRPr="001A6504">
        <w:rPr>
          <w:b/>
        </w:rPr>
        <w:t xml:space="preserve"> </w:t>
      </w:r>
      <w:r w:rsidR="001A3C70" w:rsidRPr="001A6504">
        <w:rPr>
          <w:b/>
        </w:rPr>
        <w:t>May</w:t>
      </w:r>
      <w:r w:rsidR="00A924DE" w:rsidRPr="001A6504">
        <w:rPr>
          <w:b/>
        </w:rPr>
        <w:t>,</w:t>
      </w:r>
      <w:r w:rsidR="00B96ABE" w:rsidRPr="001A6504">
        <w:rPr>
          <w:b/>
        </w:rPr>
        <w:t xml:space="preserve"> 2017</w:t>
      </w:r>
      <w:r>
        <w:t xml:space="preserve">.  Caterer </w:t>
      </w:r>
      <w:r w:rsidR="00066E03">
        <w:t>R</w:t>
      </w:r>
      <w:r>
        <w:t>eference forms must be completed and emailed by referees to this same email address no later than the above deadline.</w:t>
      </w:r>
    </w:p>
    <w:p w:rsidR="00131923" w:rsidRDefault="00131923" w:rsidP="00AA3A69">
      <w:pPr>
        <w:pStyle w:val="ListParagraph"/>
        <w:numPr>
          <w:ilvl w:val="1"/>
          <w:numId w:val="25"/>
        </w:numPr>
        <w:ind w:left="851" w:hanging="851"/>
        <w:contextualSpacing w:val="0"/>
      </w:pPr>
      <w:r w:rsidRPr="00AA3A69">
        <w:rPr>
          <w:b/>
          <w:color w:val="7FC241"/>
        </w:rPr>
        <w:t>Clarifications:</w:t>
      </w:r>
      <w:r w:rsidRPr="00AA3A69">
        <w:rPr>
          <w:color w:val="7FC241"/>
        </w:rPr>
        <w:t xml:space="preserve"> </w:t>
      </w:r>
      <w:r>
        <w:t xml:space="preserve">if tenderers require answers to queries raised during the tender period, they must be emailed to: procurement@royalparks.gsi.gov.uk.  All questions and answers will be forwarded by email to all </w:t>
      </w:r>
      <w:proofErr w:type="spellStart"/>
      <w:r w:rsidR="00825F32">
        <w:t>tenderers</w:t>
      </w:r>
      <w:proofErr w:type="spellEnd"/>
      <w:r w:rsidR="00825F32">
        <w:t xml:space="preserve"> via the Contracts Finder web site.  Tenderers must therefore check this site frequently for updates to the Q&amp;A log.  </w:t>
      </w:r>
      <w:r>
        <w:t>The deadline for submission of clarification questions will be ten working days before the tender submission deadline.</w:t>
      </w:r>
    </w:p>
    <w:p w:rsidR="00131923" w:rsidRDefault="00131923" w:rsidP="00AA3A69">
      <w:pPr>
        <w:pStyle w:val="ListParagraph"/>
        <w:numPr>
          <w:ilvl w:val="1"/>
          <w:numId w:val="25"/>
        </w:numPr>
        <w:ind w:left="851" w:hanging="851"/>
        <w:contextualSpacing w:val="0"/>
      </w:pPr>
      <w:r w:rsidRPr="00AA3A69">
        <w:rPr>
          <w:b/>
          <w:color w:val="7FC241"/>
        </w:rPr>
        <w:t>Alterations:</w:t>
      </w:r>
      <w:r>
        <w:t xml:space="preserve"> the tenderer may not alter any of the documents.</w:t>
      </w:r>
    </w:p>
    <w:p w:rsidR="00131923" w:rsidRDefault="00131923" w:rsidP="00AA3A69">
      <w:pPr>
        <w:pStyle w:val="ListParagraph"/>
        <w:numPr>
          <w:ilvl w:val="1"/>
          <w:numId w:val="25"/>
        </w:numPr>
        <w:ind w:left="851" w:hanging="851"/>
        <w:contextualSpacing w:val="0"/>
      </w:pPr>
      <w:r w:rsidRPr="002A7400">
        <w:rPr>
          <w:b/>
          <w:color w:val="7FC241"/>
        </w:rPr>
        <w:t>Address label:</w:t>
      </w:r>
      <w:r w:rsidRPr="00AA3A69">
        <w:rPr>
          <w:color w:val="7FC241"/>
        </w:rPr>
        <w:t xml:space="preserve"> </w:t>
      </w:r>
      <w:r>
        <w:t>this is enclosed in the tender pack and must be used. Envelopes/packages should be plain and bear no reference to the tenderer's name</w:t>
      </w:r>
      <w:r w:rsidR="00825AF0">
        <w:t xml:space="preserve"> - </w:t>
      </w:r>
      <w:r>
        <w:t>franking machines which automatically print the company name should not be used.  Tenders without the label or in envelopes which in any way identify the tenderers will not be considered.</w:t>
      </w:r>
    </w:p>
    <w:p w:rsidR="00131923" w:rsidRDefault="00131923" w:rsidP="00AA3A69">
      <w:pPr>
        <w:pStyle w:val="ListParagraph"/>
        <w:numPr>
          <w:ilvl w:val="1"/>
          <w:numId w:val="25"/>
        </w:numPr>
        <w:ind w:left="851" w:hanging="851"/>
        <w:contextualSpacing w:val="0"/>
      </w:pPr>
      <w:r w:rsidRPr="00AA3A69">
        <w:rPr>
          <w:b/>
          <w:color w:val="7FC241"/>
        </w:rPr>
        <w:t>Return of tenders:</w:t>
      </w:r>
      <w:r w:rsidRPr="00AA3A69">
        <w:rPr>
          <w:color w:val="7FC241"/>
        </w:rPr>
        <w:t xml:space="preserve"> </w:t>
      </w:r>
      <w:r>
        <w:t xml:space="preserve">tenderers must ensure that their tender is delivered no later than the </w:t>
      </w:r>
      <w:r>
        <w:lastRenderedPageBreak/>
        <w:t>appointed time.  Tenders received after this time will automatically be rejected.  Tenders are to be delivered to:</w:t>
      </w:r>
    </w:p>
    <w:p w:rsidR="00131923" w:rsidRPr="00AA3A69" w:rsidRDefault="00131923" w:rsidP="00442911">
      <w:pPr>
        <w:spacing w:after="0"/>
        <w:ind w:left="851"/>
        <w:rPr>
          <w:b/>
        </w:rPr>
      </w:pPr>
      <w:r w:rsidRPr="00AA3A69">
        <w:rPr>
          <w:b/>
        </w:rPr>
        <w:t>The Procurement Office</w:t>
      </w:r>
    </w:p>
    <w:p w:rsidR="00131923" w:rsidRPr="00AA3A69" w:rsidRDefault="00131923" w:rsidP="00442911">
      <w:pPr>
        <w:spacing w:after="0"/>
        <w:ind w:left="851"/>
        <w:rPr>
          <w:b/>
        </w:rPr>
      </w:pPr>
      <w:r w:rsidRPr="00AA3A69">
        <w:rPr>
          <w:b/>
        </w:rPr>
        <w:t>The Royal Parks</w:t>
      </w:r>
    </w:p>
    <w:p w:rsidR="00131923" w:rsidRPr="00AA3A69" w:rsidRDefault="00131923" w:rsidP="00442911">
      <w:pPr>
        <w:spacing w:after="0"/>
        <w:ind w:left="851"/>
        <w:rPr>
          <w:b/>
        </w:rPr>
      </w:pPr>
      <w:r w:rsidRPr="00AA3A69">
        <w:rPr>
          <w:b/>
        </w:rPr>
        <w:t>The Old Police House</w:t>
      </w:r>
    </w:p>
    <w:p w:rsidR="00131923" w:rsidRPr="00AA3A69" w:rsidRDefault="00131923" w:rsidP="00442911">
      <w:pPr>
        <w:spacing w:after="0"/>
        <w:ind w:left="851"/>
        <w:rPr>
          <w:b/>
        </w:rPr>
      </w:pPr>
      <w:r w:rsidRPr="00AA3A69">
        <w:rPr>
          <w:b/>
        </w:rPr>
        <w:t>Hyde Park</w:t>
      </w:r>
    </w:p>
    <w:p w:rsidR="00131923" w:rsidRPr="00AA3A69" w:rsidRDefault="00131923" w:rsidP="00442911">
      <w:pPr>
        <w:spacing w:after="0"/>
        <w:ind w:left="851"/>
        <w:rPr>
          <w:b/>
        </w:rPr>
      </w:pPr>
      <w:r w:rsidRPr="00AA3A69">
        <w:rPr>
          <w:b/>
        </w:rPr>
        <w:t>London</w:t>
      </w:r>
    </w:p>
    <w:p w:rsidR="00131923" w:rsidRPr="00AA3A69" w:rsidRDefault="00131923" w:rsidP="00442911">
      <w:pPr>
        <w:ind w:left="851"/>
        <w:rPr>
          <w:b/>
        </w:rPr>
      </w:pPr>
      <w:r w:rsidRPr="00AA3A69">
        <w:rPr>
          <w:b/>
        </w:rPr>
        <w:t>W2 2UH</w:t>
      </w:r>
    </w:p>
    <w:p w:rsidR="00131923" w:rsidRDefault="00131923" w:rsidP="00AA3A69">
      <w:pPr>
        <w:ind w:left="851"/>
      </w:pPr>
      <w:r w:rsidRPr="00442911">
        <w:t>B</w:t>
      </w:r>
      <w:r w:rsidR="00223FC1" w:rsidRPr="00442911">
        <w:t xml:space="preserve">Y </w:t>
      </w:r>
      <w:r w:rsidR="00223FC1" w:rsidRPr="00825F32">
        <w:t>14:00 on</w:t>
      </w:r>
      <w:r w:rsidR="00A924DE" w:rsidRPr="00825F32">
        <w:t xml:space="preserve"> </w:t>
      </w:r>
      <w:r w:rsidR="00825F32" w:rsidRPr="00825F32">
        <w:t>Friday</w:t>
      </w:r>
      <w:r w:rsidR="00A924DE" w:rsidRPr="00825F32">
        <w:t xml:space="preserve">, </w:t>
      </w:r>
      <w:r w:rsidR="00825F32" w:rsidRPr="00825F32">
        <w:t>7</w:t>
      </w:r>
      <w:r w:rsidR="00A924DE" w:rsidRPr="00825F32">
        <w:rPr>
          <w:vertAlign w:val="superscript"/>
        </w:rPr>
        <w:t>th</w:t>
      </w:r>
      <w:r w:rsidR="00A924DE" w:rsidRPr="00825F32">
        <w:t xml:space="preserve"> July</w:t>
      </w:r>
      <w:r w:rsidR="00442911" w:rsidRPr="00825F32">
        <w:t>,</w:t>
      </w:r>
      <w:r w:rsidR="00223FC1" w:rsidRPr="00825F32">
        <w:t xml:space="preserve"> 2017</w:t>
      </w:r>
    </w:p>
    <w:p w:rsidR="00131923" w:rsidRDefault="00131923" w:rsidP="00D31C57">
      <w:pPr>
        <w:tabs>
          <w:tab w:val="left" w:pos="900"/>
        </w:tabs>
        <w:ind w:left="900"/>
      </w:pPr>
      <w:r>
        <w:t>NOTE: couriers sometimes have difficulty locating our offices in the middle of Hyde Park, which must be approached from West Carriage Drive.</w:t>
      </w:r>
    </w:p>
    <w:p w:rsidR="00131923" w:rsidRDefault="00131923" w:rsidP="00223FC1">
      <w:pPr>
        <w:pStyle w:val="ListParagraph"/>
        <w:numPr>
          <w:ilvl w:val="1"/>
          <w:numId w:val="25"/>
        </w:numPr>
        <w:ind w:left="851" w:hanging="851"/>
        <w:contextualSpacing w:val="0"/>
      </w:pPr>
      <w:r w:rsidRPr="00223FC1">
        <w:rPr>
          <w:b/>
          <w:color w:val="7FC241"/>
        </w:rPr>
        <w:t>Number of tenders:</w:t>
      </w:r>
      <w:r w:rsidRPr="00223FC1">
        <w:rPr>
          <w:color w:val="7FC241"/>
        </w:rPr>
        <w:t xml:space="preserve"> </w:t>
      </w:r>
      <w:r>
        <w:t>six hard copies and one electronic copy (our systems are compatible with Office 2007) of your tender should be submitted.  Individual electronic files sizes should be kept below 10Mb wherever possible.</w:t>
      </w:r>
    </w:p>
    <w:p w:rsidR="00131923" w:rsidRDefault="001D76E6" w:rsidP="00223FC1">
      <w:pPr>
        <w:pStyle w:val="ListParagraph"/>
        <w:numPr>
          <w:ilvl w:val="1"/>
          <w:numId w:val="25"/>
        </w:numPr>
        <w:ind w:left="851" w:hanging="851"/>
        <w:contextualSpacing w:val="0"/>
      </w:pPr>
      <w:r>
        <w:rPr>
          <w:b/>
          <w:color w:val="7FC241"/>
        </w:rPr>
        <w:t>E</w:t>
      </w:r>
      <w:r w:rsidR="00825AF0" w:rsidRPr="00223FC1">
        <w:rPr>
          <w:b/>
          <w:color w:val="7FC241"/>
        </w:rPr>
        <w:t xml:space="preserve">mail </w:t>
      </w:r>
      <w:r w:rsidR="00131923" w:rsidRPr="00223FC1">
        <w:rPr>
          <w:b/>
          <w:color w:val="7FC241"/>
        </w:rPr>
        <w:t>and fax:</w:t>
      </w:r>
      <w:r w:rsidR="00131923" w:rsidRPr="00223FC1">
        <w:rPr>
          <w:color w:val="7FC241"/>
        </w:rPr>
        <w:t xml:space="preserve"> </w:t>
      </w:r>
      <w:r w:rsidR="00131923">
        <w:t>tenders will not be considered if despatched by email or fax.</w:t>
      </w:r>
    </w:p>
    <w:p w:rsidR="00131923" w:rsidRDefault="00131923" w:rsidP="00223FC1">
      <w:pPr>
        <w:pStyle w:val="ListParagraph"/>
        <w:numPr>
          <w:ilvl w:val="1"/>
          <w:numId w:val="25"/>
        </w:numPr>
        <w:ind w:left="851" w:hanging="851"/>
        <w:contextualSpacing w:val="0"/>
      </w:pPr>
      <w:r w:rsidRPr="00223FC1">
        <w:rPr>
          <w:b/>
          <w:color w:val="7FC241"/>
        </w:rPr>
        <w:t>Highest scoring tender:</w:t>
      </w:r>
      <w:r w:rsidRPr="00223FC1">
        <w:rPr>
          <w:color w:val="7FC241"/>
        </w:rPr>
        <w:t xml:space="preserve"> </w:t>
      </w:r>
      <w:r>
        <w:t>TRP does not bind itself to accept the highest scoring or any tender.</w:t>
      </w:r>
    </w:p>
    <w:p w:rsidR="00131923" w:rsidRDefault="00131923" w:rsidP="00223FC1">
      <w:pPr>
        <w:pStyle w:val="ListParagraph"/>
        <w:numPr>
          <w:ilvl w:val="1"/>
          <w:numId w:val="25"/>
        </w:numPr>
        <w:ind w:left="851" w:hanging="851"/>
        <w:contextualSpacing w:val="0"/>
      </w:pPr>
      <w:r w:rsidRPr="00223FC1">
        <w:rPr>
          <w:b/>
          <w:color w:val="7FC241"/>
        </w:rPr>
        <w:t>Basis of prices:</w:t>
      </w:r>
      <w:r>
        <w:t xml:space="preserve"> all prices must be quoted on the basis indicated in the accompanying documents and should exclude VAT.  Tenderers should also include any assumptions they have made when assessing costs.</w:t>
      </w:r>
    </w:p>
    <w:p w:rsidR="00131923" w:rsidRDefault="00131923" w:rsidP="00223FC1">
      <w:pPr>
        <w:pStyle w:val="ListParagraph"/>
        <w:numPr>
          <w:ilvl w:val="1"/>
          <w:numId w:val="25"/>
        </w:numPr>
        <w:ind w:left="851" w:hanging="851"/>
        <w:contextualSpacing w:val="0"/>
      </w:pPr>
      <w:r w:rsidRPr="00223FC1">
        <w:rPr>
          <w:b/>
          <w:color w:val="7FC241"/>
        </w:rPr>
        <w:t>Award criteria:</w:t>
      </w:r>
      <w:r w:rsidRPr="00223FC1">
        <w:rPr>
          <w:color w:val="7FC241"/>
        </w:rPr>
        <w:t xml:space="preserve"> </w:t>
      </w:r>
      <w:r>
        <w:t>the contract will be awarded to the tenderer who makes the Most Economically Advantageous Tender.  Tenders will be assessed using the criteria and weightings as detailed in Section B of the tender pack</w:t>
      </w:r>
      <w:r w:rsidR="009B5BAD">
        <w:t>.</w:t>
      </w:r>
    </w:p>
    <w:p w:rsidR="00131923" w:rsidRDefault="00131923" w:rsidP="00223FC1">
      <w:pPr>
        <w:pStyle w:val="ListParagraph"/>
        <w:numPr>
          <w:ilvl w:val="1"/>
          <w:numId w:val="25"/>
        </w:numPr>
        <w:ind w:left="851" w:hanging="851"/>
        <w:contextualSpacing w:val="0"/>
      </w:pPr>
      <w:r w:rsidRPr="00223FC1">
        <w:rPr>
          <w:b/>
          <w:color w:val="7FC241"/>
        </w:rPr>
        <w:t>Confidentiality of tenders:</w:t>
      </w:r>
      <w:r w:rsidRPr="00223FC1">
        <w:rPr>
          <w:color w:val="7FC241"/>
        </w:rPr>
        <w:t xml:space="preserve"> </w:t>
      </w:r>
      <w:r>
        <w:t>please note the following requirements, any breach of which will invalidate your tender:</w:t>
      </w:r>
    </w:p>
    <w:p w:rsidR="00131923" w:rsidRDefault="00131923" w:rsidP="009B5BAD">
      <w:pPr>
        <w:pStyle w:val="ListParagraph"/>
        <w:numPr>
          <w:ilvl w:val="0"/>
          <w:numId w:val="31"/>
        </w:numPr>
        <w:ind w:left="1276" w:hanging="357"/>
        <w:contextualSpacing w:val="0"/>
      </w:pPr>
      <w:r>
        <w:t>You must not tell anyone else, even approximately, what your tender price is or will be, before the time limit for delivery of tenders.  The only exception is if you need an insurance quotation to calculate your tender price: you may give your insurance company or brokers any essential information they ask for, so long as you do so in strict confidence.</w:t>
      </w:r>
    </w:p>
    <w:p w:rsidR="00131923" w:rsidRDefault="00131923" w:rsidP="009B5BAD">
      <w:pPr>
        <w:pStyle w:val="ListParagraph"/>
        <w:numPr>
          <w:ilvl w:val="0"/>
          <w:numId w:val="31"/>
        </w:numPr>
        <w:ind w:left="1276" w:hanging="357"/>
        <w:contextualSpacing w:val="0"/>
      </w:pPr>
      <w:r>
        <w:t>You must not try to obtain any information about anyone else's tender, or proposed tender, before the tender submission deadline.</w:t>
      </w:r>
    </w:p>
    <w:p w:rsidR="00131923" w:rsidRDefault="00131923" w:rsidP="009B5BAD">
      <w:pPr>
        <w:pStyle w:val="ListParagraph"/>
        <w:numPr>
          <w:ilvl w:val="0"/>
          <w:numId w:val="31"/>
        </w:numPr>
        <w:ind w:left="1276" w:hanging="357"/>
        <w:contextualSpacing w:val="0"/>
      </w:pPr>
      <w:r>
        <w:t>You must not make any arrangements with anyone else about whether or not they should tender, or about their or your tender price.</w:t>
      </w:r>
    </w:p>
    <w:p w:rsidR="00131923" w:rsidRDefault="00131923" w:rsidP="00223FC1">
      <w:pPr>
        <w:pStyle w:val="ListParagraph"/>
        <w:numPr>
          <w:ilvl w:val="1"/>
          <w:numId w:val="25"/>
        </w:numPr>
        <w:ind w:left="851" w:hanging="851"/>
        <w:contextualSpacing w:val="0"/>
      </w:pPr>
      <w:r w:rsidRPr="00223FC1">
        <w:rPr>
          <w:b/>
          <w:color w:val="7FC241"/>
        </w:rPr>
        <w:t>Extension of tender period:</w:t>
      </w:r>
      <w:r>
        <w:t xml:space="preserve"> any request for an extension of the tender period must be received at least seven working days before the tender submission deadline, but no undertaking can be given by TRP that an extension will be granted.</w:t>
      </w:r>
    </w:p>
    <w:p w:rsidR="00131923" w:rsidRDefault="00131923" w:rsidP="00223FC1">
      <w:pPr>
        <w:pStyle w:val="ListParagraph"/>
        <w:numPr>
          <w:ilvl w:val="1"/>
          <w:numId w:val="25"/>
        </w:numPr>
        <w:ind w:left="851" w:hanging="851"/>
        <w:contextualSpacing w:val="0"/>
      </w:pPr>
      <w:r w:rsidRPr="00223FC1">
        <w:rPr>
          <w:b/>
          <w:color w:val="7FC241"/>
        </w:rPr>
        <w:t>Tender expenses and losses:</w:t>
      </w:r>
      <w:r w:rsidRPr="00223FC1">
        <w:rPr>
          <w:color w:val="7FC241"/>
        </w:rPr>
        <w:t xml:space="preserve"> </w:t>
      </w:r>
      <w:r>
        <w:t>TRP will not be responsible for or pay any expenses or losses incurred by any tenderer in preparing its tender.</w:t>
      </w:r>
    </w:p>
    <w:p w:rsidR="00131923" w:rsidRDefault="00131923" w:rsidP="00223FC1">
      <w:pPr>
        <w:pStyle w:val="ListParagraph"/>
        <w:numPr>
          <w:ilvl w:val="1"/>
          <w:numId w:val="25"/>
        </w:numPr>
        <w:ind w:left="851" w:hanging="851"/>
        <w:contextualSpacing w:val="0"/>
      </w:pPr>
      <w:r w:rsidRPr="00223FC1">
        <w:rPr>
          <w:b/>
          <w:color w:val="7FC241"/>
        </w:rPr>
        <w:t>Freedom of Information Act:</w:t>
      </w:r>
      <w:r>
        <w:t xml:space="preserve"> we are committed to open government and to meeting our legal responsibilities under the Freedom of Information Act 2000.  Accordingly, all information submitted to us may need to be disclosed by us in response to a request under the Act.  We may also decide to include certain information in the publication scheme, which we maintain under the Act.  If you </w:t>
      </w:r>
      <w:r>
        <w:lastRenderedPageBreak/>
        <w:t>consider that any of the information included in your tender is commercially sensitive, please identify it and explain (in broad terms) what harm may result from its disclosure if a request is received, and the time period applicable to that sensitivity.</w:t>
      </w:r>
    </w:p>
    <w:p w:rsidR="00131923" w:rsidRDefault="00131923" w:rsidP="00223FC1">
      <w:pPr>
        <w:pStyle w:val="ListParagraph"/>
        <w:numPr>
          <w:ilvl w:val="1"/>
          <w:numId w:val="25"/>
        </w:numPr>
        <w:ind w:left="851" w:hanging="851"/>
        <w:contextualSpacing w:val="0"/>
      </w:pPr>
      <w:r w:rsidRPr="00223FC1">
        <w:rPr>
          <w:b/>
          <w:color w:val="7FC241"/>
        </w:rPr>
        <w:t>Trading names/invoicing:</w:t>
      </w:r>
      <w:r>
        <w:t xml:space="preserve"> where invoices will be rendered by or payments are required to be made to an entity whose title differs in any respect from the title in which the tender is submitted, full details must be provided in a letter accompanying the tender.  Successful tenderers who fail to provide this information at tender stage may well experience delays in settlement of their account.</w:t>
      </w:r>
    </w:p>
    <w:p w:rsidR="00131923" w:rsidRDefault="00BE643C" w:rsidP="00223FC1">
      <w:pPr>
        <w:pStyle w:val="ListParagraph"/>
        <w:numPr>
          <w:ilvl w:val="1"/>
          <w:numId w:val="25"/>
        </w:numPr>
        <w:ind w:left="851" w:hanging="851"/>
        <w:contextualSpacing w:val="0"/>
      </w:pPr>
      <w:r w:rsidRPr="00825F32">
        <w:rPr>
          <w:b/>
          <w:color w:val="7FC241"/>
        </w:rPr>
        <w:t>Serpentine Kitchen</w:t>
      </w:r>
      <w:r w:rsidR="00131923" w:rsidRPr="00223FC1">
        <w:rPr>
          <w:b/>
          <w:color w:val="7FC241"/>
        </w:rPr>
        <w:t xml:space="preserve"> Site Survey:</w:t>
      </w:r>
      <w:r w:rsidR="00131923" w:rsidRPr="00223FC1">
        <w:rPr>
          <w:color w:val="7FC241"/>
        </w:rPr>
        <w:t xml:space="preserve"> </w:t>
      </w:r>
      <w:r w:rsidR="00131923">
        <w:t xml:space="preserve">tenderers are invited to a site survey </w:t>
      </w:r>
      <w:r w:rsidR="00825F32">
        <w:t xml:space="preserve">on either Tuesday </w:t>
      </w:r>
      <w:r w:rsidR="00825F32" w:rsidRPr="00825F32">
        <w:t>20</w:t>
      </w:r>
      <w:r w:rsidR="00825F32" w:rsidRPr="00825F32">
        <w:rPr>
          <w:vertAlign w:val="superscript"/>
        </w:rPr>
        <w:t>th</w:t>
      </w:r>
      <w:r w:rsidR="00825F32">
        <w:t xml:space="preserve"> or Wednesday</w:t>
      </w:r>
      <w:r w:rsidR="00131923">
        <w:t xml:space="preserve"> </w:t>
      </w:r>
      <w:r w:rsidR="00825F32" w:rsidRPr="00825F32">
        <w:t>21</w:t>
      </w:r>
      <w:r w:rsidR="00825F32" w:rsidRPr="00825F32">
        <w:rPr>
          <w:vertAlign w:val="superscript"/>
        </w:rPr>
        <w:t>st</w:t>
      </w:r>
      <w:r w:rsidR="00825F32" w:rsidRPr="00825F32">
        <w:t xml:space="preserve"> </w:t>
      </w:r>
      <w:r w:rsidR="00A924DE" w:rsidRPr="00825F32">
        <w:t>June,</w:t>
      </w:r>
      <w:r w:rsidR="00131923" w:rsidRPr="00825F32">
        <w:t xml:space="preserve"> 201</w:t>
      </w:r>
      <w:r w:rsidR="00131923">
        <w:t xml:space="preserve">7.  During this visit there will be an opportunity to see the back of house facilities.  A maximum of four representatives from each tenderer may attend.  Attendees should meet at </w:t>
      </w:r>
      <w:r w:rsidR="00131923" w:rsidRPr="00825F32">
        <w:t xml:space="preserve">the </w:t>
      </w:r>
      <w:r w:rsidR="00A924DE" w:rsidRPr="00825F32">
        <w:t xml:space="preserve">Serpentine Bar &amp; Kitchen, Serpentine Road, Hyde Park, W2 2UH. Your contact is Andrew Varnava, Catering Contract Manager, e: </w:t>
      </w:r>
      <w:r w:rsidR="00A82FE2" w:rsidRPr="00825F32">
        <w:t>avarnava</w:t>
      </w:r>
      <w:r w:rsidR="00066E03" w:rsidRPr="00825F32">
        <w:t>@royalparks.gsi.gov.uk</w:t>
      </w:r>
    </w:p>
    <w:p w:rsidR="00131923" w:rsidRDefault="00131923" w:rsidP="00223FC1">
      <w:pPr>
        <w:pStyle w:val="ListParagraph"/>
        <w:numPr>
          <w:ilvl w:val="1"/>
          <w:numId w:val="25"/>
        </w:numPr>
        <w:ind w:left="851" w:hanging="851"/>
        <w:contextualSpacing w:val="0"/>
      </w:pPr>
      <w:r w:rsidRPr="00223FC1">
        <w:rPr>
          <w:b/>
          <w:color w:val="7FC241"/>
        </w:rPr>
        <w:t>Terms &amp; Conditions:</w:t>
      </w:r>
      <w:r w:rsidRPr="00223FC1">
        <w:rPr>
          <w:color w:val="7FC241"/>
        </w:rPr>
        <w:t xml:space="preserve"> </w:t>
      </w:r>
      <w:r>
        <w:t xml:space="preserve">the terms and conditions for the supply of the services specified are contained in the </w:t>
      </w:r>
      <w:r w:rsidR="00E04FD6">
        <w:t>‘</w:t>
      </w:r>
      <w:r w:rsidR="00E04FD6" w:rsidRPr="00E04FD6">
        <w:t>Conditions of Contract &amp; Schedules</w:t>
      </w:r>
      <w:r w:rsidR="00E04FD6">
        <w:t>’</w:t>
      </w:r>
      <w:r w:rsidRPr="00E04FD6">
        <w:t xml:space="preserve"> attached.</w:t>
      </w:r>
      <w:r>
        <w:t xml:space="preserve">  Many of the T&amp;Cs that used to be in the service specification are now embedded in the contract clauses.  Tenderers should read the contract thoroughly to ensure they fully understand the requirements of the contract as agreement to the contractual terms is an integral element of the tender process.</w:t>
      </w:r>
    </w:p>
    <w:p w:rsidR="00131923" w:rsidRDefault="00131923" w:rsidP="00223FC1">
      <w:pPr>
        <w:ind w:left="851"/>
      </w:pPr>
      <w:r>
        <w:t>Tenderers are required to raise concerns regarding any contractual clause prior to the tender submission deadline.  Any material amendments to the contract shall not be considered by TRP.  The successful bid will be annexed to and form part of the final contract.</w:t>
      </w:r>
    </w:p>
    <w:p w:rsidR="00131923" w:rsidRDefault="00131923" w:rsidP="00223FC1">
      <w:pPr>
        <w:ind w:left="851"/>
      </w:pPr>
      <w:r>
        <w:t xml:space="preserve">Any indication from </w:t>
      </w:r>
      <w:r w:rsidR="005F487A">
        <w:t>TRP</w:t>
      </w:r>
      <w:r>
        <w:t xml:space="preserve"> of preferred supplier status during the tender evaluation process shall be strictly subject to a signed contract and </w:t>
      </w:r>
      <w:r w:rsidR="005F487A">
        <w:t>TRP</w:t>
      </w:r>
      <w:r>
        <w:t xml:space="preserve"> expressly reserves the right to revoke such status in the event that a satisfactory contract cannot be agreed.</w:t>
      </w:r>
    </w:p>
    <w:p w:rsidR="00131923" w:rsidRDefault="00131923" w:rsidP="00223FC1">
      <w:pPr>
        <w:pStyle w:val="ListParagraph"/>
        <w:numPr>
          <w:ilvl w:val="1"/>
          <w:numId w:val="25"/>
        </w:numPr>
        <w:ind w:left="851" w:hanging="851"/>
        <w:contextualSpacing w:val="0"/>
      </w:pPr>
      <w:r w:rsidRPr="00066E03">
        <w:rPr>
          <w:b/>
          <w:color w:val="7FC241"/>
        </w:rPr>
        <w:t>TUPE:</w:t>
      </w:r>
      <w:r w:rsidRPr="00066E03">
        <w:rPr>
          <w:color w:val="7FC241"/>
        </w:rPr>
        <w:t xml:space="preserve"> </w:t>
      </w:r>
      <w:r w:rsidRPr="00066E03">
        <w:t>TUPE</w:t>
      </w:r>
      <w:r>
        <w:t xml:space="preserve"> may apply should a change of supplier be made.  Current staff details are attached in </w:t>
      </w:r>
      <w:r w:rsidRPr="00066E03">
        <w:t>Appendix “A”</w:t>
      </w:r>
      <w:r>
        <w:t>.  For the purpose of this tender exercise, it should be assumed that all staff will transfer. Any substantive changes proposed to the current staff establishment including positions no longer required, any additional positions introduced or changes to hours of work should be highlighted within the tender submissions.</w:t>
      </w:r>
    </w:p>
    <w:p w:rsidR="00131923" w:rsidRDefault="00223FC1" w:rsidP="00223FC1">
      <w:pPr>
        <w:pStyle w:val="ListParagraph"/>
        <w:numPr>
          <w:ilvl w:val="1"/>
          <w:numId w:val="25"/>
        </w:numPr>
        <w:ind w:left="851" w:hanging="851"/>
        <w:contextualSpacing w:val="0"/>
      </w:pPr>
      <w:r w:rsidRPr="00223FC1">
        <w:rPr>
          <w:b/>
          <w:color w:val="7FC241"/>
        </w:rPr>
        <w:t>Planning:</w:t>
      </w:r>
      <w:r w:rsidRPr="00223FC1">
        <w:rPr>
          <w:color w:val="7FC241"/>
        </w:rPr>
        <w:t xml:space="preserve"> </w:t>
      </w:r>
      <w:r w:rsidR="005F487A">
        <w:t>tenderers</w:t>
      </w:r>
      <w:r w:rsidR="00131923">
        <w:t xml:space="preserve"> are explicitly requested NOT to make any approaches to the planning authorities. Any approach to the planning authorities either formally or informally will result in the tender being invalidated.  </w:t>
      </w:r>
    </w:p>
    <w:p w:rsidR="00131923" w:rsidRDefault="00131923" w:rsidP="00223FC1">
      <w:pPr>
        <w:pStyle w:val="ListParagraph"/>
        <w:numPr>
          <w:ilvl w:val="1"/>
          <w:numId w:val="25"/>
        </w:numPr>
        <w:ind w:left="851" w:hanging="851"/>
        <w:contextualSpacing w:val="0"/>
      </w:pPr>
      <w:r w:rsidRPr="00223FC1">
        <w:rPr>
          <w:b/>
          <w:color w:val="7FC241"/>
        </w:rPr>
        <w:t>Tender clarification interviews:</w:t>
      </w:r>
      <w:r w:rsidRPr="00223FC1">
        <w:rPr>
          <w:color w:val="7FC241"/>
        </w:rPr>
        <w:t xml:space="preserve"> </w:t>
      </w:r>
      <w:r>
        <w:t xml:space="preserve">following submission of the tenders, tenderers may be invited to an interview.  The purpose of this interview will be to probe areas of the tender requiring further clarification. No new material may be presented at this interview.  Tenderers may be asked to make a short presentation to the tender panel covering specific aspects of their bid. They will be required to answer questions relating to their bid.  TRP </w:t>
      </w:r>
      <w:r w:rsidR="005F487A">
        <w:t xml:space="preserve">is </w:t>
      </w:r>
      <w:r>
        <w:t xml:space="preserve">not obliged to hold interviews </w:t>
      </w:r>
      <w:r w:rsidR="005F487A">
        <w:t>or</w:t>
      </w:r>
      <w:r>
        <w:t xml:space="preserve"> invite all tenderers to the clarification interview. If interviews are held these will take place on </w:t>
      </w:r>
      <w:r w:rsidR="00484323" w:rsidRPr="00825F32">
        <w:t>Monday 14</w:t>
      </w:r>
      <w:r w:rsidR="00484323" w:rsidRPr="00825F32">
        <w:rPr>
          <w:vertAlign w:val="superscript"/>
        </w:rPr>
        <w:t>th</w:t>
      </w:r>
      <w:r w:rsidR="00484323" w:rsidRPr="00825F32">
        <w:t xml:space="preserve"> &amp; Tuesday 15</w:t>
      </w:r>
      <w:r w:rsidR="00484323" w:rsidRPr="00825F32">
        <w:rPr>
          <w:vertAlign w:val="superscript"/>
        </w:rPr>
        <w:t>th</w:t>
      </w:r>
      <w:r w:rsidR="00484323" w:rsidRPr="00825F32">
        <w:t xml:space="preserve"> August</w:t>
      </w:r>
      <w:r w:rsidR="005F487A" w:rsidRPr="00825F32">
        <w:t>,</w:t>
      </w:r>
      <w:r w:rsidRPr="00825F32">
        <w:t xml:space="preserve"> 2017.</w:t>
      </w:r>
      <w:r>
        <w:t xml:space="preserve">  Tenderers should ensure that they are available on </w:t>
      </w:r>
      <w:r w:rsidR="005F487A">
        <w:t xml:space="preserve">this </w:t>
      </w:r>
      <w:r>
        <w:t>date.  An appointment time will be allocated nearer the time.</w:t>
      </w:r>
    </w:p>
    <w:p w:rsidR="001A6504" w:rsidRDefault="001A6504">
      <w:pPr>
        <w:widowControl/>
        <w:spacing w:after="200"/>
        <w:rPr>
          <w:rFonts w:ascii="Book Antiqua" w:hAnsi="Book Antiqua"/>
          <w:color w:val="7FC241"/>
          <w:sz w:val="40"/>
          <w:szCs w:val="40"/>
        </w:rPr>
      </w:pPr>
      <w:r>
        <w:rPr>
          <w:rFonts w:ascii="Book Antiqua" w:hAnsi="Book Antiqua"/>
          <w:color w:val="7FC241"/>
          <w:sz w:val="40"/>
          <w:szCs w:val="40"/>
        </w:rPr>
        <w:br w:type="page"/>
      </w:r>
    </w:p>
    <w:p w:rsidR="00131923" w:rsidRPr="002A7400" w:rsidRDefault="00131923" w:rsidP="00223FC1">
      <w:pPr>
        <w:pStyle w:val="ListParagraph"/>
        <w:numPr>
          <w:ilvl w:val="0"/>
          <w:numId w:val="25"/>
        </w:numPr>
        <w:spacing w:before="360"/>
        <w:ind w:left="851" w:hanging="851"/>
        <w:contextualSpacing w:val="0"/>
        <w:rPr>
          <w:rFonts w:ascii="Book Antiqua" w:hAnsi="Book Antiqua"/>
          <w:color w:val="7FC241"/>
          <w:sz w:val="40"/>
          <w:szCs w:val="40"/>
        </w:rPr>
      </w:pPr>
      <w:r w:rsidRPr="002A7400">
        <w:rPr>
          <w:rFonts w:ascii="Book Antiqua" w:hAnsi="Book Antiqua"/>
          <w:color w:val="7FC241"/>
          <w:sz w:val="40"/>
          <w:szCs w:val="40"/>
        </w:rPr>
        <w:lastRenderedPageBreak/>
        <w:t>Timetable</w:t>
      </w:r>
    </w:p>
    <w:p w:rsidR="00131923" w:rsidRDefault="00131923" w:rsidP="00223FC1">
      <w:pPr>
        <w:pStyle w:val="ListParagraph"/>
        <w:numPr>
          <w:ilvl w:val="1"/>
          <w:numId w:val="25"/>
        </w:numPr>
        <w:ind w:left="851" w:hanging="851"/>
        <w:contextualSpacing w:val="0"/>
      </w:pPr>
      <w:r>
        <w:t xml:space="preserve">The </w:t>
      </w:r>
      <w:r w:rsidRPr="00223FC1">
        <w:rPr>
          <w:u w:val="single"/>
        </w:rPr>
        <w:t>provisional</w:t>
      </w:r>
      <w:r>
        <w:t xml:space="preserve"> tender timetable is set out below. Whilst it is the intention of the tender panel to keep to the tender timetable</w:t>
      </w:r>
      <w:r w:rsidR="005F487A">
        <w:t>,</w:t>
      </w:r>
      <w:r>
        <w:t xml:space="preserve"> TRP reserve</w:t>
      </w:r>
      <w:r w:rsidR="005F487A">
        <w:t>s</w:t>
      </w:r>
      <w:r>
        <w:t xml:space="preserve"> the right to alter this timetable.</w:t>
      </w:r>
    </w:p>
    <w:tbl>
      <w:tblPr>
        <w:tblStyle w:val="TableGrid"/>
        <w:tblW w:w="0" w:type="auto"/>
        <w:tblInd w:w="959" w:type="dxa"/>
        <w:tblBorders>
          <w:top w:val="single" w:sz="4" w:space="0" w:color="7FC241"/>
          <w:left w:val="single" w:sz="4" w:space="0" w:color="7FC241"/>
          <w:bottom w:val="single" w:sz="4" w:space="0" w:color="7FC241"/>
          <w:right w:val="single" w:sz="4" w:space="0" w:color="7FC241"/>
          <w:insideH w:val="single" w:sz="4" w:space="0" w:color="7FC241"/>
          <w:insideV w:val="single" w:sz="4" w:space="0" w:color="7FC241"/>
        </w:tblBorders>
        <w:tblLook w:val="04A0"/>
      </w:tblPr>
      <w:tblGrid>
        <w:gridCol w:w="4252"/>
        <w:gridCol w:w="4536"/>
      </w:tblGrid>
      <w:tr w:rsidR="00223FC1" w:rsidRPr="00223FC1" w:rsidTr="00825AF0">
        <w:tc>
          <w:tcPr>
            <w:tcW w:w="4252" w:type="dxa"/>
            <w:shd w:val="clear" w:color="auto" w:fill="7B7C7F"/>
          </w:tcPr>
          <w:p w:rsidR="00223FC1" w:rsidRPr="00223FC1" w:rsidRDefault="00223FC1" w:rsidP="00223FC1">
            <w:pPr>
              <w:pStyle w:val="TableHead"/>
            </w:pPr>
            <w:r w:rsidRPr="00223FC1">
              <w:t>Action</w:t>
            </w:r>
          </w:p>
        </w:tc>
        <w:tc>
          <w:tcPr>
            <w:tcW w:w="4536" w:type="dxa"/>
            <w:shd w:val="clear" w:color="auto" w:fill="7B7C7F"/>
          </w:tcPr>
          <w:p w:rsidR="00223FC1" w:rsidRPr="00223FC1" w:rsidRDefault="00223FC1" w:rsidP="00223FC1">
            <w:pPr>
              <w:pStyle w:val="TableHead"/>
            </w:pPr>
            <w:r w:rsidRPr="00223FC1">
              <w:t>Due date</w:t>
            </w:r>
          </w:p>
        </w:tc>
      </w:tr>
      <w:tr w:rsidR="00825AF0" w:rsidRPr="00223FC1" w:rsidTr="00825AF0">
        <w:tc>
          <w:tcPr>
            <w:tcW w:w="4252" w:type="dxa"/>
          </w:tcPr>
          <w:p w:rsidR="00825AF0" w:rsidRPr="00223FC1" w:rsidRDefault="00825AF0" w:rsidP="00223FC1">
            <w:pPr>
              <w:pStyle w:val="TableText"/>
            </w:pPr>
            <w:r>
              <w:t>Tender pack published</w:t>
            </w:r>
          </w:p>
        </w:tc>
        <w:tc>
          <w:tcPr>
            <w:tcW w:w="4536" w:type="dxa"/>
          </w:tcPr>
          <w:p w:rsidR="00825AF0" w:rsidRPr="001D76E6" w:rsidRDefault="00484323" w:rsidP="00223FC1">
            <w:pPr>
              <w:pStyle w:val="TableText"/>
              <w:rPr>
                <w:highlight w:val="yellow"/>
              </w:rPr>
            </w:pPr>
            <w:r w:rsidRPr="00825F32">
              <w:t>Wednesday</w:t>
            </w:r>
            <w:r w:rsidR="00825F32">
              <w:t>,</w:t>
            </w:r>
            <w:r w:rsidRPr="00825F32">
              <w:t xml:space="preserve"> 26</w:t>
            </w:r>
            <w:r w:rsidRPr="00825F32">
              <w:rPr>
                <w:vertAlign w:val="superscript"/>
              </w:rPr>
              <w:t>th</w:t>
            </w:r>
            <w:r w:rsidRPr="00825F32">
              <w:t xml:space="preserve"> April, 2017</w:t>
            </w:r>
          </w:p>
        </w:tc>
      </w:tr>
      <w:tr w:rsidR="00825AF0" w:rsidRPr="00223FC1" w:rsidTr="00825AF0">
        <w:tc>
          <w:tcPr>
            <w:tcW w:w="4252" w:type="dxa"/>
          </w:tcPr>
          <w:p w:rsidR="00825AF0" w:rsidRPr="00223FC1" w:rsidRDefault="00825AF0" w:rsidP="00223FC1">
            <w:pPr>
              <w:pStyle w:val="TableText"/>
            </w:pPr>
            <w:r>
              <w:t>Selection questionnaire/caterer reference forms submission deadline</w:t>
            </w:r>
          </w:p>
        </w:tc>
        <w:tc>
          <w:tcPr>
            <w:tcW w:w="4536" w:type="dxa"/>
          </w:tcPr>
          <w:p w:rsidR="00825AF0" w:rsidRPr="001D76E6" w:rsidRDefault="00484323" w:rsidP="00223FC1">
            <w:pPr>
              <w:pStyle w:val="TableText"/>
              <w:rPr>
                <w:highlight w:val="yellow"/>
              </w:rPr>
            </w:pPr>
            <w:r w:rsidRPr="00825F32">
              <w:t>Monday</w:t>
            </w:r>
            <w:r w:rsidR="00825F32">
              <w:t>,</w:t>
            </w:r>
            <w:r w:rsidRPr="00825F32">
              <w:t xml:space="preserve"> 29</w:t>
            </w:r>
            <w:r w:rsidRPr="00825F32">
              <w:rPr>
                <w:vertAlign w:val="superscript"/>
              </w:rPr>
              <w:t>th</w:t>
            </w:r>
            <w:r w:rsidRPr="00825F32">
              <w:t xml:space="preserve"> May, 2017</w:t>
            </w:r>
          </w:p>
        </w:tc>
      </w:tr>
      <w:tr w:rsidR="00223FC1" w:rsidRPr="00223FC1" w:rsidTr="00825AF0">
        <w:tc>
          <w:tcPr>
            <w:tcW w:w="4252" w:type="dxa"/>
          </w:tcPr>
          <w:p w:rsidR="00223FC1" w:rsidRPr="00223FC1" w:rsidRDefault="00223FC1" w:rsidP="00223FC1">
            <w:pPr>
              <w:pStyle w:val="TableText"/>
            </w:pPr>
            <w:r w:rsidRPr="00223FC1">
              <w:t>Short</w:t>
            </w:r>
            <w:r w:rsidR="005F487A">
              <w:t xml:space="preserve"> </w:t>
            </w:r>
            <w:r w:rsidRPr="00223FC1">
              <w:t>listed tenderers informed</w:t>
            </w:r>
          </w:p>
        </w:tc>
        <w:tc>
          <w:tcPr>
            <w:tcW w:w="4536" w:type="dxa"/>
          </w:tcPr>
          <w:p w:rsidR="00223FC1" w:rsidRPr="001D76E6" w:rsidRDefault="00825F32" w:rsidP="00825F32">
            <w:pPr>
              <w:pStyle w:val="TableText"/>
              <w:rPr>
                <w:highlight w:val="yellow"/>
              </w:rPr>
            </w:pPr>
            <w:r w:rsidRPr="00825F32">
              <w:t>Wednes</w:t>
            </w:r>
            <w:r w:rsidR="00484323" w:rsidRPr="00825F32">
              <w:t>day</w:t>
            </w:r>
            <w:r>
              <w:t>,</w:t>
            </w:r>
            <w:r w:rsidR="00484323" w:rsidRPr="00825F32">
              <w:t xml:space="preserve"> 1</w:t>
            </w:r>
            <w:r w:rsidRPr="00825F32">
              <w:t>4</w:t>
            </w:r>
            <w:r w:rsidR="00484323" w:rsidRPr="00825F32">
              <w:rPr>
                <w:vertAlign w:val="superscript"/>
              </w:rPr>
              <w:t>th</w:t>
            </w:r>
            <w:r w:rsidR="00484323" w:rsidRPr="00825F32">
              <w:t xml:space="preserve"> June, 2017</w:t>
            </w:r>
          </w:p>
        </w:tc>
      </w:tr>
      <w:tr w:rsidR="00223FC1" w:rsidRPr="00223FC1" w:rsidTr="00825AF0">
        <w:tc>
          <w:tcPr>
            <w:tcW w:w="4252" w:type="dxa"/>
          </w:tcPr>
          <w:p w:rsidR="00223FC1" w:rsidRPr="00223FC1" w:rsidRDefault="00223FC1" w:rsidP="005F487A">
            <w:pPr>
              <w:pStyle w:val="TableText"/>
            </w:pPr>
            <w:r w:rsidRPr="00223FC1">
              <w:t xml:space="preserve">Site </w:t>
            </w:r>
            <w:r w:rsidR="005F487A">
              <w:t>s</w:t>
            </w:r>
            <w:r w:rsidR="005F487A" w:rsidRPr="00223FC1">
              <w:t>urvey</w:t>
            </w:r>
          </w:p>
        </w:tc>
        <w:tc>
          <w:tcPr>
            <w:tcW w:w="4536" w:type="dxa"/>
          </w:tcPr>
          <w:p w:rsidR="00223FC1" w:rsidRPr="001D76E6" w:rsidRDefault="00484323" w:rsidP="00825F32">
            <w:pPr>
              <w:pStyle w:val="TableText"/>
              <w:rPr>
                <w:highlight w:val="yellow"/>
              </w:rPr>
            </w:pPr>
            <w:r w:rsidRPr="00825F32">
              <w:t>Tuesday</w:t>
            </w:r>
            <w:r w:rsidR="00825F32">
              <w:t>,</w:t>
            </w:r>
            <w:r w:rsidRPr="00825F32">
              <w:t xml:space="preserve"> 20</w:t>
            </w:r>
            <w:r w:rsidRPr="00825F32">
              <w:rPr>
                <w:vertAlign w:val="superscript"/>
              </w:rPr>
              <w:t>th</w:t>
            </w:r>
            <w:r w:rsidRPr="00825F32">
              <w:t xml:space="preserve"> </w:t>
            </w:r>
            <w:r w:rsidR="00825F32" w:rsidRPr="00825F32">
              <w:t>or Wednesday</w:t>
            </w:r>
            <w:r w:rsidR="00825F32">
              <w:t>,</w:t>
            </w:r>
            <w:r w:rsidR="00825F32" w:rsidRPr="00825F32">
              <w:t xml:space="preserve"> 21</w:t>
            </w:r>
            <w:r w:rsidR="00825F32" w:rsidRPr="00825F32">
              <w:rPr>
                <w:vertAlign w:val="superscript"/>
              </w:rPr>
              <w:t>st</w:t>
            </w:r>
            <w:r w:rsidR="00825F32" w:rsidRPr="00825F32">
              <w:t xml:space="preserve"> </w:t>
            </w:r>
            <w:r w:rsidRPr="00825F32">
              <w:t>June, 2017</w:t>
            </w:r>
          </w:p>
        </w:tc>
      </w:tr>
      <w:tr w:rsidR="00223FC1" w:rsidRPr="00223FC1" w:rsidTr="00825AF0">
        <w:tc>
          <w:tcPr>
            <w:tcW w:w="4252" w:type="dxa"/>
          </w:tcPr>
          <w:p w:rsidR="00223FC1" w:rsidRPr="00223FC1" w:rsidRDefault="00223FC1" w:rsidP="00825F32">
            <w:pPr>
              <w:pStyle w:val="TableText"/>
            </w:pPr>
            <w:r w:rsidRPr="00223FC1">
              <w:t xml:space="preserve">Tender </w:t>
            </w:r>
            <w:r w:rsidR="00825F32">
              <w:t>submission deadline</w:t>
            </w:r>
          </w:p>
        </w:tc>
        <w:tc>
          <w:tcPr>
            <w:tcW w:w="4536" w:type="dxa"/>
          </w:tcPr>
          <w:p w:rsidR="00223FC1" w:rsidRPr="001D76E6" w:rsidRDefault="00825F32" w:rsidP="00825F32">
            <w:pPr>
              <w:pStyle w:val="TableText"/>
              <w:rPr>
                <w:highlight w:val="yellow"/>
              </w:rPr>
            </w:pPr>
            <w:r w:rsidRPr="00825F32">
              <w:t>Friday,</w:t>
            </w:r>
            <w:r w:rsidR="00484323" w:rsidRPr="00825F32">
              <w:t xml:space="preserve"> </w:t>
            </w:r>
            <w:r w:rsidRPr="00825F32">
              <w:t>7</w:t>
            </w:r>
            <w:r w:rsidR="00484323" w:rsidRPr="00825F32">
              <w:rPr>
                <w:vertAlign w:val="superscript"/>
              </w:rPr>
              <w:t>th</w:t>
            </w:r>
            <w:r w:rsidR="00484323" w:rsidRPr="00825F32">
              <w:t xml:space="preserve"> July, 2017</w:t>
            </w:r>
          </w:p>
        </w:tc>
      </w:tr>
      <w:tr w:rsidR="00223FC1" w:rsidRPr="00223FC1" w:rsidTr="00825AF0">
        <w:tc>
          <w:tcPr>
            <w:tcW w:w="4252" w:type="dxa"/>
          </w:tcPr>
          <w:p w:rsidR="00223FC1" w:rsidRPr="00223FC1" w:rsidRDefault="001A6504" w:rsidP="001A6504">
            <w:pPr>
              <w:pStyle w:val="TableText"/>
            </w:pPr>
            <w:r>
              <w:t>Tender c</w:t>
            </w:r>
            <w:r w:rsidR="00223FC1" w:rsidRPr="00223FC1">
              <w:t>larification interviews</w:t>
            </w:r>
          </w:p>
        </w:tc>
        <w:tc>
          <w:tcPr>
            <w:tcW w:w="4536" w:type="dxa"/>
          </w:tcPr>
          <w:p w:rsidR="00223FC1" w:rsidRPr="001D76E6" w:rsidRDefault="00484323" w:rsidP="00223FC1">
            <w:pPr>
              <w:pStyle w:val="TableText"/>
              <w:rPr>
                <w:highlight w:val="yellow"/>
              </w:rPr>
            </w:pPr>
            <w:r w:rsidRPr="001A6504">
              <w:t>Monday 14</w:t>
            </w:r>
            <w:r w:rsidRPr="001A6504">
              <w:rPr>
                <w:vertAlign w:val="superscript"/>
              </w:rPr>
              <w:t>th</w:t>
            </w:r>
            <w:r w:rsidRPr="001A6504">
              <w:t xml:space="preserve"> &amp; Tuesday 15</w:t>
            </w:r>
            <w:r w:rsidRPr="001A6504">
              <w:rPr>
                <w:vertAlign w:val="superscript"/>
              </w:rPr>
              <w:t>th</w:t>
            </w:r>
            <w:r w:rsidR="00825F32" w:rsidRPr="001A6504">
              <w:t xml:space="preserve">, </w:t>
            </w:r>
            <w:r w:rsidRPr="001A6504">
              <w:t>August, 2017</w:t>
            </w:r>
          </w:p>
        </w:tc>
      </w:tr>
      <w:tr w:rsidR="00223FC1" w:rsidRPr="00223FC1" w:rsidTr="00825AF0">
        <w:tc>
          <w:tcPr>
            <w:tcW w:w="4252" w:type="dxa"/>
          </w:tcPr>
          <w:p w:rsidR="00223FC1" w:rsidRPr="00223FC1" w:rsidRDefault="00223FC1" w:rsidP="00223FC1">
            <w:pPr>
              <w:pStyle w:val="TableText"/>
            </w:pPr>
            <w:r w:rsidRPr="00223FC1">
              <w:t>Provisional contract award</w:t>
            </w:r>
          </w:p>
        </w:tc>
        <w:tc>
          <w:tcPr>
            <w:tcW w:w="4536" w:type="dxa"/>
          </w:tcPr>
          <w:p w:rsidR="00223FC1" w:rsidRPr="001D76E6" w:rsidRDefault="00484323" w:rsidP="00223FC1">
            <w:pPr>
              <w:pStyle w:val="TableText"/>
              <w:rPr>
                <w:highlight w:val="yellow"/>
              </w:rPr>
            </w:pPr>
            <w:r w:rsidRPr="001A6504">
              <w:t>Thursday</w:t>
            </w:r>
            <w:r w:rsidR="00825F32" w:rsidRPr="001A6504">
              <w:t>,</w:t>
            </w:r>
            <w:r w:rsidRPr="001A6504">
              <w:t xml:space="preserve"> 7</w:t>
            </w:r>
            <w:r w:rsidRPr="001A6504">
              <w:rPr>
                <w:vertAlign w:val="superscript"/>
              </w:rPr>
              <w:t>th</w:t>
            </w:r>
            <w:r w:rsidRPr="001A6504">
              <w:t xml:space="preserve"> September, 2017</w:t>
            </w:r>
          </w:p>
        </w:tc>
      </w:tr>
      <w:tr w:rsidR="00223FC1" w:rsidRPr="00223FC1" w:rsidTr="00825AF0">
        <w:tc>
          <w:tcPr>
            <w:tcW w:w="4252" w:type="dxa"/>
          </w:tcPr>
          <w:p w:rsidR="00223FC1" w:rsidRPr="00223FC1" w:rsidRDefault="005F487A" w:rsidP="005F487A">
            <w:pPr>
              <w:pStyle w:val="TableText"/>
            </w:pPr>
            <w:r>
              <w:t>S</w:t>
            </w:r>
            <w:r w:rsidR="00223FC1" w:rsidRPr="00223FC1">
              <w:t>tandstill period ends</w:t>
            </w:r>
          </w:p>
        </w:tc>
        <w:tc>
          <w:tcPr>
            <w:tcW w:w="4536" w:type="dxa"/>
          </w:tcPr>
          <w:p w:rsidR="00223FC1" w:rsidRPr="001D76E6" w:rsidRDefault="002C0D35" w:rsidP="00223FC1">
            <w:pPr>
              <w:pStyle w:val="TableText"/>
              <w:rPr>
                <w:highlight w:val="yellow"/>
              </w:rPr>
            </w:pPr>
            <w:r w:rsidRPr="001A6504">
              <w:t>Monday</w:t>
            </w:r>
            <w:r w:rsidR="00825F32" w:rsidRPr="001A6504">
              <w:t>,</w:t>
            </w:r>
            <w:r w:rsidRPr="001A6504">
              <w:t xml:space="preserve"> 18</w:t>
            </w:r>
            <w:r w:rsidR="00B46B2A" w:rsidRPr="001A6504">
              <w:rPr>
                <w:vertAlign w:val="superscript"/>
              </w:rPr>
              <w:t>th</w:t>
            </w:r>
            <w:r w:rsidRPr="001A6504">
              <w:t xml:space="preserve"> </w:t>
            </w:r>
            <w:r w:rsidR="00484323" w:rsidRPr="001A6504">
              <w:t>September, 2017</w:t>
            </w:r>
          </w:p>
        </w:tc>
      </w:tr>
      <w:tr w:rsidR="00223FC1" w:rsidRPr="00223FC1" w:rsidTr="00825AF0">
        <w:tc>
          <w:tcPr>
            <w:tcW w:w="4252" w:type="dxa"/>
          </w:tcPr>
          <w:p w:rsidR="00223FC1" w:rsidRPr="00223FC1" w:rsidRDefault="00223FC1" w:rsidP="00223FC1">
            <w:pPr>
              <w:pStyle w:val="TableText"/>
            </w:pPr>
            <w:r w:rsidRPr="00223FC1">
              <w:t>Contract award</w:t>
            </w:r>
          </w:p>
        </w:tc>
        <w:tc>
          <w:tcPr>
            <w:tcW w:w="4536" w:type="dxa"/>
          </w:tcPr>
          <w:p w:rsidR="00223FC1" w:rsidRPr="001D76E6" w:rsidRDefault="00484323" w:rsidP="00223FC1">
            <w:pPr>
              <w:pStyle w:val="TableText"/>
              <w:rPr>
                <w:highlight w:val="yellow"/>
              </w:rPr>
            </w:pPr>
            <w:r w:rsidRPr="001A6504">
              <w:t>Tuesday</w:t>
            </w:r>
            <w:r w:rsidR="00825F32" w:rsidRPr="001A6504">
              <w:t>,</w:t>
            </w:r>
            <w:r w:rsidRPr="001A6504">
              <w:t xml:space="preserve"> 19</w:t>
            </w:r>
            <w:r w:rsidRPr="001A6504">
              <w:rPr>
                <w:vertAlign w:val="superscript"/>
              </w:rPr>
              <w:t>th</w:t>
            </w:r>
            <w:r w:rsidRPr="001A6504">
              <w:t xml:space="preserve"> September, 2017</w:t>
            </w:r>
          </w:p>
        </w:tc>
      </w:tr>
      <w:tr w:rsidR="00223FC1" w:rsidRPr="00223FC1" w:rsidTr="00825AF0">
        <w:tc>
          <w:tcPr>
            <w:tcW w:w="4252" w:type="dxa"/>
          </w:tcPr>
          <w:p w:rsidR="00223FC1" w:rsidRPr="00223FC1" w:rsidRDefault="00223FC1" w:rsidP="00223FC1">
            <w:pPr>
              <w:pStyle w:val="TableText"/>
            </w:pPr>
            <w:r w:rsidRPr="00223FC1">
              <w:t>Contract start</w:t>
            </w:r>
          </w:p>
        </w:tc>
        <w:tc>
          <w:tcPr>
            <w:tcW w:w="4536" w:type="dxa"/>
          </w:tcPr>
          <w:p w:rsidR="00223FC1" w:rsidRPr="001D76E6" w:rsidRDefault="00484323" w:rsidP="00223FC1">
            <w:pPr>
              <w:pStyle w:val="TableText"/>
              <w:rPr>
                <w:highlight w:val="yellow"/>
              </w:rPr>
            </w:pPr>
            <w:r w:rsidRPr="001A6504">
              <w:t>Tuesday</w:t>
            </w:r>
            <w:r w:rsidR="00825F32" w:rsidRPr="001A6504">
              <w:t>,</w:t>
            </w:r>
            <w:r w:rsidRPr="001A6504">
              <w:t xml:space="preserve"> 23</w:t>
            </w:r>
            <w:r w:rsidRPr="001A6504">
              <w:rPr>
                <w:vertAlign w:val="superscript"/>
              </w:rPr>
              <w:t>rd</w:t>
            </w:r>
            <w:r w:rsidRPr="001A6504">
              <w:t xml:space="preserve"> January, 2018 </w:t>
            </w:r>
          </w:p>
        </w:tc>
      </w:tr>
    </w:tbl>
    <w:p w:rsidR="00131923" w:rsidRPr="00131923" w:rsidRDefault="00131923" w:rsidP="002A7400"/>
    <w:sectPr w:rsidR="00131923" w:rsidRPr="00131923" w:rsidSect="00B27D37">
      <w:footerReference w:type="default" r:id="rId9"/>
      <w:headerReference w:type="first" r:id="rId10"/>
      <w:pgSz w:w="11906" w:h="16838"/>
      <w:pgMar w:top="1440" w:right="969" w:bottom="1440" w:left="1156" w:header="708"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F32" w:rsidRDefault="00825F32" w:rsidP="00827939">
      <w:r>
        <w:separator/>
      </w:r>
    </w:p>
  </w:endnote>
  <w:endnote w:type="continuationSeparator" w:id="0">
    <w:p w:rsidR="00825F32" w:rsidRDefault="00825F32" w:rsidP="008279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3184"/>
      <w:docPartObj>
        <w:docPartGallery w:val="Page Numbers (Bottom of Page)"/>
        <w:docPartUnique/>
      </w:docPartObj>
    </w:sdtPr>
    <w:sdtContent>
      <w:sdt>
        <w:sdtPr>
          <w:id w:val="565050477"/>
          <w:docPartObj>
            <w:docPartGallery w:val="Page Numbers (Top of Page)"/>
            <w:docPartUnique/>
          </w:docPartObj>
        </w:sdtPr>
        <w:sdtContent>
          <w:p w:rsidR="00825F32" w:rsidRPr="001A3C70" w:rsidRDefault="00825F32" w:rsidP="001A3C70">
            <w:pPr>
              <w:pStyle w:val="Footer"/>
              <w:jc w:val="right"/>
            </w:pPr>
            <w:r w:rsidRPr="001A3C70">
              <w:t xml:space="preserve">Page </w:t>
            </w:r>
            <w:fldSimple w:instr=" PAGE ">
              <w:r w:rsidR="00E04FD6">
                <w:rPr>
                  <w:noProof/>
                </w:rPr>
                <w:t>2</w:t>
              </w:r>
            </w:fldSimple>
            <w:r w:rsidRPr="001A3C70">
              <w:t xml:space="preserve"> of </w:t>
            </w:r>
            <w:fldSimple w:instr=" NUMPAGES  ">
              <w:r w:rsidR="00E04FD6">
                <w:rPr>
                  <w:noProof/>
                </w:rPr>
                <w:t>5</w:t>
              </w:r>
            </w:fldSimple>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F32" w:rsidRDefault="00825F32" w:rsidP="00827939">
      <w:r>
        <w:separator/>
      </w:r>
    </w:p>
  </w:footnote>
  <w:footnote w:type="continuationSeparator" w:id="0">
    <w:p w:rsidR="00825F32" w:rsidRDefault="00825F32" w:rsidP="00827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F32" w:rsidRDefault="00825F32" w:rsidP="00827939">
    <w:pPr>
      <w:pStyle w:val="Header"/>
    </w:pPr>
    <w:r>
      <w:rPr>
        <w:noProof/>
      </w:rPr>
      <w:drawing>
        <wp:anchor distT="0" distB="0" distL="114300" distR="114300" simplePos="0" relativeHeight="251664384" behindDoc="1" locked="0" layoutInCell="1" allowOverlap="1">
          <wp:simplePos x="0" y="0"/>
          <wp:positionH relativeFrom="column">
            <wp:posOffset>-774701</wp:posOffset>
          </wp:positionH>
          <wp:positionV relativeFrom="paragraph">
            <wp:posOffset>-449580</wp:posOffset>
          </wp:positionV>
          <wp:extent cx="7686675" cy="8420100"/>
          <wp:effectExtent l="0" t="0" r="0" b="0"/>
          <wp:wrapNone/>
          <wp:docPr id="8" name="Picture 7" descr="SBK image across l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K image across lake.jpg"/>
                  <pic:cNvPicPr/>
                </pic:nvPicPr>
                <pic:blipFill>
                  <a:blip r:embed="rId1"/>
                  <a:stretch>
                    <a:fillRect/>
                  </a:stretch>
                </pic:blipFill>
                <pic:spPr>
                  <a:xfrm>
                    <a:off x="0" y="0"/>
                    <a:ext cx="7687195" cy="842067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0253_"/>
        <o:lock v:ext="edit" cropping="t"/>
      </v:shape>
    </w:pict>
  </w:numPicBullet>
  <w:abstractNum w:abstractNumId="0">
    <w:nsid w:val="FFFFFF1D"/>
    <w:multiLevelType w:val="multilevel"/>
    <w:tmpl w:val="43B01F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4DC1F5C"/>
    <w:lvl w:ilvl="0">
      <w:start w:val="1"/>
      <w:numFmt w:val="decimal"/>
      <w:lvlText w:val="%1."/>
      <w:lvlJc w:val="left"/>
      <w:pPr>
        <w:tabs>
          <w:tab w:val="num" w:pos="1492"/>
        </w:tabs>
        <w:ind w:left="1492" w:hanging="360"/>
      </w:pPr>
    </w:lvl>
  </w:abstractNum>
  <w:abstractNum w:abstractNumId="2">
    <w:nsid w:val="FFFFFF7D"/>
    <w:multiLevelType w:val="singleLevel"/>
    <w:tmpl w:val="71DA38E4"/>
    <w:lvl w:ilvl="0">
      <w:start w:val="1"/>
      <w:numFmt w:val="decimal"/>
      <w:lvlText w:val="%1."/>
      <w:lvlJc w:val="left"/>
      <w:pPr>
        <w:tabs>
          <w:tab w:val="num" w:pos="1209"/>
        </w:tabs>
        <w:ind w:left="1209" w:hanging="360"/>
      </w:pPr>
    </w:lvl>
  </w:abstractNum>
  <w:abstractNum w:abstractNumId="3">
    <w:nsid w:val="FFFFFF7E"/>
    <w:multiLevelType w:val="singleLevel"/>
    <w:tmpl w:val="D42C377A"/>
    <w:lvl w:ilvl="0">
      <w:start w:val="1"/>
      <w:numFmt w:val="decimal"/>
      <w:lvlText w:val="%1."/>
      <w:lvlJc w:val="left"/>
      <w:pPr>
        <w:tabs>
          <w:tab w:val="num" w:pos="926"/>
        </w:tabs>
        <w:ind w:left="926" w:hanging="360"/>
      </w:pPr>
    </w:lvl>
  </w:abstractNum>
  <w:abstractNum w:abstractNumId="4">
    <w:nsid w:val="FFFFFF7F"/>
    <w:multiLevelType w:val="singleLevel"/>
    <w:tmpl w:val="C8EA7402"/>
    <w:lvl w:ilvl="0">
      <w:start w:val="1"/>
      <w:numFmt w:val="decimal"/>
      <w:lvlText w:val="%1."/>
      <w:lvlJc w:val="left"/>
      <w:pPr>
        <w:tabs>
          <w:tab w:val="num" w:pos="643"/>
        </w:tabs>
        <w:ind w:left="643" w:hanging="360"/>
      </w:pPr>
    </w:lvl>
  </w:abstractNum>
  <w:abstractNum w:abstractNumId="5">
    <w:nsid w:val="FFFFFF80"/>
    <w:multiLevelType w:val="singleLevel"/>
    <w:tmpl w:val="8D0EB7F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FE2B5B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ECDC6B6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E0CECF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674B6E8"/>
    <w:lvl w:ilvl="0">
      <w:start w:val="1"/>
      <w:numFmt w:val="decimal"/>
      <w:lvlText w:val="%1."/>
      <w:lvlJc w:val="left"/>
      <w:pPr>
        <w:tabs>
          <w:tab w:val="num" w:pos="360"/>
        </w:tabs>
        <w:ind w:left="360" w:hanging="360"/>
      </w:pPr>
    </w:lvl>
  </w:abstractNum>
  <w:abstractNum w:abstractNumId="10">
    <w:nsid w:val="FFFFFF89"/>
    <w:multiLevelType w:val="singleLevel"/>
    <w:tmpl w:val="578042E8"/>
    <w:lvl w:ilvl="0">
      <w:start w:val="1"/>
      <w:numFmt w:val="bullet"/>
      <w:lvlText w:val=""/>
      <w:lvlJc w:val="left"/>
      <w:pPr>
        <w:tabs>
          <w:tab w:val="num" w:pos="360"/>
        </w:tabs>
        <w:ind w:left="360" w:hanging="360"/>
      </w:pPr>
      <w:rPr>
        <w:rFonts w:ascii="Symbol" w:hAnsi="Symbol" w:hint="default"/>
      </w:rPr>
    </w:lvl>
  </w:abstractNum>
  <w:abstractNum w:abstractNumId="11">
    <w:nsid w:val="00A4326A"/>
    <w:multiLevelType w:val="hybridMultilevel"/>
    <w:tmpl w:val="AD9A9F8A"/>
    <w:lvl w:ilvl="0" w:tplc="04090001">
      <w:start w:val="1"/>
      <w:numFmt w:val="bullet"/>
      <w:lvlText w:val=""/>
      <w:lvlJc w:val="left"/>
      <w:pPr>
        <w:ind w:left="4189" w:hanging="360"/>
      </w:pPr>
      <w:rPr>
        <w:rFonts w:ascii="Symbol" w:hAnsi="Symbol" w:hint="default"/>
      </w:rPr>
    </w:lvl>
    <w:lvl w:ilvl="1" w:tplc="04090003" w:tentative="1">
      <w:start w:val="1"/>
      <w:numFmt w:val="bullet"/>
      <w:lvlText w:val="o"/>
      <w:lvlJc w:val="left"/>
      <w:pPr>
        <w:ind w:left="4909" w:hanging="360"/>
      </w:pPr>
      <w:rPr>
        <w:rFonts w:ascii="Courier New" w:hAnsi="Courier New" w:hint="default"/>
      </w:rPr>
    </w:lvl>
    <w:lvl w:ilvl="2" w:tplc="04090005" w:tentative="1">
      <w:start w:val="1"/>
      <w:numFmt w:val="bullet"/>
      <w:lvlText w:val=""/>
      <w:lvlJc w:val="left"/>
      <w:pPr>
        <w:ind w:left="5629" w:hanging="360"/>
      </w:pPr>
      <w:rPr>
        <w:rFonts w:ascii="Wingdings" w:hAnsi="Wingdings" w:hint="default"/>
      </w:rPr>
    </w:lvl>
    <w:lvl w:ilvl="3" w:tplc="04090001" w:tentative="1">
      <w:start w:val="1"/>
      <w:numFmt w:val="bullet"/>
      <w:lvlText w:val=""/>
      <w:lvlJc w:val="left"/>
      <w:pPr>
        <w:ind w:left="6349" w:hanging="360"/>
      </w:pPr>
      <w:rPr>
        <w:rFonts w:ascii="Symbol" w:hAnsi="Symbol" w:hint="default"/>
      </w:rPr>
    </w:lvl>
    <w:lvl w:ilvl="4" w:tplc="04090003" w:tentative="1">
      <w:start w:val="1"/>
      <w:numFmt w:val="bullet"/>
      <w:lvlText w:val="o"/>
      <w:lvlJc w:val="left"/>
      <w:pPr>
        <w:ind w:left="7069" w:hanging="360"/>
      </w:pPr>
      <w:rPr>
        <w:rFonts w:ascii="Courier New" w:hAnsi="Courier New" w:hint="default"/>
      </w:rPr>
    </w:lvl>
    <w:lvl w:ilvl="5" w:tplc="04090005" w:tentative="1">
      <w:start w:val="1"/>
      <w:numFmt w:val="bullet"/>
      <w:lvlText w:val=""/>
      <w:lvlJc w:val="left"/>
      <w:pPr>
        <w:ind w:left="7789" w:hanging="360"/>
      </w:pPr>
      <w:rPr>
        <w:rFonts w:ascii="Wingdings" w:hAnsi="Wingdings" w:hint="default"/>
      </w:rPr>
    </w:lvl>
    <w:lvl w:ilvl="6" w:tplc="04090001" w:tentative="1">
      <w:start w:val="1"/>
      <w:numFmt w:val="bullet"/>
      <w:lvlText w:val=""/>
      <w:lvlJc w:val="left"/>
      <w:pPr>
        <w:ind w:left="8509" w:hanging="360"/>
      </w:pPr>
      <w:rPr>
        <w:rFonts w:ascii="Symbol" w:hAnsi="Symbol" w:hint="default"/>
      </w:rPr>
    </w:lvl>
    <w:lvl w:ilvl="7" w:tplc="04090003" w:tentative="1">
      <w:start w:val="1"/>
      <w:numFmt w:val="bullet"/>
      <w:lvlText w:val="o"/>
      <w:lvlJc w:val="left"/>
      <w:pPr>
        <w:ind w:left="9229" w:hanging="360"/>
      </w:pPr>
      <w:rPr>
        <w:rFonts w:ascii="Courier New" w:hAnsi="Courier New" w:hint="default"/>
      </w:rPr>
    </w:lvl>
    <w:lvl w:ilvl="8" w:tplc="04090005" w:tentative="1">
      <w:start w:val="1"/>
      <w:numFmt w:val="bullet"/>
      <w:lvlText w:val=""/>
      <w:lvlJc w:val="left"/>
      <w:pPr>
        <w:ind w:left="9949" w:hanging="360"/>
      </w:pPr>
      <w:rPr>
        <w:rFonts w:ascii="Wingdings" w:hAnsi="Wingdings" w:hint="default"/>
      </w:rPr>
    </w:lvl>
  </w:abstractNum>
  <w:abstractNum w:abstractNumId="12">
    <w:nsid w:val="17096DCD"/>
    <w:multiLevelType w:val="hybridMultilevel"/>
    <w:tmpl w:val="D68E817E"/>
    <w:lvl w:ilvl="0" w:tplc="505AE228">
      <w:start w:val="1"/>
      <w:numFmt w:val="bullet"/>
      <w:lvlText w:val=""/>
      <w:lvlJc w:val="left"/>
      <w:pPr>
        <w:ind w:left="720" w:hanging="360"/>
      </w:pPr>
      <w:rPr>
        <w:rFonts w:ascii="Symbol" w:hAnsi="Symbol" w:hint="default"/>
        <w:color w:val="7FC24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CE3CE1"/>
    <w:multiLevelType w:val="multilevel"/>
    <w:tmpl w:val="05CCA126"/>
    <w:lvl w:ilvl="0">
      <w:start w:val="1"/>
      <w:numFmt w:val="decimal"/>
      <w:lvlText w:val="%1"/>
      <w:lvlJc w:val="left"/>
      <w:pPr>
        <w:ind w:left="360" w:hanging="360"/>
      </w:pPr>
      <w:rPr>
        <w:rFonts w:ascii="Book Antiqua" w:hAnsi="Book Antiqua" w:hint="default"/>
        <w:color w:val="7FC241"/>
        <w:sz w:val="4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C5D1DCD"/>
    <w:multiLevelType w:val="hybridMultilevel"/>
    <w:tmpl w:val="A0126800"/>
    <w:lvl w:ilvl="0" w:tplc="505AE228">
      <w:start w:val="1"/>
      <w:numFmt w:val="bullet"/>
      <w:lvlText w:val=""/>
      <w:lvlJc w:val="left"/>
      <w:pPr>
        <w:ind w:left="360" w:hanging="360"/>
      </w:pPr>
      <w:rPr>
        <w:rFonts w:ascii="Symbol" w:hAnsi="Symbol" w:hint="default"/>
        <w:color w:val="7FC24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DDC02D8"/>
    <w:multiLevelType w:val="multilevel"/>
    <w:tmpl w:val="9FC6DF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7395310"/>
    <w:multiLevelType w:val="hybridMultilevel"/>
    <w:tmpl w:val="F922583A"/>
    <w:lvl w:ilvl="0" w:tplc="1700C8FA">
      <w:start w:val="1"/>
      <w:numFmt w:val="bullet"/>
      <w:pStyle w:val="Bullets"/>
      <w:lvlText w:val=""/>
      <w:lvlJc w:val="left"/>
      <w:pPr>
        <w:ind w:left="720" w:hanging="360"/>
      </w:pPr>
      <w:rPr>
        <w:rFonts w:ascii="Symbol" w:hAnsi="Symbol" w:hint="default"/>
        <w:color w:val="7FC24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885057"/>
    <w:multiLevelType w:val="hybridMultilevel"/>
    <w:tmpl w:val="CB1A250C"/>
    <w:lvl w:ilvl="0" w:tplc="24E009A4">
      <w:start w:val="1"/>
      <w:numFmt w:val="decimal"/>
      <w:lvlText w:val="%1."/>
      <w:lvlJc w:val="left"/>
      <w:pPr>
        <w:ind w:left="360" w:hanging="360"/>
      </w:pPr>
      <w:rPr>
        <w:rFonts w:hint="default"/>
        <w:color w:val="7FC24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2393F98"/>
    <w:multiLevelType w:val="hybridMultilevel"/>
    <w:tmpl w:val="E3BAD8F8"/>
    <w:lvl w:ilvl="0" w:tplc="E5C2C5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2E771C"/>
    <w:multiLevelType w:val="hybridMultilevel"/>
    <w:tmpl w:val="6F163DCE"/>
    <w:lvl w:ilvl="0" w:tplc="31FC1EB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3960C12"/>
    <w:multiLevelType w:val="hybridMultilevel"/>
    <w:tmpl w:val="9CE8DBC8"/>
    <w:lvl w:ilvl="0" w:tplc="52248C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9F2F84"/>
    <w:multiLevelType w:val="hybridMultilevel"/>
    <w:tmpl w:val="351A77DE"/>
    <w:lvl w:ilvl="0" w:tplc="24E009A4">
      <w:start w:val="1"/>
      <w:numFmt w:val="decimal"/>
      <w:lvlText w:val="%1."/>
      <w:lvlJc w:val="left"/>
      <w:pPr>
        <w:ind w:left="360" w:hanging="360"/>
      </w:pPr>
      <w:rPr>
        <w:rFonts w:hint="default"/>
        <w:color w:val="7FC24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3757658"/>
    <w:multiLevelType w:val="multilevel"/>
    <w:tmpl w:val="C9928C68"/>
    <w:lvl w:ilvl="0">
      <w:start w:val="1"/>
      <w:numFmt w:val="decimal"/>
      <w:lvlText w:val="%1"/>
      <w:lvlJc w:val="left"/>
      <w:pPr>
        <w:ind w:left="360" w:hanging="360"/>
      </w:pPr>
      <w:rPr>
        <w:rFonts w:ascii="Book Antiqua" w:hAnsi="Book Antiqua" w:hint="default"/>
        <w:color w:val="7FC24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48829D8"/>
    <w:multiLevelType w:val="hybridMultilevel"/>
    <w:tmpl w:val="E4C640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9DE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C96369C"/>
    <w:multiLevelType w:val="hybridMultilevel"/>
    <w:tmpl w:val="C068EF30"/>
    <w:lvl w:ilvl="0" w:tplc="52248C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E446B2"/>
    <w:multiLevelType w:val="hybridMultilevel"/>
    <w:tmpl w:val="0F50C76A"/>
    <w:lvl w:ilvl="0" w:tplc="CA129AF4">
      <w:start w:val="1"/>
      <w:numFmt w:val="decimal"/>
      <w:lvlText w:val="%1"/>
      <w:lvlJc w:val="left"/>
      <w:pPr>
        <w:ind w:left="1220" w:hanging="8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9D847A8"/>
    <w:multiLevelType w:val="hybridMultilevel"/>
    <w:tmpl w:val="7844633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72711CDF"/>
    <w:multiLevelType w:val="multilevel"/>
    <w:tmpl w:val="B66E49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6254AB2"/>
    <w:multiLevelType w:val="hybridMultilevel"/>
    <w:tmpl w:val="116A9568"/>
    <w:lvl w:ilvl="0" w:tplc="57B8B21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C812DF3"/>
    <w:multiLevelType w:val="multilevel"/>
    <w:tmpl w:val="3B9C24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FB05F62"/>
    <w:multiLevelType w:val="hybridMultilevel"/>
    <w:tmpl w:val="EC4E1BDA"/>
    <w:lvl w:ilvl="0" w:tplc="62A23B5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25"/>
  </w:num>
  <w:num w:numId="2">
    <w:abstractNumId w:val="20"/>
  </w:num>
  <w:num w:numId="3">
    <w:abstractNumId w:val="12"/>
  </w:num>
  <w:num w:numId="4">
    <w:abstractNumId w:val="14"/>
  </w:num>
  <w:num w:numId="5">
    <w:abstractNumId w:val="17"/>
  </w:num>
  <w:num w:numId="6">
    <w:abstractNumId w:val="30"/>
  </w:num>
  <w:num w:numId="7">
    <w:abstractNumId w:val="11"/>
  </w:num>
  <w:num w:numId="8">
    <w:abstractNumId w:val="27"/>
  </w:num>
  <w:num w:numId="9">
    <w:abstractNumId w:val="16"/>
  </w:num>
  <w:num w:numId="10">
    <w:abstractNumId w:val="23"/>
  </w:num>
  <w:num w:numId="11">
    <w:abstractNumId w:val="21"/>
  </w:num>
  <w:num w:numId="12">
    <w:abstractNumId w:val="29"/>
  </w:num>
  <w:num w:numId="13">
    <w:abstractNumId w:val="19"/>
  </w:num>
  <w:num w:numId="14">
    <w:abstractNumId w:val="0"/>
  </w:num>
  <w:num w:numId="15">
    <w:abstractNumId w:val="1"/>
  </w:num>
  <w:num w:numId="16">
    <w:abstractNumId w:val="2"/>
  </w:num>
  <w:num w:numId="17">
    <w:abstractNumId w:val="3"/>
  </w:num>
  <w:num w:numId="18">
    <w:abstractNumId w:val="4"/>
  </w:num>
  <w:num w:numId="19">
    <w:abstractNumId w:val="9"/>
  </w:num>
  <w:num w:numId="20">
    <w:abstractNumId w:val="5"/>
  </w:num>
  <w:num w:numId="21">
    <w:abstractNumId w:val="6"/>
  </w:num>
  <w:num w:numId="22">
    <w:abstractNumId w:val="7"/>
  </w:num>
  <w:num w:numId="23">
    <w:abstractNumId w:val="8"/>
  </w:num>
  <w:num w:numId="24">
    <w:abstractNumId w:val="10"/>
  </w:num>
  <w:num w:numId="25">
    <w:abstractNumId w:val="13"/>
  </w:num>
  <w:num w:numId="26">
    <w:abstractNumId w:val="15"/>
  </w:num>
  <w:num w:numId="27">
    <w:abstractNumId w:val="24"/>
  </w:num>
  <w:num w:numId="28">
    <w:abstractNumId w:val="26"/>
  </w:num>
  <w:num w:numId="29">
    <w:abstractNumId w:val="28"/>
  </w:num>
  <w:num w:numId="30">
    <w:abstractNumId w:val="22"/>
  </w:num>
  <w:num w:numId="31">
    <w:abstractNumId w:val="18"/>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004"/>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FF1F44"/>
    <w:rsid w:val="00041893"/>
    <w:rsid w:val="000548DC"/>
    <w:rsid w:val="00057710"/>
    <w:rsid w:val="00066E03"/>
    <w:rsid w:val="00131923"/>
    <w:rsid w:val="001A3C70"/>
    <w:rsid w:val="001A6504"/>
    <w:rsid w:val="001B6991"/>
    <w:rsid w:val="001D0FCD"/>
    <w:rsid w:val="001D76E6"/>
    <w:rsid w:val="001F16D4"/>
    <w:rsid w:val="00200EBA"/>
    <w:rsid w:val="00205362"/>
    <w:rsid w:val="00216659"/>
    <w:rsid w:val="00223FC1"/>
    <w:rsid w:val="002A7400"/>
    <w:rsid w:val="002C0D35"/>
    <w:rsid w:val="002C1B92"/>
    <w:rsid w:val="00330E2F"/>
    <w:rsid w:val="00371C25"/>
    <w:rsid w:val="00384D5C"/>
    <w:rsid w:val="003A2802"/>
    <w:rsid w:val="003D28AB"/>
    <w:rsid w:val="003E3B64"/>
    <w:rsid w:val="004025F0"/>
    <w:rsid w:val="0041229E"/>
    <w:rsid w:val="00442911"/>
    <w:rsid w:val="00484323"/>
    <w:rsid w:val="004A75F3"/>
    <w:rsid w:val="00534D5E"/>
    <w:rsid w:val="00555036"/>
    <w:rsid w:val="005C0623"/>
    <w:rsid w:val="005F487A"/>
    <w:rsid w:val="006C471C"/>
    <w:rsid w:val="006F07D8"/>
    <w:rsid w:val="00705086"/>
    <w:rsid w:val="00735F49"/>
    <w:rsid w:val="00782010"/>
    <w:rsid w:val="0080208C"/>
    <w:rsid w:val="00825AF0"/>
    <w:rsid w:val="00825F32"/>
    <w:rsid w:val="00827939"/>
    <w:rsid w:val="00841F1C"/>
    <w:rsid w:val="00884730"/>
    <w:rsid w:val="008C0BB1"/>
    <w:rsid w:val="008F6940"/>
    <w:rsid w:val="009B5BAD"/>
    <w:rsid w:val="009C0EFA"/>
    <w:rsid w:val="00A1708B"/>
    <w:rsid w:val="00A475F5"/>
    <w:rsid w:val="00A60271"/>
    <w:rsid w:val="00A82FE2"/>
    <w:rsid w:val="00A924DE"/>
    <w:rsid w:val="00AA3A69"/>
    <w:rsid w:val="00AB47BB"/>
    <w:rsid w:val="00B1663B"/>
    <w:rsid w:val="00B27D37"/>
    <w:rsid w:val="00B46B2A"/>
    <w:rsid w:val="00B96ABE"/>
    <w:rsid w:val="00BC79F3"/>
    <w:rsid w:val="00BE643C"/>
    <w:rsid w:val="00C11CC0"/>
    <w:rsid w:val="00C90E57"/>
    <w:rsid w:val="00CB2C7D"/>
    <w:rsid w:val="00CD69F8"/>
    <w:rsid w:val="00CE33D6"/>
    <w:rsid w:val="00CF723A"/>
    <w:rsid w:val="00D31C57"/>
    <w:rsid w:val="00E01BF0"/>
    <w:rsid w:val="00E04FD6"/>
    <w:rsid w:val="00E2037C"/>
    <w:rsid w:val="00E7317B"/>
    <w:rsid w:val="00EE50A6"/>
    <w:rsid w:val="00F76716"/>
    <w:rsid w:val="00F90650"/>
    <w:rsid w:val="00FB217B"/>
    <w:rsid w:val="00FF1F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9"/>
    <w:pPr>
      <w:widowControl w:val="0"/>
      <w:spacing w:after="120"/>
    </w:pPr>
    <w:rPr>
      <w:rFonts w:ascii="Gill Sans MT" w:eastAsia="Calibri" w:hAnsi="Gill Sans MT"/>
    </w:rPr>
  </w:style>
  <w:style w:type="paragraph" w:styleId="Heading1">
    <w:name w:val="heading 1"/>
    <w:basedOn w:val="Normal"/>
    <w:next w:val="Normal"/>
    <w:link w:val="Heading1Char"/>
    <w:uiPriority w:val="9"/>
    <w:qFormat/>
    <w:rsid w:val="00131923"/>
    <w:pPr>
      <w:keepNext/>
      <w:keepLines/>
      <w:spacing w:before="720" w:after="0"/>
      <w:ind w:left="851" w:hanging="851"/>
      <w:outlineLvl w:val="0"/>
    </w:pPr>
    <w:rPr>
      <w:rFonts w:ascii="Book Antiqua" w:eastAsiaTheme="majorEastAsia" w:hAnsi="Book Antiqua" w:cs="Arial"/>
      <w:bCs/>
      <w:color w:val="7FC241"/>
      <w:sz w:val="40"/>
      <w:szCs w:val="28"/>
    </w:rPr>
  </w:style>
  <w:style w:type="paragraph" w:styleId="Heading2">
    <w:name w:val="heading 2"/>
    <w:basedOn w:val="Normal"/>
    <w:next w:val="Normal"/>
    <w:link w:val="Heading2Char"/>
    <w:uiPriority w:val="9"/>
    <w:unhideWhenUsed/>
    <w:qFormat/>
    <w:rsid w:val="00216659"/>
    <w:pPr>
      <w:keepNext/>
      <w:keepLines/>
      <w:spacing w:before="360" w:after="60"/>
      <w:outlineLvl w:val="1"/>
    </w:pPr>
    <w:rPr>
      <w:rFonts w:ascii="Book Antiqua" w:eastAsiaTheme="majorEastAsia" w:hAnsi="Book Antiqua" w:cstheme="majorBidi"/>
      <w:b/>
      <w:bCs/>
      <w:color w:val="000000" w:themeColor="text1"/>
      <w:sz w:val="24"/>
      <w:szCs w:val="24"/>
    </w:rPr>
  </w:style>
  <w:style w:type="paragraph" w:styleId="Heading3">
    <w:name w:val="heading 3"/>
    <w:basedOn w:val="Normal"/>
    <w:next w:val="Normal"/>
    <w:link w:val="Heading3Char"/>
    <w:uiPriority w:val="9"/>
    <w:unhideWhenUsed/>
    <w:qFormat/>
    <w:rsid w:val="00216659"/>
    <w:pPr>
      <w:keepNext/>
      <w:keepLines/>
      <w:spacing w:before="360" w:after="0"/>
      <w:outlineLvl w:val="2"/>
    </w:pPr>
    <w:rPr>
      <w:rFonts w:ascii="Book Antiqua" w:eastAsiaTheme="majorEastAsia" w:hAnsi="Book Antiqua" w:cstheme="majorBidi"/>
      <w:i/>
      <w:color w:val="7FC24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923"/>
    <w:rPr>
      <w:rFonts w:ascii="Book Antiqua" w:eastAsiaTheme="majorEastAsia" w:hAnsi="Book Antiqua" w:cs="Arial"/>
      <w:bCs/>
      <w:color w:val="7FC241"/>
      <w:sz w:val="40"/>
      <w:szCs w:val="28"/>
    </w:rPr>
  </w:style>
  <w:style w:type="character" w:customStyle="1" w:styleId="Heading2Char">
    <w:name w:val="Heading 2 Char"/>
    <w:basedOn w:val="DefaultParagraphFont"/>
    <w:link w:val="Heading2"/>
    <w:uiPriority w:val="9"/>
    <w:rsid w:val="00216659"/>
    <w:rPr>
      <w:rFonts w:ascii="Book Antiqua" w:eastAsiaTheme="majorEastAsia" w:hAnsi="Book Antiqua" w:cstheme="majorBidi"/>
      <w:b/>
      <w:bCs/>
      <w:color w:val="000000" w:themeColor="text1"/>
      <w:sz w:val="24"/>
      <w:szCs w:val="24"/>
    </w:rPr>
  </w:style>
  <w:style w:type="paragraph" w:styleId="BalloonText">
    <w:name w:val="Balloon Text"/>
    <w:basedOn w:val="Normal"/>
    <w:link w:val="BalloonTextChar"/>
    <w:uiPriority w:val="99"/>
    <w:semiHidden/>
    <w:unhideWhenUsed/>
    <w:rsid w:val="00FF1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F44"/>
    <w:rPr>
      <w:rFonts w:ascii="Tahoma" w:hAnsi="Tahoma" w:cs="Tahoma"/>
      <w:sz w:val="16"/>
      <w:szCs w:val="16"/>
    </w:rPr>
  </w:style>
  <w:style w:type="paragraph" w:styleId="Header">
    <w:name w:val="header"/>
    <w:basedOn w:val="Normal"/>
    <w:link w:val="HeaderChar"/>
    <w:uiPriority w:val="99"/>
    <w:unhideWhenUsed/>
    <w:rsid w:val="00FF1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F44"/>
  </w:style>
  <w:style w:type="paragraph" w:styleId="Footer">
    <w:name w:val="footer"/>
    <w:basedOn w:val="Normal"/>
    <w:link w:val="FooterChar"/>
    <w:uiPriority w:val="99"/>
    <w:unhideWhenUsed/>
    <w:rsid w:val="00FF1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F44"/>
  </w:style>
  <w:style w:type="character" w:customStyle="1" w:styleId="Heading3Char">
    <w:name w:val="Heading 3 Char"/>
    <w:basedOn w:val="DefaultParagraphFont"/>
    <w:link w:val="Heading3"/>
    <w:uiPriority w:val="9"/>
    <w:rsid w:val="00216659"/>
    <w:rPr>
      <w:rFonts w:ascii="Book Antiqua" w:eastAsiaTheme="majorEastAsia" w:hAnsi="Book Antiqua" w:cstheme="majorBidi"/>
      <w:i/>
      <w:color w:val="7FC241"/>
      <w:sz w:val="24"/>
      <w:szCs w:val="24"/>
    </w:rPr>
  </w:style>
  <w:style w:type="paragraph" w:customStyle="1" w:styleId="Bullets">
    <w:name w:val="Bullets"/>
    <w:basedOn w:val="NoSpacing"/>
    <w:qFormat/>
    <w:rsid w:val="00216659"/>
    <w:pPr>
      <w:numPr>
        <w:numId w:val="9"/>
      </w:numPr>
      <w:spacing w:before="240" w:after="120"/>
    </w:pPr>
  </w:style>
  <w:style w:type="table" w:styleId="TableGrid">
    <w:name w:val="Table Grid"/>
    <w:basedOn w:val="TableNormal"/>
    <w:uiPriority w:val="59"/>
    <w:rsid w:val="00827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1BF0"/>
    <w:pPr>
      <w:ind w:left="720"/>
      <w:contextualSpacing/>
    </w:pPr>
  </w:style>
  <w:style w:type="paragraph" w:customStyle="1" w:styleId="TableText">
    <w:name w:val="Table Text"/>
    <w:basedOn w:val="Normal"/>
    <w:qFormat/>
    <w:rsid w:val="00827939"/>
    <w:pPr>
      <w:spacing w:before="60" w:after="60" w:line="240" w:lineRule="auto"/>
    </w:pPr>
  </w:style>
  <w:style w:type="paragraph" w:customStyle="1" w:styleId="TableHead">
    <w:name w:val="Table Head"/>
    <w:basedOn w:val="Normal"/>
    <w:qFormat/>
    <w:rsid w:val="00827939"/>
    <w:pPr>
      <w:spacing w:before="60" w:after="60" w:line="240" w:lineRule="auto"/>
    </w:pPr>
    <w:rPr>
      <w:rFonts w:ascii="Book Antiqua" w:hAnsi="Book Antiqua"/>
      <w:b/>
      <w:color w:val="FFFFFF" w:themeColor="background1"/>
      <w:sz w:val="24"/>
    </w:rPr>
  </w:style>
  <w:style w:type="paragraph" w:styleId="NoSpacing">
    <w:name w:val="No Spacing"/>
    <w:uiPriority w:val="1"/>
    <w:qFormat/>
    <w:rsid w:val="008C0BB1"/>
    <w:pPr>
      <w:autoSpaceDE w:val="0"/>
      <w:autoSpaceDN w:val="0"/>
      <w:adjustRightInd w:val="0"/>
      <w:spacing w:after="0" w:line="240" w:lineRule="auto"/>
    </w:pPr>
    <w:rPr>
      <w:rFonts w:ascii="Gill Sans MT" w:eastAsia="Times New Roman" w:hAnsi="Gill Sans MT" w:cs="Arial"/>
      <w:lang w:eastAsia="en-US"/>
    </w:rPr>
  </w:style>
  <w:style w:type="paragraph" w:styleId="Title">
    <w:name w:val="Title"/>
    <w:basedOn w:val="Normal"/>
    <w:next w:val="Normal"/>
    <w:link w:val="TitleChar"/>
    <w:uiPriority w:val="10"/>
    <w:qFormat/>
    <w:rsid w:val="00C11CC0"/>
    <w:pPr>
      <w:spacing w:before="9000" w:after="2040" w:line="240" w:lineRule="auto"/>
      <w:contextualSpacing/>
      <w:jc w:val="center"/>
    </w:pPr>
    <w:rPr>
      <w:rFonts w:ascii="Book Antiqua" w:eastAsiaTheme="majorEastAsia" w:hAnsi="Book Antiqua" w:cstheme="majorBidi"/>
      <w:color w:val="000000" w:themeColor="text1"/>
      <w:spacing w:val="-10"/>
      <w:kern w:val="28"/>
      <w:sz w:val="56"/>
      <w:szCs w:val="56"/>
    </w:rPr>
  </w:style>
  <w:style w:type="character" w:customStyle="1" w:styleId="TitleChar">
    <w:name w:val="Title Char"/>
    <w:basedOn w:val="DefaultParagraphFont"/>
    <w:link w:val="Title"/>
    <w:uiPriority w:val="10"/>
    <w:rsid w:val="00C11CC0"/>
    <w:rPr>
      <w:rFonts w:ascii="Book Antiqua" w:eastAsiaTheme="majorEastAsia" w:hAnsi="Book Antiqua" w:cstheme="majorBidi"/>
      <w:color w:val="000000" w:themeColor="text1"/>
      <w:spacing w:val="-10"/>
      <w:kern w:val="28"/>
      <w:sz w:val="56"/>
      <w:szCs w:val="56"/>
    </w:rPr>
  </w:style>
  <w:style w:type="paragraph" w:customStyle="1" w:styleId="p1">
    <w:name w:val="p1"/>
    <w:basedOn w:val="Normal"/>
    <w:rsid w:val="00EE50A6"/>
    <w:pPr>
      <w:spacing w:after="0" w:line="240" w:lineRule="auto"/>
      <w:ind w:left="588"/>
    </w:pPr>
    <w:rPr>
      <w:rFonts w:ascii="Times New Roman" w:hAnsi="Times New Roman" w:cs="Times New Roman"/>
      <w:sz w:val="15"/>
      <w:szCs w:val="15"/>
    </w:rPr>
  </w:style>
  <w:style w:type="paragraph" w:styleId="Subtitle">
    <w:name w:val="Subtitle"/>
    <w:basedOn w:val="Normal"/>
    <w:next w:val="Normal"/>
    <w:link w:val="SubtitleChar"/>
    <w:uiPriority w:val="11"/>
    <w:qFormat/>
    <w:rsid w:val="00B27D37"/>
    <w:pPr>
      <w:jc w:val="center"/>
    </w:pPr>
    <w:rPr>
      <w:rFonts w:ascii="Book Antiqua" w:hAnsi="Book Antiqua" w:cs="Arial"/>
      <w:color w:val="7FC241"/>
      <w:sz w:val="40"/>
    </w:rPr>
  </w:style>
  <w:style w:type="character" w:customStyle="1" w:styleId="SubtitleChar">
    <w:name w:val="Subtitle Char"/>
    <w:basedOn w:val="DefaultParagraphFont"/>
    <w:link w:val="Subtitle"/>
    <w:uiPriority w:val="11"/>
    <w:rsid w:val="00B27D37"/>
    <w:rPr>
      <w:rFonts w:ascii="Book Antiqua" w:eastAsia="Calibri" w:hAnsi="Book Antiqua" w:cs="Arial"/>
      <w:color w:val="7FC241"/>
      <w:sz w:val="40"/>
    </w:rPr>
  </w:style>
  <w:style w:type="paragraph" w:styleId="Quote">
    <w:name w:val="Quote"/>
    <w:basedOn w:val="Normal"/>
    <w:next w:val="Normal"/>
    <w:link w:val="QuoteChar"/>
    <w:uiPriority w:val="29"/>
    <w:qFormat/>
    <w:rsid w:val="00B27D37"/>
    <w:pPr>
      <w:spacing w:before="200" w:after="160"/>
      <w:ind w:left="1134" w:right="864"/>
      <w:jc w:val="center"/>
    </w:pPr>
    <w:rPr>
      <w:rFonts w:ascii="Book Antiqua" w:hAnsi="Book Antiqua"/>
      <w:i/>
      <w:iCs/>
      <w:color w:val="7FC241"/>
      <w:lang w:eastAsia="ja-JP"/>
    </w:rPr>
  </w:style>
  <w:style w:type="character" w:customStyle="1" w:styleId="QuoteChar">
    <w:name w:val="Quote Char"/>
    <w:basedOn w:val="DefaultParagraphFont"/>
    <w:link w:val="Quote"/>
    <w:uiPriority w:val="29"/>
    <w:rsid w:val="00B27D37"/>
    <w:rPr>
      <w:rFonts w:ascii="Book Antiqua" w:eastAsia="Calibri" w:hAnsi="Book Antiqua"/>
      <w:i/>
      <w:iCs/>
      <w:color w:val="7FC241"/>
      <w:lang w:eastAsia="ja-JP"/>
    </w:rPr>
  </w:style>
  <w:style w:type="character" w:styleId="Hyperlink">
    <w:name w:val="Hyperlink"/>
    <w:basedOn w:val="DefaultParagraphFont"/>
    <w:uiPriority w:val="99"/>
    <w:unhideWhenUsed/>
    <w:rsid w:val="009B5BAD"/>
    <w:rPr>
      <w:color w:val="0000FF" w:themeColor="hyperlink"/>
      <w:u w:val="single"/>
    </w:rPr>
  </w:style>
  <w:style w:type="character" w:styleId="CommentReference">
    <w:name w:val="annotation reference"/>
    <w:basedOn w:val="DefaultParagraphFont"/>
    <w:semiHidden/>
    <w:unhideWhenUsed/>
    <w:rsid w:val="00A82FE2"/>
    <w:rPr>
      <w:sz w:val="16"/>
      <w:szCs w:val="16"/>
    </w:rPr>
  </w:style>
  <w:style w:type="paragraph" w:styleId="CommentText">
    <w:name w:val="annotation text"/>
    <w:basedOn w:val="Normal"/>
    <w:link w:val="CommentTextChar"/>
    <w:semiHidden/>
    <w:unhideWhenUsed/>
    <w:rsid w:val="00A82FE2"/>
    <w:pPr>
      <w:spacing w:line="240" w:lineRule="auto"/>
    </w:pPr>
    <w:rPr>
      <w:sz w:val="20"/>
      <w:szCs w:val="20"/>
    </w:rPr>
  </w:style>
  <w:style w:type="character" w:customStyle="1" w:styleId="CommentTextChar">
    <w:name w:val="Comment Text Char"/>
    <w:basedOn w:val="DefaultParagraphFont"/>
    <w:link w:val="CommentText"/>
    <w:semiHidden/>
    <w:rsid w:val="00A82FE2"/>
    <w:rPr>
      <w:rFonts w:ascii="Gill Sans MT" w:eastAsia="Calibri" w:hAnsi="Gill Sans MT"/>
      <w:sz w:val="20"/>
      <w:szCs w:val="20"/>
    </w:rPr>
  </w:style>
  <w:style w:type="paragraph" w:styleId="CommentSubject">
    <w:name w:val="annotation subject"/>
    <w:basedOn w:val="CommentText"/>
    <w:next w:val="CommentText"/>
    <w:link w:val="CommentSubjectChar"/>
    <w:uiPriority w:val="99"/>
    <w:semiHidden/>
    <w:unhideWhenUsed/>
    <w:rsid w:val="00A82FE2"/>
    <w:rPr>
      <w:b/>
      <w:bCs/>
    </w:rPr>
  </w:style>
  <w:style w:type="character" w:customStyle="1" w:styleId="CommentSubjectChar">
    <w:name w:val="Comment Subject Char"/>
    <w:basedOn w:val="CommentTextChar"/>
    <w:link w:val="CommentSubject"/>
    <w:uiPriority w:val="99"/>
    <w:semiHidden/>
    <w:rsid w:val="00A82FE2"/>
    <w:rPr>
      <w:b/>
      <w:bCs/>
    </w:rPr>
  </w:style>
</w:styles>
</file>

<file path=word/webSettings.xml><?xml version="1.0" encoding="utf-8"?>
<w:webSettings xmlns:r="http://schemas.openxmlformats.org/officeDocument/2006/relationships" xmlns:w="http://schemas.openxmlformats.org/wordprocessingml/2006/main">
  <w:divs>
    <w:div w:id="2898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royalparks.gs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4ECE7-CD9C-4F78-9AFF-B634D14C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Royal Parks</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krogers</dc:creator>
  <cp:lastModifiedBy>pberry</cp:lastModifiedBy>
  <cp:revision>5</cp:revision>
  <cp:lastPrinted>2017-03-29T16:30:00Z</cp:lastPrinted>
  <dcterms:created xsi:type="dcterms:W3CDTF">2017-04-26T11:23:00Z</dcterms:created>
  <dcterms:modified xsi:type="dcterms:W3CDTF">2017-04-26T13:32:00Z</dcterms:modified>
</cp:coreProperties>
</file>