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7F68B3" w:rsidTr="007F68B3">
        <w:tc>
          <w:tcPr>
            <w:tcW w:w="4621" w:type="dxa"/>
          </w:tcPr>
          <w:p w:rsidR="007F68B3" w:rsidRPr="007F68B3" w:rsidRDefault="007F68B3">
            <w:pPr>
              <w:rPr>
                <w:b/>
              </w:rPr>
            </w:pPr>
            <w:r w:rsidRPr="007F68B3">
              <w:rPr>
                <w:b/>
              </w:rPr>
              <w:t>Questions</w:t>
            </w:r>
          </w:p>
        </w:tc>
        <w:tc>
          <w:tcPr>
            <w:tcW w:w="4621" w:type="dxa"/>
          </w:tcPr>
          <w:p w:rsidR="007F68B3" w:rsidRPr="007F68B3" w:rsidRDefault="007F68B3">
            <w:pPr>
              <w:rPr>
                <w:b/>
              </w:rPr>
            </w:pPr>
            <w:r w:rsidRPr="007F68B3">
              <w:rPr>
                <w:b/>
              </w:rPr>
              <w:t>Answers</w:t>
            </w:r>
          </w:p>
        </w:tc>
      </w:tr>
      <w:tr w:rsidR="007F68B3" w:rsidTr="007F68B3">
        <w:tc>
          <w:tcPr>
            <w:tcW w:w="4621" w:type="dxa"/>
          </w:tcPr>
          <w:p w:rsidR="007F68B3" w:rsidRDefault="007F68B3" w:rsidP="007F68B3">
            <w:pPr>
              <w:rPr>
                <w:rFonts w:ascii="Arial" w:hAnsi="Arial" w:cs="Arial"/>
                <w:sz w:val="20"/>
                <w:szCs w:val="20"/>
              </w:rPr>
            </w:pPr>
          </w:p>
          <w:p w:rsidR="007F68B3" w:rsidRDefault="007F68B3" w:rsidP="007F68B3">
            <w:pPr>
              <w:rPr>
                <w:rFonts w:ascii="Arial" w:hAnsi="Arial" w:cs="Arial"/>
                <w:sz w:val="20"/>
                <w:szCs w:val="20"/>
              </w:rPr>
            </w:pPr>
            <w:r>
              <w:rPr>
                <w:rFonts w:ascii="Arial" w:hAnsi="Arial" w:cs="Arial"/>
                <w:sz w:val="20"/>
                <w:szCs w:val="20"/>
              </w:rPr>
              <w:t>Terms of contract:</w:t>
            </w:r>
          </w:p>
          <w:p w:rsidR="007F68B3" w:rsidRDefault="007F68B3" w:rsidP="007F68B3">
            <w:pPr>
              <w:rPr>
                <w:rFonts w:ascii="Arial" w:hAnsi="Arial" w:cs="Arial"/>
                <w:sz w:val="20"/>
                <w:szCs w:val="20"/>
              </w:rPr>
            </w:pPr>
          </w:p>
          <w:p w:rsidR="007F68B3" w:rsidRDefault="007F68B3" w:rsidP="007F68B3">
            <w:pPr>
              <w:numPr>
                <w:ilvl w:val="0"/>
                <w:numId w:val="1"/>
              </w:numPr>
              <w:rPr>
                <w:rFonts w:ascii="Arial" w:eastAsia="Times New Roman" w:hAnsi="Arial" w:cs="Arial"/>
                <w:sz w:val="20"/>
                <w:szCs w:val="20"/>
              </w:rPr>
            </w:pPr>
            <w:r>
              <w:rPr>
                <w:rFonts w:ascii="Arial" w:eastAsia="Times New Roman" w:hAnsi="Arial" w:cs="Arial"/>
                <w:sz w:val="20"/>
                <w:szCs w:val="20"/>
              </w:rPr>
              <w:t>Please would you be willing to reword Clause 14.1 and 14.2 to acknowledge Prior Intellectual Rights?</w:t>
            </w:r>
          </w:p>
          <w:p w:rsidR="007F68B3" w:rsidRDefault="007F68B3" w:rsidP="007F68B3">
            <w:pPr>
              <w:pStyle w:val="ListParagraph"/>
              <w:rPr>
                <w:rFonts w:ascii="Arial" w:hAnsi="Arial" w:cs="Arial"/>
                <w:sz w:val="20"/>
                <w:szCs w:val="20"/>
              </w:rPr>
            </w:pPr>
          </w:p>
          <w:p w:rsidR="007F68B3" w:rsidRDefault="007F68B3" w:rsidP="007F68B3">
            <w:pPr>
              <w:numPr>
                <w:ilvl w:val="0"/>
                <w:numId w:val="2"/>
              </w:numPr>
              <w:rPr>
                <w:rFonts w:ascii="Arial" w:eastAsia="Times New Roman" w:hAnsi="Arial" w:cs="Arial"/>
                <w:sz w:val="20"/>
                <w:szCs w:val="20"/>
              </w:rPr>
            </w:pPr>
            <w:r>
              <w:rPr>
                <w:rFonts w:ascii="Arial" w:eastAsia="Times New Roman" w:hAnsi="Arial" w:cs="Arial"/>
                <w:sz w:val="20"/>
                <w:szCs w:val="20"/>
              </w:rPr>
              <w:t>Clauses 14.5 and 15 – Would you be willing to amend these clauses to cap an aggregate limit of liabilities in line with the insurance levels set in Clause 16.1?</w:t>
            </w:r>
          </w:p>
          <w:p w:rsidR="007F68B3" w:rsidRDefault="007F68B3">
            <w:bookmarkStart w:id="0" w:name="_GoBack"/>
            <w:bookmarkEnd w:id="0"/>
          </w:p>
        </w:tc>
        <w:tc>
          <w:tcPr>
            <w:tcW w:w="4621" w:type="dxa"/>
          </w:tcPr>
          <w:p w:rsidR="007F68B3" w:rsidRDefault="007F68B3" w:rsidP="007F68B3">
            <w:pPr>
              <w:pStyle w:val="ListParagraph"/>
              <w:rPr>
                <w:color w:val="1F497D"/>
              </w:rPr>
            </w:pPr>
          </w:p>
          <w:p w:rsidR="007F68B3" w:rsidRDefault="007F68B3" w:rsidP="007F68B3">
            <w:pPr>
              <w:pStyle w:val="ListParagraph"/>
              <w:rPr>
                <w:color w:val="1F497D"/>
              </w:rPr>
            </w:pPr>
          </w:p>
          <w:p w:rsidR="007F68B3" w:rsidRPr="007F68B3" w:rsidRDefault="007F68B3" w:rsidP="007F68B3">
            <w:pPr>
              <w:pStyle w:val="ListParagraph"/>
              <w:numPr>
                <w:ilvl w:val="0"/>
                <w:numId w:val="3"/>
              </w:numPr>
              <w:rPr>
                <w:rFonts w:ascii="Arial" w:hAnsi="Arial" w:cs="Arial"/>
                <w:sz w:val="20"/>
                <w:szCs w:val="20"/>
              </w:rPr>
            </w:pPr>
            <w:r w:rsidRPr="007F68B3">
              <w:rPr>
                <w:rFonts w:ascii="Arial" w:hAnsi="Arial" w:cs="Arial"/>
                <w:sz w:val="20"/>
                <w:szCs w:val="20"/>
              </w:rPr>
              <w:t>Clause 14.1 and 14.2 - The purpose of these clauses is to ensure that the council owns the intellectual property in any documents, reports, software etc. prepared or created by the consultant specifically for the council under this contract. The council does not expect to be transferred the IPR in existing or third party software etc. unless it was specifically created for the council before the date of the contract. The Council may require a non-exclusive licence depending on the specific services being performed. Please refer to the definition of “Works” and “Inventions” when reading the IPR clauses.</w:t>
            </w:r>
          </w:p>
          <w:p w:rsidR="007F68B3" w:rsidRPr="007F68B3" w:rsidRDefault="007F68B3" w:rsidP="007F68B3">
            <w:pPr>
              <w:pStyle w:val="ListParagraph"/>
              <w:rPr>
                <w:rFonts w:ascii="Arial" w:hAnsi="Arial" w:cs="Arial"/>
                <w:sz w:val="20"/>
                <w:szCs w:val="20"/>
              </w:rPr>
            </w:pPr>
          </w:p>
          <w:p w:rsidR="007F68B3" w:rsidRPr="007F68B3" w:rsidRDefault="007F68B3" w:rsidP="007F68B3">
            <w:pPr>
              <w:pStyle w:val="ListParagraph"/>
              <w:numPr>
                <w:ilvl w:val="0"/>
                <w:numId w:val="3"/>
              </w:numPr>
              <w:rPr>
                <w:rFonts w:ascii="Arial" w:hAnsi="Arial" w:cs="Arial"/>
                <w:sz w:val="20"/>
                <w:szCs w:val="20"/>
              </w:rPr>
            </w:pPr>
            <w:r w:rsidRPr="007F68B3">
              <w:rPr>
                <w:rFonts w:ascii="Arial" w:hAnsi="Arial" w:cs="Arial"/>
                <w:sz w:val="20"/>
                <w:szCs w:val="20"/>
              </w:rPr>
              <w:t>We would prefer to keep the clause as drafted with no cap.</w:t>
            </w:r>
          </w:p>
          <w:p w:rsidR="007F68B3" w:rsidRDefault="007F68B3"/>
        </w:tc>
      </w:tr>
    </w:tbl>
    <w:p w:rsidR="00682303" w:rsidRDefault="00682303"/>
    <w:sectPr w:rsidR="00682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5C9"/>
    <w:multiLevelType w:val="multilevel"/>
    <w:tmpl w:val="31E229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1D4651"/>
    <w:multiLevelType w:val="hybridMultilevel"/>
    <w:tmpl w:val="88B89E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20A528D"/>
    <w:multiLevelType w:val="multilevel"/>
    <w:tmpl w:val="89D65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B3"/>
    <w:rsid w:val="00682303"/>
    <w:rsid w:val="007F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8B3"/>
    <w:pPr>
      <w:spacing w:after="0" w:line="240" w:lineRule="auto"/>
      <w:ind w:left="720"/>
    </w:pPr>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8B3"/>
    <w:pPr>
      <w:spacing w:after="0" w:line="240" w:lineRule="auto"/>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18844">
      <w:bodyDiv w:val="1"/>
      <w:marLeft w:val="0"/>
      <w:marRight w:val="0"/>
      <w:marTop w:val="0"/>
      <w:marBottom w:val="0"/>
      <w:divBdr>
        <w:top w:val="none" w:sz="0" w:space="0" w:color="auto"/>
        <w:left w:val="none" w:sz="0" w:space="0" w:color="auto"/>
        <w:bottom w:val="none" w:sz="0" w:space="0" w:color="auto"/>
        <w:right w:val="none" w:sz="0" w:space="0" w:color="auto"/>
      </w:divBdr>
    </w:div>
    <w:div w:id="12796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19D4-4CA9-45E7-AD56-358F9B7F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67595F</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Tewkesbury Borough Council</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Tyas</dc:creator>
  <cp:lastModifiedBy>Matthew Tyas</cp:lastModifiedBy>
  <cp:revision>2</cp:revision>
  <dcterms:created xsi:type="dcterms:W3CDTF">2017-06-16T09:36:00Z</dcterms:created>
  <dcterms:modified xsi:type="dcterms:W3CDTF">2017-06-16T09:36:00Z</dcterms:modified>
</cp:coreProperties>
</file>