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AC" w:rsidRDefault="008B6FAC" w:rsidP="00A90F8C">
      <w:pPr>
        <w:pStyle w:val="RCGPNormal"/>
      </w:pPr>
      <w:r>
        <w:t>Clarification questions and answers</w:t>
      </w:r>
    </w:p>
    <w:p w:rsidR="008B6FAC" w:rsidRDefault="008B6FAC" w:rsidP="00A90F8C">
      <w:pPr>
        <w:pStyle w:val="RCGPNormal"/>
      </w:pPr>
    </w:p>
    <w:p w:rsidR="00447849" w:rsidRDefault="008B6FAC" w:rsidP="00A90F8C">
      <w:pPr>
        <w:pStyle w:val="RCGPNormal"/>
      </w:pPr>
      <w:r>
        <w:t xml:space="preserve">T17 – 012: </w:t>
      </w:r>
      <w:r w:rsidRPr="008B6FAC">
        <w:t>provision of assessment expertise and psychometric support for the MRCGP examinations and associated activities</w:t>
      </w:r>
    </w:p>
    <w:p w:rsidR="008B6FAC" w:rsidRDefault="008B6FAC" w:rsidP="00A90F8C">
      <w:pPr>
        <w:pStyle w:val="RCGPNormal"/>
      </w:pPr>
    </w:p>
    <w:tbl>
      <w:tblPr>
        <w:tblStyle w:val="TableGrid"/>
        <w:tblW w:w="0" w:type="auto"/>
        <w:tblLook w:val="04A0" w:firstRow="1" w:lastRow="0" w:firstColumn="1" w:lastColumn="0" w:noHBand="0" w:noVBand="1"/>
      </w:tblPr>
      <w:tblGrid>
        <w:gridCol w:w="704"/>
        <w:gridCol w:w="4156"/>
        <w:gridCol w:w="7468"/>
      </w:tblGrid>
      <w:tr w:rsidR="005D0DB8" w:rsidRPr="005D0DB8" w:rsidTr="005D0DB8">
        <w:tc>
          <w:tcPr>
            <w:tcW w:w="704" w:type="dxa"/>
          </w:tcPr>
          <w:p w:rsidR="008B6FAC" w:rsidRPr="005D0DB8" w:rsidRDefault="008B6FAC" w:rsidP="00157B61">
            <w:pPr>
              <w:pStyle w:val="RCGPNormal"/>
              <w:rPr>
                <w:rFonts w:cs="Arial"/>
                <w:color w:val="000000" w:themeColor="text1"/>
              </w:rPr>
            </w:pPr>
            <w:r w:rsidRPr="005D0DB8">
              <w:rPr>
                <w:rFonts w:cs="Arial"/>
                <w:color w:val="000000" w:themeColor="text1"/>
              </w:rPr>
              <w:t>Ref</w:t>
            </w:r>
          </w:p>
        </w:tc>
        <w:tc>
          <w:tcPr>
            <w:tcW w:w="4156" w:type="dxa"/>
          </w:tcPr>
          <w:p w:rsidR="008B6FAC" w:rsidRPr="005D0DB8" w:rsidRDefault="008B6FAC" w:rsidP="00157B61">
            <w:pPr>
              <w:pStyle w:val="RCGPNormal"/>
              <w:rPr>
                <w:rFonts w:cs="Arial"/>
                <w:color w:val="000000" w:themeColor="text1"/>
              </w:rPr>
            </w:pPr>
            <w:r w:rsidRPr="005D0DB8">
              <w:rPr>
                <w:rFonts w:cs="Arial"/>
                <w:color w:val="000000" w:themeColor="text1"/>
              </w:rPr>
              <w:t>Question</w:t>
            </w:r>
          </w:p>
        </w:tc>
        <w:tc>
          <w:tcPr>
            <w:tcW w:w="7468" w:type="dxa"/>
          </w:tcPr>
          <w:p w:rsidR="008B6FAC" w:rsidRPr="005D0DB8" w:rsidRDefault="008B6FAC" w:rsidP="00157B61">
            <w:pPr>
              <w:pStyle w:val="RCGPNormal"/>
              <w:rPr>
                <w:rFonts w:cs="Arial"/>
                <w:color w:val="000000" w:themeColor="text1"/>
              </w:rPr>
            </w:pPr>
            <w:r w:rsidRPr="005D0DB8">
              <w:rPr>
                <w:rFonts w:cs="Arial"/>
                <w:color w:val="000000" w:themeColor="text1"/>
              </w:rPr>
              <w:t>Answer</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1</w:t>
            </w:r>
          </w:p>
        </w:tc>
        <w:tc>
          <w:tcPr>
            <w:tcW w:w="4156" w:type="dxa"/>
          </w:tcPr>
          <w:p w:rsidR="008B6FAC" w:rsidRPr="005D0DB8" w:rsidRDefault="008B6FAC" w:rsidP="00157B61">
            <w:pPr>
              <w:pStyle w:val="RCGPNormal"/>
              <w:rPr>
                <w:rFonts w:cs="Arial"/>
                <w:color w:val="000000" w:themeColor="text1"/>
              </w:rPr>
            </w:pPr>
            <w:r w:rsidRPr="005D0DB8">
              <w:rPr>
                <w:rFonts w:eastAsia="Times New Roman" w:cs="Arial"/>
                <w:color w:val="000000" w:themeColor="text1"/>
              </w:rPr>
              <w:t xml:space="preserve">we note the requirement for </w:t>
            </w:r>
            <w:proofErr w:type="gramStart"/>
            <w:r w:rsidRPr="005D0DB8">
              <w:rPr>
                <w:rFonts w:eastAsia="Times New Roman" w:cs="Arial"/>
                <w:color w:val="000000" w:themeColor="text1"/>
              </w:rPr>
              <w:t>a number of</w:t>
            </w:r>
            <w:proofErr w:type="gramEnd"/>
            <w:r w:rsidRPr="005D0DB8">
              <w:rPr>
                <w:rFonts w:eastAsia="Times New Roman" w:cs="Arial"/>
                <w:color w:val="000000" w:themeColor="text1"/>
              </w:rPr>
              <w:t xml:space="preserve"> in-person meetings.  We would like to enquire whether 2 in-person meetings would be acceptable with the remainder via video-conferencing?  Also, has the external exam review been published and if so could you please advise if it can be accessed online?</w:t>
            </w:r>
          </w:p>
        </w:tc>
        <w:tc>
          <w:tcPr>
            <w:tcW w:w="7468" w:type="dxa"/>
          </w:tcPr>
          <w:p w:rsidR="008B6FAC" w:rsidRPr="005D0DB8" w:rsidRDefault="008B6FAC" w:rsidP="00157B61">
            <w:pPr>
              <w:rPr>
                <w:rFonts w:ascii="Arial" w:hAnsi="Arial" w:cs="Arial"/>
                <w:color w:val="000000" w:themeColor="text1"/>
              </w:rPr>
            </w:pPr>
            <w:r w:rsidRPr="005D0DB8">
              <w:rPr>
                <w:rFonts w:ascii="Arial" w:hAnsi="Arial" w:cs="Arial"/>
                <w:color w:val="000000" w:themeColor="text1"/>
              </w:rPr>
              <w:t>. We do not know exactly when the face-to-face meetings would be, but with adequate videoconferencing facilities it’s possible that these arrangements might work and we would therefore be pleased to consider a proposal from you.</w:t>
            </w:r>
          </w:p>
          <w:p w:rsidR="008B6FAC" w:rsidRPr="005D0DB8" w:rsidRDefault="008B6FAC" w:rsidP="00157B61">
            <w:pPr>
              <w:rPr>
                <w:rFonts w:ascii="Arial" w:hAnsi="Arial" w:cs="Arial"/>
                <w:color w:val="000000" w:themeColor="text1"/>
              </w:rPr>
            </w:pPr>
          </w:p>
          <w:p w:rsidR="008B6FAC" w:rsidRPr="005D0DB8" w:rsidRDefault="008B6FAC" w:rsidP="00157B61">
            <w:pPr>
              <w:pStyle w:val="RCGPNormal"/>
              <w:rPr>
                <w:rFonts w:cs="Arial"/>
                <w:color w:val="000000" w:themeColor="text1"/>
              </w:rPr>
            </w:pPr>
            <w:r w:rsidRPr="005D0DB8">
              <w:rPr>
                <w:rFonts w:cs="Arial"/>
                <w:color w:val="000000" w:themeColor="text1"/>
              </w:rPr>
              <w:t>The results of the examination review are not yet in the public domain and we are therefore unable to share it with you at this stage.</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2</w:t>
            </w:r>
          </w:p>
        </w:tc>
        <w:tc>
          <w:tcPr>
            <w:tcW w:w="4156"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The ‘Supplier Response Document’ (Schedule 3) states: </w:t>
            </w:r>
            <w:r w:rsidRPr="005D0DB8">
              <w:rPr>
                <w:rFonts w:ascii="Arial" w:eastAsia="Times New Roman" w:hAnsi="Arial" w:cs="Arial"/>
                <w:i/>
                <w:iCs/>
                <w:color w:val="000000" w:themeColor="text1"/>
              </w:rPr>
              <w:t>“If there are any areas of the specification (Schedule 1) which you are not able to meet, please detail them. Otherwise, please confirm acceptance of the Specification."</w:t>
            </w:r>
            <w:r w:rsidRPr="005D0DB8">
              <w:rPr>
                <w:rFonts w:ascii="Arial" w:eastAsia="Times New Roman" w:hAnsi="Arial" w:cs="Arial"/>
                <w:color w:val="000000" w:themeColor="text1"/>
              </w:rPr>
              <w:t> Could RCGP please clarify whether bidders should provide a response to each of the scope of work requirements listed in the specification or whether bidders are simply required to confirm acceptance of the specification or detail areas they are not able to meet, as applicable?</w:t>
            </w:r>
          </w:p>
          <w:p w:rsidR="008B6FAC" w:rsidRPr="005D0DB8" w:rsidRDefault="008B6FAC" w:rsidP="00157B61">
            <w:pPr>
              <w:pStyle w:val="RCGPNormal"/>
              <w:rPr>
                <w:rFonts w:cs="Arial"/>
                <w:color w:val="000000" w:themeColor="text1"/>
              </w:rPr>
            </w:pPr>
          </w:p>
        </w:tc>
        <w:tc>
          <w:tcPr>
            <w:tcW w:w="7468" w:type="dxa"/>
          </w:tcPr>
          <w:p w:rsidR="008B6FAC" w:rsidRPr="005D0DB8" w:rsidRDefault="008B6FAC" w:rsidP="00157B61">
            <w:pPr>
              <w:pStyle w:val="RCGPNormal"/>
              <w:rPr>
                <w:rFonts w:cs="Arial"/>
                <w:color w:val="000000" w:themeColor="text1"/>
              </w:rPr>
            </w:pPr>
            <w:r w:rsidRPr="005D0DB8">
              <w:rPr>
                <w:rFonts w:cs="Arial"/>
                <w:color w:val="000000" w:themeColor="text1"/>
              </w:rPr>
              <w:t>In the supplier response document, you can simply insert “confirmed” (or not if that is the case) and detail the pages within your submission where these are addressed. Your full tender submission should detail how you will meet the specification.</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3</w:t>
            </w:r>
          </w:p>
        </w:tc>
        <w:tc>
          <w:tcPr>
            <w:tcW w:w="4156"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Could RCGP please clarify whether the 'Supplier Response Document' (Schedule 3) itself should form part of bidders' responses or is this intended only as a guide to the information that needs to be included in responses?</w:t>
            </w:r>
          </w:p>
          <w:p w:rsidR="008B6FAC" w:rsidRPr="005D0DB8" w:rsidRDefault="008B6FAC" w:rsidP="00157B61">
            <w:pPr>
              <w:pStyle w:val="RCGPNormal"/>
              <w:rPr>
                <w:rFonts w:cs="Arial"/>
                <w:color w:val="000000" w:themeColor="text1"/>
              </w:rPr>
            </w:pPr>
          </w:p>
        </w:tc>
        <w:tc>
          <w:tcPr>
            <w:tcW w:w="7468" w:type="dxa"/>
          </w:tcPr>
          <w:p w:rsidR="008B6FAC" w:rsidRPr="005D0DB8" w:rsidRDefault="008B6FAC" w:rsidP="00157B61">
            <w:pPr>
              <w:pStyle w:val="RCGPNormal"/>
              <w:rPr>
                <w:rFonts w:cs="Arial"/>
                <w:color w:val="000000" w:themeColor="text1"/>
              </w:rPr>
            </w:pPr>
            <w:r w:rsidRPr="005D0DB8">
              <w:rPr>
                <w:rFonts w:cs="Arial"/>
                <w:color w:val="000000" w:themeColor="text1"/>
              </w:rPr>
              <w:t>The supplier response document is designed to prompt suppliers to ensure that they have addressed all requirements. Suppliers may choose to use this as a cover sheet to their main submission to confirm that all areas are met and included.</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lastRenderedPageBreak/>
              <w:t>4</w:t>
            </w:r>
          </w:p>
        </w:tc>
        <w:tc>
          <w:tcPr>
            <w:tcW w:w="4156"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Point 3.3.9 refers to a pre-qualification questionnaire. We are not aware of a PQQ as part of this procurement process. Could RCGP please clarify?</w:t>
            </w:r>
          </w:p>
          <w:p w:rsidR="008B6FAC" w:rsidRPr="005D0DB8" w:rsidRDefault="008B6FAC" w:rsidP="00157B61">
            <w:pPr>
              <w:pStyle w:val="RCGPNormal"/>
              <w:rPr>
                <w:rFonts w:cs="Arial"/>
                <w:color w:val="000000" w:themeColor="text1"/>
              </w:rPr>
            </w:pPr>
          </w:p>
        </w:tc>
        <w:tc>
          <w:tcPr>
            <w:tcW w:w="7468" w:type="dxa"/>
          </w:tcPr>
          <w:p w:rsidR="008B6FAC" w:rsidRPr="005D0DB8" w:rsidRDefault="008B6FAC" w:rsidP="00157B61">
            <w:pPr>
              <w:pStyle w:val="RCGPNormal"/>
              <w:rPr>
                <w:rFonts w:cs="Arial"/>
                <w:color w:val="000000" w:themeColor="text1"/>
              </w:rPr>
            </w:pPr>
            <w:r w:rsidRPr="005D0DB8">
              <w:rPr>
                <w:rFonts w:cs="Arial"/>
                <w:color w:val="000000" w:themeColor="text1"/>
              </w:rPr>
              <w:t>I can confirm that there is no PQQ as part of this process and the above can be disregarded.</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5</w:t>
            </w:r>
          </w:p>
        </w:tc>
        <w:tc>
          <w:tcPr>
            <w:tcW w:w="4156"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 xml:space="preserve">Please provide details as to the psychometric support required </w:t>
            </w:r>
            <w:proofErr w:type="gramStart"/>
            <w:r w:rsidRPr="005D0DB8">
              <w:rPr>
                <w:rFonts w:ascii="Arial" w:eastAsia="Times New Roman" w:hAnsi="Arial" w:cs="Arial"/>
                <w:color w:val="000000" w:themeColor="text1"/>
              </w:rPr>
              <w:t>with regard to</w:t>
            </w:r>
            <w:proofErr w:type="gramEnd"/>
            <w:r w:rsidRPr="005D0DB8">
              <w:rPr>
                <w:rFonts w:ascii="Arial" w:eastAsia="Times New Roman" w:hAnsi="Arial" w:cs="Arial"/>
                <w:color w:val="000000" w:themeColor="text1"/>
              </w:rPr>
              <w:t xml:space="preserve"> the WPBA.</w:t>
            </w:r>
          </w:p>
          <w:p w:rsidR="008B6FAC" w:rsidRPr="005D0DB8" w:rsidRDefault="008B6FAC" w:rsidP="00157B61">
            <w:pPr>
              <w:pStyle w:val="RCGPNormal"/>
              <w:rPr>
                <w:rFonts w:cs="Arial"/>
                <w:color w:val="000000" w:themeColor="text1"/>
              </w:rPr>
            </w:pPr>
          </w:p>
        </w:tc>
        <w:tc>
          <w:tcPr>
            <w:tcW w:w="7468"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The work anticipated in this area is described briefly in paragraph 8 of the section headed ‘Scope of work required’ and might involve looking at ways in which data could be analysed across all three exam components.</w:t>
            </w:r>
          </w:p>
          <w:p w:rsidR="008B6FAC" w:rsidRPr="005D0DB8" w:rsidRDefault="008B6FAC" w:rsidP="00157B61">
            <w:pPr>
              <w:pStyle w:val="RCGPNormal"/>
              <w:rPr>
                <w:rFonts w:cs="Arial"/>
                <w:color w:val="000000" w:themeColor="text1"/>
              </w:rPr>
            </w:pP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6</w:t>
            </w:r>
          </w:p>
        </w:tc>
        <w:tc>
          <w:tcPr>
            <w:tcW w:w="4156" w:type="dxa"/>
          </w:tcPr>
          <w:p w:rsidR="008B6FAC" w:rsidRPr="005D0DB8" w:rsidRDefault="008B6FAC" w:rsidP="00157B61">
            <w:pPr>
              <w:rPr>
                <w:rFonts w:ascii="Arial" w:eastAsia="Times New Roman" w:hAnsi="Arial" w:cs="Arial"/>
                <w:color w:val="000000" w:themeColor="text1"/>
              </w:rPr>
            </w:pPr>
            <w:r w:rsidRPr="005D0DB8">
              <w:rPr>
                <w:rFonts w:ascii="Arial" w:eastAsia="Times New Roman" w:hAnsi="Arial" w:cs="Arial"/>
                <w:color w:val="000000" w:themeColor="text1"/>
              </w:rPr>
              <w:t>Do you anticipate that the external review that was published in September 2017 to change the psychometric scope of work required?  If so, how to you anticipate that this will be addressed contractually?</w:t>
            </w:r>
          </w:p>
          <w:p w:rsidR="008B6FAC" w:rsidRPr="005D0DB8" w:rsidRDefault="008B6FAC" w:rsidP="00157B61">
            <w:pPr>
              <w:pStyle w:val="RCGPNormal"/>
              <w:rPr>
                <w:rFonts w:cs="Arial"/>
                <w:color w:val="000000" w:themeColor="text1"/>
              </w:rPr>
            </w:pPr>
          </w:p>
        </w:tc>
        <w:tc>
          <w:tcPr>
            <w:tcW w:w="7468" w:type="dxa"/>
          </w:tcPr>
          <w:p w:rsidR="008B6FAC" w:rsidRPr="005D0DB8" w:rsidRDefault="008B6FAC" w:rsidP="00157B61">
            <w:pPr>
              <w:pStyle w:val="RCGPNormal"/>
              <w:rPr>
                <w:rFonts w:cs="Arial"/>
                <w:color w:val="000000" w:themeColor="text1"/>
              </w:rPr>
            </w:pPr>
            <w:r w:rsidRPr="005D0DB8">
              <w:rPr>
                <w:rFonts w:eastAsia="Times New Roman" w:cs="Arial"/>
                <w:color w:val="000000" w:themeColor="text1"/>
              </w:rPr>
              <w:t>if any of the recommendations suggested in the review are to be adopted then clearly the way in which the exam is delivered and quality assured may need to be revised.   There might also need to be some preparatory analytical work to be undertaken beforehand.  The contract will need to be sufficiently flexible to allow for changes of this kind over time.</w:t>
            </w: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7</w:t>
            </w:r>
          </w:p>
        </w:tc>
        <w:tc>
          <w:tcPr>
            <w:tcW w:w="4156" w:type="dxa"/>
          </w:tcPr>
          <w:p w:rsidR="008B6FAC" w:rsidRPr="005D0DB8" w:rsidRDefault="008B6FAC" w:rsidP="00157B61">
            <w:pPr>
              <w:spacing w:after="60"/>
              <w:rPr>
                <w:rFonts w:ascii="Arial" w:hAnsi="Arial" w:cs="Arial"/>
                <w:color w:val="000000" w:themeColor="text1"/>
              </w:rPr>
            </w:pPr>
            <w:r w:rsidRPr="005D0DB8">
              <w:rPr>
                <w:rFonts w:ascii="Arial" w:hAnsi="Arial" w:cs="Arial"/>
                <w:color w:val="000000" w:themeColor="text1"/>
              </w:rPr>
              <w:t>Section 11.2 of the ITT states “Do not submit any additional supporting documentation with your ITT response except where specifically requested to do so as part of this ITT.” However, Schedule 3 (1</w:t>
            </w:r>
            <w:r w:rsidRPr="005D0DB8">
              <w:rPr>
                <w:rFonts w:ascii="Arial" w:hAnsi="Arial" w:cs="Arial"/>
                <w:color w:val="000000" w:themeColor="text1"/>
                <w:vertAlign w:val="superscript"/>
              </w:rPr>
              <w:t>st</w:t>
            </w:r>
            <w:r w:rsidRPr="005D0DB8">
              <w:rPr>
                <w:rFonts w:ascii="Arial" w:hAnsi="Arial" w:cs="Arial"/>
                <w:color w:val="000000" w:themeColor="text1"/>
              </w:rPr>
              <w:t xml:space="preserve"> section under Technical Quality) asks examples of provisions for other organisations. Can you clarify whether you are asking for copies of reports provided to other organisations?</w:t>
            </w:r>
          </w:p>
          <w:p w:rsidR="008B6FAC" w:rsidRPr="005D0DB8" w:rsidRDefault="008B6FAC" w:rsidP="00157B61">
            <w:pPr>
              <w:rPr>
                <w:rFonts w:ascii="Arial" w:eastAsia="Times New Roman" w:hAnsi="Arial" w:cs="Arial"/>
                <w:color w:val="000000" w:themeColor="text1"/>
              </w:rPr>
            </w:pPr>
          </w:p>
        </w:tc>
        <w:tc>
          <w:tcPr>
            <w:tcW w:w="7468" w:type="dxa"/>
          </w:tcPr>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If the reports will assist you and are relevant to the question, please do include. We are primarily looking to avoid receiving reams on unnecessary marketing material.</w:t>
            </w:r>
          </w:p>
          <w:p w:rsidR="008B6FAC" w:rsidRPr="005D0DB8" w:rsidRDefault="008B6FAC" w:rsidP="00157B61">
            <w:pPr>
              <w:pStyle w:val="RCGPNormal"/>
              <w:rPr>
                <w:rFonts w:eastAsia="Times New Roman" w:cs="Arial"/>
                <w:color w:val="000000" w:themeColor="text1"/>
              </w:rPr>
            </w:pP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t>8</w:t>
            </w:r>
          </w:p>
        </w:tc>
        <w:tc>
          <w:tcPr>
            <w:tcW w:w="4156" w:type="dxa"/>
          </w:tcPr>
          <w:p w:rsidR="008B6FAC" w:rsidRPr="005D0DB8" w:rsidRDefault="008B6FAC" w:rsidP="00157B61">
            <w:pPr>
              <w:spacing w:after="60"/>
              <w:rPr>
                <w:rFonts w:ascii="Arial" w:hAnsi="Arial" w:cs="Arial"/>
                <w:color w:val="000000" w:themeColor="text1"/>
              </w:rPr>
            </w:pPr>
            <w:r w:rsidRPr="005D0DB8">
              <w:rPr>
                <w:rFonts w:ascii="Arial" w:hAnsi="Arial" w:cs="Arial"/>
                <w:color w:val="000000" w:themeColor="text1"/>
              </w:rPr>
              <w:t xml:space="preserve">Paragraphs 2, 3, 4 and 5 of the ‘Scope of Work’ section in Schedule 1 of the ITT all refer to the production of routine reports but there is little indication of either the total number of such reports or their content. While we might infer some of the content, both from our own practice in conducting such work and </w:t>
            </w:r>
            <w:r w:rsidRPr="005D0DB8">
              <w:rPr>
                <w:rFonts w:ascii="Arial" w:hAnsi="Arial" w:cs="Arial"/>
                <w:color w:val="000000" w:themeColor="text1"/>
              </w:rPr>
              <w:lastRenderedPageBreak/>
              <w:t xml:space="preserve">from </w:t>
            </w:r>
            <w:r w:rsidR="005D0DB8">
              <w:rPr>
                <w:rFonts w:ascii="Arial" w:hAnsi="Arial" w:cs="Arial"/>
                <w:color w:val="000000" w:themeColor="text1"/>
              </w:rPr>
              <w:t>the summary reports publicly a</w:t>
            </w:r>
            <w:r w:rsidRPr="005D0DB8">
              <w:rPr>
                <w:rFonts w:ascii="Arial" w:hAnsi="Arial" w:cs="Arial"/>
                <w:color w:val="000000" w:themeColor="text1"/>
              </w:rPr>
              <w:t>vailable on the RCGP website, we feel that this is insufficient information on which to cost our tender. Would it be possible for you to provide a sample of each type of routine post-exam or summary report or, if not, perhaps a list of their titles and a brief indication of their content?</w:t>
            </w:r>
          </w:p>
          <w:p w:rsidR="008B6FAC" w:rsidRPr="005D0DB8" w:rsidRDefault="008B6FAC" w:rsidP="00157B61">
            <w:pPr>
              <w:rPr>
                <w:rFonts w:ascii="Arial" w:eastAsia="Times New Roman" w:hAnsi="Arial" w:cs="Arial"/>
                <w:color w:val="000000" w:themeColor="text1"/>
              </w:rPr>
            </w:pPr>
          </w:p>
        </w:tc>
        <w:tc>
          <w:tcPr>
            <w:tcW w:w="7468" w:type="dxa"/>
          </w:tcPr>
          <w:p w:rsidR="005D0DB8" w:rsidRPr="005D0DB8" w:rsidRDefault="005D0DB8" w:rsidP="00157B61">
            <w:pPr>
              <w:rPr>
                <w:rFonts w:ascii="Arial" w:hAnsi="Arial" w:cs="Arial"/>
                <w:color w:val="000000" w:themeColor="text1"/>
              </w:rPr>
            </w:pPr>
            <w:r w:rsidRPr="005D0DB8">
              <w:rPr>
                <w:rFonts w:ascii="Arial" w:hAnsi="Arial" w:cs="Arial"/>
                <w:color w:val="000000" w:themeColor="text1"/>
              </w:rPr>
              <w:lastRenderedPageBreak/>
              <w:t xml:space="preserve">There 3 AKT exams pa, sat by approximately 1000-1400 candidates on each occasion.  After each exam the routines required will involve taking raw item response data for each candidate and transforming this so that overall scores can be derived to inform standard setting (the standard setting process is described in broad terms in a document on our website </w:t>
            </w:r>
            <w:hyperlink r:id="rId6" w:history="1">
              <w:r w:rsidRPr="005D0DB8">
                <w:rPr>
                  <w:rStyle w:val="Hyperlink"/>
                  <w:rFonts w:ascii="Arial" w:hAnsi="Arial" w:cs="Arial"/>
                  <w:color w:val="000000" w:themeColor="text1"/>
                </w:rPr>
                <w:t>http://www.rcgp.org.uk/training-exams/mrcgp-exams-overview/~/media/2BD641DE24C5484EA26DBE9EB9EFCEEA.ashx</w:t>
              </w:r>
            </w:hyperlink>
            <w:r w:rsidRPr="005D0DB8">
              <w:rPr>
                <w:rFonts w:ascii="Arial" w:hAnsi="Arial" w:cs="Arial"/>
                <w:color w:val="000000" w:themeColor="text1"/>
              </w:rPr>
              <w:t xml:space="preserve">).  </w:t>
            </w:r>
          </w:p>
          <w:p w:rsidR="005D0DB8" w:rsidRPr="005D0DB8" w:rsidRDefault="005D0DB8" w:rsidP="00157B61">
            <w:pPr>
              <w:rPr>
                <w:rFonts w:ascii="Arial" w:hAnsi="Arial" w:cs="Arial"/>
                <w:color w:val="000000" w:themeColor="text1"/>
              </w:rPr>
            </w:pPr>
          </w:p>
          <w:p w:rsidR="005D0DB8" w:rsidRPr="005D0DB8" w:rsidRDefault="005D0DB8" w:rsidP="00157B61">
            <w:pPr>
              <w:rPr>
                <w:rFonts w:ascii="Arial" w:hAnsi="Arial" w:cs="Arial"/>
                <w:color w:val="000000" w:themeColor="text1"/>
              </w:rPr>
            </w:pPr>
            <w:r w:rsidRPr="005D0DB8">
              <w:rPr>
                <w:rFonts w:ascii="Arial" w:hAnsi="Arial" w:cs="Arial"/>
                <w:color w:val="000000" w:themeColor="text1"/>
              </w:rPr>
              <w:lastRenderedPageBreak/>
              <w:t xml:space="preserve">Currently our consultant also undertakes separate routines relating to item analysis, key validation etc as part of QA of the exam.  Other data analyses to inform the contents of a report following each exam: </w:t>
            </w:r>
            <w:hyperlink r:id="rId7" w:history="1">
              <w:r w:rsidRPr="005D0DB8">
                <w:rPr>
                  <w:rStyle w:val="Hyperlink"/>
                  <w:rFonts w:ascii="Arial" w:hAnsi="Arial" w:cs="Arial"/>
                  <w:color w:val="000000" w:themeColor="text1"/>
                </w:rPr>
                <w:t>http://www.rcgp.org.uk/training-exams/mrcgp-exams-overview/-/media/8F05DC6B1C1A46FDAACFDB1F1A632064.ashx</w:t>
              </w:r>
            </w:hyperlink>
            <w:r w:rsidRPr="005D0DB8">
              <w:rPr>
                <w:rFonts w:ascii="Arial" w:hAnsi="Arial" w:cs="Arial"/>
                <w:color w:val="000000" w:themeColor="text1"/>
              </w:rPr>
              <w:t xml:space="preserve"> </w:t>
            </w:r>
          </w:p>
          <w:p w:rsidR="005D0DB8" w:rsidRPr="005D0DB8" w:rsidRDefault="005D0DB8" w:rsidP="00157B61">
            <w:pPr>
              <w:rPr>
                <w:rFonts w:ascii="Arial" w:hAnsi="Arial" w:cs="Arial"/>
                <w:color w:val="000000" w:themeColor="text1"/>
              </w:rPr>
            </w:pPr>
          </w:p>
          <w:p w:rsidR="005D0DB8" w:rsidRPr="005D0DB8" w:rsidRDefault="005D0DB8" w:rsidP="00157B61">
            <w:pPr>
              <w:rPr>
                <w:rFonts w:ascii="Arial" w:hAnsi="Arial" w:cs="Arial"/>
                <w:color w:val="000000" w:themeColor="text1"/>
              </w:rPr>
            </w:pPr>
            <w:r w:rsidRPr="005D0DB8">
              <w:rPr>
                <w:rFonts w:ascii="Arial" w:hAnsi="Arial" w:cs="Arial"/>
                <w:color w:val="000000" w:themeColor="text1"/>
              </w:rPr>
              <w:t>The contents of the final score report required for each test administration are described in para 3. </w:t>
            </w:r>
          </w:p>
          <w:p w:rsidR="005D0DB8" w:rsidRPr="005D0DB8" w:rsidRDefault="005D0DB8" w:rsidP="00157B61">
            <w:pPr>
              <w:rPr>
                <w:rFonts w:ascii="Arial" w:hAnsi="Arial" w:cs="Arial"/>
                <w:color w:val="000000" w:themeColor="text1"/>
              </w:rPr>
            </w:pPr>
            <w:r w:rsidRPr="005D0DB8">
              <w:rPr>
                <w:rFonts w:ascii="Arial" w:hAnsi="Arial" w:cs="Arial"/>
                <w:color w:val="000000" w:themeColor="text1"/>
              </w:rPr>
              <w:t xml:space="preserve">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 xml:space="preserve">There are seven CSA exams each year.  The software we use for administering the exam calculates total scores and quality stats.  Demographic data for all candidates (who are Associates of the College during training) is held in our membership database.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 xml:space="preserve">After each exam session we hold an exam board meeting to review the exam and any issues arising from it, as well as appraising candidate performance and daily quality </w:t>
            </w:r>
            <w:proofErr w:type="gramStart"/>
            <w:r w:rsidRPr="005D0DB8">
              <w:rPr>
                <w:rFonts w:ascii="Arial" w:hAnsi="Arial" w:cs="Arial"/>
                <w:color w:val="000000" w:themeColor="text1"/>
              </w:rPr>
              <w:t>stats;  the</w:t>
            </w:r>
            <w:proofErr w:type="gramEnd"/>
            <w:r w:rsidRPr="005D0DB8">
              <w:rPr>
                <w:rFonts w:ascii="Arial" w:hAnsi="Arial" w:cs="Arial"/>
                <w:color w:val="000000" w:themeColor="text1"/>
              </w:rPr>
              <w:t xml:space="preserve"> majority of these meetings are held by teleconference.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 xml:space="preserve">For each exam board meeting we have a report available which contains the following briefing data:  no. of candidates sitting by </w:t>
            </w:r>
            <w:proofErr w:type="gramStart"/>
            <w:r w:rsidRPr="005D0DB8">
              <w:rPr>
                <w:rFonts w:ascii="Arial" w:hAnsi="Arial" w:cs="Arial"/>
                <w:color w:val="000000" w:themeColor="text1"/>
              </w:rPr>
              <w:t>attempt,  the</w:t>
            </w:r>
            <w:proofErr w:type="gramEnd"/>
            <w:r w:rsidRPr="005D0DB8">
              <w:rPr>
                <w:rFonts w:ascii="Arial" w:hAnsi="Arial" w:cs="Arial"/>
                <w:color w:val="000000" w:themeColor="text1"/>
              </w:rPr>
              <w:t xml:space="preserve"> source of their primary medical qualification, their training deaneries, their protected characteristics, daily stats such as borderline mean, coefficient alpha, SEM, pass mark, pass rate,  the distribution of scaled marks overall and by attempt,  deanery pass rates.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 xml:space="preserve">We also produce one annual report on the MRCGP exam, the contents of which can be obtained from the RCGP website - </w:t>
            </w:r>
            <w:hyperlink r:id="rId8" w:history="1">
              <w:r w:rsidRPr="005D0DB8">
                <w:rPr>
                  <w:rStyle w:val="Hyperlink"/>
                  <w:rFonts w:ascii="Arial" w:hAnsi="Arial" w:cs="Arial"/>
                  <w:color w:val="000000" w:themeColor="text1"/>
                </w:rPr>
                <w:t>http://www.rcgp.org.uk/training-exams/mrcgp-exams-overview/mrcgp-annual-reports/mrcgp-annual-reports-2015-2016.aspx</w:t>
              </w:r>
            </w:hyperlink>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 xml:space="preserve">The reports listed in paragraphs 4, 5 and 6 are rather more difficult to define and will be more ad hoc in </w:t>
            </w:r>
            <w:proofErr w:type="gramStart"/>
            <w:r w:rsidRPr="005D0DB8">
              <w:rPr>
                <w:rFonts w:ascii="Arial" w:hAnsi="Arial" w:cs="Arial"/>
                <w:color w:val="000000" w:themeColor="text1"/>
              </w:rPr>
              <w:t>nature;   </w:t>
            </w:r>
            <w:proofErr w:type="gramEnd"/>
            <w:r w:rsidRPr="005D0DB8">
              <w:rPr>
                <w:rFonts w:ascii="Arial" w:hAnsi="Arial" w:cs="Arial"/>
                <w:color w:val="000000" w:themeColor="text1"/>
              </w:rPr>
              <w:t>in most instances it is likely they will be required on an annual basis.  </w:t>
            </w:r>
          </w:p>
          <w:p w:rsidR="008B6FAC" w:rsidRPr="005D0DB8" w:rsidRDefault="008B6FAC" w:rsidP="00157B61">
            <w:pPr>
              <w:pStyle w:val="RCGPNormal"/>
              <w:rPr>
                <w:rFonts w:eastAsia="Times New Roman" w:cs="Arial"/>
                <w:color w:val="000000" w:themeColor="text1"/>
              </w:rPr>
            </w:pPr>
          </w:p>
        </w:tc>
      </w:tr>
      <w:tr w:rsidR="005D0DB8" w:rsidRPr="005D0DB8" w:rsidTr="005D0DB8">
        <w:tc>
          <w:tcPr>
            <w:tcW w:w="704" w:type="dxa"/>
          </w:tcPr>
          <w:p w:rsidR="008B6FAC" w:rsidRPr="005D0DB8" w:rsidRDefault="005D0DB8" w:rsidP="00157B61">
            <w:pPr>
              <w:pStyle w:val="RCGPNormal"/>
              <w:rPr>
                <w:rFonts w:cs="Arial"/>
                <w:color w:val="000000" w:themeColor="text1"/>
              </w:rPr>
            </w:pPr>
            <w:r>
              <w:rPr>
                <w:rFonts w:cs="Arial"/>
                <w:color w:val="000000" w:themeColor="text1"/>
              </w:rPr>
              <w:lastRenderedPageBreak/>
              <w:t>9</w:t>
            </w:r>
          </w:p>
        </w:tc>
        <w:tc>
          <w:tcPr>
            <w:tcW w:w="4156" w:type="dxa"/>
          </w:tcPr>
          <w:p w:rsidR="008B6FAC" w:rsidRPr="005D0DB8" w:rsidRDefault="008B6FAC" w:rsidP="00157B61">
            <w:pPr>
              <w:spacing w:after="60"/>
              <w:rPr>
                <w:rFonts w:ascii="Arial" w:hAnsi="Arial" w:cs="Arial"/>
                <w:color w:val="000000" w:themeColor="text1"/>
              </w:rPr>
            </w:pPr>
            <w:r w:rsidRPr="005D0DB8">
              <w:rPr>
                <w:rFonts w:ascii="Arial" w:hAnsi="Arial" w:cs="Arial"/>
                <w:color w:val="000000" w:themeColor="text1"/>
              </w:rPr>
              <w:t>The section on time commitment in Schedule 1 regarding is a little vague in regard to the proportion of the total 60-</w:t>
            </w:r>
            <w:r w:rsidRPr="005D0DB8">
              <w:rPr>
                <w:rFonts w:ascii="Arial" w:hAnsi="Arial" w:cs="Arial"/>
                <w:color w:val="000000" w:themeColor="text1"/>
              </w:rPr>
              <w:lastRenderedPageBreak/>
              <w:t>day estimate that might be committed to attendance at meetings. Because of our remoteness from London this</w:t>
            </w:r>
            <w:r w:rsidR="005D0DB8" w:rsidRPr="005D0DB8">
              <w:rPr>
                <w:rFonts w:ascii="Arial" w:hAnsi="Arial" w:cs="Arial"/>
                <w:color w:val="000000" w:themeColor="text1"/>
              </w:rPr>
              <w:t xml:space="preserve"> </w:t>
            </w:r>
            <w:r w:rsidRPr="005D0DB8">
              <w:rPr>
                <w:rFonts w:ascii="Arial" w:hAnsi="Arial" w:cs="Arial"/>
                <w:color w:val="000000" w:themeColor="text1"/>
              </w:rPr>
              <w:t>aspect of the work is an important factor in costing our tender. Can you specify the number of days per annum on which attendance at meetings would be required?</w:t>
            </w:r>
          </w:p>
          <w:p w:rsidR="008B6FAC" w:rsidRPr="005D0DB8" w:rsidRDefault="008B6FAC" w:rsidP="00157B61">
            <w:pPr>
              <w:rPr>
                <w:rFonts w:ascii="Arial" w:eastAsia="Times New Roman" w:hAnsi="Arial" w:cs="Arial"/>
                <w:color w:val="000000" w:themeColor="text1"/>
              </w:rPr>
            </w:pPr>
          </w:p>
        </w:tc>
        <w:tc>
          <w:tcPr>
            <w:tcW w:w="7468" w:type="dxa"/>
          </w:tcPr>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lastRenderedPageBreak/>
              <w:t xml:space="preserve">We would anticipate attendance at the three AKT standard setting meetings each year and an </w:t>
            </w:r>
            <w:proofErr w:type="spellStart"/>
            <w:r w:rsidRPr="005D0DB8">
              <w:rPr>
                <w:rFonts w:ascii="Arial" w:hAnsi="Arial" w:cs="Arial"/>
                <w:color w:val="000000" w:themeColor="text1"/>
              </w:rPr>
              <w:t>Angoff</w:t>
            </w:r>
            <w:proofErr w:type="spellEnd"/>
            <w:r w:rsidRPr="005D0DB8">
              <w:rPr>
                <w:rFonts w:ascii="Arial" w:hAnsi="Arial" w:cs="Arial"/>
                <w:color w:val="000000" w:themeColor="text1"/>
              </w:rPr>
              <w:t xml:space="preserve"> process every second or third year.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lastRenderedPageBreak/>
              <w:t>Attendance at meetings of the clinical leads who are responsible for the overall ma</w:t>
            </w:r>
            <w:bookmarkStart w:id="0" w:name="_GoBack"/>
            <w:bookmarkEnd w:id="0"/>
            <w:r w:rsidRPr="005D0DB8">
              <w:rPr>
                <w:rFonts w:ascii="Arial" w:hAnsi="Arial" w:cs="Arial"/>
                <w:color w:val="000000" w:themeColor="text1"/>
              </w:rPr>
              <w:t xml:space="preserve">nagement of the exam would be helpful too – there are three of these annually.  </w:t>
            </w:r>
          </w:p>
          <w:p w:rsidR="005D0DB8" w:rsidRPr="005D0DB8" w:rsidRDefault="005D0DB8" w:rsidP="00157B61">
            <w:pPr>
              <w:spacing w:after="60"/>
              <w:rPr>
                <w:rFonts w:ascii="Arial" w:hAnsi="Arial" w:cs="Arial"/>
                <w:color w:val="000000" w:themeColor="text1"/>
              </w:rPr>
            </w:pPr>
            <w:r w:rsidRPr="005D0DB8">
              <w:rPr>
                <w:rFonts w:ascii="Arial" w:hAnsi="Arial" w:cs="Arial"/>
                <w:color w:val="000000" w:themeColor="text1"/>
              </w:rPr>
              <w:t>The group of clinicians responsible for the delivery of the CSA meets three times pa and attendance at some of these meetings could be helpful although joining via Skype could certainly be an option.</w:t>
            </w:r>
          </w:p>
          <w:p w:rsidR="008B6FAC" w:rsidRPr="005D0DB8" w:rsidRDefault="008B6FAC" w:rsidP="00157B61">
            <w:pPr>
              <w:pStyle w:val="RCGPNormal"/>
              <w:rPr>
                <w:rFonts w:eastAsia="Times New Roman" w:cs="Arial"/>
                <w:color w:val="000000" w:themeColor="text1"/>
              </w:rPr>
            </w:pPr>
          </w:p>
        </w:tc>
      </w:tr>
    </w:tbl>
    <w:p w:rsidR="008B6FAC" w:rsidRPr="00A90F8C" w:rsidRDefault="008B6FAC" w:rsidP="00A90F8C">
      <w:pPr>
        <w:pStyle w:val="RCGPNormal"/>
      </w:pPr>
    </w:p>
    <w:sectPr w:rsidR="008B6FAC" w:rsidRPr="00A90F8C" w:rsidSect="005D0D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7161C"/>
    <w:multiLevelType w:val="hybridMultilevel"/>
    <w:tmpl w:val="D7067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D1A71A1"/>
    <w:multiLevelType w:val="hybridMultilevel"/>
    <w:tmpl w:val="39FE1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6B7ED8"/>
    <w:multiLevelType w:val="multilevel"/>
    <w:tmpl w:val="E900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4A"/>
    <w:rsid w:val="00157B61"/>
    <w:rsid w:val="00447849"/>
    <w:rsid w:val="005D0DB8"/>
    <w:rsid w:val="00667E4A"/>
    <w:rsid w:val="008B6FAC"/>
    <w:rsid w:val="00A90F8C"/>
    <w:rsid w:val="00AE46A5"/>
    <w:rsid w:val="00C9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D0F45-8DF5-44A4-88EA-801B4925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table" w:styleId="TableGrid">
    <w:name w:val="Table Grid"/>
    <w:basedOn w:val="TableNormal"/>
    <w:uiPriority w:val="39"/>
    <w:rsid w:val="008B6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D0D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22594">
      <w:bodyDiv w:val="1"/>
      <w:marLeft w:val="0"/>
      <w:marRight w:val="0"/>
      <w:marTop w:val="0"/>
      <w:marBottom w:val="0"/>
      <w:divBdr>
        <w:top w:val="none" w:sz="0" w:space="0" w:color="auto"/>
        <w:left w:val="none" w:sz="0" w:space="0" w:color="auto"/>
        <w:bottom w:val="none" w:sz="0" w:space="0" w:color="auto"/>
        <w:right w:val="none" w:sz="0" w:space="0" w:color="auto"/>
      </w:divBdr>
    </w:div>
    <w:div w:id="668144878">
      <w:bodyDiv w:val="1"/>
      <w:marLeft w:val="0"/>
      <w:marRight w:val="0"/>
      <w:marTop w:val="0"/>
      <w:marBottom w:val="0"/>
      <w:divBdr>
        <w:top w:val="none" w:sz="0" w:space="0" w:color="auto"/>
        <w:left w:val="none" w:sz="0" w:space="0" w:color="auto"/>
        <w:bottom w:val="none" w:sz="0" w:space="0" w:color="auto"/>
        <w:right w:val="none" w:sz="0" w:space="0" w:color="auto"/>
      </w:divBdr>
    </w:div>
    <w:div w:id="675612644">
      <w:bodyDiv w:val="1"/>
      <w:marLeft w:val="0"/>
      <w:marRight w:val="0"/>
      <w:marTop w:val="0"/>
      <w:marBottom w:val="0"/>
      <w:divBdr>
        <w:top w:val="none" w:sz="0" w:space="0" w:color="auto"/>
        <w:left w:val="none" w:sz="0" w:space="0" w:color="auto"/>
        <w:bottom w:val="none" w:sz="0" w:space="0" w:color="auto"/>
        <w:right w:val="none" w:sz="0" w:space="0" w:color="auto"/>
      </w:divBdr>
    </w:div>
    <w:div w:id="777143070">
      <w:bodyDiv w:val="1"/>
      <w:marLeft w:val="0"/>
      <w:marRight w:val="0"/>
      <w:marTop w:val="0"/>
      <w:marBottom w:val="0"/>
      <w:divBdr>
        <w:top w:val="none" w:sz="0" w:space="0" w:color="auto"/>
        <w:left w:val="none" w:sz="0" w:space="0" w:color="auto"/>
        <w:bottom w:val="none" w:sz="0" w:space="0" w:color="auto"/>
        <w:right w:val="none" w:sz="0" w:space="0" w:color="auto"/>
      </w:divBdr>
    </w:div>
    <w:div w:id="777871934">
      <w:bodyDiv w:val="1"/>
      <w:marLeft w:val="0"/>
      <w:marRight w:val="0"/>
      <w:marTop w:val="0"/>
      <w:marBottom w:val="0"/>
      <w:divBdr>
        <w:top w:val="none" w:sz="0" w:space="0" w:color="auto"/>
        <w:left w:val="none" w:sz="0" w:space="0" w:color="auto"/>
        <w:bottom w:val="none" w:sz="0" w:space="0" w:color="auto"/>
        <w:right w:val="none" w:sz="0" w:space="0" w:color="auto"/>
      </w:divBdr>
    </w:div>
    <w:div w:id="1001545964">
      <w:bodyDiv w:val="1"/>
      <w:marLeft w:val="0"/>
      <w:marRight w:val="0"/>
      <w:marTop w:val="0"/>
      <w:marBottom w:val="0"/>
      <w:divBdr>
        <w:top w:val="none" w:sz="0" w:space="0" w:color="auto"/>
        <w:left w:val="none" w:sz="0" w:space="0" w:color="auto"/>
        <w:bottom w:val="none" w:sz="0" w:space="0" w:color="auto"/>
        <w:right w:val="none" w:sz="0" w:space="0" w:color="auto"/>
      </w:divBdr>
    </w:div>
    <w:div w:id="1148546330">
      <w:bodyDiv w:val="1"/>
      <w:marLeft w:val="0"/>
      <w:marRight w:val="0"/>
      <w:marTop w:val="0"/>
      <w:marBottom w:val="0"/>
      <w:divBdr>
        <w:top w:val="none" w:sz="0" w:space="0" w:color="auto"/>
        <w:left w:val="none" w:sz="0" w:space="0" w:color="auto"/>
        <w:bottom w:val="none" w:sz="0" w:space="0" w:color="auto"/>
        <w:right w:val="none" w:sz="0" w:space="0" w:color="auto"/>
      </w:divBdr>
    </w:div>
    <w:div w:id="1761826182">
      <w:bodyDiv w:val="1"/>
      <w:marLeft w:val="0"/>
      <w:marRight w:val="0"/>
      <w:marTop w:val="0"/>
      <w:marBottom w:val="0"/>
      <w:divBdr>
        <w:top w:val="none" w:sz="0" w:space="0" w:color="auto"/>
        <w:left w:val="none" w:sz="0" w:space="0" w:color="auto"/>
        <w:bottom w:val="none" w:sz="0" w:space="0" w:color="auto"/>
        <w:right w:val="none" w:sz="0" w:space="0" w:color="auto"/>
      </w:divBdr>
    </w:div>
    <w:div w:id="1776441240">
      <w:bodyDiv w:val="1"/>
      <w:marLeft w:val="0"/>
      <w:marRight w:val="0"/>
      <w:marTop w:val="0"/>
      <w:marBottom w:val="0"/>
      <w:divBdr>
        <w:top w:val="none" w:sz="0" w:space="0" w:color="auto"/>
        <w:left w:val="none" w:sz="0" w:space="0" w:color="auto"/>
        <w:bottom w:val="none" w:sz="0" w:space="0" w:color="auto"/>
        <w:right w:val="none" w:sz="0" w:space="0" w:color="auto"/>
      </w:divBdr>
    </w:div>
    <w:div w:id="1827933144">
      <w:bodyDiv w:val="1"/>
      <w:marLeft w:val="0"/>
      <w:marRight w:val="0"/>
      <w:marTop w:val="0"/>
      <w:marBottom w:val="0"/>
      <w:divBdr>
        <w:top w:val="none" w:sz="0" w:space="0" w:color="auto"/>
        <w:left w:val="none" w:sz="0" w:space="0" w:color="auto"/>
        <w:bottom w:val="none" w:sz="0" w:space="0" w:color="auto"/>
        <w:right w:val="none" w:sz="0" w:space="0" w:color="auto"/>
      </w:divBdr>
    </w:div>
    <w:div w:id="1862359925">
      <w:bodyDiv w:val="1"/>
      <w:marLeft w:val="0"/>
      <w:marRight w:val="0"/>
      <w:marTop w:val="0"/>
      <w:marBottom w:val="0"/>
      <w:divBdr>
        <w:top w:val="none" w:sz="0" w:space="0" w:color="auto"/>
        <w:left w:val="none" w:sz="0" w:space="0" w:color="auto"/>
        <w:bottom w:val="none" w:sz="0" w:space="0" w:color="auto"/>
        <w:right w:val="none" w:sz="0" w:space="0" w:color="auto"/>
      </w:divBdr>
    </w:div>
    <w:div w:id="1989285862">
      <w:bodyDiv w:val="1"/>
      <w:marLeft w:val="0"/>
      <w:marRight w:val="0"/>
      <w:marTop w:val="0"/>
      <w:marBottom w:val="0"/>
      <w:divBdr>
        <w:top w:val="none" w:sz="0" w:space="0" w:color="auto"/>
        <w:left w:val="none" w:sz="0" w:space="0" w:color="auto"/>
        <w:bottom w:val="none" w:sz="0" w:space="0" w:color="auto"/>
        <w:right w:val="none" w:sz="0" w:space="0" w:color="auto"/>
      </w:divBdr>
    </w:div>
    <w:div w:id="19930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training-exams/mrcgp-exams-overview/mrcgp-annual-reports/mrcgp-annual-reports-2015-2016.aspx" TargetMode="External"/><Relationship Id="rId3" Type="http://schemas.openxmlformats.org/officeDocument/2006/relationships/styles" Target="styles.xml"/><Relationship Id="rId7" Type="http://schemas.openxmlformats.org/officeDocument/2006/relationships/hyperlink" Target="http://www.rcgp.org.uk/training-exams/mrcgp-exams-overview/-/media/8F05DC6B1C1A46FDAACFDB1F1A632064.ash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gp.org.uk/training-exams/mrcgp-exams-overview/~/media/2BD641DE24C5484EA26DBE9EB9EFCEEA.ash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BE22-6806-4318-96EC-1284421C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B61AB4F</Template>
  <TotalTime>19</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Vara</dc:creator>
  <cp:keywords/>
  <dc:description/>
  <cp:lastModifiedBy>Janita Vara</cp:lastModifiedBy>
  <cp:revision>3</cp:revision>
  <dcterms:created xsi:type="dcterms:W3CDTF">2017-10-25T15:50:00Z</dcterms:created>
  <dcterms:modified xsi:type="dcterms:W3CDTF">2017-10-26T11:02:00Z</dcterms:modified>
</cp:coreProperties>
</file>