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38762" w14:textId="120D24A8"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11" w:history="1">
        <w:r w:rsidR="00124AAE">
          <w:rPr>
            <w:rStyle w:val="Hyperlink"/>
            <w:b/>
            <w:bCs/>
            <w:szCs w:val="24"/>
          </w:rPr>
          <w:t>THE</w:t>
        </w:r>
      </w:hyperlink>
      <w:r w:rsidR="00124AAE">
        <w:rPr>
          <w:rStyle w:val="Hyperlink"/>
          <w:b/>
          <w:bCs/>
          <w:szCs w:val="24"/>
        </w:rPr>
        <w:t xml:space="preserve"> RESEARCH</w:t>
      </w:r>
      <w:r w:rsidR="00935846">
        <w:rPr>
          <w:rStyle w:val="Hyperlink"/>
          <w:b/>
          <w:bCs/>
          <w:szCs w:val="24"/>
        </w:rPr>
        <w:t xml:space="preserve"> COMMISSIONING &amp; </w:t>
      </w:r>
      <w:r w:rsidR="0090377E">
        <w:rPr>
          <w:rStyle w:val="Hyperlink"/>
          <w:b/>
          <w:bCs/>
          <w:szCs w:val="24"/>
        </w:rPr>
        <w:t>STRATEGY</w:t>
      </w:r>
      <w:r w:rsidR="00935846">
        <w:rPr>
          <w:rStyle w:val="Hyperlink"/>
          <w:b/>
          <w:bCs/>
          <w:szCs w:val="24"/>
        </w:rPr>
        <w:t xml:space="preserve"> TEAM</w:t>
      </w:r>
      <w:r w:rsidRPr="001D2E04">
        <w:rPr>
          <w:rFonts w:cs="Arial"/>
          <w:b/>
          <w:bCs/>
          <w:color w:val="3333FF"/>
          <w:szCs w:val="24"/>
        </w:rPr>
        <w: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2D4B48D5"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3C35CE20"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003AAD">
      <w:pPr>
        <w:ind w:left="2160" w:firstLine="720"/>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The Contractor shall comply with such terms and shall provide, at the Department’s request, sufficient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5889AF60"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43D4B253" w14:textId="4B43A4D7" w:rsidR="00290953" w:rsidRPr="001D2E04" w:rsidRDefault="00290953" w:rsidP="00233DA0">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to exercise all rights of a similar nature as those described in Clause 6.2.1 above which may be conferred in respect of any Copyright</w:t>
      </w:r>
      <w:r w:rsidR="00233DA0">
        <w:rPr>
          <w:rFonts w:eastAsia="Arial" w:cs="Arial"/>
          <w:szCs w:val="24"/>
        </w:rPr>
        <w:t xml:space="preserve"> </w:t>
      </w:r>
      <w:r w:rsidRPr="001D2E04">
        <w:rPr>
          <w:rFonts w:eastAsia="Arial" w:cs="Arial"/>
          <w:szCs w:val="24"/>
        </w:rPr>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20BA7AB9"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required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5AD4F0B9"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that: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in particular Schedule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CA1EC12"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t>Where the Parties include two or more Joint Controllers as identified in Schedule 4 in accordance with GDPR Article 26, those Parties shall enter into a Joint Controller Agreement based on the terms outlined in Schedule</w:t>
      </w:r>
      <w:r w:rsidR="00D410D8">
        <w:rPr>
          <w:rFonts w:eastAsia="Arial" w:cs="Arial"/>
          <w:i/>
          <w:szCs w:val="24"/>
        </w:rPr>
        <w:t xml:space="preserve"> 4</w:t>
      </w:r>
      <w:r w:rsidRPr="00E05EE2">
        <w:rPr>
          <w:rFonts w:eastAsia="Arial" w:cs="Arial"/>
          <w:i/>
          <w:szCs w:val="24"/>
        </w:rPr>
        <w:t xml:space="preserve"> in replacement of Clauses </w:t>
      </w:r>
      <w:r w:rsidR="00D410D8">
        <w:rPr>
          <w:rFonts w:eastAsia="Arial" w:cs="Arial"/>
          <w:i/>
          <w:szCs w:val="24"/>
        </w:rPr>
        <w:t>7</w:t>
      </w:r>
      <w:r w:rsidRPr="00E05EE2">
        <w:rPr>
          <w:rFonts w:eastAsia="Arial" w:cs="Arial"/>
          <w:i/>
          <w:szCs w:val="24"/>
        </w:rPr>
        <w:t>.1-</w:t>
      </w:r>
      <w:r w:rsidR="00D410D8">
        <w:rPr>
          <w:rFonts w:eastAsia="Arial" w:cs="Arial"/>
          <w:i/>
          <w:szCs w:val="24"/>
        </w:rPr>
        <w:t>7</w:t>
      </w:r>
      <w:r w:rsidRPr="00E05EE2">
        <w:rPr>
          <w:rFonts w:eastAsia="Arial" w:cs="Arial"/>
          <w:i/>
          <w:szCs w:val="24"/>
        </w:rPr>
        <w:t>.14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2B999E87" w14:textId="3E6659FF" w:rsidR="00290953" w:rsidRDefault="007773F3" w:rsidP="009128F7">
      <w:pPr>
        <w:pStyle w:val="ListParagraph"/>
        <w:keepNext/>
        <w:keepLines/>
        <w:widowControl/>
        <w:numPr>
          <w:ilvl w:val="1"/>
          <w:numId w:val="13"/>
        </w:numPr>
        <w:spacing w:before="120" w:after="120"/>
        <w:outlineLvl w:val="1"/>
        <w:rPr>
          <w:rFonts w:cs="Arial"/>
          <w:kern w:val="28"/>
          <w:szCs w:val="24"/>
        </w:rPr>
      </w:pPr>
      <w:r w:rsidRPr="005F03A9">
        <w:rPr>
          <w:rFonts w:cs="Arial"/>
          <w:kern w:val="28"/>
          <w:szCs w:val="24"/>
        </w:rPr>
        <w:t xml:space="preserve">The Contractor shall be aware of and comply the relevant </w:t>
      </w:r>
      <w:hyperlink r:id="rId12" w:history="1">
        <w:r w:rsidRPr="005F03A9">
          <w:rPr>
            <w:rStyle w:val="Hyperlink"/>
            <w:rFonts w:cs="Arial"/>
            <w:kern w:val="28"/>
            <w:szCs w:val="24"/>
          </w:rPr>
          <w:t>HMG security policy framework</w:t>
        </w:r>
      </w:hyperlink>
      <w:r w:rsidRPr="005F03A9">
        <w:rPr>
          <w:rFonts w:cs="Arial"/>
          <w:kern w:val="28"/>
          <w:szCs w:val="24"/>
        </w:rPr>
        <w:t xml:space="preserve">, </w:t>
      </w:r>
      <w:hyperlink r:id="rId13" w:history="1">
        <w:r w:rsidRPr="005F03A9">
          <w:rPr>
            <w:rStyle w:val="Hyperlink"/>
            <w:rFonts w:cs="Arial"/>
            <w:kern w:val="28"/>
            <w:szCs w:val="24"/>
          </w:rPr>
          <w:t>NCSC guidelines</w:t>
        </w:r>
      </w:hyperlink>
      <w:r w:rsidRPr="005F03A9">
        <w:rPr>
          <w:rFonts w:cs="Arial"/>
          <w:kern w:val="28"/>
          <w:szCs w:val="24"/>
        </w:rPr>
        <w:t xml:space="preserve"> and where applicable DfE Departmental Security Standards for Contractors which include but are not constrained to the following clauses. </w:t>
      </w:r>
    </w:p>
    <w:p w14:paraId="77975969" w14:textId="77777777" w:rsidR="009128F7" w:rsidRPr="009128F7" w:rsidRDefault="009128F7" w:rsidP="009128F7">
      <w:pPr>
        <w:pStyle w:val="ListParagraph"/>
        <w:keepNext/>
        <w:keepLines/>
        <w:widowControl/>
        <w:spacing w:before="120" w:after="120"/>
        <w:ind w:left="1440"/>
        <w:outlineLvl w:val="1"/>
        <w:rPr>
          <w:rFonts w:cs="Arial"/>
          <w:kern w:val="28"/>
          <w:szCs w:val="24"/>
        </w:rPr>
      </w:pPr>
    </w:p>
    <w:p w14:paraId="23A035AC" w14:textId="7E7E657D" w:rsidR="00B31A1E" w:rsidRPr="00B31A1E" w:rsidRDefault="009128F7" w:rsidP="00B31A1E">
      <w:pPr>
        <w:pStyle w:val="ListParagraph"/>
        <w:widowControl/>
        <w:numPr>
          <w:ilvl w:val="1"/>
          <w:numId w:val="13"/>
        </w:numPr>
        <w:spacing w:before="120" w:after="120"/>
        <w:rPr>
          <w:rFonts w:cs="Arial"/>
          <w:color w:val="000000"/>
          <w:szCs w:val="24"/>
        </w:rPr>
      </w:pPr>
      <w:r w:rsidRPr="00020AF4">
        <w:rPr>
          <w:rFonts w:cs="Arial"/>
          <w:kern w:val="28"/>
          <w:szCs w:val="28"/>
        </w:rPr>
        <w:t xml:space="preserve">Where the Contractor will provide products or services or otherwise handle information at OFFICIAL for the Department, the requirements of </w:t>
      </w:r>
      <w:hyperlink r:id="rId14" w:history="1">
        <w:r w:rsidRPr="00020AF4">
          <w:rPr>
            <w:rStyle w:val="Hyperlink"/>
            <w:rFonts w:cs="Arial"/>
            <w:kern w:val="28"/>
            <w:szCs w:val="28"/>
          </w:rPr>
          <w:t>Cabinet Office Procurement Policy Note – Use of Cyber Essentials Scheme certification</w:t>
        </w:r>
      </w:hyperlink>
      <w:r w:rsidRPr="00020AF4">
        <w:rPr>
          <w:rFonts w:cs="Arial"/>
          <w:kern w:val="28"/>
          <w:szCs w:val="28"/>
        </w:rPr>
        <w:t xml:space="preserve"> - </w:t>
      </w:r>
      <w:hyperlink r:id="rId15" w:history="1">
        <w:r w:rsidRPr="00020AF4">
          <w:rPr>
            <w:rFonts w:cs="Arial"/>
            <w:color w:val="0000FF"/>
            <w:kern w:val="28"/>
            <w:szCs w:val="28"/>
            <w:u w:val="single"/>
          </w:rPr>
          <w:t>Action Note 09/14</w:t>
        </w:r>
      </w:hyperlink>
      <w:r w:rsidRPr="00020AF4">
        <w:rPr>
          <w:rFonts w:cs="Arial"/>
          <w:color w:val="0000FF"/>
          <w:kern w:val="28"/>
          <w:szCs w:val="28"/>
        </w:rPr>
        <w:t xml:space="preserve"> </w:t>
      </w:r>
      <w:r w:rsidRPr="00020AF4">
        <w:rPr>
          <w:rFonts w:cs="Arial"/>
          <w:kern w:val="28"/>
          <w:szCs w:val="28"/>
        </w:rPr>
        <w:t>dated 25 May 2016, or any subsequent updated document, are mandated; that “contractors supplying products or services to HMG shall have achieved, and will be expected to retain certification at the appropriate level for the duration of the contract. The certification scope shall be relevant to the services supplied to, or on behalf of, the Department.</w:t>
      </w:r>
    </w:p>
    <w:p w14:paraId="520857A2" w14:textId="77777777" w:rsidR="00B31A1E" w:rsidRPr="00B31A1E" w:rsidRDefault="00B31A1E" w:rsidP="00B31A1E">
      <w:pPr>
        <w:widowControl/>
        <w:spacing w:before="120" w:after="120"/>
        <w:rPr>
          <w:rFonts w:cs="Arial"/>
          <w:color w:val="000000"/>
          <w:szCs w:val="24"/>
        </w:rPr>
      </w:pPr>
    </w:p>
    <w:p w14:paraId="54BEF874" w14:textId="76D6B4EA" w:rsidR="00290953" w:rsidRPr="00ED5C86" w:rsidRDefault="00B31A1E" w:rsidP="00ED5C86">
      <w:pPr>
        <w:pStyle w:val="ListParagraph"/>
        <w:keepNext/>
        <w:keepLines/>
        <w:widowControl/>
        <w:numPr>
          <w:ilvl w:val="1"/>
          <w:numId w:val="13"/>
        </w:numPr>
        <w:overflowPunct/>
        <w:autoSpaceDE/>
        <w:autoSpaceDN/>
        <w:adjustRightInd/>
        <w:spacing w:before="120" w:after="120" w:line="288" w:lineRule="auto"/>
        <w:textAlignment w:val="auto"/>
        <w:outlineLvl w:val="1"/>
        <w:rPr>
          <w:rFonts w:cs="Arial"/>
          <w:szCs w:val="24"/>
        </w:rPr>
      </w:pPr>
      <w:r w:rsidRPr="00B31A1E">
        <w:rPr>
          <w:rFonts w:cs="Arial"/>
          <w:szCs w:val="32"/>
        </w:rPr>
        <w:t xml:space="preserve">Where clause 8.2 above has not been met, the Contractor shall have achieved, and be able to maintain, independent certification to ISO/IEC 27001 (Information Security Management Systems Requirements). </w:t>
      </w:r>
    </w:p>
    <w:p w14:paraId="3AFB90C7" w14:textId="77777777" w:rsidR="00ED5C86" w:rsidRPr="00ED5C86" w:rsidRDefault="00ED5C86" w:rsidP="00ED5C86">
      <w:pPr>
        <w:pStyle w:val="ListParagraph"/>
        <w:rPr>
          <w:rFonts w:cs="Arial"/>
          <w:szCs w:val="24"/>
        </w:rPr>
      </w:pPr>
    </w:p>
    <w:p w14:paraId="047F2D40" w14:textId="17D0B24B" w:rsidR="00290953" w:rsidRDefault="00290953" w:rsidP="00ED5C86">
      <w:pPr>
        <w:pStyle w:val="ListParagraph"/>
        <w:keepNext/>
        <w:keepLines/>
        <w:widowControl/>
        <w:numPr>
          <w:ilvl w:val="1"/>
          <w:numId w:val="13"/>
        </w:numPr>
        <w:overflowPunct/>
        <w:autoSpaceDE/>
        <w:autoSpaceDN/>
        <w:adjustRightInd/>
        <w:spacing w:before="120" w:after="120" w:line="288" w:lineRule="auto"/>
        <w:textAlignment w:val="auto"/>
        <w:outlineLvl w:val="1"/>
        <w:rPr>
          <w:rFonts w:cs="Arial"/>
          <w:szCs w:val="24"/>
        </w:rPr>
      </w:pPr>
      <w:r w:rsidRPr="00ED5C86">
        <w:rPr>
          <w:rFonts w:cs="Arial"/>
          <w:szCs w:val="24"/>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3A109D1" w14:textId="77777777" w:rsidR="00E20DE1" w:rsidRPr="00E20DE1" w:rsidRDefault="00E20DE1" w:rsidP="00E20DE1">
      <w:pPr>
        <w:pStyle w:val="ListParagraph"/>
        <w:rPr>
          <w:rFonts w:cs="Arial"/>
          <w:szCs w:val="24"/>
        </w:rPr>
      </w:pPr>
    </w:p>
    <w:p w14:paraId="311C72D9" w14:textId="588B7F13" w:rsidR="00102112" w:rsidRDefault="00102112" w:rsidP="00102112">
      <w:pPr>
        <w:pStyle w:val="ListParagraph"/>
        <w:keepNext/>
        <w:keepLines/>
        <w:widowControl/>
        <w:numPr>
          <w:ilvl w:val="1"/>
          <w:numId w:val="13"/>
        </w:numPr>
        <w:spacing w:before="120" w:after="120"/>
        <w:outlineLvl w:val="1"/>
        <w:rPr>
          <w:rFonts w:cs="Arial"/>
          <w:kern w:val="28"/>
        </w:rPr>
      </w:pPr>
      <w:r w:rsidRPr="005E63D7">
        <w:rPr>
          <w:rFonts w:cs="Arial"/>
          <w:kern w:val="28"/>
        </w:rPr>
        <w:t xml:space="preserve">Departmental Data being handled in the course of providing an ICT solution or service must be separated from all other data on the Contractor’s or sub-contractor’s own IT equipment to protect the Departmental Data and enable the data to be identified and securely deleted when required in line with clause </w:t>
      </w:r>
      <w:r>
        <w:rPr>
          <w:rFonts w:cs="Arial"/>
          <w:kern w:val="28"/>
        </w:rPr>
        <w:t>8</w:t>
      </w:r>
      <w:r w:rsidRPr="005E63D7">
        <w:rPr>
          <w:rFonts w:cs="Arial"/>
          <w:kern w:val="28"/>
        </w:rPr>
        <w:t xml:space="preserve">.14. </w:t>
      </w:r>
    </w:p>
    <w:p w14:paraId="0A10CEFD" w14:textId="77777777" w:rsidR="00ED5C86" w:rsidRPr="00ED5C86" w:rsidRDefault="00ED5C86" w:rsidP="00ED5C86">
      <w:pPr>
        <w:pStyle w:val="ListParagraph"/>
        <w:rPr>
          <w:rFonts w:cs="Arial"/>
          <w:kern w:val="28"/>
        </w:rPr>
      </w:pPr>
    </w:p>
    <w:p w14:paraId="7596B85F" w14:textId="2A17DDB7" w:rsidR="004E6070" w:rsidRDefault="004E6070" w:rsidP="004E6070">
      <w:pPr>
        <w:pStyle w:val="ListParagraph"/>
        <w:keepNext/>
        <w:keepLines/>
        <w:widowControl/>
        <w:numPr>
          <w:ilvl w:val="1"/>
          <w:numId w:val="13"/>
        </w:numPr>
        <w:spacing w:before="120" w:after="120"/>
        <w:outlineLvl w:val="1"/>
        <w:rPr>
          <w:rFonts w:cs="Arial"/>
          <w:kern w:val="28"/>
        </w:rPr>
      </w:pPr>
      <w:r w:rsidRPr="00C96FBE">
        <w:rPr>
          <w:rFonts w:cs="Arial"/>
          <w:kern w:val="28"/>
        </w:rPr>
        <w:t>The Contractor shall have in place and maintain physical security</w:t>
      </w:r>
      <w:r w:rsidRPr="005E63D7">
        <w:rPr>
          <w:rFonts w:cs="Arial"/>
          <w:kern w:val="28"/>
        </w:rPr>
        <w:t xml:space="preserve"> to premises and sensitive areas in line with </w:t>
      </w:r>
      <w:r w:rsidRPr="00C96FBE">
        <w:rPr>
          <w:rFonts w:cs="Arial"/>
          <w:kern w:val="28"/>
        </w:rPr>
        <w:t>ISO/IEC 27002 including, but not limited to, entry control mechanisms (e.g. door access</w:t>
      </w:r>
      <w:r w:rsidRPr="005E63D7">
        <w:rPr>
          <w:rFonts w:cs="Arial"/>
          <w:kern w:val="28"/>
        </w:rPr>
        <w:t xml:space="preserve">), CCTV, alarm systems, etc.  </w:t>
      </w:r>
    </w:p>
    <w:p w14:paraId="0134EC44" w14:textId="77777777" w:rsidR="00E53E67" w:rsidRPr="00E53E67" w:rsidRDefault="00E53E67" w:rsidP="00E53E67">
      <w:pPr>
        <w:pStyle w:val="ListParagraph"/>
        <w:rPr>
          <w:rFonts w:cs="Arial"/>
          <w:kern w:val="28"/>
        </w:rPr>
      </w:pPr>
    </w:p>
    <w:p w14:paraId="3A0025DF" w14:textId="0279DC15" w:rsidR="000C3CE7" w:rsidRDefault="000C3CE7" w:rsidP="000C3CE7">
      <w:pPr>
        <w:pStyle w:val="ListParagraph"/>
        <w:keepNext/>
        <w:keepLines/>
        <w:widowControl/>
        <w:numPr>
          <w:ilvl w:val="1"/>
          <w:numId w:val="13"/>
        </w:numPr>
        <w:spacing w:before="120" w:after="120"/>
        <w:outlineLvl w:val="1"/>
        <w:rPr>
          <w:rFonts w:cs="Arial"/>
          <w:kern w:val="28"/>
          <w:szCs w:val="24"/>
        </w:rPr>
      </w:pPr>
      <w:r w:rsidRPr="005F03A9">
        <w:rPr>
          <w:rFonts w:cs="Arial"/>
          <w:kern w:val="28"/>
          <w:szCs w:val="24"/>
        </w:rPr>
        <w:t>The Contractor shall have in place and maintain an appropriate user access control policy for all ICT systems to ensure only authorised personnel have access to Departmental Data. This policy should include appropriate segregation of duties and if applicable role based access controls (RBAC).</w:t>
      </w:r>
      <w:r w:rsidRPr="005E344F">
        <w:t xml:space="preserve"> </w:t>
      </w:r>
      <w:r w:rsidRPr="005F03A9">
        <w:rPr>
          <w:rFonts w:cs="Arial"/>
          <w:kern w:val="28"/>
          <w:szCs w:val="24"/>
        </w:rPr>
        <w:t>User credentials that give access to Departmental Data or systems shall be considered to be sensitive data and must be protected accordingly.</w:t>
      </w:r>
    </w:p>
    <w:p w14:paraId="5579019F" w14:textId="77777777" w:rsidR="002A10E0" w:rsidRPr="002A10E0" w:rsidRDefault="002A10E0" w:rsidP="002A10E0">
      <w:pPr>
        <w:pStyle w:val="ListParagraph"/>
        <w:rPr>
          <w:rFonts w:cs="Arial"/>
          <w:kern w:val="28"/>
          <w:szCs w:val="24"/>
        </w:rPr>
      </w:pPr>
    </w:p>
    <w:p w14:paraId="07A6C056" w14:textId="77777777" w:rsidR="002A10E0" w:rsidRPr="000D7E71" w:rsidRDefault="002A10E0" w:rsidP="002A10E0">
      <w:pPr>
        <w:pStyle w:val="ListParagraph"/>
        <w:widowControl/>
        <w:numPr>
          <w:ilvl w:val="1"/>
          <w:numId w:val="13"/>
        </w:numPr>
        <w:overflowPunct/>
        <w:autoSpaceDE/>
        <w:autoSpaceDN/>
        <w:adjustRightInd/>
        <w:spacing w:before="120" w:after="120" w:line="288" w:lineRule="auto"/>
        <w:textAlignment w:val="auto"/>
        <w:rPr>
          <w:rFonts w:cs="Arial"/>
        </w:rPr>
      </w:pPr>
      <w:r w:rsidRPr="00D52DA1">
        <w:rPr>
          <w:rFonts w:cs="Arial"/>
          <w:kern w:val="28"/>
        </w:rPr>
        <w:t xml:space="preserve">The Contractor shall have in place and shall maintain procedural, personnel, physical and technical safeguards to protect Departmental Data, including but not limited to: </w:t>
      </w:r>
    </w:p>
    <w:p w14:paraId="232D681A"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 xml:space="preserve">physical security controls; </w:t>
      </w:r>
    </w:p>
    <w:p w14:paraId="1FFF8484"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 xml:space="preserve">good industry standard policies and processes; </w:t>
      </w:r>
    </w:p>
    <w:p w14:paraId="288B71FA"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malware protection;</w:t>
      </w:r>
    </w:p>
    <w:p w14:paraId="08A05C3D"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boundary access controls including firewalls;</w:t>
      </w:r>
    </w:p>
    <w:p w14:paraId="0AFF5087"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maintenance and use of fully supported software packages in accordance with vendor recommendations;</w:t>
      </w:r>
    </w:p>
    <w:p w14:paraId="7FC0FFA4"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software updates and patching regimes including malware signatures, for operating systems, network devices, applications and services;</w:t>
      </w:r>
    </w:p>
    <w:p w14:paraId="2A1C240D" w14:textId="77777777"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user access controls, and;</w:t>
      </w:r>
    </w:p>
    <w:p w14:paraId="149FC8BD" w14:textId="2D7B2CD3" w:rsidR="002A10E0" w:rsidRDefault="002A10E0" w:rsidP="002A10E0">
      <w:pPr>
        <w:pStyle w:val="ListParagraph"/>
        <w:keepNext/>
        <w:keepLines/>
        <w:widowControl/>
        <w:numPr>
          <w:ilvl w:val="0"/>
          <w:numId w:val="17"/>
        </w:numPr>
        <w:spacing w:before="120" w:after="120"/>
        <w:outlineLvl w:val="1"/>
        <w:rPr>
          <w:rFonts w:cs="Arial"/>
          <w:kern w:val="28"/>
          <w:szCs w:val="24"/>
        </w:rPr>
      </w:pPr>
      <w:r w:rsidRPr="000D7E71">
        <w:rPr>
          <w:rFonts w:cs="Arial"/>
          <w:kern w:val="28"/>
          <w:szCs w:val="24"/>
        </w:rPr>
        <w:t>the creation and retention of audit logs of system, application and security events.</w:t>
      </w:r>
    </w:p>
    <w:p w14:paraId="6973559E" w14:textId="77777777" w:rsidR="00F26610" w:rsidRDefault="00F26610" w:rsidP="00F26610">
      <w:pPr>
        <w:pStyle w:val="ListParagraph"/>
        <w:keepNext/>
        <w:keepLines/>
        <w:widowControl/>
        <w:spacing w:before="120" w:after="120"/>
        <w:ind w:left="2160"/>
        <w:outlineLvl w:val="1"/>
        <w:rPr>
          <w:rFonts w:cs="Arial"/>
          <w:kern w:val="28"/>
          <w:szCs w:val="24"/>
        </w:rPr>
      </w:pPr>
    </w:p>
    <w:p w14:paraId="3579DE86" w14:textId="136B4416" w:rsidR="00F26610" w:rsidRDefault="00F26610" w:rsidP="00F26610">
      <w:pPr>
        <w:pStyle w:val="ListParagraph"/>
        <w:keepNext/>
        <w:keepLines/>
        <w:widowControl/>
        <w:numPr>
          <w:ilvl w:val="1"/>
          <w:numId w:val="13"/>
        </w:numPr>
        <w:spacing w:before="120" w:after="120"/>
        <w:outlineLvl w:val="1"/>
        <w:rPr>
          <w:rFonts w:cs="Arial"/>
          <w:kern w:val="28"/>
          <w:szCs w:val="24"/>
        </w:rPr>
      </w:pPr>
      <w:r w:rsidRPr="00B41573">
        <w:rPr>
          <w:rFonts w:cs="Arial"/>
          <w:kern w:val="28"/>
          <w:szCs w:val="24"/>
        </w:rPr>
        <w:t>The contractor shall ensure that any departmental data (including email) transmitted over any public network (including the Internet, mobile networks or un-protected enterprise network) or to a mobile device shall be encrypted when transmitted.</w:t>
      </w:r>
    </w:p>
    <w:p w14:paraId="151FAB3B" w14:textId="77777777" w:rsidR="00140162" w:rsidRDefault="00140162" w:rsidP="00140162">
      <w:pPr>
        <w:pStyle w:val="ListParagraph"/>
        <w:keepNext/>
        <w:keepLines/>
        <w:widowControl/>
        <w:spacing w:before="120" w:after="120"/>
        <w:ind w:left="1440"/>
        <w:outlineLvl w:val="1"/>
        <w:rPr>
          <w:rFonts w:cs="Arial"/>
          <w:kern w:val="28"/>
          <w:szCs w:val="24"/>
        </w:rPr>
      </w:pPr>
    </w:p>
    <w:p w14:paraId="7AA54240" w14:textId="0D15978E" w:rsidR="008E1485" w:rsidRDefault="00140162" w:rsidP="008E1485">
      <w:pPr>
        <w:pStyle w:val="ListParagraph"/>
        <w:keepNext/>
        <w:keepLines/>
        <w:widowControl/>
        <w:numPr>
          <w:ilvl w:val="1"/>
          <w:numId w:val="13"/>
        </w:numPr>
        <w:spacing w:before="120" w:after="120"/>
        <w:outlineLvl w:val="1"/>
        <w:rPr>
          <w:rFonts w:cs="Arial"/>
          <w:kern w:val="28"/>
          <w:szCs w:val="24"/>
        </w:rPr>
      </w:pPr>
      <w:r w:rsidRPr="008D1A4A">
        <w:rPr>
          <w:rFonts w:cs="Arial"/>
          <w:kern w:val="28"/>
          <w:szCs w:val="24"/>
        </w:rPr>
        <w:t>The contractor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r w:rsidR="008E1485">
        <w:rPr>
          <w:rFonts w:cs="Arial"/>
          <w:kern w:val="28"/>
          <w:szCs w:val="24"/>
        </w:rPr>
        <w:t>.</w:t>
      </w:r>
    </w:p>
    <w:p w14:paraId="63F7D460" w14:textId="77777777" w:rsidR="008E1485" w:rsidRPr="008E1485" w:rsidRDefault="008E1485" w:rsidP="008E1485">
      <w:pPr>
        <w:pStyle w:val="ListParagraph"/>
        <w:rPr>
          <w:rFonts w:cs="Arial"/>
          <w:kern w:val="28"/>
          <w:szCs w:val="24"/>
        </w:rPr>
      </w:pPr>
    </w:p>
    <w:p w14:paraId="610565B4" w14:textId="39A98684" w:rsidR="008E1485" w:rsidRDefault="008E1485" w:rsidP="008E1485">
      <w:pPr>
        <w:pStyle w:val="ListParagraph"/>
        <w:keepNext/>
        <w:keepLines/>
        <w:widowControl/>
        <w:numPr>
          <w:ilvl w:val="1"/>
          <w:numId w:val="13"/>
        </w:numPr>
        <w:spacing w:before="120" w:after="120"/>
        <w:outlineLvl w:val="1"/>
        <w:rPr>
          <w:rFonts w:cs="Arial"/>
          <w:kern w:val="28"/>
          <w:szCs w:val="24"/>
        </w:rPr>
      </w:pPr>
      <w:r w:rsidRPr="00B23219">
        <w:rPr>
          <w:rFonts w:cs="Arial"/>
          <w:kern w:val="28"/>
          <w:szCs w:val="24"/>
        </w:rPr>
        <w:t xml:space="preserve">The contractor shall ensure that any device which is used to process departmental data meets all of the security requirements set out in the NCSC End User Devices Platform Security Guidance, a copy of which can be found at: </w:t>
      </w:r>
      <w:hyperlink r:id="rId16" w:history="1">
        <w:r w:rsidRPr="00B23219">
          <w:rPr>
            <w:rStyle w:val="Hyperlink"/>
            <w:rFonts w:cs="Arial"/>
            <w:kern w:val="28"/>
            <w:szCs w:val="24"/>
          </w:rPr>
          <w:t>https://www.ncsc.gov.uk/guidance/end-user-device-security</w:t>
        </w:r>
      </w:hyperlink>
      <w:r w:rsidRPr="00B23219">
        <w:rPr>
          <w:rFonts w:cs="Arial"/>
          <w:kern w:val="28"/>
          <w:szCs w:val="24"/>
        </w:rPr>
        <w:t xml:space="preserve"> and </w:t>
      </w:r>
      <w:hyperlink r:id="rId17" w:history="1">
        <w:r w:rsidRPr="00B23219">
          <w:rPr>
            <w:rStyle w:val="Hyperlink"/>
            <w:rFonts w:cs="Arial"/>
            <w:kern w:val="28"/>
            <w:szCs w:val="24"/>
          </w:rPr>
          <w:t>https://www.ncsc.gov.uk/collection/end-user-device-security/eud-overview/eud-security-principles</w:t>
        </w:r>
      </w:hyperlink>
      <w:r w:rsidRPr="00B23219">
        <w:rPr>
          <w:rFonts w:cs="Arial"/>
          <w:kern w:val="28"/>
          <w:szCs w:val="24"/>
        </w:rPr>
        <w:t>.</w:t>
      </w:r>
    </w:p>
    <w:p w14:paraId="355D073F" w14:textId="77777777" w:rsidR="00BB0203" w:rsidRPr="00BB0203" w:rsidRDefault="00BB0203" w:rsidP="00BB0203">
      <w:pPr>
        <w:pStyle w:val="ListParagraph"/>
        <w:rPr>
          <w:rFonts w:cs="Arial"/>
          <w:kern w:val="28"/>
          <w:szCs w:val="24"/>
        </w:rPr>
      </w:pPr>
    </w:p>
    <w:p w14:paraId="670C4D9C" w14:textId="77777777" w:rsidR="00BB0203" w:rsidRDefault="00BB0203" w:rsidP="00BB0203">
      <w:pPr>
        <w:pStyle w:val="ListParagraph"/>
        <w:keepNext/>
        <w:keepLines/>
        <w:widowControl/>
        <w:numPr>
          <w:ilvl w:val="1"/>
          <w:numId w:val="13"/>
        </w:numPr>
        <w:spacing w:before="120" w:after="120"/>
        <w:outlineLvl w:val="1"/>
        <w:rPr>
          <w:rFonts w:cs="Arial"/>
          <w:kern w:val="28"/>
          <w:szCs w:val="24"/>
        </w:rPr>
      </w:pPr>
      <w:r w:rsidRPr="00C26D3D">
        <w:rPr>
          <w:rFonts w:cs="Arial"/>
          <w:kern w:val="28"/>
          <w:szCs w:val="24"/>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5E0A3AC6" w14:textId="4BCD3EDB" w:rsidR="00BB0203" w:rsidRDefault="00BB0203" w:rsidP="00BB0203">
      <w:pPr>
        <w:pStyle w:val="ListParagraph"/>
        <w:keepNext/>
        <w:keepLines/>
        <w:widowControl/>
        <w:spacing w:before="120" w:after="120"/>
        <w:ind w:left="1440"/>
        <w:outlineLvl w:val="1"/>
        <w:rPr>
          <w:rFonts w:cs="Arial"/>
          <w:kern w:val="28"/>
          <w:szCs w:val="24"/>
        </w:rPr>
      </w:pPr>
      <w:r w:rsidRPr="002251E8">
        <w:rPr>
          <w:rFonts w:cs="Arial"/>
          <w:kern w:val="28"/>
          <w:szCs w:val="24"/>
        </w:rPr>
        <w:t>The term ‘lock and key’ is defined as: “securing information in a lockable desk drawer, cupboard or filing cabinet which is under the user’s sole control and to which they hold the keys”.</w:t>
      </w:r>
    </w:p>
    <w:p w14:paraId="1BF14050" w14:textId="77777777" w:rsidR="00FC1012" w:rsidRDefault="00FC1012" w:rsidP="00BB0203">
      <w:pPr>
        <w:pStyle w:val="ListParagraph"/>
        <w:keepNext/>
        <w:keepLines/>
        <w:widowControl/>
        <w:spacing w:before="120" w:after="120"/>
        <w:ind w:left="1440"/>
        <w:outlineLvl w:val="1"/>
        <w:rPr>
          <w:rFonts w:cs="Arial"/>
          <w:kern w:val="28"/>
          <w:szCs w:val="24"/>
        </w:rPr>
      </w:pPr>
    </w:p>
    <w:p w14:paraId="3038A5CB" w14:textId="77777777" w:rsidR="00FC1012" w:rsidRDefault="00FC1012" w:rsidP="00FC1012">
      <w:pPr>
        <w:pStyle w:val="ListParagraph"/>
        <w:keepNext/>
        <w:keepLines/>
        <w:widowControl/>
        <w:numPr>
          <w:ilvl w:val="1"/>
          <w:numId w:val="13"/>
        </w:numPr>
        <w:spacing w:before="120" w:after="120"/>
        <w:outlineLvl w:val="1"/>
        <w:rPr>
          <w:rFonts w:cs="Arial"/>
          <w:kern w:val="28"/>
          <w:szCs w:val="24"/>
        </w:rPr>
      </w:pPr>
      <w:r w:rsidRPr="002251E8">
        <w:rPr>
          <w:rFonts w:cs="Arial"/>
          <w:kern w:val="28"/>
          <w:szCs w:val="24"/>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083D1938" w14:textId="2DF37222" w:rsidR="00FC1012" w:rsidRDefault="00FC1012" w:rsidP="00FC1012">
      <w:pPr>
        <w:pStyle w:val="ListParagraph"/>
        <w:keepNext/>
        <w:keepLines/>
        <w:widowControl/>
        <w:spacing w:before="120" w:after="120"/>
        <w:ind w:left="1440"/>
        <w:outlineLvl w:val="1"/>
        <w:rPr>
          <w:rFonts w:cs="Arial"/>
          <w:color w:val="000000"/>
          <w:szCs w:val="24"/>
        </w:rPr>
      </w:pPr>
      <w:r w:rsidRPr="008078AE">
        <w:rPr>
          <w:rFonts w:cs="Arial"/>
          <w:color w:val="000000"/>
          <w:szCs w:val="24"/>
        </w:rPr>
        <w:t>The term ‘under cover’ means that the information is carried within an opaque folder or envelope within official premises and buildings and within a closed briefcase or other similar bag or container when outside official premises or buildings.</w:t>
      </w:r>
    </w:p>
    <w:p w14:paraId="6F6E4AA8" w14:textId="77777777" w:rsidR="008B3F26" w:rsidRDefault="008B3F26" w:rsidP="00FC1012">
      <w:pPr>
        <w:pStyle w:val="ListParagraph"/>
        <w:keepNext/>
        <w:keepLines/>
        <w:widowControl/>
        <w:spacing w:before="120" w:after="120"/>
        <w:ind w:left="1440"/>
        <w:outlineLvl w:val="1"/>
        <w:rPr>
          <w:rFonts w:cs="Arial"/>
          <w:color w:val="000000"/>
          <w:szCs w:val="24"/>
        </w:rPr>
      </w:pPr>
    </w:p>
    <w:p w14:paraId="6E5BF397" w14:textId="77777777" w:rsidR="00906785" w:rsidRPr="00906785" w:rsidRDefault="008B3F26" w:rsidP="008042C8">
      <w:pPr>
        <w:pStyle w:val="ListParagraph"/>
        <w:keepNext/>
        <w:keepLines/>
        <w:widowControl/>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1"/>
        <w:rPr>
          <w:rFonts w:cs="Arial"/>
          <w:kern w:val="28"/>
          <w:szCs w:val="24"/>
        </w:rPr>
      </w:pPr>
      <w:r w:rsidRPr="00906785">
        <w:rPr>
          <w:rFonts w:cs="Arial"/>
          <w:szCs w:val="24"/>
        </w:rPr>
        <w:t>In the event of termination of contract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8.15.</w:t>
      </w:r>
    </w:p>
    <w:p w14:paraId="6A804BCB" w14:textId="77777777" w:rsidR="00271F6E" w:rsidRPr="00271F6E" w:rsidRDefault="00271F6E" w:rsidP="00271F6E">
      <w:pPr>
        <w:pStyle w:val="ListParagraph"/>
        <w:keepNext/>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440"/>
        <w:outlineLvl w:val="1"/>
        <w:rPr>
          <w:rFonts w:cs="Arial"/>
          <w:kern w:val="28"/>
          <w:szCs w:val="24"/>
        </w:rPr>
      </w:pPr>
    </w:p>
    <w:p w14:paraId="5A069543" w14:textId="7A60B157" w:rsidR="00171391" w:rsidRPr="00906785" w:rsidRDefault="00171391" w:rsidP="008042C8">
      <w:pPr>
        <w:pStyle w:val="ListParagraph"/>
        <w:keepNext/>
        <w:keepLines/>
        <w:widowControl/>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1"/>
        <w:rPr>
          <w:rFonts w:cs="Arial"/>
          <w:kern w:val="28"/>
          <w:szCs w:val="24"/>
        </w:rPr>
      </w:pPr>
      <w:r w:rsidRPr="00906785">
        <w:rPr>
          <w:rFonts w:cs="Arial"/>
          <w:kern w:val="28"/>
          <w:szCs w:val="24"/>
        </w:rPr>
        <w:t>In the event of termination, equipment failure or obsolescence, all Departmental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906785">
        <w:rPr>
          <w:rFonts w:cs="Arial"/>
          <w:color w:val="FF0000"/>
          <w:kern w:val="28"/>
          <w:szCs w:val="24"/>
        </w:rPr>
        <w:t xml:space="preserve"> </w:t>
      </w:r>
      <w:r w:rsidRPr="00906785">
        <w:rPr>
          <w:rFonts w:cs="Arial"/>
          <w:kern w:val="28"/>
          <w:szCs w:val="24"/>
        </w:rPr>
        <w:t xml:space="preserve">approved product or method. </w:t>
      </w:r>
    </w:p>
    <w:p w14:paraId="49992446" w14:textId="77777777" w:rsidR="00171391" w:rsidRPr="005E63D7" w:rsidRDefault="00171391" w:rsidP="00171391">
      <w:pPr>
        <w:keepNext/>
        <w:keepLines/>
        <w:spacing w:before="120" w:after="120"/>
        <w:ind w:left="1440"/>
        <w:outlineLvl w:val="1"/>
        <w:rPr>
          <w:rFonts w:cs="Arial"/>
          <w:kern w:val="28"/>
          <w:szCs w:val="24"/>
        </w:rPr>
      </w:pPr>
      <w:r w:rsidRPr="005E63D7">
        <w:rPr>
          <w:rFonts w:cs="Arial"/>
          <w:kern w:val="28"/>
          <w:szCs w:val="24"/>
        </w:rPr>
        <w:t xml:space="preserve">Where sanitisation or destruction is not possible for legal, regulatory or technical reasons, such as data stored in a cloud system, Storage Area Network (SAN) or on shared backup tapes, then the Contractor or sub-contractor shall protect the Department’s information and data until such time, which may be long after the end of the contract, when it can be securely cleansed or destroyed. </w:t>
      </w:r>
    </w:p>
    <w:p w14:paraId="131171B7" w14:textId="77777777" w:rsidR="00171391" w:rsidRPr="005E63D7" w:rsidRDefault="00171391" w:rsidP="00171391">
      <w:pPr>
        <w:keepNext/>
        <w:keepLines/>
        <w:spacing w:before="120" w:after="120"/>
        <w:ind w:left="1429" w:firstLine="11"/>
        <w:outlineLvl w:val="1"/>
        <w:rPr>
          <w:rFonts w:cs="Arial"/>
          <w:kern w:val="28"/>
          <w:szCs w:val="24"/>
        </w:rPr>
      </w:pPr>
      <w:r w:rsidRPr="005E63D7">
        <w:rPr>
          <w:rFonts w:cs="Arial"/>
          <w:kern w:val="28"/>
          <w:szCs w:val="24"/>
        </w:rPr>
        <w:t>Evidence of secure destruction will be required in all cases.</w:t>
      </w:r>
    </w:p>
    <w:p w14:paraId="000F6B5F" w14:textId="18480908" w:rsidR="002B7216" w:rsidRDefault="002B7216" w:rsidP="002B7216">
      <w:pPr>
        <w:pStyle w:val="ListParagraph"/>
        <w:keepNext/>
        <w:keepLines/>
        <w:widowControl/>
        <w:numPr>
          <w:ilvl w:val="1"/>
          <w:numId w:val="13"/>
        </w:numPr>
        <w:spacing w:before="120" w:after="120"/>
        <w:outlineLvl w:val="1"/>
        <w:rPr>
          <w:rFonts w:cs="Arial"/>
          <w:kern w:val="28"/>
          <w:szCs w:val="24"/>
        </w:rPr>
      </w:pPr>
      <w:r w:rsidRPr="001B5257">
        <w:rPr>
          <w:rFonts w:cs="Arial"/>
          <w:kern w:val="28"/>
          <w:szCs w:val="24"/>
        </w:rPr>
        <w:t>Access by Contractor or sub-contractor staff to Departmental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 Any Contractor or sub-contractor staff who will be in contact with children or vulnerable adults must, in addition to any security clearance, have successfully undergone an Enhanced DBS (Disclosure and Barring Service) check prior to any contact.</w:t>
      </w:r>
    </w:p>
    <w:p w14:paraId="1E8F4396" w14:textId="77777777" w:rsidR="00347DA4" w:rsidRDefault="00347DA4" w:rsidP="00347DA4">
      <w:pPr>
        <w:pStyle w:val="ListParagraph"/>
        <w:keepNext/>
        <w:keepLines/>
        <w:widowControl/>
        <w:spacing w:before="120" w:after="120"/>
        <w:ind w:left="1440"/>
        <w:outlineLvl w:val="1"/>
        <w:rPr>
          <w:rFonts w:cs="Arial"/>
          <w:kern w:val="28"/>
          <w:szCs w:val="24"/>
        </w:rPr>
      </w:pPr>
    </w:p>
    <w:p w14:paraId="4BA1D1B7" w14:textId="32418534" w:rsidR="00347DA4" w:rsidRDefault="00347DA4" w:rsidP="00347DA4">
      <w:pPr>
        <w:pStyle w:val="ListParagraph"/>
        <w:keepNext/>
        <w:keepLines/>
        <w:widowControl/>
        <w:numPr>
          <w:ilvl w:val="1"/>
          <w:numId w:val="13"/>
        </w:numPr>
        <w:spacing w:before="120" w:after="120"/>
        <w:outlineLvl w:val="1"/>
        <w:rPr>
          <w:rFonts w:cs="Arial"/>
          <w:kern w:val="28"/>
          <w:szCs w:val="24"/>
        </w:rPr>
      </w:pPr>
      <w:r w:rsidRPr="0031558D">
        <w:rPr>
          <w:rFonts w:cs="Arial"/>
          <w:kern w:val="28"/>
          <w:szCs w:val="24"/>
        </w:rPr>
        <w:t>All Contractor or sub-contractor employees who handle Departmental Data shall have annual awareness training in protecting information.</w:t>
      </w:r>
    </w:p>
    <w:p w14:paraId="1257F076" w14:textId="77777777" w:rsidR="00346F08" w:rsidRPr="00346F08" w:rsidRDefault="00346F08" w:rsidP="00346F08">
      <w:pPr>
        <w:pStyle w:val="ListParagraph"/>
        <w:rPr>
          <w:rFonts w:cs="Arial"/>
          <w:kern w:val="28"/>
          <w:szCs w:val="24"/>
        </w:rPr>
      </w:pPr>
    </w:p>
    <w:p w14:paraId="558DD811" w14:textId="28B5937F" w:rsidR="00346F08" w:rsidRDefault="00346F08" w:rsidP="00346F08">
      <w:pPr>
        <w:pStyle w:val="ListParagraph"/>
        <w:keepNext/>
        <w:keepLines/>
        <w:widowControl/>
        <w:numPr>
          <w:ilvl w:val="1"/>
          <w:numId w:val="13"/>
        </w:numPr>
        <w:spacing w:before="120" w:after="120"/>
        <w:outlineLvl w:val="1"/>
        <w:rPr>
          <w:rFonts w:cs="Arial"/>
          <w:kern w:val="28"/>
          <w:szCs w:val="24"/>
        </w:rPr>
      </w:pPr>
      <w:r w:rsidRPr="0031558D">
        <w:rPr>
          <w:rFonts w:cs="Arial"/>
          <w:kern w:val="28"/>
          <w:szCs w:val="24"/>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61A377BC" w14:textId="77777777" w:rsidR="009F23E7" w:rsidRPr="009F23E7" w:rsidRDefault="009F23E7" w:rsidP="009F23E7">
      <w:pPr>
        <w:pStyle w:val="ListParagraph"/>
        <w:rPr>
          <w:rFonts w:cs="Arial"/>
          <w:kern w:val="28"/>
          <w:szCs w:val="24"/>
        </w:rPr>
      </w:pPr>
    </w:p>
    <w:p w14:paraId="1ED3610B" w14:textId="77777777" w:rsidR="009F23E7" w:rsidRPr="009C4D3E" w:rsidRDefault="009F23E7" w:rsidP="009F23E7">
      <w:pPr>
        <w:pStyle w:val="ListParagraph"/>
        <w:keepNext/>
        <w:keepLines/>
        <w:widowControl/>
        <w:numPr>
          <w:ilvl w:val="1"/>
          <w:numId w:val="13"/>
        </w:numPr>
        <w:spacing w:before="120" w:after="120"/>
        <w:outlineLvl w:val="1"/>
        <w:rPr>
          <w:rFonts w:cs="Arial"/>
          <w:kern w:val="28"/>
          <w:szCs w:val="24"/>
        </w:rPr>
      </w:pPr>
      <w:r w:rsidRPr="009C4D3E">
        <w:rPr>
          <w:rFonts w:cs="Arial"/>
          <w:kern w:val="28"/>
          <w:szCs w:val="24"/>
        </w:rPr>
        <w:t>Any suspected or actual breach of the confidentiality, integrity or availability of Departmental Data, including user credentials, used or handled in the course of providing this service shall be recorded as an incident. This includes any non-compliance with these Departmental Security Standards for Contractors, or other Security Standards pertaining to the solution.</w:t>
      </w:r>
    </w:p>
    <w:p w14:paraId="2E3EA682" w14:textId="77777777" w:rsidR="009F23E7" w:rsidRPr="005E63D7" w:rsidRDefault="009F23E7" w:rsidP="009F23E7">
      <w:pPr>
        <w:keepNext/>
        <w:keepLines/>
        <w:spacing w:before="120" w:after="120"/>
        <w:ind w:left="1440"/>
        <w:outlineLvl w:val="1"/>
        <w:rPr>
          <w:rFonts w:cs="Arial"/>
          <w:kern w:val="28"/>
          <w:szCs w:val="24"/>
        </w:rPr>
      </w:pPr>
      <w:r w:rsidRPr="005E63D7">
        <w:rPr>
          <w:rFonts w:cs="Arial"/>
          <w:kern w:val="28"/>
          <w:szCs w:val="24"/>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348695F4" w14:textId="77777777" w:rsidR="009F23E7" w:rsidRPr="005E63D7" w:rsidRDefault="009F23E7" w:rsidP="009F23E7">
      <w:pPr>
        <w:spacing w:before="120" w:after="120"/>
        <w:ind w:left="1440"/>
        <w:rPr>
          <w:rFonts w:cs="Arial"/>
          <w:kern w:val="28"/>
          <w:szCs w:val="24"/>
        </w:rPr>
      </w:pPr>
      <w:r w:rsidRPr="005E63D7">
        <w:rPr>
          <w:rFonts w:cs="Arial"/>
          <w:kern w:val="28"/>
          <w:szCs w:val="24"/>
        </w:rPr>
        <w:t xml:space="preserve">Incidents shall be reported through the department’s nominated system or service owner. </w:t>
      </w:r>
    </w:p>
    <w:p w14:paraId="2A338B7B" w14:textId="77777777" w:rsidR="009F23E7" w:rsidRPr="005E63D7" w:rsidRDefault="009F23E7" w:rsidP="009F23E7">
      <w:pPr>
        <w:spacing w:before="120" w:after="120"/>
        <w:ind w:left="1440"/>
        <w:rPr>
          <w:rFonts w:cs="Arial"/>
          <w:kern w:val="28"/>
          <w:szCs w:val="24"/>
        </w:rPr>
      </w:pPr>
      <w:r w:rsidRPr="005E63D7">
        <w:rPr>
          <w:rFonts w:cs="Arial"/>
          <w:kern w:val="28"/>
          <w:szCs w:val="24"/>
        </w:rPr>
        <w:t xml:space="preserve">Incidents shall be investigated by the contractor with outcomes being </w:t>
      </w:r>
      <w:r w:rsidRPr="005E63D7">
        <w:rPr>
          <w:rFonts w:cs="Arial"/>
          <w:szCs w:val="24"/>
        </w:rPr>
        <w:t>notified to the Department.</w:t>
      </w:r>
    </w:p>
    <w:p w14:paraId="6974D2F6" w14:textId="586F029A" w:rsidR="000B0AD3" w:rsidRDefault="000B0AD3" w:rsidP="000B0AD3">
      <w:pPr>
        <w:pStyle w:val="ListParagraph"/>
        <w:keepNext/>
        <w:keepLines/>
        <w:widowControl/>
        <w:numPr>
          <w:ilvl w:val="1"/>
          <w:numId w:val="13"/>
        </w:numPr>
        <w:spacing w:before="120" w:after="120"/>
        <w:outlineLvl w:val="1"/>
        <w:rPr>
          <w:rFonts w:cs="Arial"/>
          <w:kern w:val="28"/>
          <w:szCs w:val="24"/>
        </w:rPr>
      </w:pPr>
      <w:r w:rsidRPr="00431ABF">
        <w:rPr>
          <w:rFonts w:cs="Arial"/>
          <w:kern w:val="28"/>
          <w:szCs w:val="24"/>
        </w:rPr>
        <w:t>The Contractor shall ensure that any IT systems and hosting environments that are used to handle, store or process Departmental Data shall be subject to independent IT Health Checks (ITHC) using an NCSC CHECK Scheme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5C3B486" w14:textId="77777777" w:rsidR="008E1C59" w:rsidRDefault="008E1C59" w:rsidP="008E1C59">
      <w:pPr>
        <w:pStyle w:val="ListParagraph"/>
        <w:keepNext/>
        <w:keepLines/>
        <w:widowControl/>
        <w:spacing w:before="120" w:after="120"/>
        <w:ind w:left="1440"/>
        <w:outlineLvl w:val="1"/>
        <w:rPr>
          <w:rFonts w:cs="Arial"/>
          <w:kern w:val="28"/>
          <w:szCs w:val="24"/>
        </w:rPr>
      </w:pPr>
    </w:p>
    <w:p w14:paraId="3E9A9A14" w14:textId="0F9888CD" w:rsidR="008E1C59" w:rsidRPr="00120BF7" w:rsidRDefault="008E1C59" w:rsidP="008E1C59">
      <w:pPr>
        <w:pStyle w:val="ListParagraph"/>
        <w:widowControl/>
        <w:numPr>
          <w:ilvl w:val="1"/>
          <w:numId w:val="13"/>
        </w:numPr>
        <w:overflowPunct/>
        <w:autoSpaceDE/>
        <w:autoSpaceDN/>
        <w:adjustRightInd/>
        <w:spacing w:before="120" w:after="120" w:line="288" w:lineRule="auto"/>
        <w:textAlignment w:val="auto"/>
        <w:rPr>
          <w:rFonts w:cs="Arial"/>
          <w:color w:val="000000"/>
          <w:szCs w:val="28"/>
        </w:rPr>
      </w:pPr>
      <w:r w:rsidRPr="00DD46AC">
        <w:rPr>
          <w:rFonts w:cs="Arial"/>
          <w:kern w:val="28"/>
          <w:szCs w:val="24"/>
        </w:rPr>
        <w:t>The Contractor or sub-contractors providing the service will provide the Department with full details of any actual or future intent to develop, manage, support, process or store Departmental Data outside of the UK mainland. The Contractor or sub-contractor shall not go ahead with any such proposal without the prior written agreement from the Department.</w:t>
      </w:r>
    </w:p>
    <w:p w14:paraId="69C4E9E6" w14:textId="77777777" w:rsidR="00120BF7" w:rsidRPr="00DD46AC" w:rsidRDefault="00120BF7" w:rsidP="00120BF7">
      <w:pPr>
        <w:pStyle w:val="ListParagraph"/>
        <w:widowControl/>
        <w:overflowPunct/>
        <w:autoSpaceDE/>
        <w:autoSpaceDN/>
        <w:adjustRightInd/>
        <w:spacing w:before="120" w:after="120" w:line="288" w:lineRule="auto"/>
        <w:ind w:left="1440"/>
        <w:textAlignment w:val="auto"/>
        <w:rPr>
          <w:rFonts w:cs="Arial"/>
          <w:color w:val="000000"/>
          <w:szCs w:val="28"/>
        </w:rPr>
      </w:pPr>
    </w:p>
    <w:p w14:paraId="41372383" w14:textId="711C0240" w:rsidR="00120BF7" w:rsidRPr="000753CE" w:rsidRDefault="00120BF7" w:rsidP="00120BF7">
      <w:pPr>
        <w:pStyle w:val="ListParagraph"/>
        <w:widowControl/>
        <w:numPr>
          <w:ilvl w:val="1"/>
          <w:numId w:val="13"/>
        </w:numPr>
        <w:overflowPunct/>
        <w:autoSpaceDE/>
        <w:autoSpaceDN/>
        <w:adjustRightInd/>
        <w:spacing w:before="120" w:after="120" w:line="288" w:lineRule="auto"/>
        <w:textAlignment w:val="auto"/>
        <w:rPr>
          <w:rFonts w:cs="Arial"/>
          <w:color w:val="000000"/>
          <w:szCs w:val="28"/>
        </w:rPr>
      </w:pPr>
      <w:r w:rsidRPr="00DD46AC">
        <w:rPr>
          <w:rFonts w:cs="Arial"/>
          <w:kern w:val="28"/>
          <w:szCs w:val="24"/>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483D14FD" w14:textId="77777777" w:rsidR="000753CE" w:rsidRPr="000753CE" w:rsidRDefault="000753CE" w:rsidP="000753CE">
      <w:pPr>
        <w:pStyle w:val="ListParagraph"/>
        <w:rPr>
          <w:rFonts w:cs="Arial"/>
          <w:color w:val="000000"/>
          <w:szCs w:val="28"/>
        </w:rPr>
      </w:pPr>
    </w:p>
    <w:p w14:paraId="5FF7853E" w14:textId="1FE5A124" w:rsidR="000753CE" w:rsidRPr="000169C9" w:rsidRDefault="000753CE" w:rsidP="000753CE">
      <w:pPr>
        <w:pStyle w:val="ListParagraph"/>
        <w:widowControl/>
        <w:numPr>
          <w:ilvl w:val="1"/>
          <w:numId w:val="13"/>
        </w:numPr>
        <w:overflowPunct/>
        <w:autoSpaceDE/>
        <w:autoSpaceDN/>
        <w:adjustRightInd/>
        <w:spacing w:before="120" w:after="120" w:line="288" w:lineRule="auto"/>
        <w:textAlignment w:val="auto"/>
        <w:rPr>
          <w:rFonts w:cs="Arial"/>
          <w:color w:val="000000"/>
          <w:szCs w:val="28"/>
        </w:rPr>
      </w:pPr>
      <w:r w:rsidRPr="00C05C47">
        <w:rPr>
          <w:rFonts w:cs="Arial"/>
          <w:kern w:val="28"/>
          <w:szCs w:val="24"/>
        </w:rPr>
        <w:t>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a Security and Information Risk Advisor (SIRA) certified to NCSC Certified Cyber Security Consultancy (CCSC) or NCSC Certified Cyber Professional (CCP) schemes.</w:t>
      </w:r>
    </w:p>
    <w:p w14:paraId="57910714" w14:textId="77777777" w:rsidR="000169C9" w:rsidRPr="000169C9" w:rsidRDefault="000169C9" w:rsidP="000169C9">
      <w:pPr>
        <w:pStyle w:val="ListParagraph"/>
        <w:rPr>
          <w:rFonts w:cs="Arial"/>
          <w:color w:val="000000"/>
          <w:szCs w:val="28"/>
        </w:rPr>
      </w:pPr>
    </w:p>
    <w:p w14:paraId="28D1BB9B" w14:textId="77777777" w:rsidR="002058B4" w:rsidRDefault="002058B4" w:rsidP="002058B4">
      <w:pPr>
        <w:pStyle w:val="ListParagraph"/>
        <w:keepNext/>
        <w:keepLines/>
        <w:widowControl/>
        <w:numPr>
          <w:ilvl w:val="1"/>
          <w:numId w:val="13"/>
        </w:numPr>
        <w:spacing w:before="120" w:after="120"/>
        <w:outlineLvl w:val="1"/>
        <w:rPr>
          <w:rFonts w:cs="Arial"/>
          <w:kern w:val="28"/>
          <w:szCs w:val="24"/>
        </w:rPr>
      </w:pPr>
      <w:r w:rsidRPr="00C20C52">
        <w:rPr>
          <w:rFonts w:cs="Arial"/>
          <w:kern w:val="28"/>
          <w:szCs w:val="24"/>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1116F7D6" w14:textId="77777777" w:rsidR="002058B4" w:rsidRDefault="002058B4" w:rsidP="002058B4">
      <w:pPr>
        <w:pStyle w:val="ListParagraph"/>
        <w:keepNext/>
        <w:keepLines/>
        <w:widowControl/>
        <w:spacing w:before="120" w:after="120"/>
        <w:ind w:left="1440"/>
        <w:outlineLvl w:val="1"/>
        <w:rPr>
          <w:rFonts w:cs="Arial"/>
          <w:kern w:val="28"/>
          <w:szCs w:val="24"/>
        </w:rPr>
      </w:pPr>
    </w:p>
    <w:p w14:paraId="392E8E01" w14:textId="77777777" w:rsidR="002058B4" w:rsidRDefault="002058B4" w:rsidP="002058B4">
      <w:pPr>
        <w:pStyle w:val="ListParagraph"/>
        <w:keepNext/>
        <w:keepLines/>
        <w:widowControl/>
        <w:numPr>
          <w:ilvl w:val="0"/>
          <w:numId w:val="18"/>
        </w:numPr>
        <w:spacing w:before="120" w:after="120"/>
        <w:outlineLvl w:val="1"/>
        <w:rPr>
          <w:rFonts w:cs="Arial"/>
          <w:kern w:val="28"/>
          <w:szCs w:val="24"/>
        </w:rPr>
      </w:pPr>
      <w:r w:rsidRPr="00B402F6">
        <w:rPr>
          <w:rFonts w:cs="Arial"/>
          <w:color w:val="000000"/>
          <w:szCs w:val="24"/>
        </w:rPr>
        <w:t xml:space="preserve">Compliance with HMG </w:t>
      </w:r>
      <w:r w:rsidRPr="00B402F6">
        <w:rPr>
          <w:rFonts w:cs="Arial"/>
          <w:kern w:val="28"/>
          <w:szCs w:val="24"/>
        </w:rPr>
        <w:t>Minimum Cyber Security Standard.</w:t>
      </w:r>
    </w:p>
    <w:p w14:paraId="4A0A9E38" w14:textId="77777777" w:rsidR="002058B4" w:rsidRPr="00B402F6" w:rsidRDefault="002058B4" w:rsidP="002058B4">
      <w:pPr>
        <w:pStyle w:val="ListParagraph"/>
        <w:keepNext/>
        <w:keepLines/>
        <w:widowControl/>
        <w:numPr>
          <w:ilvl w:val="0"/>
          <w:numId w:val="18"/>
        </w:numPr>
        <w:spacing w:before="120" w:after="120"/>
        <w:outlineLvl w:val="1"/>
        <w:rPr>
          <w:rFonts w:cs="Arial"/>
          <w:kern w:val="28"/>
          <w:szCs w:val="24"/>
        </w:rPr>
      </w:pPr>
      <w:r w:rsidRPr="00B402F6">
        <w:rPr>
          <w:rFonts w:cs="Arial"/>
          <w:color w:val="000000"/>
          <w:szCs w:val="24"/>
        </w:rPr>
        <w:t xml:space="preserve">Any existing security assurance for the services to be delivered, such as: ISO/IEC 27001 / 27002 or an equivalent industry level certification. </w:t>
      </w:r>
    </w:p>
    <w:p w14:paraId="1464ACBA" w14:textId="77777777" w:rsidR="002058B4" w:rsidRPr="00B402F6" w:rsidRDefault="002058B4" w:rsidP="002058B4">
      <w:pPr>
        <w:pStyle w:val="ListParagraph"/>
        <w:keepNext/>
        <w:keepLines/>
        <w:widowControl/>
        <w:numPr>
          <w:ilvl w:val="0"/>
          <w:numId w:val="18"/>
        </w:numPr>
        <w:spacing w:before="120" w:after="120"/>
        <w:outlineLvl w:val="1"/>
        <w:rPr>
          <w:rFonts w:cs="Arial"/>
          <w:kern w:val="28"/>
          <w:szCs w:val="24"/>
        </w:rPr>
      </w:pPr>
      <w:r w:rsidRPr="00B402F6">
        <w:rPr>
          <w:rFonts w:cs="Arial"/>
          <w:color w:val="000000"/>
          <w:szCs w:val="24"/>
        </w:rPr>
        <w:t xml:space="preserve">Any existing HMG security accreditations </w:t>
      </w:r>
      <w:r w:rsidRPr="00B402F6">
        <w:rPr>
          <w:rFonts w:cs="Arial"/>
          <w:szCs w:val="24"/>
        </w:rPr>
        <w:t>or assurance</w:t>
      </w:r>
      <w:r w:rsidRPr="00B402F6">
        <w:rPr>
          <w:rFonts w:cs="Arial"/>
          <w:color w:val="000000"/>
          <w:szCs w:val="24"/>
        </w:rPr>
        <w:t xml:space="preserve"> that are still valid including: details of the awarding body; the scope of the accreditation; any caveats or restrictions to the accreditation; the date awarded, plus a copy of the residual risk statement. </w:t>
      </w:r>
    </w:p>
    <w:p w14:paraId="75432200" w14:textId="576D35C6" w:rsidR="002058B4" w:rsidRPr="001639AB" w:rsidRDefault="002058B4" w:rsidP="002058B4">
      <w:pPr>
        <w:pStyle w:val="ListParagraph"/>
        <w:keepNext/>
        <w:keepLines/>
        <w:widowControl/>
        <w:numPr>
          <w:ilvl w:val="0"/>
          <w:numId w:val="18"/>
        </w:numPr>
        <w:spacing w:before="120" w:after="120"/>
        <w:outlineLvl w:val="1"/>
        <w:rPr>
          <w:rFonts w:cs="Arial"/>
          <w:kern w:val="28"/>
          <w:szCs w:val="24"/>
        </w:rPr>
      </w:pPr>
      <w:r w:rsidRPr="00B402F6">
        <w:rPr>
          <w:rFonts w:cs="Arial"/>
          <w:color w:val="000000"/>
          <w:szCs w:val="24"/>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13B4D6CE" w14:textId="77777777" w:rsidR="001639AB" w:rsidRPr="00DF0A49" w:rsidRDefault="001639AB" w:rsidP="001639AB">
      <w:pPr>
        <w:pStyle w:val="ListParagraph"/>
        <w:keepNext/>
        <w:keepLines/>
        <w:widowControl/>
        <w:spacing w:before="120" w:after="120"/>
        <w:ind w:left="2160"/>
        <w:outlineLvl w:val="1"/>
        <w:rPr>
          <w:rFonts w:cs="Arial"/>
          <w:kern w:val="28"/>
          <w:szCs w:val="24"/>
        </w:rPr>
      </w:pPr>
    </w:p>
    <w:p w14:paraId="19ADBB8D" w14:textId="77777777" w:rsidR="001639AB" w:rsidRPr="00DF0A49" w:rsidRDefault="001639AB" w:rsidP="001639AB">
      <w:pPr>
        <w:pStyle w:val="ListParagraph"/>
        <w:keepNext/>
        <w:keepLines/>
        <w:widowControl/>
        <w:numPr>
          <w:ilvl w:val="1"/>
          <w:numId w:val="13"/>
        </w:numPr>
        <w:spacing w:before="120" w:after="120"/>
        <w:outlineLvl w:val="1"/>
        <w:rPr>
          <w:rFonts w:cs="Arial"/>
          <w:kern w:val="28"/>
          <w:szCs w:val="24"/>
        </w:rPr>
      </w:pPr>
      <w:r w:rsidRPr="00DF0A49">
        <w:rPr>
          <w:rFonts w:cs="Arial"/>
          <w:kern w:val="28"/>
          <w:szCs w:val="24"/>
        </w:rPr>
        <w:t>The Contractor shall contractually enforce all these Departmental Security Standards for Contractors onto any third-party suppliers, sub-contractors or partners who could potentially access Departmental Data in the course of providing this service.</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This Contract may be terminated by either party giving to the other party at least 30 days notice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This Contract may be terminated by the Department with immediate effect by notice in writing if at any time:-</w:t>
      </w:r>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3"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4" w:name="_Toc139080291"/>
      <w:r w:rsidRPr="001D2E04">
        <w:rPr>
          <w:rFonts w:cs="Arial"/>
          <w:szCs w:val="24"/>
        </w:rPr>
        <w:t>12.2</w:t>
      </w:r>
      <w:r w:rsidRPr="001D2E04">
        <w:rPr>
          <w:rFonts w:cs="Arial"/>
          <w:szCs w:val="24"/>
        </w:rPr>
        <w:tab/>
        <w:t>The Contractor shall and shall procure that its Sub-contractors shall:</w:t>
      </w:r>
      <w:bookmarkEnd w:id="4"/>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5"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5"/>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6"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7" w:name="_Toc139080294"/>
      <w:bookmarkEnd w:id="6"/>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7"/>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8" w:name="_Ref138742981"/>
      <w:bookmarkStart w:id="9"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8"/>
      <w:bookmarkEnd w:id="9"/>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0"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0"/>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1"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1"/>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13.6.3  for the purpose of the examination and certification of the Department's accounts; or</w:t>
      </w:r>
    </w:p>
    <w:p w14:paraId="5C1BB1A4" w14:textId="7415F264" w:rsidR="00290953"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900E436" w14:textId="77777777" w:rsidR="009C48D6" w:rsidRPr="001D2E04" w:rsidRDefault="009C48D6"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The Department may consult with the Contractor to inform its decision regarding any redactions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 xml:space="preserve">(i)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5ACD9D6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8"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6A82EEE4" w:rsidR="00290953"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p>
    <w:p w14:paraId="0457B588" w14:textId="31D0D4CA" w:rsidR="00BF33B9" w:rsidRDefault="00F03B5E" w:rsidP="00BF33B9">
      <w:pPr>
        <w:ind w:left="1440"/>
        <w:rPr>
          <w:rFonts w:cs="Arial"/>
          <w:szCs w:val="24"/>
        </w:rPr>
      </w:pPr>
      <w:hyperlink r:id="rId19" w:history="1">
        <w:r w:rsidR="001005EC" w:rsidRPr="00E44308">
          <w:rPr>
            <w:rStyle w:val="Hyperlink"/>
            <w:rFonts w:cs="Arial"/>
            <w:szCs w:val="24"/>
          </w:rPr>
          <w:t>https://www.gov.uk/government/publications/research-reports-guide-and-template</w:t>
        </w:r>
      </w:hyperlink>
      <w:r w:rsidR="00BF33B9">
        <w:rPr>
          <w:rFonts w:cs="Arial"/>
          <w:szCs w:val="24"/>
        </w:rPr>
        <w:t>.</w:t>
      </w:r>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AB3A92E" w14:textId="77777777" w:rsidR="00290953" w:rsidRPr="001D2E04" w:rsidRDefault="00F03B5E" w:rsidP="00290953">
      <w:pPr>
        <w:widowControl/>
        <w:overflowPunct/>
        <w:autoSpaceDE/>
        <w:autoSpaceDN/>
        <w:adjustRightInd/>
        <w:textAlignment w:val="auto"/>
        <w:rPr>
          <w:rFonts w:cs="Arial"/>
          <w:szCs w:val="24"/>
        </w:rPr>
      </w:pPr>
      <w:hyperlink r:id="rId20"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1C7D8352" w:rsidR="00290953" w:rsidRDefault="00290953" w:rsidP="00290953">
      <w:pPr>
        <w:pStyle w:val="NoSpacing"/>
        <w:jc w:val="center"/>
        <w:rPr>
          <w:rFonts w:ascii="Arial" w:hAnsi="Arial" w:cs="Arial"/>
          <w:b/>
          <w:sz w:val="24"/>
          <w:szCs w:val="24"/>
        </w:rPr>
      </w:pPr>
      <w:r w:rsidRPr="001D2E04">
        <w:rPr>
          <w:rFonts w:ascii="Arial" w:hAnsi="Arial" w:cs="Arial"/>
          <w:b/>
          <w:sz w:val="24"/>
          <w:szCs w:val="24"/>
        </w:rPr>
        <w:t>Schedule ​4​ Processing, Personal Data and Data Subjects</w:t>
      </w:r>
    </w:p>
    <w:p w14:paraId="160B70C7" w14:textId="77777777" w:rsidR="00BE6391" w:rsidRPr="003E44F7" w:rsidRDefault="00BE6391" w:rsidP="00BE6391">
      <w:pPr>
        <w:pStyle w:val="NoSpacing"/>
        <w:jc w:val="center"/>
        <w:rPr>
          <w:rFonts w:ascii="Arial" w:hAnsi="Arial" w:cs="Arial"/>
          <w:b/>
          <w:sz w:val="22"/>
          <w:szCs w:val="22"/>
          <w:u w:val="single"/>
        </w:rPr>
      </w:pPr>
      <w:r w:rsidRPr="003E44F7">
        <w:rPr>
          <w:rFonts w:ascii="Arial" w:hAnsi="Arial" w:cs="Arial"/>
          <w:b/>
          <w:sz w:val="22"/>
          <w:szCs w:val="22"/>
          <w:highlight w:val="yellow"/>
        </w:rPr>
        <w:t>[Note: included for information. – Only to be completed at Contract stage</w:t>
      </w:r>
      <w:r w:rsidRPr="003E44F7">
        <w:rPr>
          <w:rFonts w:ascii="Arial" w:hAnsi="Arial" w:cs="Arial"/>
          <w:b/>
          <w:sz w:val="22"/>
          <w:szCs w:val="22"/>
          <w:highlight w:val="yellow"/>
          <w:u w:val="single"/>
        </w:rPr>
        <w:t>]</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19BABC5E"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case) the Customer and Contractor have a different relationship. For example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The purpose might include: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[Examples here include: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particular website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4CCE8509" w:rsidR="00D410D8" w:rsidRDefault="00D410D8">
      <w:pPr>
        <w:widowControl/>
        <w:overflowPunct/>
        <w:autoSpaceDE/>
        <w:autoSpaceDN/>
        <w:adjustRightInd/>
        <w:textAlignment w:val="auto"/>
        <w:rPr>
          <w:rFonts w:cs="Arial"/>
          <w:szCs w:val="24"/>
        </w:rPr>
      </w:pPr>
      <w:r>
        <w:rPr>
          <w:rFonts w:cs="Arial"/>
          <w:szCs w:val="24"/>
        </w:rPr>
        <w:br w:type="page"/>
      </w:r>
    </w:p>
    <w:p w14:paraId="29D28F6D"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t>Signature</w:t>
      </w:r>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b/>
          <w:bCs/>
          <w:szCs w:val="24"/>
        </w:rPr>
        <w:t>Date</w:t>
      </w:r>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21"/>
      <w:footerReference w:type="even" r:id="rId22"/>
      <w:footerReference w:type="default" r:id="rId23"/>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47A44" w14:textId="77777777" w:rsidR="0065516B" w:rsidRDefault="0065516B">
      <w:r>
        <w:separator/>
      </w:r>
    </w:p>
  </w:endnote>
  <w:endnote w:type="continuationSeparator" w:id="0">
    <w:p w14:paraId="7C88B5DC" w14:textId="77777777" w:rsidR="0065516B" w:rsidRDefault="0065516B">
      <w:r>
        <w:continuationSeparator/>
      </w:r>
    </w:p>
  </w:endnote>
  <w:endnote w:type="continuationNotice" w:id="1">
    <w:p w14:paraId="0B7AEA2C" w14:textId="77777777" w:rsidR="0065516B" w:rsidRDefault="00655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F03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FD6B5" w14:textId="77777777" w:rsidR="00CB4C19" w:rsidRDefault="00F03B5E">
    <w:pPr>
      <w:pStyle w:val="Footer"/>
      <w:ind w:right="360"/>
      <w:jc w:val="center"/>
      <w:rPr>
        <w:sz w:val="20"/>
        <w:lang w:val="en-US"/>
      </w:rPr>
    </w:pPr>
  </w:p>
  <w:p w14:paraId="5D2CA4A2" w14:textId="6578CD82"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1005EC">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1005EC">
      <w:rPr>
        <w:noProof/>
        <w:sz w:val="20"/>
        <w:lang w:val="en-US"/>
      </w:rPr>
      <w:t>25</w:t>
    </w:r>
    <w:r>
      <w:rPr>
        <w:sz w:val="20"/>
        <w:lang w:val="en-US"/>
      </w:rPr>
      <w:fldChar w:fldCharType="end"/>
    </w:r>
  </w:p>
  <w:p w14:paraId="14B4D49D" w14:textId="77777777" w:rsidR="00CB4C19" w:rsidRDefault="00F03B5E"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83CAE" w14:textId="77777777" w:rsidR="0065516B" w:rsidRDefault="0065516B">
      <w:r>
        <w:separator/>
      </w:r>
    </w:p>
  </w:footnote>
  <w:footnote w:type="continuationSeparator" w:id="0">
    <w:p w14:paraId="2D1620D3" w14:textId="77777777" w:rsidR="0065516B" w:rsidRDefault="0065516B">
      <w:r>
        <w:continuationSeparator/>
      </w:r>
    </w:p>
  </w:footnote>
  <w:footnote w:type="continuationNotice" w:id="1">
    <w:p w14:paraId="2DA98762" w14:textId="77777777" w:rsidR="0065516B" w:rsidRDefault="00655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57EB"/>
    <w:multiLevelType w:val="multilevel"/>
    <w:tmpl w:val="4E4E8A9E"/>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3B55736"/>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50679D0"/>
    <w:multiLevelType w:val="hybridMultilevel"/>
    <w:tmpl w:val="F3746054"/>
    <w:lvl w:ilvl="0" w:tplc="08090001">
      <w:start w:val="1"/>
      <w:numFmt w:val="bullet"/>
      <w:lvlText w:val=""/>
      <w:lvlJc w:val="left"/>
      <w:pPr>
        <w:ind w:left="2160" w:hanging="360"/>
      </w:pPr>
      <w:rPr>
        <w:rFonts w:ascii="Symbol" w:hAnsi="Symbol" w:cs="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33632BB4"/>
    <w:multiLevelType w:val="multilevel"/>
    <w:tmpl w:val="4F54A7D6"/>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0AD7A1D"/>
    <w:multiLevelType w:val="hybridMultilevel"/>
    <w:tmpl w:val="1E60C2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25F7DB5"/>
    <w:multiLevelType w:val="multilevel"/>
    <w:tmpl w:val="29D06C56"/>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F6814AE"/>
    <w:multiLevelType w:val="multilevel"/>
    <w:tmpl w:val="2EC2252A"/>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8F46B7"/>
    <w:multiLevelType w:val="multilevel"/>
    <w:tmpl w:val="58BCB252"/>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984DDA"/>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16"/>
  </w:num>
  <w:num w:numId="4">
    <w:abstractNumId w:val="3"/>
  </w:num>
  <w:num w:numId="5">
    <w:abstractNumId w:val="10"/>
  </w:num>
  <w:num w:numId="6">
    <w:abstractNumId w:val="14"/>
  </w:num>
  <w:num w:numId="7">
    <w:abstractNumId w:val="11"/>
  </w:num>
  <w:num w:numId="8">
    <w:abstractNumId w:val="0"/>
  </w:num>
  <w:num w:numId="9">
    <w:abstractNumId w:val="12"/>
  </w:num>
  <w:num w:numId="10">
    <w:abstractNumId w:val="9"/>
  </w:num>
  <w:num w:numId="11">
    <w:abstractNumId w:val="13"/>
  </w:num>
  <w:num w:numId="12">
    <w:abstractNumId w:val="5"/>
  </w:num>
  <w:num w:numId="13">
    <w:abstractNumId w:val="15"/>
  </w:num>
  <w:num w:numId="14">
    <w:abstractNumId w:val="7"/>
  </w:num>
  <w:num w:numId="15">
    <w:abstractNumId w:val="17"/>
  </w:num>
  <w:num w:numId="16">
    <w:abstractNumId w:val="1"/>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53"/>
    <w:rsid w:val="00003AAD"/>
    <w:rsid w:val="00011F78"/>
    <w:rsid w:val="000169C9"/>
    <w:rsid w:val="00022DB6"/>
    <w:rsid w:val="000237FB"/>
    <w:rsid w:val="00041864"/>
    <w:rsid w:val="00046C39"/>
    <w:rsid w:val="0004776A"/>
    <w:rsid w:val="00051D9A"/>
    <w:rsid w:val="000753CE"/>
    <w:rsid w:val="000833EF"/>
    <w:rsid w:val="000A0C1B"/>
    <w:rsid w:val="000B0AD3"/>
    <w:rsid w:val="000B1468"/>
    <w:rsid w:val="000C3CE7"/>
    <w:rsid w:val="000F08D6"/>
    <w:rsid w:val="000F4E59"/>
    <w:rsid w:val="001005EC"/>
    <w:rsid w:val="00102112"/>
    <w:rsid w:val="00116F59"/>
    <w:rsid w:val="00120BF7"/>
    <w:rsid w:val="00121C5D"/>
    <w:rsid w:val="00124AAE"/>
    <w:rsid w:val="00125572"/>
    <w:rsid w:val="001362FD"/>
    <w:rsid w:val="001366BB"/>
    <w:rsid w:val="001372F2"/>
    <w:rsid w:val="00140162"/>
    <w:rsid w:val="00153F85"/>
    <w:rsid w:val="001639AB"/>
    <w:rsid w:val="00171391"/>
    <w:rsid w:val="00180A06"/>
    <w:rsid w:val="00182783"/>
    <w:rsid w:val="00195F8E"/>
    <w:rsid w:val="001A54FA"/>
    <w:rsid w:val="001B05C8"/>
    <w:rsid w:val="001B1FDF"/>
    <w:rsid w:val="001B3E0B"/>
    <w:rsid w:val="001B6DF9"/>
    <w:rsid w:val="001D55BC"/>
    <w:rsid w:val="001D7FB3"/>
    <w:rsid w:val="001E4191"/>
    <w:rsid w:val="002009C2"/>
    <w:rsid w:val="002058B4"/>
    <w:rsid w:val="00211C37"/>
    <w:rsid w:val="00212D24"/>
    <w:rsid w:val="00217581"/>
    <w:rsid w:val="002335B0"/>
    <w:rsid w:val="002338A1"/>
    <w:rsid w:val="00233DA0"/>
    <w:rsid w:val="00235DF1"/>
    <w:rsid w:val="00266064"/>
    <w:rsid w:val="00271F6E"/>
    <w:rsid w:val="0027611C"/>
    <w:rsid w:val="002840D0"/>
    <w:rsid w:val="00290953"/>
    <w:rsid w:val="00295EFC"/>
    <w:rsid w:val="002A10E0"/>
    <w:rsid w:val="002B651E"/>
    <w:rsid w:val="002B7216"/>
    <w:rsid w:val="002C6A9D"/>
    <w:rsid w:val="002D2A7A"/>
    <w:rsid w:val="002E28FA"/>
    <w:rsid w:val="00310708"/>
    <w:rsid w:val="00312BD3"/>
    <w:rsid w:val="00346F08"/>
    <w:rsid w:val="00347A3B"/>
    <w:rsid w:val="00347DA4"/>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070"/>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5516B"/>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773F3"/>
    <w:rsid w:val="007940AE"/>
    <w:rsid w:val="007A10F9"/>
    <w:rsid w:val="007A4C02"/>
    <w:rsid w:val="007B49CD"/>
    <w:rsid w:val="007B593B"/>
    <w:rsid w:val="007B5A46"/>
    <w:rsid w:val="007C1BC2"/>
    <w:rsid w:val="007D0DBA"/>
    <w:rsid w:val="007D4DB0"/>
    <w:rsid w:val="007F073B"/>
    <w:rsid w:val="00805C72"/>
    <w:rsid w:val="008115F3"/>
    <w:rsid w:val="0082699C"/>
    <w:rsid w:val="00831225"/>
    <w:rsid w:val="008428AB"/>
    <w:rsid w:val="00863664"/>
    <w:rsid w:val="00877BA7"/>
    <w:rsid w:val="0088151C"/>
    <w:rsid w:val="008817AB"/>
    <w:rsid w:val="008843A4"/>
    <w:rsid w:val="0088536B"/>
    <w:rsid w:val="008B1C49"/>
    <w:rsid w:val="008B3F26"/>
    <w:rsid w:val="008B67CC"/>
    <w:rsid w:val="008D1228"/>
    <w:rsid w:val="008E1485"/>
    <w:rsid w:val="008E1C59"/>
    <w:rsid w:val="008E3BDA"/>
    <w:rsid w:val="008F452F"/>
    <w:rsid w:val="0090377E"/>
    <w:rsid w:val="00905ADC"/>
    <w:rsid w:val="00906785"/>
    <w:rsid w:val="00906C33"/>
    <w:rsid w:val="009128F7"/>
    <w:rsid w:val="009173AF"/>
    <w:rsid w:val="00932946"/>
    <w:rsid w:val="00934140"/>
    <w:rsid w:val="00935846"/>
    <w:rsid w:val="009424FA"/>
    <w:rsid w:val="009426CB"/>
    <w:rsid w:val="00963073"/>
    <w:rsid w:val="0097315A"/>
    <w:rsid w:val="009A3F0A"/>
    <w:rsid w:val="009B3EFE"/>
    <w:rsid w:val="009B493A"/>
    <w:rsid w:val="009C48D6"/>
    <w:rsid w:val="009D3D73"/>
    <w:rsid w:val="009E73AD"/>
    <w:rsid w:val="009F23E7"/>
    <w:rsid w:val="009F5357"/>
    <w:rsid w:val="009F7653"/>
    <w:rsid w:val="00A00569"/>
    <w:rsid w:val="00A21E85"/>
    <w:rsid w:val="00A2712A"/>
    <w:rsid w:val="00A3240E"/>
    <w:rsid w:val="00A3306B"/>
    <w:rsid w:val="00A36044"/>
    <w:rsid w:val="00A366A9"/>
    <w:rsid w:val="00A46912"/>
    <w:rsid w:val="00A64099"/>
    <w:rsid w:val="00A9017C"/>
    <w:rsid w:val="00A96425"/>
    <w:rsid w:val="00AB0F59"/>
    <w:rsid w:val="00AB6016"/>
    <w:rsid w:val="00AC2A37"/>
    <w:rsid w:val="00AD0E50"/>
    <w:rsid w:val="00AD4A48"/>
    <w:rsid w:val="00AD632D"/>
    <w:rsid w:val="00AF0554"/>
    <w:rsid w:val="00AF1219"/>
    <w:rsid w:val="00AF1C07"/>
    <w:rsid w:val="00AF737F"/>
    <w:rsid w:val="00B006DF"/>
    <w:rsid w:val="00B05ECD"/>
    <w:rsid w:val="00B06172"/>
    <w:rsid w:val="00B16A24"/>
    <w:rsid w:val="00B16A8C"/>
    <w:rsid w:val="00B2518C"/>
    <w:rsid w:val="00B275C1"/>
    <w:rsid w:val="00B31A1E"/>
    <w:rsid w:val="00B6522B"/>
    <w:rsid w:val="00B65709"/>
    <w:rsid w:val="00B67DF2"/>
    <w:rsid w:val="00B85BF7"/>
    <w:rsid w:val="00B939CC"/>
    <w:rsid w:val="00BB0203"/>
    <w:rsid w:val="00BC547B"/>
    <w:rsid w:val="00BD4B6C"/>
    <w:rsid w:val="00BE616D"/>
    <w:rsid w:val="00BE6391"/>
    <w:rsid w:val="00BE7EE4"/>
    <w:rsid w:val="00BF33B9"/>
    <w:rsid w:val="00C37933"/>
    <w:rsid w:val="00C408C7"/>
    <w:rsid w:val="00C47EEA"/>
    <w:rsid w:val="00C519D0"/>
    <w:rsid w:val="00C70ACB"/>
    <w:rsid w:val="00CA4FEC"/>
    <w:rsid w:val="00CD7921"/>
    <w:rsid w:val="00CE084B"/>
    <w:rsid w:val="00D02D57"/>
    <w:rsid w:val="00D118D6"/>
    <w:rsid w:val="00D20266"/>
    <w:rsid w:val="00D20C29"/>
    <w:rsid w:val="00D33842"/>
    <w:rsid w:val="00D410D8"/>
    <w:rsid w:val="00D438E4"/>
    <w:rsid w:val="00D47915"/>
    <w:rsid w:val="00D57D6E"/>
    <w:rsid w:val="00D61F5A"/>
    <w:rsid w:val="00D656C2"/>
    <w:rsid w:val="00DB4C12"/>
    <w:rsid w:val="00DD266B"/>
    <w:rsid w:val="00E0081E"/>
    <w:rsid w:val="00E02094"/>
    <w:rsid w:val="00E02728"/>
    <w:rsid w:val="00E10F4C"/>
    <w:rsid w:val="00E20DE1"/>
    <w:rsid w:val="00E2419F"/>
    <w:rsid w:val="00E366D6"/>
    <w:rsid w:val="00E53E67"/>
    <w:rsid w:val="00E63D8B"/>
    <w:rsid w:val="00E81F4B"/>
    <w:rsid w:val="00EA11BE"/>
    <w:rsid w:val="00EC644A"/>
    <w:rsid w:val="00EC6A3F"/>
    <w:rsid w:val="00ED5C86"/>
    <w:rsid w:val="00EF77B5"/>
    <w:rsid w:val="00F03B5E"/>
    <w:rsid w:val="00F26610"/>
    <w:rsid w:val="00F30554"/>
    <w:rsid w:val="00F3170A"/>
    <w:rsid w:val="00F348D2"/>
    <w:rsid w:val="00F4485F"/>
    <w:rsid w:val="00F44B6A"/>
    <w:rsid w:val="00F521C7"/>
    <w:rsid w:val="00F60BF8"/>
    <w:rsid w:val="00F64863"/>
    <w:rsid w:val="00F960C1"/>
    <w:rsid w:val="00FA0331"/>
    <w:rsid w:val="00FC049C"/>
    <w:rsid w:val="00FC1012"/>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 w:id="17806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ection/advice-guidance/all-topics" TargetMode="External"/><Relationship Id="rId18" Type="http://schemas.openxmlformats.org/officeDocument/2006/relationships/hyperlink" Target="https://www.gov.uk/crb-criminal-records-bureau-chec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end-user-device-security/eud-overview/eud-security-princi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sc.gov.uk/guidance/end-user-device-security" TargetMode="External"/><Relationship Id="rId20" Type="http://schemas.openxmlformats.org/officeDocument/2006/relationships/hyperlink" Target="http://ntweb1/procurementandpartnership/newsite/forms/contrac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RBU@education.gsi.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procurement-policy-note-0914-cyber-essentials-scheme-certific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research-reports-guide-and-templ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914-cyber-essentials-scheme-certifica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22FB6F5B673DE24C929721332B4C6E920C0030F88679BDD7AA4B9DB42500D95F6E19" ma:contentTypeVersion="21" ma:contentTypeDescription="Relates to a contract with an external organisation, and Records retained for 10 years." ma:contentTypeScope="" ma:versionID="588cc406791760cccea5bdef9a8e4421">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2CYMDDFJX5CA-4-57284</_dlc_DocId>
    <_dlc_DocIdUrl xmlns="ad312983-9933-4586-87ae-0dd55f2c5b7f">
      <Url>https://educationgovuk.sharepoint.com/sites/sarpi/a/_layouts/15/DocIdRedir.aspx?ID=2CYMDDFJX5CA-4-57284</Url>
      <Description>2CYMDDFJX5CA-4-57284</Description>
    </_dlc_DocIdUrl>
    <TaxCatchAllLabel xmlns="8c566321-f672-4e06-a901-b5e72b4c4357"/>
    <_vti_ItemDeclaredRecord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64FEB-AA6E-4729-8329-88DFF363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A7E3E-6F63-4050-B269-FBEAE47C7B96}">
  <ds:schemaRefs>
    <ds:schemaRef ds:uri="http://schemas.microsoft.com/sharepoint/events"/>
  </ds:schemaRefs>
</ds:datastoreItem>
</file>

<file path=customXml/itemProps3.xml><?xml version="1.0" encoding="utf-8"?>
<ds:datastoreItem xmlns:ds="http://schemas.openxmlformats.org/officeDocument/2006/customXml" ds:itemID="{B955DCF8-088C-4507-8B10-6008EF2425DB}">
  <ds:schemaRefs>
    <ds:schemaRef ds:uri="http://purl.org/dc/elements/1.1/"/>
    <ds:schemaRef ds:uri="http://schemas.microsoft.com/office/2006/documentManagement/types"/>
    <ds:schemaRef ds:uri="http://purl.org/dc/dcmitype/"/>
    <ds:schemaRef ds:uri="8c566321-f672-4e06-a901-b5e72b4c4357"/>
    <ds:schemaRef ds:uri="http://schemas.microsoft.com/office/infopath/2007/PartnerControls"/>
    <ds:schemaRef ds:uri="ad312983-9933-4586-87ae-0dd55f2c5b7f"/>
    <ds:schemaRef ds:uri="69aff0e4-7cd5-4607-b571-57bf84d7ea3b"/>
    <ds:schemaRef ds:uri="http://schemas.microsoft.com/sharepoint/v3"/>
    <ds:schemaRef ds:uri="http://purl.org/dc/terms/"/>
    <ds:schemaRef ds:uri="http://schemas.openxmlformats.org/package/2006/metadata/core-properties"/>
    <ds:schemaRef ds:uri="65c01043-0666-442f-acb7-2528b588859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BF35035-59B1-4481-B802-44BDBE042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9018</Words>
  <Characters>51409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Terms and conditions and contract signature page</vt:lpstr>
    </vt:vector>
  </TitlesOfParts>
  <Company/>
  <LinksUpToDate>false</LinksUpToDate>
  <CharactersWithSpaces>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MAIDMENT, Christopher</cp:lastModifiedBy>
  <cp:revision>2</cp:revision>
  <dcterms:created xsi:type="dcterms:W3CDTF">2021-02-01T16:36:00Z</dcterms:created>
  <dcterms:modified xsi:type="dcterms:W3CDTF">2021-02-01T16:36:00Z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0x01010022FB6F5B673DE24C929721332B4C6E920C0030F88679BDD7AA4B9DB42500D95F6E19</vt:lpwstr>
  </property>
  <property fmtid="{D5CDD505-2E9C-101B-9397-08002B2CF9AE}" pid="3" name="_dlc_DocIdItemGuid">
    <vt:lpwstr>d0dffecf-ac0e-4179-8b2f-2fc0486660fc</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y fmtid="{D5CDD505-2E9C-101B-9397-08002B2CF9AE}" pid="10" name="c02f73938b5741d4934b358b31a1b80f">
    <vt:lpwstr>Official|0884c477-2e62-47ea-b19c-5af6e91124c5</vt:lpwstr>
  </property>
  <property fmtid="{D5CDD505-2E9C-101B-9397-08002B2CF9AE}" pid="11" name="p6919dbb65844893b164c5f63a6f0eeb">
    <vt:lpwstr>DfE|a484111e-5b24-4ad9-9778-c536c8c88985</vt:lpwstr>
  </property>
  <property fmtid="{D5CDD505-2E9C-101B-9397-08002B2CF9AE}" pid="12" name="f6ec388a6d534bab86a259abd1bfa088">
    <vt:lpwstr>DfE|cc08a6d4-dfde-4d0f-bd85-069ebcef80d5</vt:lpwstr>
  </property>
  <property fmtid="{D5CDD505-2E9C-101B-9397-08002B2CF9AE}" pid="13" name="DfeOwner">
    <vt:lpwstr>3;#DfE|a484111e-5b24-4ad9-9778-c536c8c88985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Subject">
    <vt:lpwstr/>
  </property>
  <property fmtid="{D5CDD505-2E9C-101B-9397-08002B2CF9AE}" pid="17" name="i98b064926ea4fbe8f5b88c394ff652b">
    <vt:lpwstr/>
  </property>
</Properties>
</file>