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A9" w:rsidRPr="00ED3EA9" w:rsidRDefault="00ED3EA9" w:rsidP="00ED3EA9">
      <w:pPr>
        <w:jc w:val="center"/>
        <w:rPr>
          <w:b/>
          <w:sz w:val="24"/>
          <w:u w:val="single"/>
        </w:rPr>
      </w:pPr>
      <w:r w:rsidRPr="00ED3EA9">
        <w:rPr>
          <w:b/>
          <w:sz w:val="24"/>
          <w:u w:val="single"/>
        </w:rPr>
        <w:t xml:space="preserve">Service Description for </w:t>
      </w:r>
      <w:proofErr w:type="spellStart"/>
      <w:r w:rsidRPr="00ED3EA9">
        <w:rPr>
          <w:b/>
          <w:sz w:val="24"/>
          <w:u w:val="single"/>
        </w:rPr>
        <w:t>EoI</w:t>
      </w:r>
      <w:proofErr w:type="spellEnd"/>
      <w:r w:rsidRPr="00ED3EA9">
        <w:rPr>
          <w:b/>
          <w:sz w:val="24"/>
          <w:u w:val="single"/>
        </w:rPr>
        <w:t xml:space="preserve"> Advert</w:t>
      </w:r>
    </w:p>
    <w:p w:rsidR="00ED3EA9" w:rsidRDefault="00ED3EA9" w:rsidP="00ED3EA9">
      <w:r>
        <w:t>Bath and North East Somerset (</w:t>
      </w:r>
      <w:proofErr w:type="spellStart"/>
      <w:r>
        <w:t>BaNES</w:t>
      </w:r>
      <w:proofErr w:type="spellEnd"/>
      <w:r>
        <w:t>) Clinical Commissioning Group, Swindon Clinical Commissioning Group, Wiltshire Clinical Commissioning Group and Wiltshire County Unitary Authority (the Commissioners) would like to invite suitably qualified providers to tender for Integrated Urgent Care Services for the residents and visitors to these areas.  This procurement is being carried out by NHS South, Central and West Commissioning Support Unit (SCWCSU) on behalf of the Commissioners.  The contract value will be circa £13 million to £16 million per annum with an anticipated start date for the contract of April 2018.</w:t>
      </w:r>
    </w:p>
    <w:p w:rsidR="00ED3EA9" w:rsidRDefault="00ED3EA9" w:rsidP="00ED3EA9">
      <w:r>
        <w:t xml:space="preserve">This procurement is for a single provider who will be responsible for delivering all of the following services:  </w:t>
      </w:r>
    </w:p>
    <w:tbl>
      <w:tblPr>
        <w:tblStyle w:val="TableGrid1"/>
        <w:tblW w:w="9356" w:type="dxa"/>
        <w:jc w:val="center"/>
        <w:tblInd w:w="-176" w:type="dxa"/>
        <w:tblLook w:val="04A0" w:firstRow="1" w:lastRow="0" w:firstColumn="1" w:lastColumn="0" w:noHBand="0" w:noVBand="1"/>
      </w:tblPr>
      <w:tblGrid>
        <w:gridCol w:w="4546"/>
        <w:gridCol w:w="990"/>
        <w:gridCol w:w="1133"/>
        <w:gridCol w:w="1145"/>
        <w:gridCol w:w="1542"/>
      </w:tblGrid>
      <w:tr w:rsidR="00ED3EA9" w:rsidRPr="00056AAB" w:rsidTr="00B415BE">
        <w:trPr>
          <w:jc w:val="center"/>
        </w:trPr>
        <w:tc>
          <w:tcPr>
            <w:tcW w:w="4546" w:type="dxa"/>
            <w:shd w:val="clear" w:color="auto" w:fill="D9D9D9" w:themeFill="background1" w:themeFillShade="D9"/>
            <w:vAlign w:val="center"/>
          </w:tcPr>
          <w:p w:rsidR="00ED3EA9" w:rsidRPr="00056AAB" w:rsidRDefault="00ED3EA9" w:rsidP="00B415BE">
            <w:pPr>
              <w:jc w:val="center"/>
              <w:rPr>
                <w:rFonts w:cs="Arial"/>
                <w:b/>
                <w:sz w:val="20"/>
                <w:lang w:eastAsia="en-GB"/>
              </w:rPr>
            </w:pPr>
            <w:r w:rsidRPr="00056AAB">
              <w:rPr>
                <w:rFonts w:cs="Arial"/>
                <w:b/>
                <w:sz w:val="20"/>
                <w:lang w:eastAsia="en-GB"/>
              </w:rPr>
              <w:t>Service</w:t>
            </w:r>
          </w:p>
        </w:tc>
        <w:tc>
          <w:tcPr>
            <w:tcW w:w="990" w:type="dxa"/>
            <w:shd w:val="clear" w:color="auto" w:fill="D9D9D9" w:themeFill="background1" w:themeFillShade="D9"/>
            <w:vAlign w:val="center"/>
          </w:tcPr>
          <w:p w:rsidR="00ED3EA9" w:rsidRPr="00056AAB" w:rsidRDefault="00ED3EA9" w:rsidP="00B415BE">
            <w:pPr>
              <w:jc w:val="center"/>
              <w:rPr>
                <w:rFonts w:cs="Arial"/>
                <w:b/>
                <w:sz w:val="20"/>
                <w:lang w:eastAsia="en-GB"/>
              </w:rPr>
            </w:pPr>
            <w:proofErr w:type="spellStart"/>
            <w:r w:rsidRPr="00056AAB">
              <w:rPr>
                <w:rFonts w:cs="Arial"/>
                <w:b/>
                <w:sz w:val="20"/>
                <w:lang w:eastAsia="en-GB"/>
              </w:rPr>
              <w:t>BaNES</w:t>
            </w:r>
            <w:proofErr w:type="spellEnd"/>
            <w:r w:rsidRPr="00056AAB">
              <w:rPr>
                <w:rFonts w:cs="Arial"/>
                <w:b/>
                <w:sz w:val="20"/>
                <w:lang w:eastAsia="en-GB"/>
              </w:rPr>
              <w:t xml:space="preserve"> CCG</w:t>
            </w:r>
          </w:p>
        </w:tc>
        <w:tc>
          <w:tcPr>
            <w:tcW w:w="1133" w:type="dxa"/>
            <w:shd w:val="clear" w:color="auto" w:fill="D9D9D9" w:themeFill="background1" w:themeFillShade="D9"/>
            <w:vAlign w:val="center"/>
          </w:tcPr>
          <w:p w:rsidR="00ED3EA9" w:rsidRPr="00056AAB" w:rsidRDefault="00ED3EA9" w:rsidP="00B415BE">
            <w:pPr>
              <w:jc w:val="center"/>
              <w:rPr>
                <w:rFonts w:cs="Arial"/>
                <w:b/>
                <w:sz w:val="20"/>
                <w:lang w:eastAsia="en-GB"/>
              </w:rPr>
            </w:pPr>
            <w:r w:rsidRPr="00056AAB">
              <w:rPr>
                <w:rFonts w:cs="Arial"/>
                <w:b/>
                <w:sz w:val="20"/>
                <w:lang w:eastAsia="en-GB"/>
              </w:rPr>
              <w:t>Swindon CCG</w:t>
            </w:r>
          </w:p>
        </w:tc>
        <w:tc>
          <w:tcPr>
            <w:tcW w:w="1145" w:type="dxa"/>
            <w:shd w:val="clear" w:color="auto" w:fill="D9D9D9" w:themeFill="background1" w:themeFillShade="D9"/>
            <w:vAlign w:val="center"/>
          </w:tcPr>
          <w:p w:rsidR="00ED3EA9" w:rsidRPr="00056AAB" w:rsidRDefault="00ED3EA9" w:rsidP="00B415BE">
            <w:pPr>
              <w:jc w:val="center"/>
              <w:rPr>
                <w:rFonts w:cs="Arial"/>
                <w:b/>
                <w:sz w:val="20"/>
                <w:lang w:eastAsia="en-GB"/>
              </w:rPr>
            </w:pPr>
            <w:r w:rsidRPr="00056AAB">
              <w:rPr>
                <w:rFonts w:cs="Arial"/>
                <w:b/>
                <w:sz w:val="20"/>
                <w:lang w:eastAsia="en-GB"/>
              </w:rPr>
              <w:t>Wiltshire CCG</w:t>
            </w:r>
          </w:p>
        </w:tc>
        <w:tc>
          <w:tcPr>
            <w:tcW w:w="1542" w:type="dxa"/>
            <w:shd w:val="clear" w:color="auto" w:fill="D9D9D9" w:themeFill="background1" w:themeFillShade="D9"/>
            <w:vAlign w:val="center"/>
          </w:tcPr>
          <w:p w:rsidR="00ED3EA9" w:rsidRPr="00056AAB" w:rsidRDefault="00ED3EA9" w:rsidP="00B415BE">
            <w:pPr>
              <w:ind w:left="-108"/>
              <w:jc w:val="center"/>
              <w:rPr>
                <w:rFonts w:cs="Arial"/>
                <w:b/>
                <w:sz w:val="20"/>
                <w:lang w:eastAsia="en-GB"/>
              </w:rPr>
            </w:pPr>
            <w:r w:rsidRPr="00056AAB">
              <w:rPr>
                <w:rFonts w:cs="Arial"/>
                <w:b/>
                <w:sz w:val="20"/>
                <w:lang w:eastAsia="en-GB"/>
              </w:rPr>
              <w:t>Wiltshire Council UA</w:t>
            </w:r>
          </w:p>
        </w:tc>
      </w:tr>
      <w:tr w:rsidR="00ED3EA9" w:rsidRPr="00056AAB" w:rsidTr="00B415BE">
        <w:trPr>
          <w:jc w:val="center"/>
        </w:trPr>
        <w:tc>
          <w:tcPr>
            <w:tcW w:w="4546" w:type="dxa"/>
          </w:tcPr>
          <w:p w:rsidR="00ED3EA9" w:rsidRPr="00056AAB" w:rsidRDefault="00ED3EA9" w:rsidP="00B415BE">
            <w:pPr>
              <w:rPr>
                <w:rFonts w:cs="Arial"/>
                <w:color w:val="000000" w:themeColor="dark1"/>
                <w:kern w:val="24"/>
                <w:sz w:val="20"/>
                <w:lang w:eastAsia="en-GB"/>
              </w:rPr>
            </w:pPr>
            <w:r w:rsidRPr="00056AAB">
              <w:rPr>
                <w:rFonts w:cs="Arial"/>
                <w:color w:val="000000" w:themeColor="dark1"/>
                <w:kern w:val="24"/>
                <w:sz w:val="20"/>
                <w:lang w:eastAsia="en-GB"/>
              </w:rPr>
              <w:t>Access to Care Service</w:t>
            </w:r>
          </w:p>
        </w:tc>
        <w:tc>
          <w:tcPr>
            <w:tcW w:w="990" w:type="dxa"/>
            <w:vAlign w:val="center"/>
          </w:tcPr>
          <w:p w:rsidR="00ED3EA9" w:rsidRPr="00056AAB" w:rsidRDefault="00ED3EA9" w:rsidP="00B415BE">
            <w:pPr>
              <w:jc w:val="center"/>
              <w:rPr>
                <w:rFonts w:cs="Arial"/>
                <w:sz w:val="20"/>
                <w:lang w:eastAsia="en-GB"/>
              </w:rPr>
            </w:pPr>
          </w:p>
        </w:tc>
        <w:tc>
          <w:tcPr>
            <w:tcW w:w="1133" w:type="dxa"/>
            <w:vAlign w:val="center"/>
          </w:tcPr>
          <w:p w:rsidR="00ED3EA9" w:rsidRPr="00056AAB" w:rsidRDefault="00ED3EA9" w:rsidP="00B415BE">
            <w:pPr>
              <w:jc w:val="center"/>
              <w:rPr>
                <w:rFonts w:cs="Arial"/>
                <w:sz w:val="20"/>
                <w:lang w:eastAsia="en-GB"/>
              </w:rPr>
            </w:pPr>
          </w:p>
        </w:tc>
        <w:tc>
          <w:tcPr>
            <w:tcW w:w="1145" w:type="dxa"/>
            <w:vAlign w:val="center"/>
          </w:tcPr>
          <w:p w:rsidR="00ED3EA9" w:rsidRPr="00056AAB" w:rsidRDefault="00ED3EA9" w:rsidP="00B415BE">
            <w:pPr>
              <w:jc w:val="center"/>
              <w:rPr>
                <w:rFonts w:cs="Arial"/>
                <w:sz w:val="20"/>
                <w:lang w:eastAsia="en-GB"/>
              </w:rPr>
            </w:pPr>
            <w:r w:rsidRPr="00056AAB">
              <w:rPr>
                <w:rFonts w:cs="Arial"/>
                <w:sz w:val="20"/>
                <w:lang w:eastAsia="en-GB"/>
              </w:rPr>
              <w:sym w:font="Wingdings" w:char="F0FC"/>
            </w:r>
          </w:p>
        </w:tc>
        <w:tc>
          <w:tcPr>
            <w:tcW w:w="1542" w:type="dxa"/>
            <w:vAlign w:val="center"/>
          </w:tcPr>
          <w:p w:rsidR="00ED3EA9" w:rsidRPr="00056AAB" w:rsidRDefault="00ED3EA9" w:rsidP="00B415BE">
            <w:pPr>
              <w:jc w:val="center"/>
              <w:rPr>
                <w:rFonts w:cs="Arial"/>
                <w:sz w:val="20"/>
                <w:lang w:eastAsia="en-GB"/>
              </w:rPr>
            </w:pPr>
          </w:p>
        </w:tc>
      </w:tr>
      <w:tr w:rsidR="00ED3EA9" w:rsidRPr="00056AAB" w:rsidTr="00B415BE">
        <w:trPr>
          <w:jc w:val="center"/>
        </w:trPr>
        <w:tc>
          <w:tcPr>
            <w:tcW w:w="4546" w:type="dxa"/>
          </w:tcPr>
          <w:p w:rsidR="00ED3EA9" w:rsidRPr="00056AAB" w:rsidRDefault="00ED3EA9" w:rsidP="00B415BE">
            <w:pPr>
              <w:rPr>
                <w:rFonts w:cs="Arial"/>
                <w:color w:val="000000" w:themeColor="dark1"/>
                <w:kern w:val="24"/>
                <w:sz w:val="20"/>
                <w:lang w:eastAsia="en-GB"/>
              </w:rPr>
            </w:pPr>
            <w:r w:rsidRPr="00056AAB">
              <w:rPr>
                <w:rFonts w:cs="Arial"/>
                <w:color w:val="000000" w:themeColor="dark1"/>
                <w:kern w:val="24"/>
                <w:sz w:val="20"/>
                <w:lang w:eastAsia="en-GB"/>
              </w:rPr>
              <w:t>Acute Trust Liaison Service</w:t>
            </w:r>
          </w:p>
        </w:tc>
        <w:tc>
          <w:tcPr>
            <w:tcW w:w="990" w:type="dxa"/>
            <w:vAlign w:val="center"/>
          </w:tcPr>
          <w:p w:rsidR="00ED3EA9" w:rsidRPr="00056AAB" w:rsidRDefault="00ED3EA9" w:rsidP="00B415BE">
            <w:pPr>
              <w:jc w:val="center"/>
              <w:rPr>
                <w:rFonts w:cs="Arial"/>
                <w:sz w:val="20"/>
                <w:lang w:eastAsia="en-GB"/>
              </w:rPr>
            </w:pPr>
          </w:p>
        </w:tc>
        <w:tc>
          <w:tcPr>
            <w:tcW w:w="1133" w:type="dxa"/>
            <w:vAlign w:val="center"/>
          </w:tcPr>
          <w:p w:rsidR="00ED3EA9" w:rsidRPr="00056AAB" w:rsidRDefault="00ED3EA9" w:rsidP="00B415BE">
            <w:pPr>
              <w:jc w:val="center"/>
              <w:rPr>
                <w:rFonts w:cs="Arial"/>
                <w:sz w:val="20"/>
                <w:lang w:eastAsia="en-GB"/>
              </w:rPr>
            </w:pPr>
          </w:p>
        </w:tc>
        <w:tc>
          <w:tcPr>
            <w:tcW w:w="1145" w:type="dxa"/>
            <w:vAlign w:val="center"/>
          </w:tcPr>
          <w:p w:rsidR="00ED3EA9" w:rsidRPr="00056AAB" w:rsidRDefault="00ED3EA9" w:rsidP="00B415BE">
            <w:pPr>
              <w:jc w:val="center"/>
              <w:rPr>
                <w:rFonts w:cs="Arial"/>
                <w:sz w:val="20"/>
                <w:lang w:eastAsia="en-GB"/>
              </w:rPr>
            </w:pPr>
            <w:r w:rsidRPr="00056AAB">
              <w:rPr>
                <w:rFonts w:cs="Arial"/>
                <w:sz w:val="20"/>
                <w:lang w:eastAsia="en-GB"/>
              </w:rPr>
              <w:sym w:font="Wingdings" w:char="F0FC"/>
            </w:r>
          </w:p>
        </w:tc>
        <w:tc>
          <w:tcPr>
            <w:tcW w:w="1542" w:type="dxa"/>
            <w:vAlign w:val="center"/>
          </w:tcPr>
          <w:p w:rsidR="00ED3EA9" w:rsidRPr="00056AAB" w:rsidRDefault="00ED3EA9" w:rsidP="00B415BE">
            <w:pPr>
              <w:jc w:val="center"/>
              <w:rPr>
                <w:rFonts w:cs="Arial"/>
                <w:sz w:val="20"/>
                <w:lang w:eastAsia="en-GB"/>
              </w:rPr>
            </w:pPr>
          </w:p>
        </w:tc>
      </w:tr>
      <w:tr w:rsidR="00ED3EA9" w:rsidRPr="00056AAB" w:rsidTr="00B415BE">
        <w:trPr>
          <w:jc w:val="center"/>
        </w:trPr>
        <w:tc>
          <w:tcPr>
            <w:tcW w:w="4546" w:type="dxa"/>
          </w:tcPr>
          <w:p w:rsidR="00ED3EA9" w:rsidRPr="00056AAB" w:rsidRDefault="00ED3EA9" w:rsidP="00B415BE">
            <w:pPr>
              <w:rPr>
                <w:rFonts w:cs="Arial"/>
                <w:color w:val="000000" w:themeColor="dark1"/>
                <w:kern w:val="24"/>
                <w:sz w:val="20"/>
                <w:lang w:eastAsia="en-GB"/>
              </w:rPr>
            </w:pPr>
            <w:r w:rsidRPr="00056AAB">
              <w:rPr>
                <w:rFonts w:cs="Arial"/>
                <w:color w:val="000000" w:themeColor="dark1"/>
                <w:kern w:val="24"/>
                <w:sz w:val="20"/>
                <w:lang w:eastAsia="en-GB"/>
              </w:rPr>
              <w:t>Carers Emergency Card Response Service</w:t>
            </w:r>
          </w:p>
        </w:tc>
        <w:tc>
          <w:tcPr>
            <w:tcW w:w="990" w:type="dxa"/>
            <w:vAlign w:val="center"/>
          </w:tcPr>
          <w:p w:rsidR="00ED3EA9" w:rsidRPr="00056AAB" w:rsidRDefault="00ED3EA9" w:rsidP="00B415BE">
            <w:pPr>
              <w:jc w:val="center"/>
              <w:rPr>
                <w:rFonts w:cs="Arial"/>
                <w:sz w:val="20"/>
                <w:lang w:eastAsia="en-GB"/>
              </w:rPr>
            </w:pPr>
          </w:p>
        </w:tc>
        <w:tc>
          <w:tcPr>
            <w:tcW w:w="1133" w:type="dxa"/>
            <w:vAlign w:val="center"/>
          </w:tcPr>
          <w:p w:rsidR="00ED3EA9" w:rsidRPr="00056AAB" w:rsidRDefault="00ED3EA9" w:rsidP="00B415BE">
            <w:pPr>
              <w:jc w:val="center"/>
              <w:rPr>
                <w:rFonts w:cs="Arial"/>
                <w:sz w:val="20"/>
                <w:lang w:eastAsia="en-GB"/>
              </w:rPr>
            </w:pPr>
          </w:p>
        </w:tc>
        <w:tc>
          <w:tcPr>
            <w:tcW w:w="1145" w:type="dxa"/>
            <w:vAlign w:val="center"/>
          </w:tcPr>
          <w:p w:rsidR="00ED3EA9" w:rsidRPr="00056AAB" w:rsidRDefault="00ED3EA9" w:rsidP="00B415BE">
            <w:pPr>
              <w:jc w:val="center"/>
              <w:rPr>
                <w:rFonts w:cs="Arial"/>
                <w:sz w:val="20"/>
                <w:lang w:eastAsia="en-GB"/>
              </w:rPr>
            </w:pPr>
          </w:p>
        </w:tc>
        <w:tc>
          <w:tcPr>
            <w:tcW w:w="1542" w:type="dxa"/>
            <w:vAlign w:val="center"/>
          </w:tcPr>
          <w:p w:rsidR="00ED3EA9" w:rsidRPr="00056AAB" w:rsidRDefault="00ED3EA9" w:rsidP="00B415BE">
            <w:pPr>
              <w:jc w:val="center"/>
              <w:rPr>
                <w:rFonts w:cs="Arial"/>
                <w:sz w:val="20"/>
                <w:lang w:eastAsia="en-GB"/>
              </w:rPr>
            </w:pPr>
            <w:r w:rsidRPr="00056AAB">
              <w:rPr>
                <w:rFonts w:cs="Arial"/>
                <w:sz w:val="20"/>
                <w:lang w:eastAsia="en-GB"/>
              </w:rPr>
              <w:sym w:font="Wingdings" w:char="F0FC"/>
            </w:r>
          </w:p>
        </w:tc>
      </w:tr>
      <w:tr w:rsidR="00ED3EA9" w:rsidRPr="00056AAB" w:rsidTr="00B415BE">
        <w:trPr>
          <w:jc w:val="center"/>
        </w:trPr>
        <w:tc>
          <w:tcPr>
            <w:tcW w:w="4546" w:type="dxa"/>
          </w:tcPr>
          <w:p w:rsidR="00ED3EA9" w:rsidRPr="00056AAB" w:rsidRDefault="00ED3EA9" w:rsidP="00B415BE">
            <w:pPr>
              <w:rPr>
                <w:rFonts w:cs="Arial"/>
                <w:color w:val="000000" w:themeColor="dark1"/>
                <w:kern w:val="24"/>
                <w:sz w:val="20"/>
                <w:lang w:eastAsia="en-GB"/>
              </w:rPr>
            </w:pPr>
            <w:r w:rsidRPr="00056AAB">
              <w:rPr>
                <w:rFonts w:cs="Arial"/>
                <w:color w:val="000000" w:themeColor="dark1"/>
                <w:kern w:val="24"/>
                <w:sz w:val="20"/>
                <w:lang w:eastAsia="en-GB"/>
              </w:rPr>
              <w:t>GP Out of Hours service</w:t>
            </w:r>
          </w:p>
        </w:tc>
        <w:tc>
          <w:tcPr>
            <w:tcW w:w="990" w:type="dxa"/>
            <w:vAlign w:val="center"/>
          </w:tcPr>
          <w:p w:rsidR="00ED3EA9" w:rsidRPr="00056AAB" w:rsidRDefault="00ED3EA9" w:rsidP="00B415BE">
            <w:pPr>
              <w:jc w:val="center"/>
              <w:rPr>
                <w:rFonts w:cs="Arial"/>
                <w:sz w:val="20"/>
                <w:lang w:eastAsia="en-GB"/>
              </w:rPr>
            </w:pPr>
            <w:r w:rsidRPr="00056AAB">
              <w:rPr>
                <w:rFonts w:cs="Arial"/>
                <w:sz w:val="20"/>
                <w:lang w:eastAsia="en-GB"/>
              </w:rPr>
              <w:sym w:font="Wingdings" w:char="F0FC"/>
            </w:r>
          </w:p>
        </w:tc>
        <w:tc>
          <w:tcPr>
            <w:tcW w:w="1133" w:type="dxa"/>
            <w:vAlign w:val="center"/>
          </w:tcPr>
          <w:p w:rsidR="00ED3EA9" w:rsidRPr="00056AAB" w:rsidRDefault="00ED3EA9" w:rsidP="00B415BE">
            <w:pPr>
              <w:jc w:val="center"/>
              <w:rPr>
                <w:rFonts w:cs="Arial"/>
                <w:sz w:val="20"/>
                <w:lang w:eastAsia="en-GB"/>
              </w:rPr>
            </w:pPr>
          </w:p>
        </w:tc>
        <w:tc>
          <w:tcPr>
            <w:tcW w:w="1145" w:type="dxa"/>
            <w:vAlign w:val="center"/>
          </w:tcPr>
          <w:p w:rsidR="00ED3EA9" w:rsidRPr="00056AAB" w:rsidRDefault="00ED3EA9" w:rsidP="00B415BE">
            <w:pPr>
              <w:jc w:val="center"/>
              <w:rPr>
                <w:rFonts w:cs="Arial"/>
                <w:sz w:val="20"/>
                <w:lang w:eastAsia="en-GB"/>
              </w:rPr>
            </w:pPr>
            <w:r w:rsidRPr="00056AAB">
              <w:rPr>
                <w:rFonts w:cs="Arial"/>
                <w:sz w:val="20"/>
                <w:lang w:eastAsia="en-GB"/>
              </w:rPr>
              <w:sym w:font="Wingdings" w:char="F0FC"/>
            </w:r>
          </w:p>
        </w:tc>
        <w:tc>
          <w:tcPr>
            <w:tcW w:w="1542" w:type="dxa"/>
            <w:vAlign w:val="center"/>
          </w:tcPr>
          <w:p w:rsidR="00ED3EA9" w:rsidRPr="00056AAB" w:rsidRDefault="00ED3EA9" w:rsidP="00B415BE">
            <w:pPr>
              <w:jc w:val="center"/>
              <w:rPr>
                <w:rFonts w:cs="Arial"/>
                <w:sz w:val="20"/>
                <w:lang w:eastAsia="en-GB"/>
              </w:rPr>
            </w:pPr>
          </w:p>
        </w:tc>
      </w:tr>
      <w:tr w:rsidR="00ED3EA9" w:rsidRPr="00056AAB" w:rsidTr="00B415BE">
        <w:trPr>
          <w:jc w:val="center"/>
        </w:trPr>
        <w:tc>
          <w:tcPr>
            <w:tcW w:w="4546" w:type="dxa"/>
          </w:tcPr>
          <w:p w:rsidR="00ED3EA9" w:rsidRPr="00056AAB" w:rsidRDefault="00ED3EA9" w:rsidP="00B415BE">
            <w:pPr>
              <w:rPr>
                <w:rFonts w:cs="Arial"/>
                <w:color w:val="000000" w:themeColor="dark1"/>
                <w:kern w:val="24"/>
                <w:sz w:val="20"/>
                <w:lang w:eastAsia="en-GB"/>
              </w:rPr>
            </w:pPr>
            <w:r w:rsidRPr="00056AAB">
              <w:rPr>
                <w:rFonts w:cs="Arial"/>
                <w:color w:val="000000" w:themeColor="dark1"/>
                <w:kern w:val="24"/>
                <w:sz w:val="20"/>
                <w:lang w:eastAsia="en-GB"/>
              </w:rPr>
              <w:t>Integrated Urgent Care Access, Treatment and Clinical Advice Service (clinical hub), including Health Care Professional Line</w:t>
            </w:r>
          </w:p>
        </w:tc>
        <w:tc>
          <w:tcPr>
            <w:tcW w:w="990" w:type="dxa"/>
            <w:vAlign w:val="center"/>
          </w:tcPr>
          <w:p w:rsidR="00ED3EA9" w:rsidRPr="00056AAB" w:rsidRDefault="00ED3EA9" w:rsidP="00B415BE">
            <w:pPr>
              <w:jc w:val="center"/>
              <w:rPr>
                <w:rFonts w:cs="Arial"/>
                <w:sz w:val="20"/>
                <w:lang w:eastAsia="en-GB"/>
              </w:rPr>
            </w:pPr>
            <w:r w:rsidRPr="00056AAB">
              <w:rPr>
                <w:rFonts w:cs="Arial"/>
                <w:sz w:val="20"/>
                <w:lang w:eastAsia="en-GB"/>
              </w:rPr>
              <w:sym w:font="Wingdings" w:char="F0FC"/>
            </w:r>
          </w:p>
        </w:tc>
        <w:tc>
          <w:tcPr>
            <w:tcW w:w="1133" w:type="dxa"/>
            <w:vAlign w:val="center"/>
          </w:tcPr>
          <w:p w:rsidR="00ED3EA9" w:rsidRPr="00056AAB" w:rsidRDefault="00ED3EA9" w:rsidP="00B415BE">
            <w:pPr>
              <w:jc w:val="center"/>
              <w:rPr>
                <w:rFonts w:cs="Arial"/>
                <w:sz w:val="20"/>
                <w:lang w:eastAsia="en-GB"/>
              </w:rPr>
            </w:pPr>
            <w:r w:rsidRPr="00056AAB">
              <w:rPr>
                <w:rFonts w:cs="Arial"/>
                <w:sz w:val="20"/>
                <w:lang w:eastAsia="en-GB"/>
              </w:rPr>
              <w:sym w:font="Wingdings" w:char="F0FC"/>
            </w:r>
          </w:p>
        </w:tc>
        <w:tc>
          <w:tcPr>
            <w:tcW w:w="1145" w:type="dxa"/>
            <w:vAlign w:val="center"/>
          </w:tcPr>
          <w:p w:rsidR="00ED3EA9" w:rsidRPr="00056AAB" w:rsidRDefault="00ED3EA9" w:rsidP="00B415BE">
            <w:pPr>
              <w:jc w:val="center"/>
              <w:rPr>
                <w:rFonts w:cs="Arial"/>
                <w:sz w:val="20"/>
                <w:lang w:eastAsia="en-GB"/>
              </w:rPr>
            </w:pPr>
            <w:r w:rsidRPr="00056AAB">
              <w:rPr>
                <w:rFonts w:cs="Arial"/>
                <w:sz w:val="20"/>
                <w:lang w:eastAsia="en-GB"/>
              </w:rPr>
              <w:sym w:font="Wingdings" w:char="F0FC"/>
            </w:r>
          </w:p>
        </w:tc>
        <w:tc>
          <w:tcPr>
            <w:tcW w:w="1542" w:type="dxa"/>
            <w:vAlign w:val="center"/>
          </w:tcPr>
          <w:p w:rsidR="00ED3EA9" w:rsidRPr="00056AAB" w:rsidRDefault="00ED3EA9" w:rsidP="00B415BE">
            <w:pPr>
              <w:jc w:val="center"/>
              <w:rPr>
                <w:rFonts w:cs="Arial"/>
                <w:sz w:val="20"/>
                <w:lang w:eastAsia="en-GB"/>
              </w:rPr>
            </w:pPr>
          </w:p>
        </w:tc>
      </w:tr>
      <w:tr w:rsidR="00ED3EA9" w:rsidRPr="00056AAB" w:rsidTr="00B415BE">
        <w:trPr>
          <w:jc w:val="center"/>
        </w:trPr>
        <w:tc>
          <w:tcPr>
            <w:tcW w:w="4546" w:type="dxa"/>
          </w:tcPr>
          <w:p w:rsidR="00ED3EA9" w:rsidRPr="00056AAB" w:rsidRDefault="00ED3EA9" w:rsidP="00B415BE">
            <w:pPr>
              <w:rPr>
                <w:rFonts w:cs="Arial"/>
                <w:color w:val="000000" w:themeColor="dark1"/>
                <w:kern w:val="24"/>
                <w:sz w:val="20"/>
                <w:lang w:eastAsia="en-GB"/>
              </w:rPr>
            </w:pPr>
            <w:r w:rsidRPr="00056AAB">
              <w:rPr>
                <w:rFonts w:cs="Arial"/>
                <w:color w:val="000000" w:themeColor="dark1"/>
                <w:kern w:val="24"/>
                <w:sz w:val="20"/>
                <w:lang w:eastAsia="en-GB"/>
              </w:rPr>
              <w:t>NHS 111 Service</w:t>
            </w:r>
          </w:p>
        </w:tc>
        <w:tc>
          <w:tcPr>
            <w:tcW w:w="990" w:type="dxa"/>
            <w:vAlign w:val="center"/>
          </w:tcPr>
          <w:p w:rsidR="00ED3EA9" w:rsidRPr="00056AAB" w:rsidRDefault="00ED3EA9" w:rsidP="00B415BE">
            <w:pPr>
              <w:jc w:val="center"/>
              <w:rPr>
                <w:rFonts w:cs="Arial"/>
                <w:sz w:val="20"/>
                <w:lang w:eastAsia="en-GB"/>
              </w:rPr>
            </w:pPr>
            <w:r w:rsidRPr="00056AAB">
              <w:rPr>
                <w:rFonts w:cs="Arial"/>
                <w:sz w:val="20"/>
                <w:lang w:eastAsia="en-GB"/>
              </w:rPr>
              <w:sym w:font="Wingdings" w:char="F0FC"/>
            </w:r>
          </w:p>
        </w:tc>
        <w:tc>
          <w:tcPr>
            <w:tcW w:w="1133" w:type="dxa"/>
            <w:vAlign w:val="center"/>
          </w:tcPr>
          <w:p w:rsidR="00ED3EA9" w:rsidRPr="00056AAB" w:rsidRDefault="00ED3EA9" w:rsidP="00B415BE">
            <w:pPr>
              <w:jc w:val="center"/>
              <w:rPr>
                <w:rFonts w:cs="Arial"/>
                <w:sz w:val="20"/>
                <w:lang w:eastAsia="en-GB"/>
              </w:rPr>
            </w:pPr>
            <w:r w:rsidRPr="00056AAB">
              <w:rPr>
                <w:rFonts w:cs="Arial"/>
                <w:sz w:val="20"/>
                <w:lang w:eastAsia="en-GB"/>
              </w:rPr>
              <w:sym w:font="Wingdings" w:char="F0FC"/>
            </w:r>
          </w:p>
        </w:tc>
        <w:tc>
          <w:tcPr>
            <w:tcW w:w="1145" w:type="dxa"/>
            <w:vAlign w:val="center"/>
          </w:tcPr>
          <w:p w:rsidR="00ED3EA9" w:rsidRPr="00056AAB" w:rsidRDefault="00ED3EA9" w:rsidP="00B415BE">
            <w:pPr>
              <w:jc w:val="center"/>
              <w:rPr>
                <w:rFonts w:cs="Arial"/>
                <w:sz w:val="20"/>
                <w:lang w:eastAsia="en-GB"/>
              </w:rPr>
            </w:pPr>
            <w:r w:rsidRPr="00056AAB">
              <w:rPr>
                <w:rFonts w:cs="Arial"/>
                <w:sz w:val="20"/>
                <w:lang w:eastAsia="en-GB"/>
              </w:rPr>
              <w:sym w:font="Wingdings" w:char="F0FC"/>
            </w:r>
          </w:p>
        </w:tc>
        <w:tc>
          <w:tcPr>
            <w:tcW w:w="1542" w:type="dxa"/>
            <w:vAlign w:val="center"/>
          </w:tcPr>
          <w:p w:rsidR="00ED3EA9" w:rsidRPr="00056AAB" w:rsidRDefault="00ED3EA9" w:rsidP="00B415BE">
            <w:pPr>
              <w:jc w:val="center"/>
              <w:rPr>
                <w:rFonts w:cs="Arial"/>
                <w:sz w:val="20"/>
                <w:lang w:eastAsia="en-GB"/>
              </w:rPr>
            </w:pPr>
          </w:p>
        </w:tc>
      </w:tr>
      <w:tr w:rsidR="00ED3EA9" w:rsidRPr="00056AAB" w:rsidTr="00B415BE">
        <w:trPr>
          <w:jc w:val="center"/>
        </w:trPr>
        <w:tc>
          <w:tcPr>
            <w:tcW w:w="4546" w:type="dxa"/>
          </w:tcPr>
          <w:p w:rsidR="00ED3EA9" w:rsidRPr="00056AAB" w:rsidRDefault="00ED3EA9" w:rsidP="00B415BE">
            <w:pPr>
              <w:rPr>
                <w:rFonts w:cs="Arial"/>
                <w:color w:val="000000" w:themeColor="dark1"/>
                <w:kern w:val="24"/>
                <w:sz w:val="20"/>
                <w:lang w:eastAsia="en-GB"/>
              </w:rPr>
            </w:pPr>
            <w:r w:rsidRPr="00056AAB">
              <w:rPr>
                <w:rFonts w:cs="Arial"/>
                <w:color w:val="000000" w:themeColor="dark1"/>
                <w:kern w:val="24"/>
                <w:sz w:val="20"/>
                <w:lang w:eastAsia="en-GB"/>
              </w:rPr>
              <w:t>Single point of access to intermediate care beds</w:t>
            </w:r>
          </w:p>
        </w:tc>
        <w:tc>
          <w:tcPr>
            <w:tcW w:w="990" w:type="dxa"/>
            <w:vAlign w:val="center"/>
          </w:tcPr>
          <w:p w:rsidR="00ED3EA9" w:rsidRPr="00056AAB" w:rsidRDefault="00ED3EA9" w:rsidP="00B415BE">
            <w:pPr>
              <w:jc w:val="center"/>
              <w:rPr>
                <w:rFonts w:cs="Arial"/>
                <w:sz w:val="20"/>
                <w:lang w:eastAsia="en-GB"/>
              </w:rPr>
            </w:pPr>
          </w:p>
        </w:tc>
        <w:tc>
          <w:tcPr>
            <w:tcW w:w="1133" w:type="dxa"/>
            <w:vAlign w:val="center"/>
          </w:tcPr>
          <w:p w:rsidR="00ED3EA9" w:rsidRPr="00056AAB" w:rsidRDefault="00ED3EA9" w:rsidP="00B415BE">
            <w:pPr>
              <w:jc w:val="center"/>
              <w:rPr>
                <w:rFonts w:cs="Arial"/>
                <w:sz w:val="20"/>
                <w:lang w:eastAsia="en-GB"/>
              </w:rPr>
            </w:pPr>
          </w:p>
        </w:tc>
        <w:tc>
          <w:tcPr>
            <w:tcW w:w="1145" w:type="dxa"/>
            <w:vAlign w:val="center"/>
          </w:tcPr>
          <w:p w:rsidR="00ED3EA9" w:rsidRPr="00056AAB" w:rsidRDefault="00ED3EA9" w:rsidP="00B415BE">
            <w:pPr>
              <w:jc w:val="center"/>
              <w:rPr>
                <w:rFonts w:cs="Arial"/>
                <w:sz w:val="20"/>
                <w:lang w:eastAsia="en-GB"/>
              </w:rPr>
            </w:pPr>
          </w:p>
        </w:tc>
        <w:tc>
          <w:tcPr>
            <w:tcW w:w="1542" w:type="dxa"/>
            <w:vAlign w:val="center"/>
          </w:tcPr>
          <w:p w:rsidR="00ED3EA9" w:rsidRPr="00056AAB" w:rsidRDefault="00ED3EA9" w:rsidP="00B415BE">
            <w:pPr>
              <w:jc w:val="center"/>
              <w:rPr>
                <w:rFonts w:cs="Arial"/>
                <w:sz w:val="20"/>
                <w:lang w:eastAsia="en-GB"/>
              </w:rPr>
            </w:pPr>
            <w:r w:rsidRPr="00056AAB">
              <w:rPr>
                <w:rFonts w:cs="Arial"/>
                <w:sz w:val="20"/>
                <w:lang w:eastAsia="en-GB"/>
              </w:rPr>
              <w:sym w:font="Wingdings" w:char="F0FC"/>
            </w:r>
          </w:p>
        </w:tc>
      </w:tr>
      <w:tr w:rsidR="00ED3EA9" w:rsidRPr="00E07E19" w:rsidTr="00B415BE">
        <w:trPr>
          <w:jc w:val="center"/>
        </w:trPr>
        <w:tc>
          <w:tcPr>
            <w:tcW w:w="4546" w:type="dxa"/>
          </w:tcPr>
          <w:p w:rsidR="00ED3EA9" w:rsidRPr="00E07E19" w:rsidRDefault="00ED3EA9" w:rsidP="00B415BE">
            <w:pPr>
              <w:rPr>
                <w:rFonts w:cs="Arial"/>
                <w:kern w:val="24"/>
                <w:sz w:val="20"/>
                <w:lang w:eastAsia="en-GB"/>
              </w:rPr>
            </w:pPr>
            <w:r w:rsidRPr="00E07E19">
              <w:rPr>
                <w:rFonts w:cs="Arial"/>
                <w:kern w:val="24"/>
                <w:sz w:val="20"/>
                <w:lang w:eastAsia="en-GB"/>
              </w:rPr>
              <w:t xml:space="preserve">Telecare call monitoring </w:t>
            </w:r>
          </w:p>
        </w:tc>
        <w:tc>
          <w:tcPr>
            <w:tcW w:w="990" w:type="dxa"/>
            <w:vAlign w:val="center"/>
          </w:tcPr>
          <w:p w:rsidR="00ED3EA9" w:rsidRPr="00E07E19" w:rsidRDefault="00ED3EA9" w:rsidP="00B415BE">
            <w:pPr>
              <w:jc w:val="center"/>
              <w:rPr>
                <w:rFonts w:cs="Arial"/>
                <w:sz w:val="20"/>
                <w:lang w:eastAsia="en-GB"/>
              </w:rPr>
            </w:pPr>
          </w:p>
        </w:tc>
        <w:tc>
          <w:tcPr>
            <w:tcW w:w="1133" w:type="dxa"/>
            <w:vAlign w:val="center"/>
          </w:tcPr>
          <w:p w:rsidR="00ED3EA9" w:rsidRPr="00E07E19" w:rsidRDefault="00ED3EA9" w:rsidP="00B415BE">
            <w:pPr>
              <w:jc w:val="center"/>
              <w:rPr>
                <w:rFonts w:cs="Arial"/>
                <w:sz w:val="20"/>
                <w:lang w:eastAsia="en-GB"/>
              </w:rPr>
            </w:pPr>
          </w:p>
        </w:tc>
        <w:tc>
          <w:tcPr>
            <w:tcW w:w="1145" w:type="dxa"/>
            <w:vAlign w:val="center"/>
          </w:tcPr>
          <w:p w:rsidR="00ED3EA9" w:rsidRPr="00E07E19" w:rsidRDefault="00ED3EA9" w:rsidP="00B415BE">
            <w:pPr>
              <w:jc w:val="center"/>
              <w:rPr>
                <w:rFonts w:cs="Arial"/>
                <w:sz w:val="20"/>
                <w:lang w:eastAsia="en-GB"/>
              </w:rPr>
            </w:pPr>
          </w:p>
        </w:tc>
        <w:tc>
          <w:tcPr>
            <w:tcW w:w="1542" w:type="dxa"/>
            <w:vAlign w:val="center"/>
          </w:tcPr>
          <w:p w:rsidR="00ED3EA9" w:rsidRPr="00E07E19" w:rsidRDefault="00ED3EA9" w:rsidP="00B415BE">
            <w:pPr>
              <w:jc w:val="center"/>
              <w:rPr>
                <w:rFonts w:cs="Arial"/>
                <w:sz w:val="20"/>
                <w:lang w:eastAsia="en-GB"/>
              </w:rPr>
            </w:pPr>
            <w:r w:rsidRPr="00E07E19">
              <w:rPr>
                <w:rFonts w:cs="Arial"/>
                <w:sz w:val="20"/>
                <w:lang w:eastAsia="en-GB"/>
              </w:rPr>
              <w:sym w:font="Wingdings" w:char="F0FC"/>
            </w:r>
          </w:p>
        </w:tc>
      </w:tr>
      <w:tr w:rsidR="00ED3EA9" w:rsidRPr="00E07E19" w:rsidTr="00B415BE">
        <w:trPr>
          <w:jc w:val="center"/>
        </w:trPr>
        <w:tc>
          <w:tcPr>
            <w:tcW w:w="4546" w:type="dxa"/>
          </w:tcPr>
          <w:p w:rsidR="00ED3EA9" w:rsidRPr="00E07E19" w:rsidRDefault="00ED3EA9" w:rsidP="00B415BE">
            <w:pPr>
              <w:rPr>
                <w:rFonts w:cs="Arial"/>
                <w:kern w:val="24"/>
                <w:sz w:val="20"/>
                <w:lang w:eastAsia="en-GB"/>
              </w:rPr>
            </w:pPr>
            <w:r w:rsidRPr="00E07E19">
              <w:rPr>
                <w:rFonts w:cs="Arial"/>
                <w:kern w:val="24"/>
                <w:sz w:val="20"/>
                <w:lang w:eastAsia="en-GB"/>
              </w:rPr>
              <w:t>Telecare equipment and installation *</w:t>
            </w:r>
          </w:p>
        </w:tc>
        <w:tc>
          <w:tcPr>
            <w:tcW w:w="990" w:type="dxa"/>
            <w:vAlign w:val="center"/>
          </w:tcPr>
          <w:p w:rsidR="00ED3EA9" w:rsidRPr="00E07E19" w:rsidRDefault="00ED3EA9" w:rsidP="00B415BE">
            <w:pPr>
              <w:jc w:val="center"/>
              <w:rPr>
                <w:rFonts w:cs="Arial"/>
                <w:sz w:val="20"/>
                <w:lang w:eastAsia="en-GB"/>
              </w:rPr>
            </w:pPr>
          </w:p>
        </w:tc>
        <w:tc>
          <w:tcPr>
            <w:tcW w:w="1133" w:type="dxa"/>
            <w:vAlign w:val="center"/>
          </w:tcPr>
          <w:p w:rsidR="00ED3EA9" w:rsidRPr="00E07E19" w:rsidRDefault="00ED3EA9" w:rsidP="00B415BE">
            <w:pPr>
              <w:jc w:val="center"/>
              <w:rPr>
                <w:rFonts w:cs="Arial"/>
                <w:sz w:val="20"/>
                <w:lang w:eastAsia="en-GB"/>
              </w:rPr>
            </w:pPr>
          </w:p>
        </w:tc>
        <w:tc>
          <w:tcPr>
            <w:tcW w:w="1145" w:type="dxa"/>
            <w:vAlign w:val="center"/>
          </w:tcPr>
          <w:p w:rsidR="00ED3EA9" w:rsidRPr="00E07E19" w:rsidRDefault="00ED3EA9" w:rsidP="00B415BE">
            <w:pPr>
              <w:jc w:val="center"/>
              <w:rPr>
                <w:rFonts w:cs="Arial"/>
                <w:sz w:val="20"/>
                <w:lang w:eastAsia="en-GB"/>
              </w:rPr>
            </w:pPr>
          </w:p>
        </w:tc>
        <w:tc>
          <w:tcPr>
            <w:tcW w:w="1542" w:type="dxa"/>
            <w:vAlign w:val="center"/>
          </w:tcPr>
          <w:p w:rsidR="00ED3EA9" w:rsidRPr="00E07E19" w:rsidRDefault="00ED3EA9" w:rsidP="00B415BE">
            <w:pPr>
              <w:jc w:val="center"/>
              <w:rPr>
                <w:rFonts w:cs="Arial"/>
                <w:sz w:val="20"/>
                <w:lang w:eastAsia="en-GB"/>
              </w:rPr>
            </w:pPr>
            <w:r w:rsidRPr="00E07E19">
              <w:rPr>
                <w:rFonts w:cs="Arial"/>
                <w:sz w:val="20"/>
                <w:lang w:eastAsia="en-GB"/>
              </w:rPr>
              <w:sym w:font="Wingdings" w:char="F0FC"/>
            </w:r>
          </w:p>
        </w:tc>
      </w:tr>
      <w:tr w:rsidR="00ED3EA9" w:rsidRPr="00E07E19" w:rsidTr="00B415BE">
        <w:trPr>
          <w:jc w:val="center"/>
        </w:trPr>
        <w:tc>
          <w:tcPr>
            <w:tcW w:w="4546" w:type="dxa"/>
          </w:tcPr>
          <w:p w:rsidR="00ED3EA9" w:rsidRPr="00E07E19" w:rsidRDefault="00ED3EA9" w:rsidP="00B415BE">
            <w:pPr>
              <w:rPr>
                <w:rFonts w:cs="Arial"/>
                <w:kern w:val="24"/>
                <w:sz w:val="20"/>
                <w:lang w:eastAsia="en-GB"/>
              </w:rPr>
            </w:pPr>
            <w:r w:rsidRPr="00E07E19">
              <w:rPr>
                <w:rFonts w:cs="Arial"/>
                <w:kern w:val="24"/>
                <w:sz w:val="20"/>
                <w:lang w:eastAsia="en-GB"/>
              </w:rPr>
              <w:t>Telecare response service and urgent care domiciliary care service</w:t>
            </w:r>
          </w:p>
        </w:tc>
        <w:tc>
          <w:tcPr>
            <w:tcW w:w="990" w:type="dxa"/>
            <w:vAlign w:val="center"/>
          </w:tcPr>
          <w:p w:rsidR="00ED3EA9" w:rsidRPr="00E07E19" w:rsidRDefault="00ED3EA9" w:rsidP="00B415BE">
            <w:pPr>
              <w:jc w:val="center"/>
              <w:rPr>
                <w:rFonts w:cs="Arial"/>
                <w:sz w:val="20"/>
                <w:lang w:eastAsia="en-GB"/>
              </w:rPr>
            </w:pPr>
          </w:p>
        </w:tc>
        <w:tc>
          <w:tcPr>
            <w:tcW w:w="1133" w:type="dxa"/>
            <w:vAlign w:val="center"/>
          </w:tcPr>
          <w:p w:rsidR="00ED3EA9" w:rsidRPr="00E07E19" w:rsidRDefault="00ED3EA9" w:rsidP="00B415BE">
            <w:pPr>
              <w:jc w:val="center"/>
              <w:rPr>
                <w:rFonts w:cs="Arial"/>
                <w:sz w:val="20"/>
                <w:lang w:eastAsia="en-GB"/>
              </w:rPr>
            </w:pPr>
          </w:p>
        </w:tc>
        <w:tc>
          <w:tcPr>
            <w:tcW w:w="1145" w:type="dxa"/>
            <w:vAlign w:val="center"/>
          </w:tcPr>
          <w:p w:rsidR="00ED3EA9" w:rsidRPr="00E07E19" w:rsidRDefault="00ED3EA9" w:rsidP="00B415BE">
            <w:pPr>
              <w:jc w:val="center"/>
              <w:rPr>
                <w:rFonts w:cs="Arial"/>
                <w:sz w:val="20"/>
                <w:lang w:eastAsia="en-GB"/>
              </w:rPr>
            </w:pPr>
          </w:p>
        </w:tc>
        <w:tc>
          <w:tcPr>
            <w:tcW w:w="1542" w:type="dxa"/>
            <w:vAlign w:val="center"/>
          </w:tcPr>
          <w:p w:rsidR="00ED3EA9" w:rsidRPr="00E07E19" w:rsidRDefault="00ED3EA9" w:rsidP="00B415BE">
            <w:pPr>
              <w:jc w:val="center"/>
              <w:rPr>
                <w:rFonts w:cs="Arial"/>
                <w:sz w:val="20"/>
                <w:lang w:eastAsia="en-GB"/>
              </w:rPr>
            </w:pPr>
            <w:r w:rsidRPr="00E07E19">
              <w:rPr>
                <w:rFonts w:cs="Arial"/>
                <w:sz w:val="20"/>
                <w:lang w:eastAsia="en-GB"/>
              </w:rPr>
              <w:sym w:font="Wingdings" w:char="F0FC"/>
            </w:r>
          </w:p>
        </w:tc>
      </w:tr>
      <w:tr w:rsidR="00ED3EA9" w:rsidRPr="00E07E19" w:rsidTr="00B415BE">
        <w:trPr>
          <w:jc w:val="center"/>
        </w:trPr>
        <w:tc>
          <w:tcPr>
            <w:tcW w:w="4546" w:type="dxa"/>
          </w:tcPr>
          <w:p w:rsidR="00ED3EA9" w:rsidRPr="00E07E19" w:rsidRDefault="00ED3EA9" w:rsidP="00B415BE">
            <w:pPr>
              <w:rPr>
                <w:rFonts w:cs="Arial"/>
                <w:kern w:val="24"/>
                <w:sz w:val="20"/>
                <w:lang w:eastAsia="en-GB"/>
              </w:rPr>
            </w:pPr>
            <w:r w:rsidRPr="00E07E19">
              <w:rPr>
                <w:rFonts w:cs="Arial"/>
                <w:sz w:val="20"/>
                <w:lang w:eastAsia="en-GB"/>
              </w:rPr>
              <w:t>Emergency duty service for adults who may require social care</w:t>
            </w:r>
          </w:p>
        </w:tc>
        <w:tc>
          <w:tcPr>
            <w:tcW w:w="990" w:type="dxa"/>
            <w:vAlign w:val="center"/>
          </w:tcPr>
          <w:p w:rsidR="00ED3EA9" w:rsidRPr="00E07E19" w:rsidRDefault="00ED3EA9" w:rsidP="00B415BE">
            <w:pPr>
              <w:jc w:val="center"/>
              <w:rPr>
                <w:rFonts w:cs="Arial"/>
                <w:sz w:val="20"/>
                <w:lang w:eastAsia="en-GB"/>
              </w:rPr>
            </w:pPr>
          </w:p>
        </w:tc>
        <w:tc>
          <w:tcPr>
            <w:tcW w:w="1133" w:type="dxa"/>
            <w:vAlign w:val="center"/>
          </w:tcPr>
          <w:p w:rsidR="00ED3EA9" w:rsidRPr="00E07E19" w:rsidRDefault="00ED3EA9" w:rsidP="00B415BE">
            <w:pPr>
              <w:jc w:val="center"/>
              <w:rPr>
                <w:rFonts w:cs="Arial"/>
                <w:sz w:val="20"/>
                <w:lang w:eastAsia="en-GB"/>
              </w:rPr>
            </w:pPr>
          </w:p>
        </w:tc>
        <w:tc>
          <w:tcPr>
            <w:tcW w:w="1145" w:type="dxa"/>
            <w:vAlign w:val="center"/>
          </w:tcPr>
          <w:p w:rsidR="00ED3EA9" w:rsidRPr="00E07E19" w:rsidRDefault="00ED3EA9" w:rsidP="00B415BE">
            <w:pPr>
              <w:jc w:val="center"/>
              <w:rPr>
                <w:rFonts w:cs="Arial"/>
                <w:sz w:val="20"/>
                <w:lang w:eastAsia="en-GB"/>
              </w:rPr>
            </w:pPr>
          </w:p>
        </w:tc>
        <w:tc>
          <w:tcPr>
            <w:tcW w:w="1542" w:type="dxa"/>
            <w:vAlign w:val="center"/>
          </w:tcPr>
          <w:p w:rsidR="00ED3EA9" w:rsidRPr="00E07E19" w:rsidRDefault="00ED3EA9" w:rsidP="00B415BE">
            <w:pPr>
              <w:jc w:val="center"/>
              <w:rPr>
                <w:rFonts w:cs="Arial"/>
                <w:sz w:val="20"/>
                <w:lang w:eastAsia="en-GB"/>
              </w:rPr>
            </w:pPr>
            <w:r w:rsidRPr="00E07E19">
              <w:rPr>
                <w:rFonts w:cs="Arial"/>
                <w:sz w:val="20"/>
                <w:lang w:eastAsia="en-GB"/>
              </w:rPr>
              <w:sym w:font="Wingdings" w:char="F0FC"/>
            </w:r>
          </w:p>
        </w:tc>
      </w:tr>
      <w:tr w:rsidR="00ED3EA9" w:rsidRPr="00E07E19" w:rsidTr="00B415BE">
        <w:trPr>
          <w:jc w:val="center"/>
        </w:trPr>
        <w:tc>
          <w:tcPr>
            <w:tcW w:w="4546" w:type="dxa"/>
          </w:tcPr>
          <w:p w:rsidR="00ED3EA9" w:rsidRPr="00E07E19" w:rsidRDefault="00ED3EA9" w:rsidP="00B415BE">
            <w:pPr>
              <w:rPr>
                <w:rFonts w:cs="Arial"/>
                <w:kern w:val="24"/>
                <w:sz w:val="20"/>
                <w:lang w:eastAsia="en-GB"/>
              </w:rPr>
            </w:pPr>
            <w:r w:rsidRPr="00E07E19">
              <w:rPr>
                <w:rFonts w:cs="Arial"/>
                <w:sz w:val="20"/>
                <w:lang w:eastAsia="en-GB"/>
              </w:rPr>
              <w:t>Out of hours emergency call handling for Council services</w:t>
            </w:r>
            <w:r w:rsidRPr="00E07E19">
              <w:rPr>
                <w:rFonts w:cs="Arial"/>
                <w:kern w:val="24"/>
                <w:sz w:val="20"/>
                <w:lang w:eastAsia="en-GB"/>
              </w:rPr>
              <w:t xml:space="preserve"> **</w:t>
            </w:r>
          </w:p>
        </w:tc>
        <w:tc>
          <w:tcPr>
            <w:tcW w:w="990" w:type="dxa"/>
            <w:vAlign w:val="center"/>
          </w:tcPr>
          <w:p w:rsidR="00ED3EA9" w:rsidRPr="00E07E19" w:rsidRDefault="00ED3EA9" w:rsidP="00B415BE">
            <w:pPr>
              <w:jc w:val="center"/>
              <w:rPr>
                <w:rFonts w:cs="Arial"/>
                <w:sz w:val="20"/>
                <w:lang w:eastAsia="en-GB"/>
              </w:rPr>
            </w:pPr>
          </w:p>
        </w:tc>
        <w:tc>
          <w:tcPr>
            <w:tcW w:w="1133" w:type="dxa"/>
            <w:vAlign w:val="center"/>
          </w:tcPr>
          <w:p w:rsidR="00ED3EA9" w:rsidRPr="00E07E19" w:rsidRDefault="00ED3EA9" w:rsidP="00B415BE">
            <w:pPr>
              <w:jc w:val="center"/>
              <w:rPr>
                <w:rFonts w:cs="Arial"/>
                <w:sz w:val="20"/>
                <w:lang w:eastAsia="en-GB"/>
              </w:rPr>
            </w:pPr>
          </w:p>
        </w:tc>
        <w:tc>
          <w:tcPr>
            <w:tcW w:w="1145" w:type="dxa"/>
            <w:vAlign w:val="center"/>
          </w:tcPr>
          <w:p w:rsidR="00ED3EA9" w:rsidRPr="00E07E19" w:rsidRDefault="00ED3EA9" w:rsidP="00B415BE">
            <w:pPr>
              <w:jc w:val="center"/>
              <w:rPr>
                <w:rFonts w:cs="Arial"/>
                <w:sz w:val="20"/>
                <w:lang w:eastAsia="en-GB"/>
              </w:rPr>
            </w:pPr>
          </w:p>
        </w:tc>
        <w:tc>
          <w:tcPr>
            <w:tcW w:w="1542" w:type="dxa"/>
            <w:vAlign w:val="center"/>
          </w:tcPr>
          <w:p w:rsidR="00ED3EA9" w:rsidRPr="00E07E19" w:rsidRDefault="00ED3EA9" w:rsidP="00B415BE">
            <w:pPr>
              <w:jc w:val="center"/>
              <w:rPr>
                <w:rFonts w:cs="Arial"/>
                <w:sz w:val="20"/>
                <w:lang w:eastAsia="en-GB"/>
              </w:rPr>
            </w:pPr>
            <w:r w:rsidRPr="00E07E19">
              <w:rPr>
                <w:rFonts w:cs="Arial"/>
                <w:sz w:val="20"/>
                <w:lang w:eastAsia="en-GB"/>
              </w:rPr>
              <w:sym w:font="Wingdings" w:char="F0FC"/>
            </w:r>
          </w:p>
        </w:tc>
      </w:tr>
    </w:tbl>
    <w:p w:rsidR="00ED3EA9" w:rsidRPr="00235E27" w:rsidRDefault="00235E27" w:rsidP="00ED3EA9">
      <w:pPr>
        <w:rPr>
          <w:b/>
        </w:rPr>
      </w:pPr>
      <w:r w:rsidRPr="00235E27">
        <w:rPr>
          <w:b/>
        </w:rPr>
        <w:t>Table 1</w:t>
      </w:r>
      <w:r>
        <w:rPr>
          <w:b/>
        </w:rPr>
        <w:t xml:space="preserve"> above</w:t>
      </w:r>
      <w:bookmarkStart w:id="0" w:name="_GoBack"/>
      <w:bookmarkEnd w:id="0"/>
    </w:p>
    <w:p w:rsidR="00ED3EA9" w:rsidRDefault="00ED3EA9" w:rsidP="00ED3EA9">
      <w:r>
        <w:t>Please note: the services listed above will be procured as a single lot as the Commissioners intention is that a fully integrated solution will be delivered by a single Prime Provider/Consortium.</w:t>
      </w:r>
    </w:p>
    <w:p w:rsidR="00ED3EA9" w:rsidRDefault="00ED3EA9" w:rsidP="00ED3EA9">
      <w:r>
        <w:t>The procurement is driven by the need to re- procure an improved  NHS 111 service and, where indicated, a GP out of hours service and the opportunity this offers the CCG’s to meet  improved patient outcomes and experience through the delivery of an Integrated Urgent Care Access, Treatment and Clinical Advice Service for urgent and emergency care provision.</w:t>
      </w:r>
    </w:p>
    <w:p w:rsidR="00ED3EA9" w:rsidRDefault="00ED3EA9" w:rsidP="00ED3EA9">
      <w:r>
        <w:t>The services should be highly responsive and deliver care aligned to the operational and strategic plans of the constituent organisation, whilst minimising disruption and inconvenience for patients and families</w:t>
      </w:r>
      <w:r>
        <w:t>.</w:t>
      </w:r>
    </w:p>
    <w:p w:rsidR="00ED3EA9" w:rsidRDefault="00ED3EA9" w:rsidP="00ED3EA9">
      <w:r>
        <w:t>The commissioner may wish to encompass the provision of a range of services in addition to those mentioned.</w:t>
      </w:r>
    </w:p>
    <w:p w:rsidR="00ED3EA9" w:rsidRDefault="00ED3EA9" w:rsidP="00ED3EA9">
      <w:r>
        <w:lastRenderedPageBreak/>
        <w:t>We have chosen to follow an Open Negotiated Process.  An Memorandum of Information can be found at https://in-tendhost.co.uk/scwcsu/aspx/Home which will provide an outline of the procurement process and the commissioners requirement.</w:t>
      </w:r>
    </w:p>
    <w:p w:rsidR="00ED3EA9" w:rsidRDefault="00ED3EA9" w:rsidP="00ED3EA9"/>
    <w:p w:rsidR="00897665" w:rsidRDefault="00ED3EA9" w:rsidP="00ED3EA9">
      <w:r>
        <w:t xml:space="preserve">The tendering process </w:t>
      </w:r>
      <w:r>
        <w:t>r</w:t>
      </w:r>
      <w:r>
        <w:t>elates to the provision of a health, social or related service as listed within Schedule 3 to the Public Contracts Regulations 2015 (“the Regulations”). The procurement of services listed in Schedule 3 of the Regulations is not subject to the full regime of the Regulations, but is instead governed by the "Light Touch Regime" contained within Chapter 3, Section 7 of the Regulations (Regulations 74 to 77). Neither the inclusion of a Bidder selection stage, nor the use of any defined terms from the Regulations, nor the description of the procedure voluntarily adopted by The Commissioners ("Open", "Restricted", "Competitive Procedure with Negotiation", "Competitive Dialogue" or any other description), nor any other indication, shall be taken to mean that The Commissioners intends to hold itself bound by any of the Regulations, save those applicable to services coming within the scope of Schedule 3.</w:t>
      </w:r>
    </w:p>
    <w:sectPr w:rsidR="008976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A9"/>
    <w:rsid w:val="00071A69"/>
    <w:rsid w:val="00235E27"/>
    <w:rsid w:val="003A736E"/>
    <w:rsid w:val="00627AB6"/>
    <w:rsid w:val="00CC7F2F"/>
    <w:rsid w:val="00ED3EA9"/>
    <w:rsid w:val="00EE6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ED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D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ED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D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Pritchard</dc:creator>
  <cp:lastModifiedBy>Katy Pritchard</cp:lastModifiedBy>
  <cp:revision>2</cp:revision>
  <dcterms:created xsi:type="dcterms:W3CDTF">2016-11-01T15:20:00Z</dcterms:created>
  <dcterms:modified xsi:type="dcterms:W3CDTF">2016-11-01T15:27:00Z</dcterms:modified>
</cp:coreProperties>
</file>