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44" w:rsidRDefault="00370744" w:rsidP="00E41665">
      <w:pPr>
        <w:pStyle w:val="Body"/>
        <w:spacing w:after="0"/>
        <w:jc w:val="center"/>
      </w:pPr>
    </w:p>
    <w:p w:rsidR="00E41665" w:rsidRDefault="00E41665" w:rsidP="001712FE">
      <w:pPr>
        <w:pStyle w:val="Body"/>
        <w:tabs>
          <w:tab w:val="left" w:pos="2845"/>
        </w:tabs>
        <w:spacing w:after="0"/>
      </w:pPr>
      <w:r w:rsidRPr="00096FE3">
        <w:tab/>
      </w:r>
    </w:p>
    <w:p w:rsidR="001712FE" w:rsidRPr="001712FE" w:rsidRDefault="001712FE" w:rsidP="001712FE">
      <w:pPr>
        <w:pStyle w:val="Body"/>
      </w:pPr>
      <w:r>
        <w:t>3</w:t>
      </w:r>
      <w:r w:rsidRPr="001712FE">
        <w:rPr>
          <w:vertAlign w:val="superscript"/>
        </w:rPr>
        <w:t>rd</w:t>
      </w:r>
      <w:r>
        <w:t xml:space="preserve"> February 2023</w:t>
      </w:r>
    </w:p>
    <w:p w:rsidR="001712FE" w:rsidRDefault="001712FE" w:rsidP="001712FE">
      <w:pPr>
        <w:rPr>
          <w:rFonts w:cs="Arial"/>
          <w:b/>
          <w:bCs/>
        </w:rPr>
      </w:pPr>
      <w:r w:rsidRPr="00CF66C9">
        <w:rPr>
          <w:rFonts w:cs="Arial"/>
          <w:b/>
          <w:bCs/>
        </w:rPr>
        <w:t xml:space="preserve">Invitation to Tender: </w:t>
      </w:r>
      <w:bookmarkStart w:id="0" w:name="_Hlk115724824"/>
      <w:r w:rsidR="00B52A87" w:rsidRPr="00B52A87">
        <w:rPr>
          <w:rFonts w:cs="Arial"/>
          <w:b/>
          <w:bCs/>
        </w:rPr>
        <w:t>Provision of CCTV and Access Control Maintenance, Remedial Works and Upgrades.</w:t>
      </w:r>
    </w:p>
    <w:p w:rsidR="001712FE" w:rsidRPr="00CF66C9" w:rsidRDefault="001712FE" w:rsidP="001712FE">
      <w:pPr>
        <w:rPr>
          <w:rFonts w:cs="Arial"/>
          <w:b/>
          <w:bCs/>
        </w:rPr>
      </w:pPr>
    </w:p>
    <w:bookmarkEnd w:id="0"/>
    <w:p w:rsidR="001712FE" w:rsidRDefault="001712FE" w:rsidP="001712FE">
      <w:pPr>
        <w:rPr>
          <w:rFonts w:cs="Arial"/>
          <w:b/>
          <w:bCs/>
        </w:rPr>
      </w:pPr>
      <w:r w:rsidRPr="00CF66C9">
        <w:rPr>
          <w:rFonts w:cs="Arial"/>
          <w:b/>
          <w:bCs/>
        </w:rPr>
        <w:t xml:space="preserve">Tender Offer Reference Number: </w:t>
      </w:r>
      <w:r w:rsidRPr="001712FE">
        <w:rPr>
          <w:rFonts w:cs="Arial"/>
          <w:b/>
          <w:bCs/>
        </w:rPr>
        <w:t>R/11855/CORP/RE/123</w:t>
      </w:r>
    </w:p>
    <w:p w:rsidR="001712FE" w:rsidRPr="00CF66C9" w:rsidRDefault="001712FE" w:rsidP="001712FE">
      <w:pPr>
        <w:rPr>
          <w:rFonts w:cs="Arial"/>
          <w:b/>
          <w:bCs/>
        </w:rPr>
      </w:pPr>
    </w:p>
    <w:p w:rsidR="001712FE" w:rsidRPr="00CF66C9" w:rsidRDefault="001712FE" w:rsidP="001712FE">
      <w:pPr>
        <w:rPr>
          <w:rFonts w:cs="Arial"/>
          <w:b/>
          <w:bCs/>
        </w:rPr>
      </w:pPr>
      <w:r w:rsidRPr="00CF66C9">
        <w:rPr>
          <w:rFonts w:cs="Arial"/>
          <w:b/>
          <w:bCs/>
        </w:rPr>
        <w:t>Period of agreement: 1</w:t>
      </w:r>
      <w:r w:rsidRPr="00CF66C9">
        <w:rPr>
          <w:rFonts w:cs="Arial"/>
          <w:b/>
          <w:bCs/>
          <w:vertAlign w:val="superscript"/>
        </w:rPr>
        <w:t>st</w:t>
      </w:r>
      <w:r w:rsidRPr="00CF66C9">
        <w:rPr>
          <w:rFonts w:cs="Arial"/>
          <w:b/>
          <w:bCs/>
        </w:rPr>
        <w:t xml:space="preserve"> April 2023 to 31</w:t>
      </w:r>
      <w:r w:rsidRPr="00CF66C9">
        <w:rPr>
          <w:rFonts w:cs="Arial"/>
          <w:b/>
          <w:bCs/>
          <w:vertAlign w:val="superscript"/>
        </w:rPr>
        <w:t>st</w:t>
      </w:r>
      <w:r w:rsidRPr="00CF66C9">
        <w:rPr>
          <w:rFonts w:cs="Arial"/>
          <w:b/>
          <w:bCs/>
        </w:rPr>
        <w:t xml:space="preserve"> March 2026 (plus 2 x 1 year options to extend).</w:t>
      </w:r>
    </w:p>
    <w:p w:rsidR="001712FE" w:rsidRPr="00CF66C9" w:rsidRDefault="001712FE" w:rsidP="001712FE">
      <w:pPr>
        <w:pStyle w:val="Body"/>
        <w:spacing w:after="0"/>
        <w:rPr>
          <w:rFonts w:cs="Arial"/>
          <w:b/>
        </w:rPr>
      </w:pPr>
    </w:p>
    <w:p w:rsidR="001712FE" w:rsidRPr="00CF66C9" w:rsidRDefault="001712FE" w:rsidP="001712FE">
      <w:pPr>
        <w:pStyle w:val="Body"/>
        <w:spacing w:after="0"/>
        <w:rPr>
          <w:rFonts w:cs="Arial"/>
          <w:i/>
        </w:rPr>
      </w:pPr>
      <w:proofErr w:type="spellStart"/>
      <w:r>
        <w:rPr>
          <w:rFonts w:cs="Arial"/>
          <w:b/>
        </w:rPr>
        <w:t>Atamis</w:t>
      </w:r>
      <w:proofErr w:type="spellEnd"/>
      <w:r w:rsidRPr="00CF66C9">
        <w:rPr>
          <w:rFonts w:cs="Arial"/>
          <w:b/>
        </w:rPr>
        <w:t xml:space="preserve"> </w:t>
      </w:r>
      <w:r>
        <w:rPr>
          <w:rFonts w:cs="Arial"/>
          <w:b/>
        </w:rPr>
        <w:t>R</w:t>
      </w:r>
      <w:r w:rsidRPr="00CF66C9">
        <w:rPr>
          <w:rFonts w:cs="Arial"/>
          <w:b/>
        </w:rPr>
        <w:t xml:space="preserve">eference: </w:t>
      </w:r>
      <w:r>
        <w:rPr>
          <w:rFonts w:cs="Arial"/>
          <w:b/>
        </w:rPr>
        <w:t xml:space="preserve"> </w:t>
      </w:r>
      <w:r>
        <w:rPr>
          <w:rFonts w:ascii="Segoe UI" w:hAnsi="Segoe UI" w:cs="Segoe UI"/>
          <w:b/>
          <w:bCs/>
          <w:color w:val="181818"/>
          <w:sz w:val="21"/>
          <w:szCs w:val="21"/>
          <w:shd w:val="clear" w:color="auto" w:fill="FFFFFF"/>
        </w:rPr>
        <w:t>C136415</w:t>
      </w:r>
    </w:p>
    <w:p w:rsidR="001712FE" w:rsidRPr="00CF66C9" w:rsidRDefault="001712FE" w:rsidP="001712FE">
      <w:pPr>
        <w:pStyle w:val="Body"/>
        <w:spacing w:after="0"/>
        <w:rPr>
          <w:rFonts w:cs="Arial"/>
        </w:rPr>
      </w:pPr>
    </w:p>
    <w:p w:rsidR="001712FE" w:rsidRPr="00CF66C9" w:rsidRDefault="001712FE" w:rsidP="001712FE">
      <w:pPr>
        <w:pStyle w:val="Body"/>
        <w:spacing w:after="0"/>
        <w:rPr>
          <w:rFonts w:cs="Arial"/>
        </w:rPr>
      </w:pPr>
      <w:r>
        <w:rPr>
          <w:rFonts w:cs="Arial"/>
          <w:b/>
        </w:rPr>
        <w:t>Trust</w:t>
      </w:r>
      <w:r w:rsidRPr="00CF66C9">
        <w:rPr>
          <w:rFonts w:cs="Arial"/>
          <w:b/>
        </w:rPr>
        <w:t xml:space="preserve"> Tendering Portal: </w:t>
      </w:r>
      <w:proofErr w:type="spellStart"/>
      <w:r>
        <w:rPr>
          <w:rFonts w:cs="Arial"/>
          <w:b/>
          <w:sz w:val="22"/>
          <w:szCs w:val="22"/>
        </w:rPr>
        <w:t>Atamis</w:t>
      </w:r>
      <w:proofErr w:type="spellEnd"/>
    </w:p>
    <w:p w:rsidR="001712FE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Supplier, </w:t>
      </w:r>
    </w:p>
    <w:p w:rsidR="001712FE" w:rsidRDefault="001712FE" w:rsidP="001712FE">
      <w:pPr>
        <w:rPr>
          <w:rFonts w:cs="Arial"/>
          <w:b/>
          <w:sz w:val="22"/>
          <w:szCs w:val="22"/>
        </w:rPr>
      </w:pPr>
    </w:p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Suppliers</w:t>
      </w:r>
      <w:r w:rsidRPr="00185471">
        <w:rPr>
          <w:rFonts w:cs="Arial"/>
          <w:sz w:val="22"/>
          <w:szCs w:val="22"/>
        </w:rPr>
        <w:t xml:space="preserve"> are invited, subject to the terms of this letter and also to the Terms of Offer, </w:t>
      </w:r>
      <w:r>
        <w:rPr>
          <w:rFonts w:cs="Arial"/>
          <w:sz w:val="22"/>
          <w:szCs w:val="22"/>
        </w:rPr>
        <w:t>to bid for,</w:t>
      </w:r>
      <w:r w:rsidRPr="00185471">
        <w:rPr>
          <w:rFonts w:cs="Arial"/>
          <w:sz w:val="22"/>
          <w:szCs w:val="22"/>
        </w:rPr>
        <w:t xml:space="preserve"> the </w:t>
      </w:r>
      <w:r>
        <w:rPr>
          <w:rFonts w:cs="Arial"/>
          <w:sz w:val="22"/>
          <w:szCs w:val="22"/>
        </w:rPr>
        <w:t>Provision</w:t>
      </w:r>
      <w:r w:rsidRPr="00185471">
        <w:rPr>
          <w:rFonts w:cs="Arial"/>
          <w:sz w:val="22"/>
          <w:szCs w:val="22"/>
        </w:rPr>
        <w:t xml:space="preserve"> of services, as detailed in the Specification and in accordance with the Conditions of Contract (Draft Contract).</w:t>
      </w:r>
      <w:r>
        <w:rPr>
          <w:rFonts w:cs="Arial"/>
          <w:sz w:val="22"/>
          <w:szCs w:val="22"/>
        </w:rPr>
        <w:t xml:space="preserve"> </w:t>
      </w:r>
      <w:r w:rsidRPr="001F37B8">
        <w:rPr>
          <w:rFonts w:cs="Arial"/>
          <w:sz w:val="22"/>
          <w:szCs w:val="22"/>
        </w:rPr>
        <w:t xml:space="preserve">Copies of these documents are available </w:t>
      </w:r>
      <w:r w:rsidRPr="00185471">
        <w:rPr>
          <w:rFonts w:cs="Arial"/>
          <w:iCs/>
          <w:sz w:val="22"/>
          <w:szCs w:val="22"/>
        </w:rPr>
        <w:t xml:space="preserve">via the electronic procurement system </w:t>
      </w:r>
      <w:hyperlink r:id="rId9" w:history="1">
        <w:proofErr w:type="spellStart"/>
        <w:r w:rsidRPr="001712FE">
          <w:rPr>
            <w:rStyle w:val="Hyperlink"/>
            <w:rFonts w:cs="Arial"/>
            <w:iCs/>
            <w:sz w:val="22"/>
            <w:szCs w:val="22"/>
          </w:rPr>
          <w:t>Atamis</w:t>
        </w:r>
        <w:proofErr w:type="spellEnd"/>
      </w:hyperlink>
      <w:r w:rsidRPr="00185471">
        <w:rPr>
          <w:rFonts w:cs="Arial"/>
          <w:iCs/>
          <w:sz w:val="22"/>
          <w:szCs w:val="22"/>
        </w:rPr>
        <w:t>.</w:t>
      </w:r>
    </w:p>
    <w:p w:rsidR="001712FE" w:rsidRPr="00185471" w:rsidRDefault="001712FE" w:rsidP="001712FE">
      <w:pPr>
        <w:rPr>
          <w:rFonts w:cs="Arial"/>
          <w:b/>
          <w:sz w:val="22"/>
          <w:szCs w:val="22"/>
        </w:rPr>
      </w:pPr>
    </w:p>
    <w:p w:rsidR="001712FE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  <w:r w:rsidRPr="00BE55DA">
        <w:rPr>
          <w:rFonts w:cs="Arial"/>
          <w:sz w:val="22"/>
          <w:szCs w:val="22"/>
        </w:rPr>
        <w:t xml:space="preserve">The ITT </w:t>
      </w:r>
      <w:r>
        <w:rPr>
          <w:rFonts w:cs="Arial"/>
          <w:sz w:val="22"/>
          <w:szCs w:val="22"/>
        </w:rPr>
        <w:t xml:space="preserve">pack </w:t>
      </w:r>
      <w:r w:rsidRPr="00BE55DA">
        <w:rPr>
          <w:rFonts w:cs="Arial"/>
          <w:sz w:val="22"/>
          <w:szCs w:val="22"/>
        </w:rPr>
        <w:t>comprises the following documents:</w:t>
      </w:r>
    </w:p>
    <w:p w:rsidR="001712FE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2867"/>
        <w:gridCol w:w="3940"/>
        <w:gridCol w:w="2432"/>
      </w:tblGrid>
      <w:tr w:rsidR="001712FE" w:rsidTr="00DB5286">
        <w:trPr>
          <w:trHeight w:val="799"/>
        </w:trPr>
        <w:tc>
          <w:tcPr>
            <w:tcW w:w="0" w:type="auto"/>
            <w:shd w:val="clear" w:color="auto" w:fill="B8CCE4" w:themeFill="accent1" w:themeFillTint="66"/>
          </w:tcPr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E55DA">
              <w:rPr>
                <w:rFonts w:cs="Arial"/>
                <w:b/>
                <w:sz w:val="22"/>
                <w:szCs w:val="22"/>
              </w:rPr>
              <w:t>Document Number: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E55DA">
              <w:rPr>
                <w:rFonts w:cs="Arial"/>
                <w:b/>
                <w:sz w:val="22"/>
                <w:szCs w:val="22"/>
              </w:rPr>
              <w:t>Title of Document: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1712FE" w:rsidRPr="00BE55DA" w:rsidRDefault="001712FE" w:rsidP="00DB5286">
            <w:pPr>
              <w:suppressAutoHyphens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E55DA">
              <w:rPr>
                <w:rFonts w:cs="Arial"/>
                <w:b/>
                <w:sz w:val="22"/>
                <w:szCs w:val="22"/>
              </w:rPr>
              <w:t>Action required:</w:t>
            </w:r>
          </w:p>
        </w:tc>
      </w:tr>
      <w:tr w:rsidR="001712FE" w:rsidTr="00DB5286">
        <w:trPr>
          <w:trHeight w:val="54"/>
        </w:trPr>
        <w:tc>
          <w:tcPr>
            <w:tcW w:w="0" w:type="auto"/>
            <w:vAlign w:val="center"/>
          </w:tcPr>
          <w:p w:rsidR="001712FE" w:rsidRPr="00BE55DA" w:rsidRDefault="001712FE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1712FE" w:rsidRDefault="001712FE" w:rsidP="00DB5286">
            <w:pPr>
              <w:suppressAutoHyphens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Invitation to Tender</w:t>
            </w:r>
          </w:p>
        </w:tc>
        <w:tc>
          <w:tcPr>
            <w:tcW w:w="0" w:type="auto"/>
            <w:vAlign w:val="center"/>
          </w:tcPr>
          <w:p w:rsidR="001712FE" w:rsidRDefault="001712FE" w:rsidP="00DB5286">
            <w:pPr>
              <w:suppressAutoHyphens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BE55DA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Terms of offer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Information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Terms of Service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Contract Specification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Information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F967CD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Service Level Agreement:</w:t>
            </w:r>
          </w:p>
          <w:p w:rsidR="00B00690" w:rsidRPr="00F967CD" w:rsidRDefault="00F967CD" w:rsidP="00F967CD">
            <w:pPr>
              <w:suppressAutoHyphens/>
              <w:contextualSpacing/>
              <w:rPr>
                <w:rFonts w:cs="Arial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- </w:t>
            </w:r>
            <w:r>
              <w:rPr>
                <w:rFonts w:eastAsia="Times New Roman" w:cs="Arial"/>
                <w:sz w:val="22"/>
                <w:szCs w:val="22"/>
              </w:rPr>
              <w:t>Response Time Criteria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rPr>
                <w:rFonts w:ascii="Arial" w:hAnsi="Arial" w:cs="Arial"/>
              </w:rPr>
            </w:pPr>
          </w:p>
          <w:p w:rsidR="00B00690" w:rsidRPr="00F967CD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Information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BE55DA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Asset List:</w:t>
            </w:r>
            <w:r w:rsidRPr="00F967CD">
              <w:rPr>
                <w:rFonts w:eastAsia="Times New Roman" w:cs="Arial"/>
                <w:sz w:val="22"/>
                <w:szCs w:val="22"/>
              </w:rPr>
              <w:br/>
            </w:r>
            <w:r w:rsidR="00F967CD">
              <w:rPr>
                <w:rFonts w:eastAsia="Times New Roman" w:cs="Arial"/>
                <w:sz w:val="22"/>
                <w:szCs w:val="22"/>
              </w:rPr>
              <w:t xml:space="preserve">- </w:t>
            </w:r>
            <w:r w:rsidRPr="00F967CD">
              <w:rPr>
                <w:rFonts w:eastAsia="Times New Roman" w:cs="Arial"/>
                <w:sz w:val="22"/>
                <w:szCs w:val="22"/>
              </w:rPr>
              <w:t>CCTV</w:t>
            </w:r>
            <w:r w:rsidRPr="00F967CD">
              <w:rPr>
                <w:rFonts w:eastAsia="Times New Roman" w:cs="Arial"/>
                <w:sz w:val="22"/>
                <w:szCs w:val="22"/>
              </w:rPr>
              <w:br/>
              <w:t>- Access Control</w:t>
            </w:r>
          </w:p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- Intruder Alarms</w:t>
            </w:r>
          </w:p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- Staff Attack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Information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BE55DA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Qualification Criteria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 xml:space="preserve">For </w:t>
            </w:r>
            <w:r w:rsidRPr="00F967CD">
              <w:rPr>
                <w:rFonts w:eastAsia="Times New Roman" w:cs="Arial"/>
                <w:sz w:val="22"/>
                <w:szCs w:val="22"/>
              </w:rPr>
              <w:t>Completion</w:t>
            </w:r>
          </w:p>
        </w:tc>
      </w:tr>
      <w:tr w:rsidR="00B00690" w:rsidTr="00DB5286">
        <w:trPr>
          <w:trHeight w:val="41"/>
        </w:trPr>
        <w:tc>
          <w:tcPr>
            <w:tcW w:w="0" w:type="auto"/>
            <w:vAlign w:val="center"/>
          </w:tcPr>
          <w:p w:rsidR="00B00690" w:rsidRPr="00F967CD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:rsidR="00B00690" w:rsidRPr="00B00690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Financial Submission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rPr>
                <w:rFonts w:ascii="Arial" w:hAnsi="Arial" w:cs="Arial"/>
              </w:rPr>
            </w:pPr>
            <w:r w:rsidRPr="00F967CD">
              <w:rPr>
                <w:rFonts w:ascii="Arial" w:hAnsi="Arial" w:cs="Arial"/>
              </w:rPr>
              <w:t>For Completion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BE55DA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:rsidR="00B00690" w:rsidRPr="00F967CD" w:rsidRDefault="00F967CD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Social Values Submission</w:t>
            </w:r>
          </w:p>
        </w:tc>
        <w:tc>
          <w:tcPr>
            <w:tcW w:w="0" w:type="auto"/>
            <w:vAlign w:val="center"/>
          </w:tcPr>
          <w:p w:rsidR="00B00690" w:rsidRPr="00F967CD" w:rsidRDefault="00F967CD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For Completion</w:t>
            </w:r>
          </w:p>
        </w:tc>
      </w:tr>
      <w:tr w:rsidR="00B00690" w:rsidTr="00DB5286">
        <w:trPr>
          <w:trHeight w:val="54"/>
        </w:trPr>
        <w:tc>
          <w:tcPr>
            <w:tcW w:w="0" w:type="auto"/>
            <w:vAlign w:val="center"/>
          </w:tcPr>
          <w:p w:rsidR="00B00690" w:rsidRPr="00BE55DA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Internal Governance DPIA</w:t>
            </w:r>
          </w:p>
        </w:tc>
        <w:tc>
          <w:tcPr>
            <w:tcW w:w="0" w:type="auto"/>
            <w:vAlign w:val="center"/>
          </w:tcPr>
          <w:p w:rsidR="00B00690" w:rsidRPr="00F967CD" w:rsidRDefault="00B00690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 w:rsidRPr="00F967CD">
              <w:rPr>
                <w:rFonts w:eastAsia="Times New Roman" w:cs="Arial"/>
                <w:sz w:val="22"/>
                <w:szCs w:val="22"/>
              </w:rPr>
              <w:t>For Completion</w:t>
            </w:r>
          </w:p>
        </w:tc>
      </w:tr>
      <w:tr w:rsidR="00F967CD" w:rsidTr="00DB5286">
        <w:trPr>
          <w:trHeight w:val="54"/>
        </w:trPr>
        <w:tc>
          <w:tcPr>
            <w:tcW w:w="0" w:type="auto"/>
            <w:vAlign w:val="center"/>
          </w:tcPr>
          <w:p w:rsidR="00F967CD" w:rsidRDefault="00F967CD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center"/>
          </w:tcPr>
          <w:p w:rsidR="00F967CD" w:rsidRPr="00F967CD" w:rsidRDefault="005E6B3E" w:rsidP="002A407E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 xml:space="preserve">Final Evaluation </w:t>
            </w:r>
            <w:r w:rsidR="002A407E">
              <w:rPr>
                <w:rFonts w:eastAsia="Times New Roman" w:cs="Arial"/>
                <w:sz w:val="22"/>
                <w:szCs w:val="22"/>
              </w:rPr>
              <w:t>Methodology</w:t>
            </w:r>
          </w:p>
        </w:tc>
        <w:tc>
          <w:tcPr>
            <w:tcW w:w="0" w:type="auto"/>
            <w:vAlign w:val="center"/>
          </w:tcPr>
          <w:p w:rsidR="00F967CD" w:rsidRPr="00F967CD" w:rsidRDefault="002A407E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</w:t>
            </w:r>
            <w:r w:rsidR="00F967CD" w:rsidRPr="00F967CD">
              <w:rPr>
                <w:rFonts w:eastAsia="Times New Roman" w:cs="Arial"/>
                <w:sz w:val="22"/>
                <w:szCs w:val="22"/>
              </w:rPr>
              <w:t>nformation</w:t>
            </w:r>
          </w:p>
        </w:tc>
      </w:tr>
      <w:tr w:rsidR="002A407E" w:rsidTr="00DB5286">
        <w:trPr>
          <w:trHeight w:val="54"/>
        </w:trPr>
        <w:tc>
          <w:tcPr>
            <w:tcW w:w="0" w:type="auto"/>
            <w:vAlign w:val="center"/>
          </w:tcPr>
          <w:p w:rsidR="002A407E" w:rsidRDefault="002A407E" w:rsidP="00F967CD">
            <w:pPr>
              <w:pStyle w:val="ListParagraph"/>
              <w:suppressAutoHyphens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vAlign w:val="center"/>
          </w:tcPr>
          <w:p w:rsidR="002A407E" w:rsidRDefault="002A407E" w:rsidP="002A407E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Tender Timeline</w:t>
            </w:r>
          </w:p>
        </w:tc>
        <w:tc>
          <w:tcPr>
            <w:tcW w:w="0" w:type="auto"/>
            <w:vAlign w:val="center"/>
          </w:tcPr>
          <w:p w:rsidR="002A407E" w:rsidRPr="00F967CD" w:rsidRDefault="002A407E" w:rsidP="00F967CD">
            <w:pPr>
              <w:suppressAutoHyphens/>
              <w:contextualSpacing/>
              <w:jc w:val="lef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Information</w:t>
            </w:r>
          </w:p>
        </w:tc>
      </w:tr>
    </w:tbl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</w:p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  <w:r w:rsidRPr="00185471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Supplier </w:t>
      </w:r>
      <w:r w:rsidRPr="00185471">
        <w:rPr>
          <w:rFonts w:cs="Arial"/>
          <w:sz w:val="22"/>
          <w:szCs w:val="22"/>
        </w:rPr>
        <w:t>is advised to read all documentation carefully to ensure they are familiar with the nature and extent of the obligations t</w:t>
      </w:r>
      <w:r>
        <w:rPr>
          <w:rFonts w:cs="Arial"/>
          <w:sz w:val="22"/>
          <w:szCs w:val="22"/>
        </w:rPr>
        <w:t>o be accepted by them if their o</w:t>
      </w:r>
      <w:r w:rsidRPr="00185471">
        <w:rPr>
          <w:rFonts w:cs="Arial"/>
          <w:sz w:val="22"/>
          <w:szCs w:val="22"/>
        </w:rPr>
        <w:t>ffer is successful</w:t>
      </w:r>
      <w:r w:rsidRPr="00185471">
        <w:rPr>
          <w:rFonts w:cs="Arial"/>
          <w:color w:val="CC99FF"/>
          <w:sz w:val="22"/>
          <w:szCs w:val="22"/>
        </w:rPr>
        <w:t xml:space="preserve">, </w:t>
      </w:r>
      <w:r w:rsidRPr="00185471">
        <w:rPr>
          <w:rFonts w:cs="Arial"/>
          <w:sz w:val="22"/>
          <w:szCs w:val="22"/>
        </w:rPr>
        <w:t>as</w:t>
      </w:r>
      <w:r w:rsidRPr="00185471">
        <w:rPr>
          <w:rFonts w:cs="Arial"/>
          <w:color w:val="CC99FF"/>
          <w:sz w:val="22"/>
          <w:szCs w:val="22"/>
        </w:rPr>
        <w:t xml:space="preserve"> </w:t>
      </w:r>
      <w:r w:rsidRPr="00185471">
        <w:rPr>
          <w:rFonts w:cs="Arial"/>
          <w:sz w:val="22"/>
          <w:szCs w:val="22"/>
        </w:rPr>
        <w:t>the</w:t>
      </w:r>
      <w:bookmarkStart w:id="1" w:name="_GoBack"/>
      <w:bookmarkEnd w:id="1"/>
      <w:r w:rsidRPr="00185471">
        <w:rPr>
          <w:rFonts w:cs="Arial"/>
          <w:sz w:val="22"/>
          <w:szCs w:val="22"/>
        </w:rPr>
        <w:t>se shall be enforced in full by the Trust.</w:t>
      </w:r>
    </w:p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</w:rPr>
      </w:pPr>
    </w:p>
    <w:p w:rsidR="001712FE" w:rsidRPr="00185471" w:rsidRDefault="001712FE" w:rsidP="001712FE">
      <w:pPr>
        <w:contextualSpacing/>
        <w:rPr>
          <w:rFonts w:cs="Arial"/>
          <w:sz w:val="22"/>
          <w:szCs w:val="22"/>
        </w:rPr>
      </w:pPr>
      <w:r w:rsidRPr="00185471">
        <w:rPr>
          <w:rFonts w:cs="Arial"/>
          <w:iCs/>
          <w:sz w:val="22"/>
          <w:szCs w:val="22"/>
        </w:rPr>
        <w:t xml:space="preserve">Offers must be written in English and </w:t>
      </w:r>
      <w:r>
        <w:rPr>
          <w:rFonts w:cs="Arial"/>
          <w:iCs/>
          <w:sz w:val="22"/>
          <w:szCs w:val="22"/>
        </w:rPr>
        <w:t xml:space="preserve">must be submitted no later than </w:t>
      </w:r>
      <w:r>
        <w:rPr>
          <w:rFonts w:cs="Arial"/>
          <w:b/>
          <w:iCs/>
          <w:sz w:val="22"/>
          <w:szCs w:val="22"/>
          <w:u w:val="single"/>
        </w:rPr>
        <w:t xml:space="preserve">23:59 </w:t>
      </w:r>
      <w:r w:rsidR="0002567F">
        <w:rPr>
          <w:rFonts w:cs="Arial"/>
          <w:b/>
          <w:iCs/>
          <w:sz w:val="22"/>
          <w:szCs w:val="22"/>
          <w:u w:val="single"/>
        </w:rPr>
        <w:t>6th</w:t>
      </w:r>
      <w:r>
        <w:rPr>
          <w:rFonts w:cs="Arial"/>
          <w:b/>
          <w:iCs/>
          <w:sz w:val="22"/>
          <w:szCs w:val="22"/>
          <w:u w:val="single"/>
        </w:rPr>
        <w:t xml:space="preserve"> March </w:t>
      </w:r>
      <w:r>
        <w:rPr>
          <w:rFonts w:cs="Arial"/>
          <w:b/>
          <w:iCs/>
          <w:sz w:val="22"/>
          <w:szCs w:val="22"/>
          <w:u w:val="single"/>
        </w:rPr>
        <w:t xml:space="preserve">2023 </w:t>
      </w:r>
      <w:r w:rsidRPr="00185471">
        <w:rPr>
          <w:rFonts w:cs="Arial"/>
          <w:iCs/>
          <w:sz w:val="22"/>
          <w:szCs w:val="22"/>
        </w:rPr>
        <w:t xml:space="preserve">via the electronic procurement system </w:t>
      </w:r>
      <w:proofErr w:type="spellStart"/>
      <w:r>
        <w:rPr>
          <w:rFonts w:cs="Arial"/>
          <w:iCs/>
          <w:sz w:val="22"/>
          <w:szCs w:val="22"/>
        </w:rPr>
        <w:t>Atamis</w:t>
      </w:r>
      <w:proofErr w:type="spellEnd"/>
      <w:r w:rsidRPr="00185471">
        <w:rPr>
          <w:rFonts w:cs="Arial"/>
          <w:iCs/>
          <w:sz w:val="22"/>
          <w:szCs w:val="22"/>
        </w:rPr>
        <w:t xml:space="preserve">. </w:t>
      </w:r>
    </w:p>
    <w:p w:rsidR="001712FE" w:rsidRPr="00185471" w:rsidRDefault="001712FE" w:rsidP="001712FE">
      <w:pPr>
        <w:contextualSpacing/>
        <w:rPr>
          <w:rFonts w:eastAsiaTheme="minorEastAsia" w:cs="Arial"/>
          <w:noProof/>
          <w:color w:val="0000FF"/>
          <w:sz w:val="22"/>
          <w:szCs w:val="22"/>
          <w:lang w:eastAsia="en-GB"/>
        </w:rPr>
      </w:pPr>
    </w:p>
    <w:p w:rsidR="001712FE" w:rsidRPr="00185471" w:rsidRDefault="001712FE" w:rsidP="001712FE">
      <w:pPr>
        <w:tabs>
          <w:tab w:val="left" w:pos="0"/>
          <w:tab w:val="left" w:pos="5529"/>
        </w:tabs>
        <w:spacing w:before="240" w:after="60"/>
        <w:contextualSpacing/>
        <w:rPr>
          <w:rFonts w:cs="Arial"/>
          <w:iCs/>
          <w:sz w:val="22"/>
          <w:szCs w:val="22"/>
        </w:rPr>
      </w:pPr>
      <w:r w:rsidRPr="00185471">
        <w:rPr>
          <w:rFonts w:cs="Arial"/>
          <w:iCs/>
          <w:sz w:val="22"/>
          <w:szCs w:val="22"/>
        </w:rPr>
        <w:t xml:space="preserve">Your tender submission should be in the form of a bid against the requirement specification and attachments, including all documentation required to be completed and returned and any </w:t>
      </w:r>
      <w:r w:rsidRPr="00185471">
        <w:rPr>
          <w:rFonts w:cs="Arial"/>
          <w:sz w:val="22"/>
          <w:szCs w:val="22"/>
          <w:lang w:eastAsia="en-GB"/>
        </w:rPr>
        <w:t xml:space="preserve">Catalogues, if requested and/or </w:t>
      </w:r>
      <w:r w:rsidRPr="00185471">
        <w:rPr>
          <w:rFonts w:cs="Arial"/>
          <w:iCs/>
          <w:sz w:val="22"/>
          <w:szCs w:val="22"/>
        </w:rPr>
        <w:t>additional documents that support your bid. Please note that only MS Word, Excel and PDF documentation (including zipped folders) will be accepted.</w:t>
      </w:r>
    </w:p>
    <w:p w:rsidR="001712FE" w:rsidRPr="00185471" w:rsidRDefault="001712FE" w:rsidP="001712FE">
      <w:pPr>
        <w:tabs>
          <w:tab w:val="left" w:pos="0"/>
          <w:tab w:val="left" w:pos="5529"/>
        </w:tabs>
        <w:spacing w:before="240" w:after="60"/>
        <w:contextualSpacing/>
        <w:rPr>
          <w:rFonts w:cs="Arial"/>
          <w:b/>
          <w:iCs/>
          <w:sz w:val="22"/>
          <w:szCs w:val="22"/>
        </w:rPr>
      </w:pPr>
    </w:p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  <w:lang w:eastAsia="en-GB"/>
        </w:rPr>
      </w:pPr>
      <w:r w:rsidRPr="00185471">
        <w:rPr>
          <w:rFonts w:cs="Arial"/>
          <w:sz w:val="22"/>
          <w:szCs w:val="22"/>
          <w:lang w:eastAsia="en-GB"/>
        </w:rPr>
        <w:t>Under no circumstances must a response be sent by email or hard copy as this will result in your offered response being disqualified.</w:t>
      </w:r>
    </w:p>
    <w:p w:rsidR="001712FE" w:rsidRPr="00185471" w:rsidRDefault="001712FE" w:rsidP="001712FE">
      <w:pPr>
        <w:suppressAutoHyphens/>
        <w:spacing w:before="240" w:after="60"/>
        <w:contextualSpacing/>
        <w:rPr>
          <w:rFonts w:cs="Arial"/>
          <w:sz w:val="22"/>
          <w:szCs w:val="22"/>
          <w:lang w:eastAsia="en-GB"/>
        </w:rPr>
      </w:pPr>
    </w:p>
    <w:p w:rsidR="001712FE" w:rsidRPr="00185471" w:rsidRDefault="001712FE" w:rsidP="001712FE">
      <w:pPr>
        <w:spacing w:before="240" w:after="60"/>
        <w:contextualSpacing/>
        <w:rPr>
          <w:rFonts w:cs="Arial"/>
          <w:sz w:val="22"/>
          <w:szCs w:val="22"/>
          <w:lang w:eastAsia="en-GB"/>
        </w:rPr>
      </w:pPr>
      <w:r w:rsidRPr="00185471">
        <w:rPr>
          <w:rFonts w:cs="Arial"/>
          <w:sz w:val="22"/>
          <w:szCs w:val="22"/>
          <w:lang w:eastAsia="en-GB"/>
        </w:rPr>
        <w:t xml:space="preserve">Please note that the responsibility for ensuring an offer is submitted on time via </w:t>
      </w:r>
      <w:proofErr w:type="spellStart"/>
      <w:r>
        <w:rPr>
          <w:rFonts w:cs="Arial"/>
          <w:sz w:val="22"/>
          <w:szCs w:val="22"/>
          <w:lang w:eastAsia="en-GB"/>
        </w:rPr>
        <w:t>Atamis</w:t>
      </w:r>
      <w:proofErr w:type="spellEnd"/>
      <w:r w:rsidRPr="00185471">
        <w:rPr>
          <w:rFonts w:cs="Arial"/>
          <w:sz w:val="22"/>
          <w:szCs w:val="22"/>
          <w:lang w:eastAsia="en-GB"/>
        </w:rPr>
        <w:t xml:space="preserve"> lies with the potential supplier and the Trust will not accept any responsibility or liability for or arising from late or non-receipt of offers. If you experience difficulties in submitting your offer via </w:t>
      </w:r>
      <w:proofErr w:type="spellStart"/>
      <w:r>
        <w:rPr>
          <w:rFonts w:cs="Arial"/>
          <w:sz w:val="22"/>
          <w:szCs w:val="22"/>
          <w:lang w:eastAsia="en-GB"/>
        </w:rPr>
        <w:t>Atamis</w:t>
      </w:r>
      <w:proofErr w:type="spellEnd"/>
      <w:r w:rsidRPr="00185471">
        <w:rPr>
          <w:rFonts w:cs="Arial"/>
          <w:sz w:val="22"/>
          <w:szCs w:val="22"/>
          <w:lang w:eastAsia="en-GB"/>
        </w:rPr>
        <w:t xml:space="preserve">, please contact the undersigned, prior to the deadline on </w:t>
      </w:r>
      <w:proofErr w:type="spellStart"/>
      <w:r>
        <w:rPr>
          <w:rFonts w:cs="Arial"/>
          <w:sz w:val="22"/>
          <w:szCs w:val="22"/>
          <w:lang w:eastAsia="en-GB"/>
        </w:rPr>
        <w:t>Atamis</w:t>
      </w:r>
      <w:proofErr w:type="spellEnd"/>
      <w:r w:rsidRPr="00185471">
        <w:rPr>
          <w:rFonts w:cs="Arial"/>
          <w:sz w:val="22"/>
          <w:szCs w:val="22"/>
          <w:lang w:eastAsia="en-GB"/>
        </w:rPr>
        <w:t>.</w:t>
      </w:r>
    </w:p>
    <w:p w:rsidR="001712FE" w:rsidRPr="00EE2B66" w:rsidRDefault="001712FE" w:rsidP="001712FE">
      <w:pPr>
        <w:spacing w:before="240" w:after="60"/>
        <w:contextualSpacing/>
        <w:rPr>
          <w:rFonts w:cs="Arial"/>
          <w:sz w:val="22"/>
          <w:szCs w:val="22"/>
        </w:rPr>
      </w:pPr>
    </w:p>
    <w:p w:rsidR="001712FE" w:rsidRPr="00EE2B66" w:rsidRDefault="001712FE" w:rsidP="001712FE">
      <w:pPr>
        <w:tabs>
          <w:tab w:val="left" w:pos="-720"/>
        </w:tabs>
        <w:suppressAutoHyphens/>
        <w:rPr>
          <w:rFonts w:cs="Arial"/>
          <w:b/>
          <w:sz w:val="22"/>
          <w:szCs w:val="22"/>
        </w:rPr>
      </w:pPr>
      <w:r w:rsidRPr="00EE2B66">
        <w:rPr>
          <w:rFonts w:cs="Arial"/>
          <w:sz w:val="22"/>
          <w:szCs w:val="22"/>
        </w:rPr>
        <w:t>Yours faithfully</w:t>
      </w:r>
    </w:p>
    <w:p w:rsidR="001712FE" w:rsidRDefault="001712FE" w:rsidP="00FF1A08">
      <w:pPr>
        <w:pStyle w:val="Body"/>
        <w:rPr>
          <w:rFonts w:cs="Arial"/>
        </w:rPr>
      </w:pPr>
    </w:p>
    <w:p w:rsidR="007A4C94" w:rsidRDefault="00060137" w:rsidP="00FF1A08">
      <w:pPr>
        <w:pStyle w:val="Body"/>
        <w:rPr>
          <w:rFonts w:cs="Aria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84FAB2D" wp14:editId="3366C5F3">
                <wp:simplePos x="0" y="0"/>
                <wp:positionH relativeFrom="column">
                  <wp:posOffset>-36830</wp:posOffset>
                </wp:positionH>
                <wp:positionV relativeFrom="paragraph">
                  <wp:posOffset>-144780</wp:posOffset>
                </wp:positionV>
                <wp:extent cx="1733550" cy="488950"/>
                <wp:effectExtent l="38100" t="38100" r="0" b="444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33550" cy="4889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1D6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3pt;margin-top:-11.6pt;width:136.9pt;height: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">
                <v:imagedata r:id="rId11" o:title=""/>
              </v:shape>
            </w:pict>
          </mc:Fallback>
        </mc:AlternateContent>
      </w:r>
    </w:p>
    <w:p w:rsidR="001712FE" w:rsidRDefault="00FF1A08" w:rsidP="001712FE">
      <w:pPr>
        <w:pStyle w:val="Body"/>
        <w:rPr>
          <w:rFonts w:eastAsiaTheme="minorHAnsi" w:cs="Arial"/>
          <w:color w:val="auto"/>
          <w:sz w:val="22"/>
          <w:szCs w:val="22"/>
        </w:rPr>
      </w:pPr>
      <w:r w:rsidRPr="001712FE">
        <w:rPr>
          <w:rFonts w:eastAsiaTheme="minorHAnsi" w:cs="Arial"/>
          <w:color w:val="auto"/>
          <w:sz w:val="22"/>
          <w:szCs w:val="22"/>
        </w:rPr>
        <w:t>Ryan Evans</w:t>
      </w:r>
    </w:p>
    <w:p w:rsidR="001712FE" w:rsidRDefault="001712FE" w:rsidP="001712FE">
      <w:pPr>
        <w:pStyle w:val="Body"/>
        <w:spacing w:after="0"/>
        <w:rPr>
          <w:rFonts w:eastAsiaTheme="minorHAnsi" w:cs="Arial"/>
          <w:color w:val="auto"/>
          <w:sz w:val="22"/>
          <w:szCs w:val="22"/>
        </w:rPr>
      </w:pPr>
      <w:r>
        <w:rPr>
          <w:rFonts w:eastAsiaTheme="minorHAnsi" w:cs="Arial"/>
          <w:color w:val="auto"/>
          <w:sz w:val="22"/>
          <w:szCs w:val="22"/>
        </w:rPr>
        <w:t>Senior Procurement Manager</w:t>
      </w:r>
    </w:p>
    <w:p w:rsidR="00FF1A08" w:rsidRPr="001712FE" w:rsidRDefault="00FF1A08" w:rsidP="001712FE">
      <w:pPr>
        <w:pStyle w:val="Body"/>
        <w:spacing w:after="0"/>
        <w:rPr>
          <w:rFonts w:eastAsiaTheme="minorHAnsi" w:cs="Arial"/>
          <w:color w:val="auto"/>
          <w:sz w:val="22"/>
          <w:szCs w:val="22"/>
        </w:rPr>
      </w:pPr>
      <w:r w:rsidRPr="001712FE">
        <w:rPr>
          <w:rFonts w:eastAsiaTheme="minorHAnsi" w:cs="Arial"/>
          <w:color w:val="auto"/>
          <w:sz w:val="22"/>
          <w:szCs w:val="22"/>
        </w:rPr>
        <w:t>For and on behalf of</w:t>
      </w:r>
      <w:r w:rsidR="001712FE">
        <w:rPr>
          <w:rFonts w:eastAsiaTheme="minorHAnsi" w:cs="Arial"/>
          <w:color w:val="auto"/>
          <w:sz w:val="22"/>
          <w:szCs w:val="22"/>
        </w:rPr>
        <w:t xml:space="preserve"> </w:t>
      </w:r>
      <w:r w:rsidRPr="001712FE">
        <w:rPr>
          <w:rFonts w:eastAsiaTheme="minorHAnsi" w:cs="Arial"/>
          <w:color w:val="auto"/>
          <w:sz w:val="22"/>
          <w:szCs w:val="22"/>
        </w:rPr>
        <w:t xml:space="preserve">Royal United Hospitals </w:t>
      </w:r>
      <w:r w:rsidR="001712FE">
        <w:rPr>
          <w:rFonts w:eastAsiaTheme="minorHAnsi" w:cs="Arial"/>
          <w:color w:val="auto"/>
          <w:sz w:val="22"/>
          <w:szCs w:val="22"/>
        </w:rPr>
        <w:t xml:space="preserve">NHS Foundation Trust </w:t>
      </w:r>
      <w:r w:rsidRPr="001712FE">
        <w:rPr>
          <w:rFonts w:eastAsiaTheme="minorHAnsi" w:cs="Arial"/>
          <w:color w:val="auto"/>
          <w:sz w:val="22"/>
          <w:szCs w:val="22"/>
        </w:rPr>
        <w:t>Bath</w:t>
      </w:r>
    </w:p>
    <w:sectPr w:rsidR="00FF1A08" w:rsidRPr="001712FE" w:rsidSect="00211D34"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56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43" w:rsidRDefault="00A91943" w:rsidP="00C82318">
      <w:r>
        <w:separator/>
      </w:r>
    </w:p>
  </w:endnote>
  <w:endnote w:type="continuationSeparator" w:id="0">
    <w:p w:rsidR="00A91943" w:rsidRDefault="00A91943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629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15D" w:rsidRDefault="001712FE" w:rsidP="0091315D">
        <w:pPr>
          <w:pStyle w:val="Footer"/>
          <w:jc w:val="both"/>
          <w:rPr>
            <w:color w:val="808080" w:themeColor="background1" w:themeShade="80"/>
          </w:rPr>
        </w:pPr>
        <w:r>
          <w:t>Invitation to Tender</w:t>
        </w:r>
      </w:p>
      <w:p w:rsidR="006B113D" w:rsidRDefault="006B113D" w:rsidP="009131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1397" w:rsidRDefault="00231397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408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15D" w:rsidRPr="000B0743" w:rsidRDefault="001712FE" w:rsidP="0091315D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Invitation to Tender</w:t>
        </w:r>
      </w:p>
      <w:p w:rsidR="006B113D" w:rsidRDefault="006B11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113D" w:rsidRDefault="006B1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43" w:rsidRDefault="00A91943" w:rsidP="00C82318">
      <w:r>
        <w:separator/>
      </w:r>
    </w:p>
  </w:footnote>
  <w:footnote w:type="continuationSeparator" w:id="0">
    <w:p w:rsidR="00A91943" w:rsidRDefault="00A91943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87" w:rsidRDefault="00B52A87" w:rsidP="00B52A87">
    <w:pPr>
      <w:pStyle w:val="Body"/>
      <w:spacing w:after="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60B26E" wp14:editId="18A9E6ED">
          <wp:simplePos x="0" y="0"/>
          <wp:positionH relativeFrom="column">
            <wp:posOffset>2765011</wp:posOffset>
          </wp:positionH>
          <wp:positionV relativeFrom="page">
            <wp:posOffset>39757</wp:posOffset>
          </wp:positionV>
          <wp:extent cx="3279113" cy="89061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98" b="27216"/>
                  <a:stretch>
                    <a:fillRect/>
                  </a:stretch>
                </pic:blipFill>
                <pic:spPr bwMode="auto">
                  <a:xfrm>
                    <a:off x="0" y="0"/>
                    <a:ext cx="3279113" cy="890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2A87" w:rsidRDefault="00B52A87" w:rsidP="00B52A87">
    <w:pPr>
      <w:pStyle w:val="Body"/>
      <w:spacing w:after="0"/>
      <w:jc w:val="center"/>
    </w:pPr>
  </w:p>
  <w:p w:rsidR="00B52A87" w:rsidRDefault="00B52A87" w:rsidP="00B52A87">
    <w:pPr>
      <w:pStyle w:val="Body"/>
      <w:spacing w:after="0"/>
      <w:jc w:val="right"/>
    </w:pPr>
  </w:p>
  <w:p w:rsidR="00B52A87" w:rsidRDefault="00B52A87" w:rsidP="00B52A87">
    <w:pPr>
      <w:pStyle w:val="Body"/>
      <w:spacing w:after="0"/>
      <w:jc w:val="right"/>
    </w:pPr>
    <w:r>
      <w:t xml:space="preserve">Royal United Hospitals </w:t>
    </w:r>
  </w:p>
  <w:p w:rsidR="00B52A87" w:rsidRDefault="00B52A87" w:rsidP="00B52A87">
    <w:pPr>
      <w:pStyle w:val="Body"/>
      <w:spacing w:after="0"/>
      <w:jc w:val="right"/>
    </w:pPr>
    <w:r>
      <w:t>Combe Park</w:t>
    </w:r>
  </w:p>
  <w:p w:rsidR="00B52A87" w:rsidRDefault="00B52A87" w:rsidP="00B52A87">
    <w:pPr>
      <w:pStyle w:val="Body"/>
      <w:spacing w:after="0"/>
      <w:jc w:val="right"/>
    </w:pPr>
    <w:r>
      <w:t>Bath</w:t>
    </w:r>
    <w:r w:rsidRPr="001712FE">
      <w:t xml:space="preserve"> </w:t>
    </w:r>
  </w:p>
  <w:p w:rsidR="00B52A87" w:rsidRDefault="00B52A87" w:rsidP="00B52A87">
    <w:pPr>
      <w:pStyle w:val="Body"/>
      <w:spacing w:after="0"/>
      <w:jc w:val="right"/>
    </w:pPr>
    <w:r w:rsidRPr="001712FE">
      <w:t xml:space="preserve">Avon </w:t>
    </w:r>
  </w:p>
  <w:p w:rsidR="00B52A87" w:rsidRDefault="00B52A87" w:rsidP="00B52A87">
    <w:pPr>
      <w:pStyle w:val="Body"/>
      <w:spacing w:after="0"/>
      <w:jc w:val="right"/>
    </w:pPr>
    <w:r w:rsidRPr="001712FE">
      <w:t>BA1 3NG</w:t>
    </w:r>
  </w:p>
  <w:p w:rsidR="00B52A87" w:rsidRDefault="00B52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F585F71"/>
    <w:multiLevelType w:val="hybridMultilevel"/>
    <w:tmpl w:val="DCCE5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DD1"/>
    <w:multiLevelType w:val="multilevel"/>
    <w:tmpl w:val="57D4BB98"/>
    <w:name w:val="SchdNumTemplate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6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8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 w15:restartNumberingAfterBreak="0">
    <w:nsid w:val="3E297220"/>
    <w:multiLevelType w:val="hybridMultilevel"/>
    <w:tmpl w:val="16283DB4"/>
    <w:lvl w:ilvl="0" w:tplc="9B1647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C45F7"/>
    <w:multiLevelType w:val="multilevel"/>
    <w:tmpl w:val="EFC8917A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808080" w:themeColor="background1" w:themeShade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622730"/>
    <w:multiLevelType w:val="hybridMultilevel"/>
    <w:tmpl w:val="182009E8"/>
    <w:lvl w:ilvl="0" w:tplc="B3E86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C3649"/>
    <w:multiLevelType w:val="hybridMultilevel"/>
    <w:tmpl w:val="A428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97671"/>
    <w:multiLevelType w:val="hybridMultilevel"/>
    <w:tmpl w:val="444EDA1C"/>
    <w:lvl w:ilvl="0" w:tplc="3FA046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6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/>
      </w:pPr>
      <w:rPr>
        <w:rFonts w:cs="Times New Roman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rFonts w:cs="Times New Roman"/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rFonts w:cs="Times New Roman"/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rFonts w:cs="Times New Roman"/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772D45E8"/>
    <w:multiLevelType w:val="hybridMultilevel"/>
    <w:tmpl w:val="1044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8"/>
  </w:num>
  <w:num w:numId="5">
    <w:abstractNumId w:val="10"/>
  </w:num>
  <w:num w:numId="6">
    <w:abstractNumId w:val="10"/>
  </w:num>
  <w:num w:numId="7">
    <w:abstractNumId w:val="15"/>
  </w:num>
  <w:num w:numId="8">
    <w:abstractNumId w:val="2"/>
  </w:num>
  <w:num w:numId="9">
    <w:abstractNumId w:val="7"/>
  </w:num>
  <w:num w:numId="10">
    <w:abstractNumId w:val="15"/>
  </w:num>
  <w:num w:numId="11">
    <w:abstractNumId w:val="0"/>
  </w:num>
  <w:num w:numId="12">
    <w:abstractNumId w:val="0"/>
  </w:num>
  <w:num w:numId="13">
    <w:abstractNumId w:val="16"/>
  </w:num>
  <w:num w:numId="14">
    <w:abstractNumId w:val="16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1"/>
  </w:num>
  <w:num w:numId="22">
    <w:abstractNumId w:val="9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5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E41665"/>
    <w:rsid w:val="00017AD9"/>
    <w:rsid w:val="0002567F"/>
    <w:rsid w:val="000354F5"/>
    <w:rsid w:val="00060137"/>
    <w:rsid w:val="00070790"/>
    <w:rsid w:val="000800FA"/>
    <w:rsid w:val="000B2522"/>
    <w:rsid w:val="000D332F"/>
    <w:rsid w:val="000E0132"/>
    <w:rsid w:val="000E07E4"/>
    <w:rsid w:val="000E5634"/>
    <w:rsid w:val="0010037F"/>
    <w:rsid w:val="001215FE"/>
    <w:rsid w:val="0012295A"/>
    <w:rsid w:val="001338B0"/>
    <w:rsid w:val="00136596"/>
    <w:rsid w:val="001403CB"/>
    <w:rsid w:val="00151149"/>
    <w:rsid w:val="00152C7C"/>
    <w:rsid w:val="001712FE"/>
    <w:rsid w:val="00173842"/>
    <w:rsid w:val="00194490"/>
    <w:rsid w:val="001A2DD0"/>
    <w:rsid w:val="001A3B2A"/>
    <w:rsid w:val="001D268B"/>
    <w:rsid w:val="001D3F46"/>
    <w:rsid w:val="001E27EC"/>
    <w:rsid w:val="001E7C74"/>
    <w:rsid w:val="001E7D3C"/>
    <w:rsid w:val="001F37D7"/>
    <w:rsid w:val="00210AD3"/>
    <w:rsid w:val="00211D34"/>
    <w:rsid w:val="002151AE"/>
    <w:rsid w:val="00223569"/>
    <w:rsid w:val="0022707C"/>
    <w:rsid w:val="00231397"/>
    <w:rsid w:val="0023694C"/>
    <w:rsid w:val="00243A62"/>
    <w:rsid w:val="00246C62"/>
    <w:rsid w:val="00257EF9"/>
    <w:rsid w:val="0026116A"/>
    <w:rsid w:val="00267031"/>
    <w:rsid w:val="002741B5"/>
    <w:rsid w:val="00287614"/>
    <w:rsid w:val="002A407E"/>
    <w:rsid w:val="002A718A"/>
    <w:rsid w:val="002B3866"/>
    <w:rsid w:val="002B7BAF"/>
    <w:rsid w:val="002E2E62"/>
    <w:rsid w:val="002F18DD"/>
    <w:rsid w:val="002F2A26"/>
    <w:rsid w:val="002F4080"/>
    <w:rsid w:val="00302870"/>
    <w:rsid w:val="00313E11"/>
    <w:rsid w:val="00334F1A"/>
    <w:rsid w:val="003369CD"/>
    <w:rsid w:val="00345B84"/>
    <w:rsid w:val="003477D7"/>
    <w:rsid w:val="00370744"/>
    <w:rsid w:val="003747C8"/>
    <w:rsid w:val="00387E51"/>
    <w:rsid w:val="00390E8B"/>
    <w:rsid w:val="003B7E1D"/>
    <w:rsid w:val="003C3463"/>
    <w:rsid w:val="003C35CA"/>
    <w:rsid w:val="003D6B24"/>
    <w:rsid w:val="003E1425"/>
    <w:rsid w:val="00410B14"/>
    <w:rsid w:val="00412531"/>
    <w:rsid w:val="00420BB9"/>
    <w:rsid w:val="00456FE6"/>
    <w:rsid w:val="00464846"/>
    <w:rsid w:val="00486036"/>
    <w:rsid w:val="004C58D8"/>
    <w:rsid w:val="004D33A7"/>
    <w:rsid w:val="004E1CCF"/>
    <w:rsid w:val="00550EFF"/>
    <w:rsid w:val="00557DBA"/>
    <w:rsid w:val="00561F1C"/>
    <w:rsid w:val="00562B64"/>
    <w:rsid w:val="00580B3C"/>
    <w:rsid w:val="00586ED2"/>
    <w:rsid w:val="005A7AD6"/>
    <w:rsid w:val="005B4FA2"/>
    <w:rsid w:val="005C16F0"/>
    <w:rsid w:val="005D52ED"/>
    <w:rsid w:val="005E1450"/>
    <w:rsid w:val="005E6B3E"/>
    <w:rsid w:val="005F42C5"/>
    <w:rsid w:val="00600BCE"/>
    <w:rsid w:val="00601CA8"/>
    <w:rsid w:val="00602010"/>
    <w:rsid w:val="0061265D"/>
    <w:rsid w:val="00612B4A"/>
    <w:rsid w:val="00623CE8"/>
    <w:rsid w:val="00631612"/>
    <w:rsid w:val="00640808"/>
    <w:rsid w:val="00643075"/>
    <w:rsid w:val="0064464B"/>
    <w:rsid w:val="00652792"/>
    <w:rsid w:val="00665D4F"/>
    <w:rsid w:val="006768A8"/>
    <w:rsid w:val="006856A7"/>
    <w:rsid w:val="006B113D"/>
    <w:rsid w:val="006D186C"/>
    <w:rsid w:val="006D312E"/>
    <w:rsid w:val="006E7E7E"/>
    <w:rsid w:val="006F4A5B"/>
    <w:rsid w:val="0070356D"/>
    <w:rsid w:val="00712F8C"/>
    <w:rsid w:val="00721F4F"/>
    <w:rsid w:val="007330C3"/>
    <w:rsid w:val="00736F8D"/>
    <w:rsid w:val="00747AD5"/>
    <w:rsid w:val="00750F40"/>
    <w:rsid w:val="00777C3A"/>
    <w:rsid w:val="0079332F"/>
    <w:rsid w:val="007A37D4"/>
    <w:rsid w:val="007A4C94"/>
    <w:rsid w:val="007A6CB6"/>
    <w:rsid w:val="007B203F"/>
    <w:rsid w:val="007B2282"/>
    <w:rsid w:val="007C25DB"/>
    <w:rsid w:val="007C533E"/>
    <w:rsid w:val="00811FA0"/>
    <w:rsid w:val="008136AE"/>
    <w:rsid w:val="00816028"/>
    <w:rsid w:val="00830FE1"/>
    <w:rsid w:val="008523D8"/>
    <w:rsid w:val="008543D2"/>
    <w:rsid w:val="0087001B"/>
    <w:rsid w:val="00876C2C"/>
    <w:rsid w:val="008778E1"/>
    <w:rsid w:val="00884ACE"/>
    <w:rsid w:val="00885345"/>
    <w:rsid w:val="00893339"/>
    <w:rsid w:val="008E3AEA"/>
    <w:rsid w:val="008E5070"/>
    <w:rsid w:val="008F25B4"/>
    <w:rsid w:val="008F6885"/>
    <w:rsid w:val="008F79E8"/>
    <w:rsid w:val="00911042"/>
    <w:rsid w:val="0091315D"/>
    <w:rsid w:val="00914926"/>
    <w:rsid w:val="0092698E"/>
    <w:rsid w:val="009675E1"/>
    <w:rsid w:val="00992D9F"/>
    <w:rsid w:val="009A6B8A"/>
    <w:rsid w:val="009B588D"/>
    <w:rsid w:val="009E25A6"/>
    <w:rsid w:val="009E4D46"/>
    <w:rsid w:val="00A01D4C"/>
    <w:rsid w:val="00A04307"/>
    <w:rsid w:val="00A12094"/>
    <w:rsid w:val="00A22D43"/>
    <w:rsid w:val="00A432D4"/>
    <w:rsid w:val="00A53B21"/>
    <w:rsid w:val="00A7423D"/>
    <w:rsid w:val="00A91943"/>
    <w:rsid w:val="00AA3CCC"/>
    <w:rsid w:val="00AA3E4A"/>
    <w:rsid w:val="00AA56AE"/>
    <w:rsid w:val="00AA65A7"/>
    <w:rsid w:val="00AB7050"/>
    <w:rsid w:val="00AD14A4"/>
    <w:rsid w:val="00AE7ABC"/>
    <w:rsid w:val="00AF6234"/>
    <w:rsid w:val="00B00690"/>
    <w:rsid w:val="00B05D00"/>
    <w:rsid w:val="00B1046B"/>
    <w:rsid w:val="00B17257"/>
    <w:rsid w:val="00B44457"/>
    <w:rsid w:val="00B4783F"/>
    <w:rsid w:val="00B52A87"/>
    <w:rsid w:val="00B54127"/>
    <w:rsid w:val="00B7008F"/>
    <w:rsid w:val="00B97D75"/>
    <w:rsid w:val="00BA5148"/>
    <w:rsid w:val="00BC5E86"/>
    <w:rsid w:val="00BD09FF"/>
    <w:rsid w:val="00BD1F42"/>
    <w:rsid w:val="00BD2C5B"/>
    <w:rsid w:val="00BE10FD"/>
    <w:rsid w:val="00BE4069"/>
    <w:rsid w:val="00C06438"/>
    <w:rsid w:val="00C2061F"/>
    <w:rsid w:val="00C206C2"/>
    <w:rsid w:val="00C26BAF"/>
    <w:rsid w:val="00C4191F"/>
    <w:rsid w:val="00C6576A"/>
    <w:rsid w:val="00C66EE9"/>
    <w:rsid w:val="00C74BA7"/>
    <w:rsid w:val="00C80692"/>
    <w:rsid w:val="00C82318"/>
    <w:rsid w:val="00C85856"/>
    <w:rsid w:val="00C85B79"/>
    <w:rsid w:val="00CD62B6"/>
    <w:rsid w:val="00CE0819"/>
    <w:rsid w:val="00CE5858"/>
    <w:rsid w:val="00CE66B9"/>
    <w:rsid w:val="00CE7D07"/>
    <w:rsid w:val="00CF3813"/>
    <w:rsid w:val="00D375C0"/>
    <w:rsid w:val="00D938CE"/>
    <w:rsid w:val="00DA1E23"/>
    <w:rsid w:val="00DD5A7F"/>
    <w:rsid w:val="00DF0F8C"/>
    <w:rsid w:val="00DF5E45"/>
    <w:rsid w:val="00DF6087"/>
    <w:rsid w:val="00E015A3"/>
    <w:rsid w:val="00E02618"/>
    <w:rsid w:val="00E0408F"/>
    <w:rsid w:val="00E271B9"/>
    <w:rsid w:val="00E27AC2"/>
    <w:rsid w:val="00E30C8C"/>
    <w:rsid w:val="00E3405F"/>
    <w:rsid w:val="00E41665"/>
    <w:rsid w:val="00E50C43"/>
    <w:rsid w:val="00E67223"/>
    <w:rsid w:val="00E71A83"/>
    <w:rsid w:val="00E7580B"/>
    <w:rsid w:val="00E84011"/>
    <w:rsid w:val="00E85257"/>
    <w:rsid w:val="00E910B1"/>
    <w:rsid w:val="00E971AF"/>
    <w:rsid w:val="00EA15AE"/>
    <w:rsid w:val="00EA7D29"/>
    <w:rsid w:val="00EF4105"/>
    <w:rsid w:val="00F00B2E"/>
    <w:rsid w:val="00F02C90"/>
    <w:rsid w:val="00F03443"/>
    <w:rsid w:val="00F05C45"/>
    <w:rsid w:val="00F11E0E"/>
    <w:rsid w:val="00F24035"/>
    <w:rsid w:val="00F370BE"/>
    <w:rsid w:val="00F54543"/>
    <w:rsid w:val="00F56AD6"/>
    <w:rsid w:val="00F578FD"/>
    <w:rsid w:val="00F70121"/>
    <w:rsid w:val="00F721F3"/>
    <w:rsid w:val="00F75C25"/>
    <w:rsid w:val="00F846E8"/>
    <w:rsid w:val="00F967CD"/>
    <w:rsid w:val="00FA5F00"/>
    <w:rsid w:val="00FB6FA0"/>
    <w:rsid w:val="00FD597F"/>
    <w:rsid w:val="00FD6702"/>
    <w:rsid w:val="00FF1A08"/>
    <w:rsid w:val="00FF228F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E9144A"/>
  <w15:docId w15:val="{C207D820-E954-4D41-A1BC-AF1BFDF3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65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character" w:customStyle="1" w:styleId="Defterm">
    <w:name w:val="Defterm"/>
    <w:rsid w:val="00E3405F"/>
    <w:rPr>
      <w:b/>
      <w:color w:val="000000"/>
      <w:sz w:val="22"/>
    </w:rPr>
  </w:style>
  <w:style w:type="paragraph" w:styleId="CommentText">
    <w:name w:val="annotation text"/>
    <w:basedOn w:val="Normal"/>
    <w:link w:val="CommentTextChar"/>
    <w:rsid w:val="00E3405F"/>
    <w:pPr>
      <w:spacing w:line="200" w:lineRule="atLeast"/>
      <w:jc w:val="left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E3405F"/>
    <w:rPr>
      <w:rFonts w:ascii="Times New Roman" w:eastAsia="Times New Roman" w:hAnsi="Times New Roman" w:cs="Times New Roman"/>
    </w:rPr>
  </w:style>
  <w:style w:type="paragraph" w:customStyle="1" w:styleId="NormalSpaced">
    <w:name w:val="NormalSpaced"/>
    <w:basedOn w:val="Normal"/>
    <w:next w:val="Normal"/>
    <w:rsid w:val="00E3405F"/>
    <w:pPr>
      <w:spacing w:after="240" w:line="300" w:lineRule="atLeast"/>
    </w:pPr>
    <w:rPr>
      <w:rFonts w:ascii="Times New Roman" w:eastAsia="Times New Roman" w:hAnsi="Times New Roman" w:cs="Times New Roman"/>
      <w:sz w:val="22"/>
    </w:rPr>
  </w:style>
  <w:style w:type="character" w:styleId="CommentReference">
    <w:name w:val="annotation reference"/>
    <w:rsid w:val="00E3405F"/>
    <w:rPr>
      <w:sz w:val="16"/>
      <w:szCs w:val="16"/>
    </w:rPr>
  </w:style>
  <w:style w:type="paragraph" w:customStyle="1" w:styleId="AgtLevel1Heading">
    <w:name w:val="Agt/Level1 Heading"/>
    <w:basedOn w:val="Body"/>
    <w:rsid w:val="003477D7"/>
    <w:pPr>
      <w:keepNext/>
      <w:numPr>
        <w:numId w:val="16"/>
      </w:numPr>
    </w:pPr>
    <w:rPr>
      <w:rFonts w:cs="Arial"/>
      <w:b/>
      <w:bCs/>
      <w:color w:val="auto"/>
      <w:lang w:eastAsia="en-US"/>
    </w:rPr>
  </w:style>
  <w:style w:type="paragraph" w:customStyle="1" w:styleId="AgtLevel2">
    <w:name w:val="Agt/Level2"/>
    <w:basedOn w:val="Body"/>
    <w:rsid w:val="003477D7"/>
    <w:pPr>
      <w:numPr>
        <w:ilvl w:val="1"/>
        <w:numId w:val="16"/>
      </w:numPr>
    </w:pPr>
    <w:rPr>
      <w:rFonts w:cs="Arial"/>
      <w:color w:val="auto"/>
      <w:lang w:eastAsia="en-US"/>
    </w:rPr>
  </w:style>
  <w:style w:type="paragraph" w:customStyle="1" w:styleId="AgtLevel4">
    <w:name w:val="Agt/Level4"/>
    <w:basedOn w:val="Body"/>
    <w:rsid w:val="003477D7"/>
    <w:pPr>
      <w:numPr>
        <w:ilvl w:val="3"/>
        <w:numId w:val="16"/>
      </w:numPr>
    </w:pPr>
    <w:rPr>
      <w:rFonts w:cs="Arial"/>
      <w:color w:val="auto"/>
      <w:lang w:eastAsia="en-US"/>
    </w:rPr>
  </w:style>
  <w:style w:type="paragraph" w:customStyle="1" w:styleId="SchdHead">
    <w:name w:val="Schd Head"/>
    <w:basedOn w:val="Body"/>
    <w:next w:val="Body"/>
    <w:rsid w:val="003477D7"/>
    <w:pPr>
      <w:keepNext/>
      <w:jc w:val="center"/>
    </w:pPr>
    <w:rPr>
      <w:rFonts w:cs="Arial"/>
      <w:b/>
      <w:bCs/>
      <w:color w:val="auto"/>
      <w:lang w:eastAsia="en-US"/>
    </w:rPr>
  </w:style>
  <w:style w:type="paragraph" w:customStyle="1" w:styleId="AgtLevel3">
    <w:name w:val="Agt/Level3"/>
    <w:basedOn w:val="Normal"/>
    <w:rsid w:val="003477D7"/>
    <w:pPr>
      <w:numPr>
        <w:ilvl w:val="2"/>
        <w:numId w:val="16"/>
      </w:numPr>
      <w:spacing w:after="240"/>
    </w:pPr>
    <w:rPr>
      <w:rFonts w:eastAsia="Times New Roman" w:cs="Times New Roman"/>
    </w:rPr>
  </w:style>
  <w:style w:type="paragraph" w:customStyle="1" w:styleId="AgtLevel5">
    <w:name w:val="Agt/Level5"/>
    <w:basedOn w:val="Normal"/>
    <w:rsid w:val="003477D7"/>
    <w:pPr>
      <w:numPr>
        <w:ilvl w:val="4"/>
        <w:numId w:val="16"/>
      </w:numPr>
    </w:pPr>
    <w:rPr>
      <w:rFonts w:eastAsia="Times New Roman" w:cs="Times New Roman"/>
    </w:rPr>
  </w:style>
  <w:style w:type="paragraph" w:customStyle="1" w:styleId="AgtLevel6">
    <w:name w:val="Agt/Level6"/>
    <w:basedOn w:val="Normal"/>
    <w:rsid w:val="003477D7"/>
    <w:pPr>
      <w:numPr>
        <w:ilvl w:val="5"/>
        <w:numId w:val="16"/>
      </w:numPr>
    </w:pPr>
    <w:rPr>
      <w:rFonts w:eastAsia="Times New Roman" w:cs="Times New Roman"/>
    </w:rPr>
  </w:style>
  <w:style w:type="paragraph" w:customStyle="1" w:styleId="AgtLevel7">
    <w:name w:val="Agt/Level7"/>
    <w:basedOn w:val="Normal"/>
    <w:rsid w:val="003477D7"/>
    <w:pPr>
      <w:numPr>
        <w:ilvl w:val="6"/>
        <w:numId w:val="16"/>
      </w:numPr>
    </w:pPr>
    <w:rPr>
      <w:rFonts w:eastAsia="Times New Roman" w:cs="Times New Roman"/>
    </w:rPr>
  </w:style>
  <w:style w:type="paragraph" w:customStyle="1" w:styleId="AgtLevel8">
    <w:name w:val="Agt/Level8"/>
    <w:basedOn w:val="Normal"/>
    <w:rsid w:val="003477D7"/>
    <w:pPr>
      <w:numPr>
        <w:ilvl w:val="7"/>
        <w:numId w:val="16"/>
      </w:numPr>
    </w:pPr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C3A"/>
    <w:pPr>
      <w:spacing w:line="240" w:lineRule="auto"/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C3A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8778E1"/>
    <w:pPr>
      <w:spacing w:after="0"/>
    </w:pPr>
  </w:style>
  <w:style w:type="paragraph" w:styleId="ListParagraph">
    <w:name w:val="List Paragraph"/>
    <w:basedOn w:val="Normal"/>
    <w:qFormat/>
    <w:rsid w:val="001712FE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s%3A%2F%2Fhealth-family.force.com%2Fs%2FWelcome&amp;data=05%7C01%7Cryan.evans9%40nhs.net%7C0077e4e196c249b9724908db051fb029%7C37c354b285b047f5b22207b48d774ee3%7C0%7C0%7C638109405868983737%7CUnknown%7CTWFpbGZsb3d8eyJWIjoiMC4wLjAwMDAiLCJQIjoiV2luMzIiLCJBTiI6Ik1haWwiLCJXVCI6Mn0%3D%7C3000%7C%7C%7C&amp;sdata=3%2F6rPWJAReSEi51TZs0c0qw0VjEgTfH8gBftuTCdk%2Bo%3D&amp;reserved=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0-15T07:51:55.751"/>
    </inkml:context>
    <inkml:brush xml:id="br0">
      <inkml:brushProperty name="width" value="0.01764" units="cm"/>
      <inkml:brushProperty name="height" value="0.01764" units="cm"/>
      <inkml:brushProperty name="color" value="#0000FF"/>
    </inkml:brush>
  </inkml:definitions>
  <inkml:trace contextRef="#ctx0" brushRef="#br0">28 1334 4216 0 0,'-27'24'1015'0'0,"66"-64"811"0"0,37-31-1386 0 0,77-80-192 0 0,167-164 1452 0 0,-5 37-1096 0 0,-187 168-113 0 0,64-52 89 0 0,-134 116-426 0 0,77-61 140 0 0,-120 96-255 0 0,48-40 354 0 0,-63 50-375 0 0,1 0 1 0 0,0 0 0 0 0,0 1 0 0 0,-1-1 0 0 0,1 0 0 0 0,-1 0-1 0 0,1 0 1 0 0,-1 0 0 0 0,1 0 0 0 0,-1 0 0 0 0,0 0 0 0 0,0-1-1 0 0,0 2-16 0 0,0 0-1 0 0,0 0 0 0 0,0 0 0 0 0,0 0 0 0 0,0-1 1 0 0,0 1-1 0 0,0 0 0 0 0,0 0 0 0 0,0 0 0 0 0,0 0 0 0 0,0 0 1 0 0,0 0-1 0 0,0 0 0 0 0,-1 0 0 0 0,1 0 0 0 0,0-1 1 0 0,0 1-1 0 0,0 0 0 0 0,0 0 0 0 0,-1 0 0 0 0,1 0 1 0 0,0 0-1 0 0,0 0 0 0 0,0 0 0 0 0,0 0 0 0 0,0 0 1 0 0,0 0-1 0 0,0 0 0 0 0,0 0 0 0 0,-1 0 0 0 0,1 0 1 0 0,0 0-1 0 0,0 0 0 0 0,0 0 0 0 0,0 0 0 0 0,0 0 0 0 0,0 0 1 0 0,0 0-1 0 0,-1 0 0 0 0,1 0 0 0 0,0 0 0 0 0,0 0 1 0 0,0 0-1 0 0,-1 0 0 0 0,1 0 0 0 0,-1 1-2 0 0,-1-1 0 0 0,1 1-1 0 0,0-1 1 0 0,0 1 0 0 0,-1 0-1 0 0,1-1 1 0 0,0 1 0 0 0,-1 1 0 0 0,-189 148 9 0 0,45-10 34 0 0,15 5 79 0 0,74-81-58 0 0,-159 212 292 0 0,198-251-314 0 0,-1-1 0 0 0,-2 0 0 0 0,-1-1-1 0 0,-3-1 1 0 0,-31 23 0 0 0,-1 2 24 0 0,43-35-35 0 0,11-8 12 0 0,5-5-1 0 0,11-6 40 0 0,-10 5-48 0 0,19-12 46 0 0,36-29 0 0 0,-25 17-45 0 0,49-42 42 0 0,-15 11-46 0 0,124-99 43 0 0,-187 153-71 0 0,9-8 5 0 0,0 0 1 0 0,-1 0-1 0 0,-1-1 0 0 0,13-18 1 0 0,-23 28-7 0 0,0 0 1 0 0,0 0-1 0 0,-1 1 1 0 0,1-1 0 0 0,0 0-1 0 0,-1-2 1 0 0,0 4 0 0 0,0 0 0 0 0,0-1 0 0 0,0 1 0 0 0,0-1 0 0 0,0 1 0 0 0,0 0 0 0 0,0 0 0 0 0,0-1 0 0 0,-1 1 0 0 0,1 0 0 0 0,0 0 0 0 0,-1-1 0 0 0,1 1 0 0 0,0-1 0 0 0,0 1 0 0 0,-1 0 1 0 0,1 0-1 0 0,0 0 0 0 0,-1-1 0 0 0,1 1 0 0 0,-1 0 0 0 0,1 0 0 0 0,0-1 0 0 0,-1 1 0 0 0,1 0 0 0 0,0 0 0 0 0,-1 0 0 0 0,0 0 0 0 0,1 0 0 0 0,-1 0 0 0 0,1 0 0 0 0,0 0 0 0 0,-1-1 0 0 0,0 1 0 0 0,1 0 0 0 0,-1 0 0 0 0,0 0 0 0 0,1 0 0 0 0,0 0 0 0 0,-2 1 0 0 0,0-1 26 0 0,0 0 0 0 0,1 0-1 0 0,-1 1 1 0 0,0-1 0 0 0,0 1-1 0 0,0-1 1 0 0,1 0 0 0 0,-1 1-1 0 0,0 0 1 0 0,1-1 0 0 0,-1 1 0 0 0,1 0-1 0 0,-4 1 1 0 0,-16 14 185 0 0,17-12-180 0 0,-35 29 309 0 0,3 1 1 0 0,1 1 0 0 0,-46 67-1 0 0,62-74-255 0 0,4 0 0 0 0,1 2-1 0 0,-11 39 1 0 0,25-66-86 0 0,-1 0 1 0 0,1 0-1 0 0,0-1 1 0 0,0 1-1 0 0,0 0 1 0 0,1 0-1 0 0,1 4 0 0 0,-2-6-1 0 0,0 0 0 0 0,1-1 0 0 0,-1 1 0 0 0,1-1 0 0 0,-1 1 0 0 0,0 0 0 0 0,1-1 0 0 0,-1 1 0 0 0,1 0 0 0 0,0-1 0 0 0,-1 1 0 0 0,1-1 0 0 0,-1 1 0 0 0,2-1 0 0 0,-2 1 0 0 0,1-1 0 0 0,0 0 0 0 0,0 1 0 0 0,-1-1 0 0 0,1 1 0 0 0,0-1 0 0 0,0 0 0 0 0,0 0 0 0 0,0 0 0 0 0,0 1 0 0 0,1-1 0 0 0,-2 0 0 0 0,1 0 0 0 0,1 0 0 0 0,-1 0 0 0 0,-1 0 0 0 0,2 0 0 0 0,-1 0 0 0 0,-1 0 0 0 0,2 0 0 0 0,-1 0 0 0 0,2-1 0 0 0,8-1-1 0 0,0 0 1 0 0,0-1 0 0 0,-1 1 0 0 0,20-9 0 0 0,39-20 8 0 0,-48 22 3 0 0,12-9 19 0 0,-1 0-1 0 0,55-41 1 0 0,-46 30-33 0 0,-35 25 3 0 0,137-103 0 0 0,-64 43 0 0 0,-76 61 0 0 0,2 0 0 0 0,-1 0 0 0 0,0 0 0 0 0,0 1 0 0 0,1-1 0 0 0,0 1 0 0 0,0-1 0 0 0,0 1 0 0 0,7-2 0 0 0,-10 16 1 0 0,-2-4 9 0 0,-1 0 0 0 0,-1 0 0 0 0,-4 13 0 0 0,-16 24 54 0 0,7-16 5 0 0,5-6 23 0 0,-10 37-1 0 0,18-51-54 0 0,1-1-1 0 0,0 0 1 0 0,1 0-1 0 0,1 0 1 0 0,-1 0 0 0 0,2 1-1 0 0,0-1 1 0 0,6 11-1 0 0,-7-16-16 0 0,1 0 0 0 0,0 0 0 0 0,0 0 0 0 0,0-1 0 0 0,0 1 0 0 0,2 0 0 0 0,-2-1 0 0 0,1 0-1 0 0,0 1 1 0 0,1-1 0 0 0,-1 1 0 0 0,0-2 0 0 0,1 1 0 0 0,0 0 0 0 0,0 0 0 0 0,0-1 0 0 0,0 1 0 0 0,1 0 0 0 0,4 0 0 0 0,0 0-3 0 0,0-1 1 0 0,0 0-1 0 0,0 0 1 0 0,0 0-1 0 0,0 0 1 0 0,0-1-1 0 0,1 0 1 0 0,-1-1-1 0 0,10 0 0 0 0,214-34 231 0 0,-124 16-2 0 0,7 0 14 0 0,53-9 29 0 0,-128 22-227 0 0,229-26 405 0 0,440 3 533 0 0,-511 25-886 0 0,29 1 11 0 0,-26 0-25 0 0,56 1 0 0 0,-107 0-41 0 0,105 2 178 0 0,-161 1-114 0 0,92 5 75 0 0,-150-3-96 0 0,14 1-2770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7B73-ABD2-45A4-9AB5-DC5F98B1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Evans, Ryan</cp:lastModifiedBy>
  <cp:revision>4</cp:revision>
  <cp:lastPrinted>2015-01-12T16:54:00Z</cp:lastPrinted>
  <dcterms:created xsi:type="dcterms:W3CDTF">2023-02-03T11:07:00Z</dcterms:created>
  <dcterms:modified xsi:type="dcterms:W3CDTF">2023-02-03T13:34:00Z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D/14298306/1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CLIENTID">
    <vt:i4>215922</vt:i4>
  </property>
  <property fmtid="{D5CDD505-2E9C-101B-9397-08002B2CF9AE}" pid="8" name="FILEID">
    <vt:i4>188350</vt:i4>
  </property>
  <property fmtid="{D5CDD505-2E9C-101B-9397-08002B2CF9AE}" pid="9" name="ASSOCID">
    <vt:i4>188684</vt:i4>
  </property>
</Properties>
</file>