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9C3" w:rsidRPr="007939C3" w:rsidRDefault="007939C3" w:rsidP="007939C3">
      <w:pPr>
        <w:spacing w:after="0"/>
        <w:rPr>
          <w:rFonts w:asciiTheme="minorHAnsi" w:hAnsiTheme="minorHAnsi"/>
          <w:sz w:val="32"/>
          <w:szCs w:val="32"/>
        </w:rPr>
      </w:pPr>
    </w:p>
    <w:p w:rsidR="007939C3" w:rsidRPr="007939C3" w:rsidRDefault="007939C3" w:rsidP="007939C3">
      <w:pPr>
        <w:spacing w:after="0"/>
        <w:rPr>
          <w:rFonts w:asciiTheme="minorHAnsi" w:hAnsiTheme="minorHAnsi"/>
          <w:sz w:val="32"/>
          <w:szCs w:val="32"/>
        </w:rPr>
      </w:pPr>
    </w:p>
    <w:p w:rsidR="007939C3" w:rsidRPr="007939C3" w:rsidRDefault="00D905BC" w:rsidP="00D905BC">
      <w:pPr>
        <w:spacing w:after="0"/>
        <w:jc w:val="center"/>
        <w:rPr>
          <w:rFonts w:asciiTheme="minorHAnsi" w:hAnsiTheme="minorHAnsi"/>
          <w:sz w:val="32"/>
          <w:szCs w:val="32"/>
        </w:rPr>
      </w:pPr>
      <w:r w:rsidRPr="00D905BC">
        <w:rPr>
          <w:rFonts w:asciiTheme="minorHAnsi" w:hAnsiTheme="minorHAnsi"/>
          <w:noProof/>
          <w:sz w:val="32"/>
          <w:szCs w:val="32"/>
        </w:rPr>
        <w:drawing>
          <wp:inline distT="0" distB="0" distL="0" distR="0">
            <wp:extent cx="3993899" cy="2000250"/>
            <wp:effectExtent l="0" t="0" r="6985" b="0"/>
            <wp:docPr id="3" name="Picture 3" descr="C:\Users\rjones.BGC.009\Cache\Content.Outlook\3L3P50YA\LORIC Print Logo Reversed CMYK 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jones.BGC.009\Cache\Content.Outlook\3L3P50YA\LORIC Print Logo Reversed CMYK ART.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97406" cy="2002007"/>
                    </a:xfrm>
                    <a:prstGeom prst="rect">
                      <a:avLst/>
                    </a:prstGeom>
                    <a:noFill/>
                    <a:ln>
                      <a:noFill/>
                    </a:ln>
                  </pic:spPr>
                </pic:pic>
              </a:graphicData>
            </a:graphic>
          </wp:inline>
        </w:drawing>
      </w:r>
    </w:p>
    <w:p w:rsidR="007939C3" w:rsidRPr="007939C3" w:rsidRDefault="007939C3" w:rsidP="007939C3">
      <w:pPr>
        <w:spacing w:after="0"/>
        <w:rPr>
          <w:rFonts w:asciiTheme="minorHAnsi" w:hAnsiTheme="minorHAnsi"/>
          <w:sz w:val="32"/>
          <w:szCs w:val="32"/>
        </w:rPr>
      </w:pPr>
    </w:p>
    <w:p w:rsidR="007939C3" w:rsidRPr="007939C3" w:rsidRDefault="007939C3" w:rsidP="007939C3">
      <w:pPr>
        <w:spacing w:after="0"/>
        <w:jc w:val="center"/>
        <w:rPr>
          <w:rFonts w:asciiTheme="minorHAnsi" w:hAnsiTheme="minorHAnsi"/>
          <w:sz w:val="32"/>
          <w:szCs w:val="32"/>
        </w:rPr>
      </w:pPr>
    </w:p>
    <w:p w:rsidR="007939C3" w:rsidRPr="007939C3" w:rsidRDefault="007939C3" w:rsidP="00D905BC">
      <w:pPr>
        <w:spacing w:after="0"/>
        <w:rPr>
          <w:rFonts w:asciiTheme="minorHAnsi" w:hAnsiTheme="minorHAnsi"/>
          <w:sz w:val="32"/>
          <w:szCs w:val="32"/>
        </w:rPr>
      </w:pPr>
    </w:p>
    <w:p w:rsidR="007939C3" w:rsidRPr="007939C3" w:rsidRDefault="007939C3" w:rsidP="007939C3">
      <w:pPr>
        <w:spacing w:after="0"/>
        <w:jc w:val="center"/>
        <w:rPr>
          <w:rFonts w:asciiTheme="minorHAnsi" w:hAnsiTheme="minorHAnsi"/>
          <w:sz w:val="32"/>
          <w:szCs w:val="32"/>
        </w:rPr>
      </w:pPr>
    </w:p>
    <w:p w:rsidR="001E0E27" w:rsidRPr="007939C3" w:rsidRDefault="001E0E27" w:rsidP="007939C3">
      <w:pPr>
        <w:spacing w:after="0"/>
        <w:jc w:val="center"/>
        <w:rPr>
          <w:rFonts w:asciiTheme="minorHAnsi" w:hAnsiTheme="minorHAnsi"/>
          <w:b/>
          <w:sz w:val="32"/>
          <w:szCs w:val="32"/>
        </w:rPr>
      </w:pPr>
      <w:r w:rsidRPr="007939C3">
        <w:rPr>
          <w:rFonts w:asciiTheme="minorHAnsi" w:hAnsiTheme="minorHAnsi"/>
          <w:b/>
          <w:sz w:val="32"/>
          <w:szCs w:val="32"/>
        </w:rPr>
        <w:t>Invitation to Tender</w:t>
      </w:r>
    </w:p>
    <w:p w:rsidR="001E0E27" w:rsidRPr="007939C3" w:rsidRDefault="00236BCA" w:rsidP="007939C3">
      <w:pPr>
        <w:spacing w:after="0"/>
        <w:jc w:val="center"/>
        <w:rPr>
          <w:rFonts w:asciiTheme="minorHAnsi" w:hAnsiTheme="minorHAnsi"/>
          <w:sz w:val="32"/>
          <w:szCs w:val="32"/>
        </w:rPr>
      </w:pPr>
      <w:r>
        <w:rPr>
          <w:rFonts w:asciiTheme="minorHAnsi" w:hAnsiTheme="minorHAnsi"/>
          <w:sz w:val="32"/>
          <w:szCs w:val="32"/>
        </w:rPr>
        <w:t xml:space="preserve">Lincolnshire Open Research &amp; Innovation Centre (LORIC) </w:t>
      </w:r>
      <w:r>
        <w:rPr>
          <w:rFonts w:asciiTheme="minorHAnsi" w:hAnsiTheme="minorHAnsi"/>
          <w:sz w:val="32"/>
          <w:szCs w:val="32"/>
        </w:rPr>
        <w:br/>
        <w:t>Open Data Consultancy Support</w:t>
      </w:r>
    </w:p>
    <w:p w:rsidR="001E0E27" w:rsidRPr="007939C3" w:rsidRDefault="00BF5223" w:rsidP="007939C3">
      <w:pPr>
        <w:spacing w:after="0"/>
        <w:jc w:val="center"/>
        <w:rPr>
          <w:rFonts w:asciiTheme="minorHAnsi" w:hAnsiTheme="minorHAnsi"/>
          <w:b/>
          <w:sz w:val="32"/>
          <w:szCs w:val="32"/>
        </w:rPr>
      </w:pPr>
      <w:r>
        <w:rPr>
          <w:rFonts w:asciiTheme="minorHAnsi" w:hAnsiTheme="minorHAnsi"/>
          <w:b/>
          <w:sz w:val="32"/>
          <w:szCs w:val="32"/>
        </w:rPr>
        <w:t>May</w:t>
      </w:r>
      <w:r w:rsidR="00236BCA">
        <w:rPr>
          <w:rFonts w:asciiTheme="minorHAnsi" w:hAnsiTheme="minorHAnsi"/>
          <w:b/>
          <w:sz w:val="32"/>
          <w:szCs w:val="32"/>
        </w:rPr>
        <w:t xml:space="preserve"> 2018</w:t>
      </w:r>
      <w:r w:rsidR="007939C3" w:rsidRPr="007939C3">
        <w:rPr>
          <w:rFonts w:asciiTheme="minorHAnsi" w:hAnsiTheme="minorHAnsi"/>
          <w:b/>
          <w:sz w:val="32"/>
          <w:szCs w:val="32"/>
        </w:rPr>
        <w:t xml:space="preserve"> – </w:t>
      </w:r>
      <w:r w:rsidR="00236BCA">
        <w:rPr>
          <w:rFonts w:asciiTheme="minorHAnsi" w:hAnsiTheme="minorHAnsi"/>
          <w:b/>
          <w:sz w:val="32"/>
          <w:szCs w:val="32"/>
        </w:rPr>
        <w:t>June</w:t>
      </w:r>
      <w:r w:rsidR="007939C3" w:rsidRPr="007939C3">
        <w:rPr>
          <w:rFonts w:asciiTheme="minorHAnsi" w:hAnsiTheme="minorHAnsi"/>
          <w:b/>
          <w:sz w:val="32"/>
          <w:szCs w:val="32"/>
        </w:rPr>
        <w:t xml:space="preserve"> 201</w:t>
      </w:r>
      <w:r w:rsidR="00EC6C8E">
        <w:rPr>
          <w:rFonts w:asciiTheme="minorHAnsi" w:hAnsiTheme="minorHAnsi"/>
          <w:b/>
          <w:sz w:val="32"/>
          <w:szCs w:val="32"/>
        </w:rPr>
        <w:t>9</w:t>
      </w:r>
    </w:p>
    <w:p w:rsidR="007939C3" w:rsidRPr="007939C3" w:rsidRDefault="007939C3" w:rsidP="007939C3">
      <w:pPr>
        <w:spacing w:after="0"/>
        <w:jc w:val="center"/>
        <w:rPr>
          <w:rFonts w:asciiTheme="minorHAnsi" w:hAnsiTheme="minorHAnsi"/>
          <w:sz w:val="32"/>
          <w:szCs w:val="32"/>
        </w:rPr>
      </w:pPr>
    </w:p>
    <w:p w:rsidR="007939C3" w:rsidRPr="007939C3" w:rsidRDefault="007939C3" w:rsidP="007939C3">
      <w:pPr>
        <w:spacing w:after="0"/>
        <w:jc w:val="center"/>
        <w:rPr>
          <w:rFonts w:asciiTheme="minorHAnsi" w:hAnsiTheme="minorHAnsi"/>
          <w:sz w:val="32"/>
          <w:szCs w:val="32"/>
        </w:rPr>
      </w:pPr>
    </w:p>
    <w:p w:rsidR="007939C3" w:rsidRPr="007939C3" w:rsidRDefault="007939C3" w:rsidP="007939C3">
      <w:pPr>
        <w:spacing w:after="0"/>
        <w:jc w:val="center"/>
        <w:rPr>
          <w:rFonts w:asciiTheme="minorHAnsi" w:hAnsiTheme="minorHAnsi"/>
          <w:sz w:val="32"/>
          <w:szCs w:val="32"/>
        </w:rPr>
      </w:pPr>
    </w:p>
    <w:p w:rsidR="007939C3" w:rsidRPr="007939C3" w:rsidRDefault="007939C3" w:rsidP="007939C3">
      <w:pPr>
        <w:spacing w:after="0"/>
        <w:jc w:val="center"/>
        <w:rPr>
          <w:rFonts w:asciiTheme="minorHAnsi" w:hAnsiTheme="minorHAnsi"/>
          <w:sz w:val="32"/>
          <w:szCs w:val="32"/>
        </w:rPr>
      </w:pPr>
    </w:p>
    <w:p w:rsidR="007939C3" w:rsidRPr="007939C3" w:rsidRDefault="007939C3" w:rsidP="007939C3">
      <w:pPr>
        <w:spacing w:after="0"/>
        <w:jc w:val="center"/>
        <w:rPr>
          <w:rFonts w:asciiTheme="minorHAnsi" w:hAnsiTheme="minorHAnsi"/>
          <w:sz w:val="32"/>
          <w:szCs w:val="32"/>
        </w:rPr>
      </w:pPr>
    </w:p>
    <w:p w:rsidR="007939C3" w:rsidRPr="007939C3" w:rsidRDefault="007939C3" w:rsidP="007939C3">
      <w:pPr>
        <w:spacing w:after="0"/>
        <w:jc w:val="center"/>
        <w:rPr>
          <w:rFonts w:asciiTheme="minorHAnsi" w:hAnsiTheme="minorHAnsi"/>
          <w:sz w:val="32"/>
          <w:szCs w:val="32"/>
        </w:rPr>
      </w:pPr>
    </w:p>
    <w:p w:rsidR="007939C3" w:rsidRPr="007939C3" w:rsidRDefault="007939C3" w:rsidP="007939C3">
      <w:pPr>
        <w:spacing w:after="0"/>
        <w:jc w:val="center"/>
        <w:rPr>
          <w:rFonts w:asciiTheme="minorHAnsi" w:hAnsiTheme="minorHAnsi"/>
          <w:i/>
          <w:sz w:val="21"/>
          <w:szCs w:val="21"/>
        </w:rPr>
      </w:pPr>
    </w:p>
    <w:p w:rsidR="007939C3" w:rsidRPr="007939C3" w:rsidRDefault="007939C3" w:rsidP="007939C3">
      <w:pPr>
        <w:spacing w:after="0"/>
        <w:jc w:val="center"/>
        <w:rPr>
          <w:rFonts w:asciiTheme="minorHAnsi" w:hAnsiTheme="minorHAnsi"/>
          <w:i/>
          <w:sz w:val="21"/>
          <w:szCs w:val="21"/>
        </w:rPr>
      </w:pPr>
      <w:r w:rsidRPr="007939C3">
        <w:rPr>
          <w:rFonts w:asciiTheme="minorHAnsi" w:hAnsiTheme="minorHAnsi"/>
          <w:i/>
          <w:sz w:val="21"/>
          <w:szCs w:val="21"/>
        </w:rPr>
        <w:t>You are invited to submit a tender proposal</w:t>
      </w:r>
    </w:p>
    <w:p w:rsidR="007939C3" w:rsidRPr="007939C3" w:rsidRDefault="007939C3" w:rsidP="00D905BC">
      <w:pPr>
        <w:spacing w:after="0"/>
        <w:jc w:val="center"/>
        <w:rPr>
          <w:rFonts w:asciiTheme="minorHAnsi" w:hAnsiTheme="minorHAnsi"/>
          <w:i/>
          <w:sz w:val="21"/>
          <w:szCs w:val="21"/>
        </w:rPr>
      </w:pPr>
      <w:r w:rsidRPr="007939C3">
        <w:rPr>
          <w:rFonts w:asciiTheme="minorHAnsi" w:hAnsiTheme="minorHAnsi"/>
          <w:i/>
          <w:sz w:val="21"/>
          <w:szCs w:val="21"/>
        </w:rPr>
        <w:t xml:space="preserve">for </w:t>
      </w:r>
      <w:r w:rsidR="00D905BC">
        <w:rPr>
          <w:rFonts w:asciiTheme="minorHAnsi" w:hAnsiTheme="minorHAnsi"/>
          <w:i/>
          <w:sz w:val="21"/>
          <w:szCs w:val="21"/>
        </w:rPr>
        <w:t>open data consultancy to help support the delivery of agreed LORIC project outputs</w:t>
      </w:r>
    </w:p>
    <w:p w:rsidR="007939C3" w:rsidRPr="007939C3" w:rsidRDefault="007939C3" w:rsidP="007939C3">
      <w:pPr>
        <w:spacing w:after="0"/>
        <w:jc w:val="center"/>
        <w:rPr>
          <w:rFonts w:asciiTheme="minorHAnsi" w:hAnsiTheme="minorHAnsi"/>
          <w:sz w:val="32"/>
          <w:szCs w:val="32"/>
        </w:rPr>
      </w:pPr>
    </w:p>
    <w:p w:rsidR="007939C3" w:rsidRPr="007939C3" w:rsidRDefault="007939C3" w:rsidP="007939C3">
      <w:pPr>
        <w:spacing w:after="0"/>
        <w:jc w:val="center"/>
        <w:rPr>
          <w:rFonts w:asciiTheme="minorHAnsi" w:hAnsiTheme="minorHAnsi"/>
          <w:sz w:val="32"/>
          <w:szCs w:val="32"/>
        </w:rPr>
      </w:pPr>
    </w:p>
    <w:p w:rsidR="00223CC1" w:rsidRDefault="00223CC1" w:rsidP="00223CC1">
      <w:pPr>
        <w:rPr>
          <w:rFonts w:asciiTheme="minorHAnsi" w:hAnsiTheme="minorHAnsi"/>
          <w:sz w:val="32"/>
          <w:szCs w:val="32"/>
        </w:rPr>
      </w:pPr>
    </w:p>
    <w:p w:rsidR="00223CC1" w:rsidRDefault="00223CC1" w:rsidP="00223CC1">
      <w:pPr>
        <w:rPr>
          <w:rFonts w:asciiTheme="minorHAnsi" w:hAnsiTheme="minorHAnsi"/>
          <w:sz w:val="32"/>
          <w:szCs w:val="32"/>
        </w:rPr>
      </w:pPr>
    </w:p>
    <w:p w:rsidR="001E0E27" w:rsidRPr="00223CC1" w:rsidRDefault="00120363" w:rsidP="00223CC1">
      <w:pPr>
        <w:rPr>
          <w:rFonts w:asciiTheme="minorHAnsi" w:hAnsiTheme="minorHAnsi"/>
          <w:b/>
          <w:i/>
          <w:sz w:val="21"/>
          <w:szCs w:val="21"/>
        </w:rPr>
      </w:pPr>
      <w:r>
        <w:rPr>
          <w:rFonts w:asciiTheme="minorHAnsi" w:hAnsiTheme="minorHAnsi"/>
          <w:b/>
          <w:sz w:val="32"/>
          <w:szCs w:val="32"/>
        </w:rPr>
        <w:lastRenderedPageBreak/>
        <w:t>1. THE</w:t>
      </w:r>
      <w:r w:rsidR="00E53766">
        <w:rPr>
          <w:rFonts w:asciiTheme="minorHAnsi" w:hAnsiTheme="minorHAnsi"/>
          <w:b/>
          <w:sz w:val="32"/>
          <w:szCs w:val="32"/>
        </w:rPr>
        <w:t xml:space="preserve"> </w:t>
      </w:r>
      <w:r w:rsidR="00D905BC">
        <w:rPr>
          <w:rFonts w:asciiTheme="minorHAnsi" w:hAnsiTheme="minorHAnsi"/>
          <w:b/>
          <w:sz w:val="32"/>
          <w:szCs w:val="32"/>
        </w:rPr>
        <w:t xml:space="preserve">LORIC </w:t>
      </w:r>
      <w:r w:rsidR="007939C3">
        <w:rPr>
          <w:rFonts w:asciiTheme="minorHAnsi" w:hAnsiTheme="minorHAnsi"/>
          <w:b/>
          <w:sz w:val="32"/>
          <w:szCs w:val="32"/>
        </w:rPr>
        <w:t>PROJECT</w:t>
      </w:r>
    </w:p>
    <w:p w:rsidR="007939C3" w:rsidRPr="007939C3" w:rsidRDefault="007939C3" w:rsidP="007939C3">
      <w:pPr>
        <w:spacing w:after="0"/>
        <w:rPr>
          <w:rFonts w:asciiTheme="minorHAnsi" w:hAnsiTheme="minorHAnsi"/>
          <w:sz w:val="21"/>
          <w:szCs w:val="21"/>
        </w:rPr>
      </w:pPr>
    </w:p>
    <w:p w:rsidR="007939C3" w:rsidRPr="007939C3" w:rsidRDefault="007939C3" w:rsidP="007939C3">
      <w:pPr>
        <w:spacing w:after="0"/>
        <w:rPr>
          <w:rFonts w:asciiTheme="minorHAnsi" w:hAnsiTheme="minorHAnsi"/>
          <w:sz w:val="21"/>
          <w:szCs w:val="21"/>
        </w:rPr>
      </w:pPr>
    </w:p>
    <w:p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1.1</w:t>
      </w:r>
      <w:r w:rsidR="00120363" w:rsidRPr="007939C3">
        <w:rPr>
          <w:rFonts w:asciiTheme="minorHAnsi" w:hAnsiTheme="minorHAnsi"/>
          <w:b/>
          <w:sz w:val="21"/>
          <w:szCs w:val="21"/>
        </w:rPr>
        <w:t>.</w:t>
      </w:r>
      <w:r w:rsidR="00120363">
        <w:rPr>
          <w:rFonts w:asciiTheme="minorHAnsi" w:hAnsiTheme="minorHAnsi"/>
          <w:b/>
          <w:sz w:val="21"/>
          <w:szCs w:val="21"/>
        </w:rPr>
        <w:t xml:space="preserve"> THE</w:t>
      </w:r>
      <w:r w:rsidR="00C90FF1">
        <w:rPr>
          <w:rFonts w:asciiTheme="minorHAnsi" w:hAnsiTheme="minorHAnsi"/>
          <w:b/>
          <w:sz w:val="21"/>
          <w:szCs w:val="21"/>
        </w:rPr>
        <w:t xml:space="preserve"> OPPORTUNITY</w:t>
      </w:r>
    </w:p>
    <w:p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 xml:space="preserve">Bishop Grosseteste University </w:t>
      </w:r>
      <w:r w:rsidR="007939C3" w:rsidRPr="007939C3">
        <w:rPr>
          <w:rFonts w:asciiTheme="minorHAnsi" w:hAnsiTheme="minorHAnsi"/>
          <w:sz w:val="21"/>
          <w:szCs w:val="21"/>
        </w:rPr>
        <w:t xml:space="preserve">(BGU) </w:t>
      </w:r>
      <w:r w:rsidRPr="007939C3">
        <w:rPr>
          <w:rFonts w:asciiTheme="minorHAnsi" w:hAnsiTheme="minorHAnsi"/>
          <w:sz w:val="21"/>
          <w:szCs w:val="21"/>
        </w:rPr>
        <w:t xml:space="preserve">are looking for </w:t>
      </w:r>
      <w:r w:rsidR="007939C3" w:rsidRPr="007939C3">
        <w:rPr>
          <w:rFonts w:asciiTheme="minorHAnsi" w:hAnsiTheme="minorHAnsi"/>
          <w:sz w:val="21"/>
          <w:szCs w:val="21"/>
        </w:rPr>
        <w:t>a</w:t>
      </w:r>
      <w:r w:rsidR="00D905BC" w:rsidRPr="00C90FF1">
        <w:rPr>
          <w:rFonts w:asciiTheme="minorHAnsi" w:hAnsiTheme="minorHAnsi"/>
          <w:b/>
          <w:sz w:val="21"/>
          <w:szCs w:val="21"/>
        </w:rPr>
        <w:t xml:space="preserve"> data specialist</w:t>
      </w:r>
      <w:r w:rsidR="000A6682">
        <w:rPr>
          <w:rFonts w:asciiTheme="minorHAnsi" w:hAnsiTheme="minorHAnsi"/>
          <w:b/>
          <w:sz w:val="21"/>
          <w:szCs w:val="21"/>
        </w:rPr>
        <w:t xml:space="preserve">, with knowledge of open data sets </w:t>
      </w:r>
      <w:r w:rsidR="00D905BC">
        <w:rPr>
          <w:rFonts w:asciiTheme="minorHAnsi" w:hAnsiTheme="minorHAnsi"/>
          <w:sz w:val="21"/>
          <w:szCs w:val="21"/>
        </w:rPr>
        <w:t xml:space="preserve"> to </w:t>
      </w:r>
      <w:r w:rsidR="00C90FF1">
        <w:rPr>
          <w:rFonts w:asciiTheme="minorHAnsi" w:hAnsiTheme="minorHAnsi"/>
          <w:sz w:val="21"/>
          <w:szCs w:val="21"/>
        </w:rPr>
        <w:t xml:space="preserve">work with the LORIC team on a consultancy basis to </w:t>
      </w:r>
      <w:r w:rsidR="00D905BC">
        <w:rPr>
          <w:rFonts w:asciiTheme="minorHAnsi" w:hAnsiTheme="minorHAnsi"/>
          <w:sz w:val="21"/>
          <w:szCs w:val="21"/>
        </w:rPr>
        <w:t>help support the delivery of agreed outputs associated with the LORIC funding bid.</w:t>
      </w:r>
    </w:p>
    <w:p w:rsidR="007939C3" w:rsidRDefault="007939C3" w:rsidP="007939C3">
      <w:pPr>
        <w:spacing w:after="0"/>
        <w:rPr>
          <w:rFonts w:asciiTheme="minorHAnsi" w:hAnsiTheme="minorHAnsi"/>
          <w:sz w:val="21"/>
          <w:szCs w:val="21"/>
        </w:rPr>
      </w:pPr>
    </w:p>
    <w:p w:rsidR="007939C3" w:rsidRPr="007939C3" w:rsidRDefault="007939C3" w:rsidP="007939C3">
      <w:pPr>
        <w:spacing w:after="0"/>
        <w:rPr>
          <w:rFonts w:asciiTheme="minorHAnsi" w:hAnsiTheme="minorHAnsi"/>
          <w:sz w:val="21"/>
          <w:szCs w:val="21"/>
        </w:rPr>
      </w:pPr>
    </w:p>
    <w:p w:rsidR="00EB4235" w:rsidRDefault="007939C3" w:rsidP="00C90FF1">
      <w:pPr>
        <w:spacing w:after="0"/>
        <w:rPr>
          <w:rFonts w:asciiTheme="minorHAnsi" w:hAnsiTheme="minorHAnsi"/>
          <w:sz w:val="21"/>
          <w:szCs w:val="21"/>
        </w:rPr>
      </w:pPr>
      <w:r w:rsidRPr="007939C3">
        <w:rPr>
          <w:rFonts w:asciiTheme="minorHAnsi" w:hAnsiTheme="minorHAnsi"/>
          <w:b/>
          <w:sz w:val="21"/>
          <w:szCs w:val="21"/>
        </w:rPr>
        <w:t>1.2.</w:t>
      </w:r>
      <w:r w:rsidR="00C90FF1">
        <w:rPr>
          <w:rFonts w:asciiTheme="minorHAnsi" w:hAnsiTheme="minorHAnsi"/>
          <w:b/>
          <w:sz w:val="21"/>
          <w:szCs w:val="21"/>
        </w:rPr>
        <w:t xml:space="preserve"> LORIC</w:t>
      </w:r>
      <w:r w:rsidR="00C90FF1">
        <w:rPr>
          <w:rFonts w:asciiTheme="minorHAnsi" w:hAnsiTheme="minorHAnsi"/>
          <w:b/>
          <w:sz w:val="21"/>
          <w:szCs w:val="21"/>
        </w:rPr>
        <w:br/>
      </w:r>
      <w:r w:rsidR="00C90FF1">
        <w:rPr>
          <w:rFonts w:asciiTheme="minorHAnsi" w:hAnsiTheme="minorHAnsi"/>
          <w:sz w:val="21"/>
          <w:szCs w:val="21"/>
        </w:rPr>
        <w:t>Bishop Grosseteste University (BGU) has secured substantial funding (£3.55m) from the European Regional Development Fund to create an exciting, new, Lincolnshire Open Research and Innovation Centre</w:t>
      </w:r>
      <w:r w:rsidR="00EB4235">
        <w:rPr>
          <w:rFonts w:asciiTheme="minorHAnsi" w:hAnsiTheme="minorHAnsi"/>
          <w:sz w:val="21"/>
          <w:szCs w:val="21"/>
        </w:rPr>
        <w:t xml:space="preserve"> (LORIC) project, based on the principles of Open Research, Innovation and Data. </w:t>
      </w:r>
    </w:p>
    <w:p w:rsidR="00EB4235" w:rsidRDefault="00EB4235" w:rsidP="00C90FF1">
      <w:pPr>
        <w:spacing w:after="0"/>
        <w:rPr>
          <w:rFonts w:asciiTheme="minorHAnsi" w:hAnsiTheme="minorHAnsi"/>
          <w:sz w:val="21"/>
          <w:szCs w:val="21"/>
        </w:rPr>
      </w:pPr>
    </w:p>
    <w:p w:rsidR="000A6682" w:rsidRDefault="00EB4235" w:rsidP="00C90FF1">
      <w:pPr>
        <w:spacing w:after="0"/>
        <w:rPr>
          <w:rFonts w:asciiTheme="minorHAnsi" w:hAnsiTheme="minorHAnsi"/>
          <w:sz w:val="21"/>
          <w:szCs w:val="21"/>
        </w:rPr>
      </w:pPr>
      <w:r>
        <w:rPr>
          <w:rFonts w:asciiTheme="minorHAnsi" w:hAnsiTheme="minorHAnsi"/>
          <w:sz w:val="21"/>
          <w:szCs w:val="21"/>
        </w:rPr>
        <w:t xml:space="preserve">The LORIC facility will be situated in the St. Hugh’s property on Newport in Lincoln. This listed property is currently undergoing major refurbishment to create a facility fit for purpose and will open its </w:t>
      </w:r>
      <w:r w:rsidR="000A6682">
        <w:rPr>
          <w:rFonts w:asciiTheme="minorHAnsi" w:hAnsiTheme="minorHAnsi"/>
          <w:sz w:val="21"/>
          <w:szCs w:val="21"/>
        </w:rPr>
        <w:t>d</w:t>
      </w:r>
      <w:r w:rsidR="00AA25DD">
        <w:rPr>
          <w:rFonts w:asciiTheme="minorHAnsi" w:hAnsiTheme="minorHAnsi"/>
          <w:sz w:val="21"/>
          <w:szCs w:val="21"/>
        </w:rPr>
        <w:t>oors for business in July 2018.</w:t>
      </w:r>
      <w:r w:rsidR="000A6682">
        <w:rPr>
          <w:rFonts w:asciiTheme="minorHAnsi" w:hAnsiTheme="minorHAnsi"/>
          <w:sz w:val="21"/>
          <w:szCs w:val="21"/>
        </w:rPr>
        <w:br/>
        <w:t xml:space="preserve">LORIC intends to connect the University’s research and innovation teams with private, public and third sector businesses/organisations to work on collaborative innovation projects. The Centre will enable businesses to promote and apply the most effective uses of rapidly expanding </w:t>
      </w:r>
      <w:r w:rsidR="000A6682" w:rsidRPr="006104BB">
        <w:rPr>
          <w:rFonts w:asciiTheme="minorHAnsi" w:hAnsiTheme="minorHAnsi"/>
          <w:b/>
          <w:sz w:val="21"/>
          <w:szCs w:val="21"/>
        </w:rPr>
        <w:t>Open Data Research and Innovation</w:t>
      </w:r>
      <w:r w:rsidR="000A6682">
        <w:rPr>
          <w:rFonts w:asciiTheme="minorHAnsi" w:hAnsiTheme="minorHAnsi"/>
          <w:sz w:val="21"/>
          <w:szCs w:val="21"/>
        </w:rPr>
        <w:t xml:space="preserve"> (Open DRI).</w:t>
      </w:r>
    </w:p>
    <w:p w:rsidR="00AA25DD" w:rsidRDefault="00AA25DD" w:rsidP="00C90FF1">
      <w:pPr>
        <w:spacing w:after="0"/>
        <w:rPr>
          <w:rFonts w:asciiTheme="minorHAnsi" w:hAnsiTheme="minorHAnsi"/>
          <w:sz w:val="21"/>
          <w:szCs w:val="21"/>
        </w:rPr>
      </w:pPr>
    </w:p>
    <w:p w:rsidR="007939C3" w:rsidRDefault="009B415E" w:rsidP="00C90FF1">
      <w:pPr>
        <w:spacing w:after="0"/>
        <w:rPr>
          <w:rFonts w:asciiTheme="minorHAnsi" w:hAnsiTheme="minorHAnsi"/>
          <w:b/>
          <w:sz w:val="21"/>
          <w:szCs w:val="21"/>
        </w:rPr>
      </w:pPr>
      <w:r w:rsidRPr="009B415E">
        <w:rPr>
          <w:rFonts w:asciiTheme="minorHAnsi" w:hAnsiTheme="minorHAnsi"/>
          <w:sz w:val="21"/>
          <w:szCs w:val="21"/>
        </w:rPr>
        <w:t>LORIC activities are expected to</w:t>
      </w:r>
      <w:r>
        <w:rPr>
          <w:rFonts w:asciiTheme="minorHAnsi" w:hAnsiTheme="minorHAnsi"/>
          <w:sz w:val="21"/>
          <w:szCs w:val="21"/>
        </w:rPr>
        <w:t xml:space="preserve"> include:</w:t>
      </w:r>
      <w:r w:rsidR="00C90FF1" w:rsidRPr="009B415E">
        <w:rPr>
          <w:rFonts w:asciiTheme="minorHAnsi" w:hAnsiTheme="minorHAnsi"/>
          <w:b/>
          <w:sz w:val="21"/>
          <w:szCs w:val="21"/>
        </w:rPr>
        <w:br/>
      </w:r>
    </w:p>
    <w:p w:rsidR="009B415E" w:rsidRPr="009B415E" w:rsidRDefault="009B415E" w:rsidP="009B415E">
      <w:pPr>
        <w:pStyle w:val="ListParagraph"/>
        <w:numPr>
          <w:ilvl w:val="0"/>
          <w:numId w:val="21"/>
        </w:numPr>
        <w:spacing w:after="0"/>
        <w:rPr>
          <w:b/>
          <w:sz w:val="21"/>
          <w:szCs w:val="21"/>
        </w:rPr>
      </w:pPr>
      <w:r>
        <w:rPr>
          <w:sz w:val="21"/>
          <w:szCs w:val="21"/>
        </w:rPr>
        <w:t>Connecting research, business, and professional innovators and organisations through effective knowledge networks to develop collaborative innovation projects</w:t>
      </w:r>
      <w:r w:rsidR="009E491F">
        <w:rPr>
          <w:sz w:val="21"/>
          <w:szCs w:val="21"/>
        </w:rPr>
        <w:t xml:space="preserve">, with an immediate focus on supporting the needs of </w:t>
      </w:r>
      <w:r w:rsidR="00522B29">
        <w:rPr>
          <w:sz w:val="21"/>
          <w:szCs w:val="21"/>
        </w:rPr>
        <w:t>Small and Medium Enterprise (</w:t>
      </w:r>
      <w:r w:rsidR="009E491F">
        <w:rPr>
          <w:sz w:val="21"/>
          <w:szCs w:val="21"/>
        </w:rPr>
        <w:t>SME</w:t>
      </w:r>
      <w:r w:rsidR="00522B29">
        <w:rPr>
          <w:sz w:val="21"/>
          <w:szCs w:val="21"/>
        </w:rPr>
        <w:t>)</w:t>
      </w:r>
      <w:r w:rsidR="009E491F">
        <w:rPr>
          <w:sz w:val="21"/>
          <w:szCs w:val="21"/>
        </w:rPr>
        <w:t xml:space="preserve"> businesses/organisations in the Greater Lincolnshire area</w:t>
      </w:r>
    </w:p>
    <w:p w:rsidR="009B415E" w:rsidRPr="006104BB" w:rsidRDefault="009B415E" w:rsidP="009B415E">
      <w:pPr>
        <w:pStyle w:val="ListParagraph"/>
        <w:numPr>
          <w:ilvl w:val="0"/>
          <w:numId w:val="21"/>
        </w:numPr>
        <w:spacing w:after="0"/>
        <w:rPr>
          <w:b/>
          <w:sz w:val="21"/>
          <w:szCs w:val="21"/>
        </w:rPr>
      </w:pPr>
      <w:r>
        <w:rPr>
          <w:sz w:val="21"/>
          <w:szCs w:val="21"/>
        </w:rPr>
        <w:t>Analysis, interpretation, translation and dissemination of major Open data sets for business use to inform research-led innovation</w:t>
      </w:r>
    </w:p>
    <w:p w:rsidR="006104BB" w:rsidRPr="006104BB" w:rsidRDefault="006104BB" w:rsidP="006104BB">
      <w:pPr>
        <w:pStyle w:val="ListParagraph"/>
        <w:numPr>
          <w:ilvl w:val="0"/>
          <w:numId w:val="21"/>
        </w:numPr>
        <w:spacing w:after="0"/>
        <w:rPr>
          <w:b/>
          <w:sz w:val="21"/>
          <w:szCs w:val="21"/>
        </w:rPr>
      </w:pPr>
      <w:r>
        <w:rPr>
          <w:sz w:val="21"/>
          <w:szCs w:val="21"/>
        </w:rPr>
        <w:t>Workshops and seminars to promote publically available open data sets and their potential applications</w:t>
      </w:r>
    </w:p>
    <w:p w:rsidR="009B415E" w:rsidRPr="009E491F" w:rsidRDefault="009B415E" w:rsidP="009B415E">
      <w:pPr>
        <w:pStyle w:val="ListParagraph"/>
        <w:numPr>
          <w:ilvl w:val="0"/>
          <w:numId w:val="21"/>
        </w:numPr>
        <w:spacing w:after="0"/>
        <w:rPr>
          <w:b/>
          <w:sz w:val="21"/>
          <w:szCs w:val="21"/>
        </w:rPr>
      </w:pPr>
      <w:r>
        <w:rPr>
          <w:sz w:val="21"/>
          <w:szCs w:val="21"/>
        </w:rPr>
        <w:t xml:space="preserve">Innovation projects with single organisations and collaborative groups (such as clusters) </w:t>
      </w:r>
      <w:r w:rsidR="009E491F">
        <w:rPr>
          <w:sz w:val="21"/>
          <w:szCs w:val="21"/>
        </w:rPr>
        <w:t>to research and develop new solutions which address shared problem and opportunity areas</w:t>
      </w:r>
    </w:p>
    <w:p w:rsidR="009E491F" w:rsidRPr="006104BB" w:rsidRDefault="009E491F" w:rsidP="009B415E">
      <w:pPr>
        <w:pStyle w:val="ListParagraph"/>
        <w:numPr>
          <w:ilvl w:val="0"/>
          <w:numId w:val="21"/>
        </w:numPr>
        <w:spacing w:after="0"/>
        <w:rPr>
          <w:b/>
          <w:sz w:val="21"/>
          <w:szCs w:val="21"/>
        </w:rPr>
      </w:pPr>
      <w:r>
        <w:rPr>
          <w:sz w:val="21"/>
          <w:szCs w:val="21"/>
        </w:rPr>
        <w:t>Translating HE&amp;RDI into innovation projects, start-up businesses/social enterprises with innovation leadership from graduates as catalysts of change</w:t>
      </w:r>
    </w:p>
    <w:p w:rsidR="006104BB" w:rsidRPr="006104BB" w:rsidRDefault="006104BB" w:rsidP="009B415E">
      <w:pPr>
        <w:pStyle w:val="ListParagraph"/>
        <w:numPr>
          <w:ilvl w:val="0"/>
          <w:numId w:val="21"/>
        </w:numPr>
        <w:spacing w:after="0"/>
        <w:rPr>
          <w:b/>
          <w:sz w:val="21"/>
          <w:szCs w:val="21"/>
        </w:rPr>
      </w:pPr>
      <w:r>
        <w:rPr>
          <w:sz w:val="21"/>
          <w:szCs w:val="21"/>
        </w:rPr>
        <w:t>Increase investments into research and innovation projects in Lincolnshire from all sources to generate new economic opportunities, employment and businesses</w:t>
      </w:r>
    </w:p>
    <w:p w:rsidR="007939C3" w:rsidRDefault="007939C3" w:rsidP="007939C3">
      <w:pPr>
        <w:spacing w:after="0"/>
        <w:rPr>
          <w:rFonts w:asciiTheme="minorHAnsi" w:hAnsiTheme="minorHAnsi"/>
          <w:sz w:val="21"/>
          <w:szCs w:val="21"/>
        </w:rPr>
      </w:pPr>
    </w:p>
    <w:p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1.</w:t>
      </w:r>
      <w:r w:rsidR="009B415E">
        <w:rPr>
          <w:rFonts w:asciiTheme="minorHAnsi" w:hAnsiTheme="minorHAnsi"/>
          <w:b/>
          <w:sz w:val="21"/>
          <w:szCs w:val="21"/>
        </w:rPr>
        <w:t>3</w:t>
      </w:r>
      <w:r w:rsidR="00120363" w:rsidRPr="007939C3">
        <w:rPr>
          <w:rFonts w:asciiTheme="minorHAnsi" w:hAnsiTheme="minorHAnsi"/>
          <w:b/>
          <w:sz w:val="21"/>
          <w:szCs w:val="21"/>
        </w:rPr>
        <w:t>. CONTRACT</w:t>
      </w:r>
      <w:r w:rsidRPr="007939C3">
        <w:rPr>
          <w:rFonts w:asciiTheme="minorHAnsi" w:hAnsiTheme="minorHAnsi"/>
          <w:b/>
          <w:sz w:val="21"/>
          <w:szCs w:val="21"/>
        </w:rPr>
        <w:t xml:space="preserve"> PERIOD</w:t>
      </w:r>
      <w:r>
        <w:rPr>
          <w:rFonts w:asciiTheme="minorHAnsi" w:hAnsiTheme="minorHAnsi"/>
          <w:b/>
          <w:sz w:val="21"/>
          <w:szCs w:val="21"/>
        </w:rPr>
        <w:t>.</w:t>
      </w:r>
    </w:p>
    <w:p w:rsidR="007939C3" w:rsidRPr="007939C3" w:rsidRDefault="007939C3" w:rsidP="007939C3">
      <w:pPr>
        <w:spacing w:after="0"/>
        <w:rPr>
          <w:rFonts w:asciiTheme="minorHAnsi" w:hAnsiTheme="minorHAnsi"/>
          <w:sz w:val="21"/>
          <w:szCs w:val="21"/>
        </w:rPr>
      </w:pPr>
      <w:r>
        <w:rPr>
          <w:rFonts w:asciiTheme="minorHAnsi" w:hAnsiTheme="minorHAnsi"/>
          <w:sz w:val="21"/>
          <w:szCs w:val="21"/>
        </w:rPr>
        <w:t xml:space="preserve">The duration of this contract will be </w:t>
      </w:r>
      <w:r w:rsidR="006104BB">
        <w:rPr>
          <w:rFonts w:asciiTheme="minorHAnsi" w:hAnsiTheme="minorHAnsi"/>
          <w:sz w:val="21"/>
          <w:szCs w:val="21"/>
        </w:rPr>
        <w:t>14</w:t>
      </w:r>
      <w:r w:rsidR="009B415E">
        <w:rPr>
          <w:rFonts w:asciiTheme="minorHAnsi" w:hAnsiTheme="minorHAnsi"/>
          <w:sz w:val="21"/>
          <w:szCs w:val="21"/>
        </w:rPr>
        <w:t xml:space="preserve"> months</w:t>
      </w:r>
      <w:r w:rsidR="006104BB">
        <w:rPr>
          <w:rFonts w:asciiTheme="minorHAnsi" w:hAnsiTheme="minorHAnsi"/>
          <w:sz w:val="21"/>
          <w:szCs w:val="21"/>
        </w:rPr>
        <w:t xml:space="preserve"> (circa 61 weeks)</w:t>
      </w:r>
      <w:r>
        <w:rPr>
          <w:rFonts w:asciiTheme="minorHAnsi" w:hAnsiTheme="minorHAnsi"/>
          <w:sz w:val="21"/>
          <w:szCs w:val="21"/>
        </w:rPr>
        <w:t xml:space="preserve">, running from </w:t>
      </w:r>
      <w:r w:rsidR="006104BB">
        <w:rPr>
          <w:rFonts w:asciiTheme="minorHAnsi" w:hAnsiTheme="minorHAnsi"/>
          <w:sz w:val="21"/>
          <w:szCs w:val="21"/>
        </w:rPr>
        <w:t xml:space="preserve">the start of </w:t>
      </w:r>
      <w:r w:rsidR="006104BB">
        <w:rPr>
          <w:rFonts w:asciiTheme="minorHAnsi" w:hAnsiTheme="minorHAnsi"/>
          <w:b/>
          <w:i/>
          <w:sz w:val="21"/>
          <w:szCs w:val="21"/>
        </w:rPr>
        <w:t>May</w:t>
      </w:r>
      <w:r w:rsidR="009B415E">
        <w:rPr>
          <w:rFonts w:asciiTheme="minorHAnsi" w:hAnsiTheme="minorHAnsi"/>
          <w:b/>
          <w:i/>
          <w:sz w:val="21"/>
          <w:szCs w:val="21"/>
        </w:rPr>
        <w:t xml:space="preserve"> 2018</w:t>
      </w:r>
      <w:r w:rsidR="00E53766">
        <w:rPr>
          <w:rFonts w:asciiTheme="minorHAnsi" w:hAnsiTheme="minorHAnsi"/>
          <w:b/>
          <w:i/>
          <w:sz w:val="21"/>
          <w:szCs w:val="21"/>
        </w:rPr>
        <w:t xml:space="preserve"> </w:t>
      </w:r>
      <w:r w:rsidR="009B415E">
        <w:rPr>
          <w:rFonts w:asciiTheme="minorHAnsi" w:hAnsiTheme="minorHAnsi"/>
          <w:sz w:val="21"/>
          <w:szCs w:val="21"/>
        </w:rPr>
        <w:t xml:space="preserve">through </w:t>
      </w:r>
      <w:r>
        <w:rPr>
          <w:rFonts w:asciiTheme="minorHAnsi" w:hAnsiTheme="minorHAnsi"/>
          <w:sz w:val="21"/>
          <w:szCs w:val="21"/>
        </w:rPr>
        <w:t xml:space="preserve">to </w:t>
      </w:r>
      <w:r w:rsidR="009B415E">
        <w:rPr>
          <w:rFonts w:asciiTheme="minorHAnsi" w:hAnsiTheme="minorHAnsi"/>
          <w:sz w:val="21"/>
          <w:szCs w:val="21"/>
        </w:rPr>
        <w:t xml:space="preserve">the end of </w:t>
      </w:r>
      <w:r w:rsidR="009B415E">
        <w:rPr>
          <w:rFonts w:asciiTheme="minorHAnsi" w:hAnsiTheme="minorHAnsi"/>
          <w:b/>
          <w:i/>
          <w:sz w:val="21"/>
          <w:szCs w:val="21"/>
        </w:rPr>
        <w:t xml:space="preserve">June </w:t>
      </w:r>
      <w:r w:rsidRPr="007939C3">
        <w:rPr>
          <w:rFonts w:asciiTheme="minorHAnsi" w:hAnsiTheme="minorHAnsi"/>
          <w:b/>
          <w:i/>
          <w:sz w:val="21"/>
          <w:szCs w:val="21"/>
        </w:rPr>
        <w:t>201</w:t>
      </w:r>
      <w:r w:rsidR="00EC6C8E">
        <w:rPr>
          <w:rFonts w:asciiTheme="minorHAnsi" w:hAnsiTheme="minorHAnsi"/>
          <w:b/>
          <w:i/>
          <w:sz w:val="21"/>
          <w:szCs w:val="21"/>
        </w:rPr>
        <w:t>9</w:t>
      </w:r>
      <w:r w:rsidR="009B415E">
        <w:rPr>
          <w:rFonts w:asciiTheme="minorHAnsi" w:hAnsiTheme="minorHAnsi"/>
          <w:sz w:val="21"/>
          <w:szCs w:val="21"/>
        </w:rPr>
        <w:t>.</w:t>
      </w:r>
      <w:r w:rsidR="006104BB">
        <w:rPr>
          <w:rFonts w:asciiTheme="minorHAnsi" w:hAnsiTheme="minorHAnsi"/>
          <w:sz w:val="21"/>
          <w:szCs w:val="21"/>
        </w:rPr>
        <w:t xml:space="preserve"> It is anticipated that the successful consultant/consultancy will support the project circa two days per week during this period.</w:t>
      </w:r>
    </w:p>
    <w:p w:rsidR="007939C3" w:rsidRPr="007939C3" w:rsidRDefault="007939C3" w:rsidP="007939C3">
      <w:pPr>
        <w:spacing w:after="0"/>
        <w:rPr>
          <w:rFonts w:asciiTheme="minorHAnsi" w:hAnsiTheme="minorHAnsi"/>
          <w:sz w:val="21"/>
          <w:szCs w:val="21"/>
        </w:rPr>
      </w:pPr>
    </w:p>
    <w:p w:rsidR="007939C3" w:rsidRPr="007939C3" w:rsidRDefault="007939C3" w:rsidP="007939C3">
      <w:pPr>
        <w:spacing w:after="0"/>
        <w:rPr>
          <w:rFonts w:asciiTheme="minorHAnsi" w:hAnsiTheme="minorHAnsi"/>
          <w:b/>
          <w:sz w:val="21"/>
          <w:szCs w:val="21"/>
        </w:rPr>
      </w:pPr>
    </w:p>
    <w:p w:rsidR="00726E80" w:rsidRDefault="00726E80" w:rsidP="00726E80">
      <w:pPr>
        <w:rPr>
          <w:rFonts w:asciiTheme="minorHAnsi" w:hAnsiTheme="minorHAnsi"/>
          <w:b/>
          <w:sz w:val="32"/>
          <w:szCs w:val="32"/>
        </w:rPr>
      </w:pPr>
    </w:p>
    <w:p w:rsidR="00E53766" w:rsidRDefault="00E53766" w:rsidP="00726E80">
      <w:pPr>
        <w:rPr>
          <w:rFonts w:asciiTheme="minorHAnsi" w:hAnsiTheme="minorHAnsi"/>
          <w:b/>
          <w:sz w:val="32"/>
          <w:szCs w:val="32"/>
        </w:rPr>
      </w:pPr>
    </w:p>
    <w:p w:rsidR="007939C3" w:rsidRPr="007939C3" w:rsidRDefault="00120363" w:rsidP="00726E80">
      <w:pPr>
        <w:rPr>
          <w:rFonts w:asciiTheme="minorHAnsi" w:hAnsiTheme="minorHAnsi"/>
          <w:b/>
          <w:sz w:val="32"/>
          <w:szCs w:val="32"/>
        </w:rPr>
      </w:pPr>
      <w:r>
        <w:rPr>
          <w:rFonts w:asciiTheme="minorHAnsi" w:hAnsiTheme="minorHAnsi"/>
          <w:b/>
          <w:sz w:val="32"/>
          <w:szCs w:val="32"/>
        </w:rPr>
        <w:lastRenderedPageBreak/>
        <w:t>2. CONSULTANCY</w:t>
      </w:r>
      <w:r w:rsidR="007939C3" w:rsidRPr="007939C3">
        <w:rPr>
          <w:rFonts w:asciiTheme="minorHAnsi" w:hAnsiTheme="minorHAnsi"/>
          <w:b/>
          <w:sz w:val="32"/>
          <w:szCs w:val="32"/>
        </w:rPr>
        <w:t xml:space="preserve"> OBJECTIVE</w:t>
      </w:r>
      <w:r w:rsidR="00EC6C8E">
        <w:rPr>
          <w:rFonts w:asciiTheme="minorHAnsi" w:hAnsiTheme="minorHAnsi"/>
          <w:b/>
          <w:sz w:val="32"/>
          <w:szCs w:val="32"/>
        </w:rPr>
        <w:t>S</w:t>
      </w:r>
    </w:p>
    <w:p w:rsidR="007939C3" w:rsidRDefault="006104BB" w:rsidP="007939C3">
      <w:pPr>
        <w:spacing w:after="0"/>
        <w:rPr>
          <w:rFonts w:asciiTheme="minorHAnsi" w:hAnsiTheme="minorHAnsi"/>
          <w:sz w:val="21"/>
          <w:szCs w:val="21"/>
        </w:rPr>
      </w:pPr>
      <w:r>
        <w:rPr>
          <w:rFonts w:asciiTheme="minorHAnsi" w:hAnsiTheme="minorHAnsi"/>
          <w:sz w:val="21"/>
          <w:szCs w:val="21"/>
        </w:rPr>
        <w:t xml:space="preserve">The primary focus of the </w:t>
      </w:r>
      <w:r w:rsidR="00223CC1">
        <w:rPr>
          <w:rFonts w:asciiTheme="minorHAnsi" w:hAnsiTheme="minorHAnsi"/>
          <w:sz w:val="21"/>
          <w:szCs w:val="21"/>
        </w:rPr>
        <w:t>support envisaged is to help provide the LORIC team with the necessary capacity to ensure successful delivery against the agreed outputs in the ERDF funding bid. This will require high level skills in the utilisation of open and big datasets to take forward individual, bespoke, project briefs to help develop innovative applications and solutions for Greater Lincolnshire SMEs.</w:t>
      </w:r>
    </w:p>
    <w:p w:rsidR="00223CC1" w:rsidRDefault="00223CC1" w:rsidP="007939C3">
      <w:pPr>
        <w:spacing w:after="0"/>
        <w:rPr>
          <w:rFonts w:asciiTheme="minorHAnsi" w:hAnsiTheme="minorHAnsi"/>
          <w:sz w:val="21"/>
          <w:szCs w:val="21"/>
        </w:rPr>
      </w:pPr>
    </w:p>
    <w:p w:rsidR="00223CC1" w:rsidRDefault="00223CC1" w:rsidP="007939C3">
      <w:pPr>
        <w:spacing w:after="0"/>
        <w:rPr>
          <w:rFonts w:asciiTheme="minorHAnsi" w:hAnsiTheme="minorHAnsi"/>
          <w:sz w:val="21"/>
          <w:szCs w:val="21"/>
        </w:rPr>
      </w:pPr>
      <w:r>
        <w:rPr>
          <w:rFonts w:asciiTheme="minorHAnsi" w:hAnsiTheme="minorHAnsi"/>
          <w:sz w:val="21"/>
          <w:szCs w:val="21"/>
        </w:rPr>
        <w:t>As well as this primary objective the consultant/consultancy will work closely with the wider LORIC team in pursuit of the following aims:</w:t>
      </w:r>
    </w:p>
    <w:p w:rsidR="00223CC1" w:rsidRDefault="00223CC1" w:rsidP="007939C3">
      <w:pPr>
        <w:spacing w:after="0"/>
        <w:rPr>
          <w:rFonts w:asciiTheme="minorHAnsi" w:hAnsiTheme="minorHAnsi"/>
          <w:sz w:val="21"/>
          <w:szCs w:val="21"/>
        </w:rPr>
      </w:pPr>
    </w:p>
    <w:p w:rsidR="00223CC1" w:rsidRDefault="00223CC1" w:rsidP="00223CC1">
      <w:pPr>
        <w:pStyle w:val="ListParagraph"/>
        <w:numPr>
          <w:ilvl w:val="0"/>
          <w:numId w:val="22"/>
        </w:numPr>
        <w:spacing w:after="0"/>
        <w:rPr>
          <w:sz w:val="21"/>
          <w:szCs w:val="21"/>
        </w:rPr>
      </w:pPr>
      <w:r>
        <w:rPr>
          <w:sz w:val="21"/>
          <w:szCs w:val="21"/>
        </w:rPr>
        <w:t>To promote and educate clients in the availability and application of open data sets</w:t>
      </w:r>
    </w:p>
    <w:p w:rsidR="00223CC1" w:rsidRDefault="00223CC1" w:rsidP="00223CC1">
      <w:pPr>
        <w:pStyle w:val="ListParagraph"/>
        <w:numPr>
          <w:ilvl w:val="0"/>
          <w:numId w:val="22"/>
        </w:numPr>
        <w:spacing w:after="0"/>
        <w:rPr>
          <w:sz w:val="21"/>
          <w:szCs w:val="21"/>
        </w:rPr>
      </w:pPr>
      <w:r>
        <w:rPr>
          <w:sz w:val="21"/>
          <w:szCs w:val="21"/>
        </w:rPr>
        <w:t>To map, access and use open data, big data and citizen-generated datasets, to solve problems and create knowledge-based opportunities through co-innovation with business and community users</w:t>
      </w:r>
    </w:p>
    <w:p w:rsidR="00264915" w:rsidRDefault="00264915" w:rsidP="00264915">
      <w:pPr>
        <w:pStyle w:val="ListParagraph"/>
        <w:numPr>
          <w:ilvl w:val="0"/>
          <w:numId w:val="22"/>
        </w:numPr>
        <w:spacing w:after="0"/>
        <w:rPr>
          <w:sz w:val="21"/>
          <w:szCs w:val="21"/>
        </w:rPr>
      </w:pPr>
      <w:r>
        <w:rPr>
          <w:sz w:val="21"/>
          <w:szCs w:val="21"/>
        </w:rPr>
        <w:t>To contribute to educating staff and external stakeholders in data driven methodologies, data handling, management and analysis</w:t>
      </w:r>
    </w:p>
    <w:p w:rsidR="00264915" w:rsidRDefault="00264915" w:rsidP="00264915">
      <w:pPr>
        <w:spacing w:after="0"/>
        <w:rPr>
          <w:sz w:val="21"/>
          <w:szCs w:val="21"/>
        </w:rPr>
      </w:pPr>
    </w:p>
    <w:p w:rsidR="00264915" w:rsidRDefault="00264915" w:rsidP="00264915">
      <w:pPr>
        <w:spacing w:after="0"/>
        <w:rPr>
          <w:rFonts w:asciiTheme="minorHAnsi" w:hAnsiTheme="minorHAnsi"/>
          <w:sz w:val="21"/>
          <w:szCs w:val="21"/>
        </w:rPr>
      </w:pPr>
      <w:r>
        <w:rPr>
          <w:rFonts w:asciiTheme="minorHAnsi" w:hAnsiTheme="minorHAnsi"/>
          <w:sz w:val="21"/>
          <w:szCs w:val="21"/>
        </w:rPr>
        <w:t>The consultancy opportunity is designed to ensure that the LORIC team is able to support potential beneficiaries, whilst the University builds up its own capacity ‘in house’ in the area of open data. The consultant/consultancy will work closely with the Project Manager and Co-ordinator, and alongside</w:t>
      </w:r>
      <w:r w:rsidR="00945253">
        <w:rPr>
          <w:rFonts w:asciiTheme="minorHAnsi" w:hAnsiTheme="minorHAnsi"/>
          <w:sz w:val="21"/>
          <w:szCs w:val="21"/>
        </w:rPr>
        <w:t xml:space="preserve"> an</w:t>
      </w:r>
      <w:r>
        <w:rPr>
          <w:rFonts w:asciiTheme="minorHAnsi" w:hAnsiTheme="minorHAnsi"/>
          <w:sz w:val="21"/>
          <w:szCs w:val="21"/>
        </w:rPr>
        <w:t xml:space="preserve"> Open Research Fellow and a Data Analyst</w:t>
      </w:r>
      <w:r w:rsidR="00945253">
        <w:rPr>
          <w:rFonts w:asciiTheme="minorHAnsi" w:hAnsiTheme="minorHAnsi"/>
          <w:sz w:val="21"/>
          <w:szCs w:val="21"/>
        </w:rPr>
        <w:t xml:space="preserve"> for the life of the contract.</w:t>
      </w:r>
    </w:p>
    <w:p w:rsidR="00945253" w:rsidRDefault="00945253" w:rsidP="00264915">
      <w:pPr>
        <w:spacing w:after="0"/>
        <w:rPr>
          <w:rFonts w:asciiTheme="minorHAnsi" w:hAnsiTheme="minorHAnsi"/>
          <w:sz w:val="21"/>
          <w:szCs w:val="21"/>
        </w:rPr>
      </w:pPr>
    </w:p>
    <w:p w:rsidR="00522B29" w:rsidRDefault="00522B29" w:rsidP="00264915">
      <w:pPr>
        <w:spacing w:after="0"/>
        <w:rPr>
          <w:rFonts w:asciiTheme="minorHAnsi" w:hAnsiTheme="minorHAnsi"/>
          <w:sz w:val="21"/>
          <w:szCs w:val="21"/>
        </w:rPr>
      </w:pPr>
      <w:r>
        <w:rPr>
          <w:rFonts w:asciiTheme="minorHAnsi" w:hAnsiTheme="minorHAnsi"/>
          <w:sz w:val="21"/>
          <w:szCs w:val="21"/>
        </w:rPr>
        <w:t>It is envisaged that beneficiaries will commit to an agreed plan of support, with access to a flexible and bespoke range of services, for a minimum of 12 hours duration, to meet identified needs and objectives. These may include, for example:</w:t>
      </w:r>
    </w:p>
    <w:p w:rsidR="00522B29" w:rsidRDefault="00522B29" w:rsidP="00522B29">
      <w:pPr>
        <w:pStyle w:val="ListParagraph"/>
        <w:numPr>
          <w:ilvl w:val="0"/>
          <w:numId w:val="23"/>
        </w:numPr>
        <w:spacing w:after="0"/>
        <w:rPr>
          <w:sz w:val="21"/>
          <w:szCs w:val="21"/>
        </w:rPr>
      </w:pPr>
      <w:r>
        <w:rPr>
          <w:sz w:val="21"/>
          <w:szCs w:val="21"/>
        </w:rPr>
        <w:t>Learning plans with Open Data and training activities</w:t>
      </w:r>
    </w:p>
    <w:p w:rsidR="00522B29" w:rsidRDefault="00522B29" w:rsidP="00522B29">
      <w:pPr>
        <w:pStyle w:val="ListParagraph"/>
        <w:numPr>
          <w:ilvl w:val="0"/>
          <w:numId w:val="23"/>
        </w:numPr>
        <w:spacing w:after="0"/>
        <w:rPr>
          <w:sz w:val="21"/>
          <w:szCs w:val="21"/>
        </w:rPr>
      </w:pPr>
      <w:r>
        <w:rPr>
          <w:sz w:val="21"/>
          <w:szCs w:val="21"/>
        </w:rPr>
        <w:t>Data mapping and audit of the business/organisation</w:t>
      </w:r>
    </w:p>
    <w:p w:rsidR="00522B29" w:rsidRDefault="00522B29" w:rsidP="00522B29">
      <w:pPr>
        <w:pStyle w:val="ListParagraph"/>
        <w:numPr>
          <w:ilvl w:val="0"/>
          <w:numId w:val="23"/>
        </w:numPr>
        <w:spacing w:after="0"/>
        <w:rPr>
          <w:sz w:val="21"/>
          <w:szCs w:val="21"/>
        </w:rPr>
      </w:pPr>
      <w:r>
        <w:rPr>
          <w:sz w:val="21"/>
          <w:szCs w:val="21"/>
        </w:rPr>
        <w:t xml:space="preserve">Research packages e.g. market demand; competition/alternatives; intellectual property/patents; demographics </w:t>
      </w:r>
      <w:r w:rsidR="00120363">
        <w:rPr>
          <w:sz w:val="21"/>
          <w:szCs w:val="21"/>
        </w:rPr>
        <w:t>etc.</w:t>
      </w:r>
    </w:p>
    <w:p w:rsidR="00522B29" w:rsidRPr="00522B29" w:rsidRDefault="00522B29" w:rsidP="00522B29">
      <w:pPr>
        <w:pStyle w:val="ListParagraph"/>
        <w:numPr>
          <w:ilvl w:val="0"/>
          <w:numId w:val="23"/>
        </w:numPr>
        <w:spacing w:after="0"/>
        <w:rPr>
          <w:sz w:val="21"/>
          <w:szCs w:val="21"/>
        </w:rPr>
      </w:pPr>
      <w:r>
        <w:rPr>
          <w:sz w:val="21"/>
          <w:szCs w:val="21"/>
        </w:rPr>
        <w:t>Identified research, design and innovation projects; these may be with individual or groups of SMEs in collaboration</w:t>
      </w:r>
    </w:p>
    <w:p w:rsidR="00522B29" w:rsidRDefault="00522B29" w:rsidP="00264915">
      <w:pPr>
        <w:spacing w:after="0"/>
        <w:rPr>
          <w:rFonts w:asciiTheme="minorHAnsi" w:hAnsiTheme="minorHAnsi"/>
          <w:sz w:val="21"/>
          <w:szCs w:val="21"/>
        </w:rPr>
      </w:pPr>
    </w:p>
    <w:p w:rsidR="00945253" w:rsidRPr="00264915" w:rsidRDefault="00945253" w:rsidP="00264915">
      <w:pPr>
        <w:spacing w:after="0"/>
        <w:rPr>
          <w:rFonts w:asciiTheme="minorHAnsi" w:hAnsiTheme="minorHAnsi"/>
          <w:sz w:val="21"/>
          <w:szCs w:val="21"/>
        </w:rPr>
      </w:pPr>
      <w:r>
        <w:rPr>
          <w:rFonts w:asciiTheme="minorHAnsi" w:hAnsiTheme="minorHAnsi"/>
          <w:sz w:val="21"/>
          <w:szCs w:val="21"/>
        </w:rPr>
        <w:t xml:space="preserve">An office </w:t>
      </w:r>
      <w:bookmarkStart w:id="0" w:name="_GoBack"/>
      <w:bookmarkEnd w:id="0"/>
      <w:r>
        <w:rPr>
          <w:rFonts w:asciiTheme="minorHAnsi" w:hAnsiTheme="minorHAnsi"/>
          <w:sz w:val="21"/>
          <w:szCs w:val="21"/>
        </w:rPr>
        <w:t>will be provided in the St. Hugh’s office f</w:t>
      </w:r>
      <w:r w:rsidR="00AB0E24">
        <w:rPr>
          <w:rFonts w:asciiTheme="minorHAnsi" w:hAnsiTheme="minorHAnsi"/>
          <w:sz w:val="21"/>
          <w:szCs w:val="21"/>
        </w:rPr>
        <w:t>acility should this be required and we envisage providing access to appropriate ‘software’ to support the process and application of large datasets.</w:t>
      </w:r>
    </w:p>
    <w:p w:rsidR="007939C3" w:rsidRPr="007939C3" w:rsidRDefault="007939C3" w:rsidP="007939C3">
      <w:pPr>
        <w:spacing w:after="0"/>
        <w:rPr>
          <w:rFonts w:asciiTheme="minorHAnsi" w:hAnsiTheme="minorHAnsi"/>
          <w:sz w:val="21"/>
          <w:szCs w:val="21"/>
        </w:rPr>
      </w:pPr>
    </w:p>
    <w:p w:rsidR="007939C3" w:rsidRDefault="007939C3" w:rsidP="007939C3">
      <w:pPr>
        <w:spacing w:after="0"/>
        <w:rPr>
          <w:rFonts w:asciiTheme="minorHAnsi" w:hAnsiTheme="minorHAnsi"/>
          <w:sz w:val="21"/>
          <w:szCs w:val="21"/>
        </w:rPr>
      </w:pPr>
    </w:p>
    <w:p w:rsidR="00E53766" w:rsidRDefault="00E53766" w:rsidP="007939C3">
      <w:pPr>
        <w:spacing w:after="0"/>
        <w:rPr>
          <w:rFonts w:asciiTheme="minorHAnsi" w:hAnsiTheme="minorHAnsi"/>
          <w:sz w:val="21"/>
          <w:szCs w:val="21"/>
        </w:rPr>
      </w:pPr>
    </w:p>
    <w:p w:rsidR="00E53766" w:rsidRDefault="00E53766" w:rsidP="007939C3">
      <w:pPr>
        <w:spacing w:after="0"/>
        <w:rPr>
          <w:rFonts w:asciiTheme="minorHAnsi" w:hAnsiTheme="minorHAnsi"/>
          <w:sz w:val="21"/>
          <w:szCs w:val="21"/>
        </w:rPr>
      </w:pPr>
    </w:p>
    <w:p w:rsidR="00E53766" w:rsidRDefault="00E53766" w:rsidP="007939C3">
      <w:pPr>
        <w:spacing w:after="0"/>
        <w:rPr>
          <w:rFonts w:asciiTheme="minorHAnsi" w:hAnsiTheme="minorHAnsi"/>
          <w:sz w:val="21"/>
          <w:szCs w:val="21"/>
        </w:rPr>
      </w:pPr>
    </w:p>
    <w:p w:rsidR="00E53766" w:rsidRDefault="00E53766" w:rsidP="007939C3">
      <w:pPr>
        <w:spacing w:after="0"/>
        <w:rPr>
          <w:rFonts w:asciiTheme="minorHAnsi" w:hAnsiTheme="minorHAnsi"/>
          <w:sz w:val="21"/>
          <w:szCs w:val="21"/>
        </w:rPr>
      </w:pPr>
    </w:p>
    <w:p w:rsidR="00E53766" w:rsidRDefault="00E53766" w:rsidP="007939C3">
      <w:pPr>
        <w:spacing w:after="0"/>
        <w:rPr>
          <w:rFonts w:asciiTheme="minorHAnsi" w:hAnsiTheme="minorHAnsi"/>
          <w:sz w:val="21"/>
          <w:szCs w:val="21"/>
        </w:rPr>
      </w:pPr>
    </w:p>
    <w:p w:rsidR="00E53766" w:rsidRDefault="00E53766" w:rsidP="007939C3">
      <w:pPr>
        <w:spacing w:after="0"/>
        <w:rPr>
          <w:rFonts w:asciiTheme="minorHAnsi" w:hAnsiTheme="minorHAnsi"/>
          <w:sz w:val="21"/>
          <w:szCs w:val="21"/>
        </w:rPr>
      </w:pPr>
    </w:p>
    <w:p w:rsidR="00E53766" w:rsidRDefault="00E53766" w:rsidP="007939C3">
      <w:pPr>
        <w:spacing w:after="0"/>
        <w:rPr>
          <w:rFonts w:asciiTheme="minorHAnsi" w:hAnsiTheme="minorHAnsi"/>
          <w:sz w:val="21"/>
          <w:szCs w:val="21"/>
        </w:rPr>
      </w:pPr>
    </w:p>
    <w:p w:rsidR="00E53766" w:rsidRDefault="00E53766" w:rsidP="007939C3">
      <w:pPr>
        <w:spacing w:after="0"/>
        <w:rPr>
          <w:rFonts w:asciiTheme="minorHAnsi" w:hAnsiTheme="minorHAnsi"/>
          <w:sz w:val="21"/>
          <w:szCs w:val="21"/>
        </w:rPr>
      </w:pPr>
    </w:p>
    <w:p w:rsidR="00E53766" w:rsidRDefault="00E53766" w:rsidP="007939C3">
      <w:pPr>
        <w:spacing w:after="0"/>
        <w:rPr>
          <w:rFonts w:asciiTheme="minorHAnsi" w:hAnsiTheme="minorHAnsi"/>
          <w:sz w:val="21"/>
          <w:szCs w:val="21"/>
        </w:rPr>
      </w:pPr>
    </w:p>
    <w:p w:rsidR="00E53766" w:rsidRPr="007939C3" w:rsidRDefault="00E53766" w:rsidP="007939C3">
      <w:pPr>
        <w:spacing w:after="0"/>
        <w:rPr>
          <w:rFonts w:asciiTheme="minorHAnsi" w:hAnsiTheme="minorHAnsi"/>
          <w:sz w:val="21"/>
          <w:szCs w:val="21"/>
        </w:rPr>
      </w:pPr>
    </w:p>
    <w:p w:rsidR="007939C3" w:rsidRPr="007939C3" w:rsidRDefault="00120363" w:rsidP="007939C3">
      <w:pPr>
        <w:spacing w:after="0"/>
        <w:rPr>
          <w:rFonts w:asciiTheme="minorHAnsi" w:hAnsiTheme="minorHAnsi"/>
          <w:b/>
          <w:sz w:val="32"/>
          <w:szCs w:val="32"/>
        </w:rPr>
      </w:pPr>
      <w:r w:rsidRPr="007939C3">
        <w:rPr>
          <w:rFonts w:asciiTheme="minorHAnsi" w:hAnsiTheme="minorHAnsi"/>
          <w:b/>
          <w:sz w:val="32"/>
          <w:szCs w:val="32"/>
        </w:rPr>
        <w:lastRenderedPageBreak/>
        <w:t>3. THE</w:t>
      </w:r>
      <w:r w:rsidR="00E53766">
        <w:rPr>
          <w:rFonts w:asciiTheme="minorHAnsi" w:hAnsiTheme="minorHAnsi"/>
          <w:b/>
          <w:sz w:val="32"/>
          <w:szCs w:val="32"/>
        </w:rPr>
        <w:t xml:space="preserve"> UNIVERSITY</w:t>
      </w:r>
    </w:p>
    <w:p w:rsidR="007939C3" w:rsidRPr="007939C3" w:rsidRDefault="007939C3" w:rsidP="007939C3">
      <w:pPr>
        <w:spacing w:after="0"/>
        <w:rPr>
          <w:rFonts w:asciiTheme="minorHAnsi" w:hAnsiTheme="minorHAnsi"/>
          <w:sz w:val="21"/>
          <w:szCs w:val="21"/>
        </w:rPr>
      </w:pPr>
    </w:p>
    <w:p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 xml:space="preserve">An independent Higher Education Institution with </w:t>
      </w:r>
      <w:r w:rsidR="007939C3" w:rsidRPr="007939C3">
        <w:rPr>
          <w:rFonts w:asciiTheme="minorHAnsi" w:hAnsiTheme="minorHAnsi"/>
          <w:sz w:val="21"/>
          <w:szCs w:val="21"/>
        </w:rPr>
        <w:t xml:space="preserve">over </w:t>
      </w:r>
      <w:r w:rsidRPr="007939C3">
        <w:rPr>
          <w:rFonts w:asciiTheme="minorHAnsi" w:hAnsiTheme="minorHAnsi"/>
          <w:sz w:val="21"/>
          <w:szCs w:val="21"/>
        </w:rPr>
        <w:t>2</w:t>
      </w:r>
      <w:r w:rsidR="007939C3" w:rsidRPr="007939C3">
        <w:rPr>
          <w:rFonts w:asciiTheme="minorHAnsi" w:hAnsiTheme="minorHAnsi"/>
          <w:sz w:val="21"/>
          <w:szCs w:val="21"/>
        </w:rPr>
        <w:t xml:space="preserve">,000 students, </w:t>
      </w:r>
      <w:r w:rsidRPr="007939C3">
        <w:rPr>
          <w:rFonts w:asciiTheme="minorHAnsi" w:hAnsiTheme="minorHAnsi"/>
          <w:sz w:val="21"/>
          <w:szCs w:val="21"/>
        </w:rPr>
        <w:t>BG</w:t>
      </w:r>
      <w:r w:rsidR="007939C3" w:rsidRPr="007939C3">
        <w:rPr>
          <w:rFonts w:asciiTheme="minorHAnsi" w:hAnsiTheme="minorHAnsi"/>
          <w:sz w:val="21"/>
          <w:szCs w:val="21"/>
        </w:rPr>
        <w:t>U</w:t>
      </w:r>
      <w:r w:rsidRPr="007939C3">
        <w:rPr>
          <w:rFonts w:asciiTheme="minorHAnsi" w:hAnsiTheme="minorHAnsi"/>
          <w:sz w:val="21"/>
          <w:szCs w:val="21"/>
        </w:rPr>
        <w:t xml:space="preserve"> offers degree level course in a </w:t>
      </w:r>
      <w:r w:rsidR="007939C3" w:rsidRPr="007939C3">
        <w:rPr>
          <w:rFonts w:asciiTheme="minorHAnsi" w:hAnsiTheme="minorHAnsi"/>
          <w:sz w:val="21"/>
          <w:szCs w:val="21"/>
        </w:rPr>
        <w:t xml:space="preserve">wide variety </w:t>
      </w:r>
      <w:r w:rsidRPr="007939C3">
        <w:rPr>
          <w:rFonts w:asciiTheme="minorHAnsi" w:hAnsiTheme="minorHAnsi"/>
          <w:sz w:val="21"/>
          <w:szCs w:val="21"/>
        </w:rPr>
        <w:t xml:space="preserve">of subjects. It also provides initial teacher training programmes at undergraduate and postgraduate level, Masters level programmes and doctoral level </w:t>
      </w:r>
      <w:r w:rsidR="007939C3" w:rsidRPr="007939C3">
        <w:rPr>
          <w:rFonts w:asciiTheme="minorHAnsi" w:hAnsiTheme="minorHAnsi"/>
          <w:sz w:val="21"/>
          <w:szCs w:val="21"/>
        </w:rPr>
        <w:t xml:space="preserve">PhD and EdD </w:t>
      </w:r>
      <w:r w:rsidRPr="007939C3">
        <w:rPr>
          <w:rFonts w:asciiTheme="minorHAnsi" w:hAnsiTheme="minorHAnsi"/>
          <w:sz w:val="21"/>
          <w:szCs w:val="21"/>
        </w:rPr>
        <w:t>programme</w:t>
      </w:r>
      <w:r w:rsidR="007939C3" w:rsidRPr="007939C3">
        <w:rPr>
          <w:rFonts w:asciiTheme="minorHAnsi" w:hAnsiTheme="minorHAnsi"/>
          <w:sz w:val="21"/>
          <w:szCs w:val="21"/>
        </w:rPr>
        <w:t>s</w:t>
      </w:r>
      <w:r w:rsidRPr="007939C3">
        <w:rPr>
          <w:rFonts w:asciiTheme="minorHAnsi" w:hAnsiTheme="minorHAnsi"/>
          <w:sz w:val="21"/>
          <w:szCs w:val="21"/>
        </w:rPr>
        <w:t>. It awards its own taught degrees up to doctoral level.</w:t>
      </w:r>
    </w:p>
    <w:p w:rsidR="007939C3" w:rsidRPr="007939C3" w:rsidRDefault="007939C3" w:rsidP="007939C3">
      <w:pPr>
        <w:spacing w:after="0"/>
        <w:rPr>
          <w:rFonts w:asciiTheme="minorHAnsi" w:hAnsiTheme="minorHAnsi"/>
          <w:sz w:val="21"/>
          <w:szCs w:val="21"/>
        </w:rPr>
      </w:pPr>
    </w:p>
    <w:p w:rsidR="001E0E27" w:rsidRDefault="001E0E27" w:rsidP="007939C3">
      <w:pPr>
        <w:spacing w:after="0"/>
        <w:rPr>
          <w:rFonts w:asciiTheme="minorHAnsi" w:hAnsiTheme="minorHAnsi"/>
          <w:sz w:val="21"/>
          <w:szCs w:val="21"/>
        </w:rPr>
      </w:pPr>
      <w:r w:rsidRPr="007939C3">
        <w:rPr>
          <w:rFonts w:asciiTheme="minorHAnsi" w:hAnsiTheme="minorHAnsi"/>
          <w:sz w:val="21"/>
          <w:szCs w:val="21"/>
        </w:rPr>
        <w:t>Founded as an Anglican teacher training college in 1862, the University is still located on its original campus in the historic uphill part of Lincoln, a short walk from the Cathedral</w:t>
      </w:r>
      <w:r w:rsidR="007939C3" w:rsidRPr="007939C3">
        <w:rPr>
          <w:rFonts w:asciiTheme="minorHAnsi" w:hAnsiTheme="minorHAnsi"/>
          <w:sz w:val="21"/>
          <w:szCs w:val="21"/>
        </w:rPr>
        <w:t xml:space="preserve"> and Castle</w:t>
      </w:r>
      <w:r w:rsidRPr="007939C3">
        <w:rPr>
          <w:rFonts w:asciiTheme="minorHAnsi" w:hAnsiTheme="minorHAnsi"/>
          <w:sz w:val="21"/>
          <w:szCs w:val="21"/>
        </w:rPr>
        <w:t>. It remains an Anglican foundation which means it welcomes students of all faiths and none.</w:t>
      </w:r>
    </w:p>
    <w:p w:rsidR="00726E80" w:rsidRDefault="00726E80" w:rsidP="007939C3">
      <w:pPr>
        <w:spacing w:after="0"/>
        <w:rPr>
          <w:rFonts w:asciiTheme="minorHAnsi" w:hAnsiTheme="minorHAnsi"/>
          <w:sz w:val="21"/>
          <w:szCs w:val="21"/>
        </w:rPr>
      </w:pPr>
    </w:p>
    <w:p w:rsidR="00726E80" w:rsidRPr="007939C3" w:rsidRDefault="00726E80" w:rsidP="007939C3">
      <w:pPr>
        <w:spacing w:after="0"/>
        <w:rPr>
          <w:rFonts w:asciiTheme="minorHAnsi" w:hAnsiTheme="minorHAnsi"/>
          <w:sz w:val="21"/>
          <w:szCs w:val="21"/>
        </w:rPr>
      </w:pPr>
      <w:r>
        <w:rPr>
          <w:rFonts w:asciiTheme="minorHAnsi" w:hAnsiTheme="minorHAnsi"/>
          <w:sz w:val="21"/>
          <w:szCs w:val="21"/>
        </w:rPr>
        <w:t>The St. Hugh’s (LORIC) facility is situated 500 metres away from the main campus, close to Lincoln’s famous Bailgate, Cathedral and Castle quarter.</w:t>
      </w:r>
    </w:p>
    <w:p w:rsidR="007939C3" w:rsidRPr="007939C3" w:rsidRDefault="007939C3" w:rsidP="007939C3">
      <w:pPr>
        <w:spacing w:after="0"/>
        <w:rPr>
          <w:rFonts w:asciiTheme="minorHAnsi" w:hAnsiTheme="minorHAnsi"/>
          <w:sz w:val="21"/>
          <w:szCs w:val="21"/>
        </w:rPr>
      </w:pPr>
    </w:p>
    <w:p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 xml:space="preserve">For further background on </w:t>
      </w:r>
      <w:r w:rsidR="007939C3" w:rsidRPr="007939C3">
        <w:rPr>
          <w:rFonts w:asciiTheme="minorHAnsi" w:hAnsiTheme="minorHAnsi"/>
          <w:sz w:val="21"/>
          <w:szCs w:val="21"/>
        </w:rPr>
        <w:t>BGU, its programme</w:t>
      </w:r>
      <w:r w:rsidRPr="007939C3">
        <w:rPr>
          <w:rFonts w:asciiTheme="minorHAnsi" w:hAnsiTheme="minorHAnsi"/>
          <w:sz w:val="21"/>
          <w:szCs w:val="21"/>
        </w:rPr>
        <w:t>s, fees etc.</w:t>
      </w:r>
      <w:r w:rsidR="007939C3" w:rsidRPr="007939C3">
        <w:rPr>
          <w:rFonts w:asciiTheme="minorHAnsi" w:hAnsiTheme="minorHAnsi"/>
          <w:sz w:val="21"/>
          <w:szCs w:val="21"/>
        </w:rPr>
        <w:t>,</w:t>
      </w:r>
      <w:r w:rsidRPr="007939C3">
        <w:rPr>
          <w:rFonts w:asciiTheme="minorHAnsi" w:hAnsiTheme="minorHAnsi"/>
          <w:sz w:val="21"/>
          <w:szCs w:val="21"/>
        </w:rPr>
        <w:t xml:space="preserve"> please </w:t>
      </w:r>
      <w:r w:rsidR="007939C3" w:rsidRPr="007939C3">
        <w:rPr>
          <w:rFonts w:asciiTheme="minorHAnsi" w:hAnsiTheme="minorHAnsi"/>
          <w:sz w:val="21"/>
          <w:szCs w:val="21"/>
        </w:rPr>
        <w:t xml:space="preserve">visit </w:t>
      </w:r>
      <w:r w:rsidRPr="007939C3">
        <w:rPr>
          <w:rFonts w:asciiTheme="minorHAnsi" w:hAnsiTheme="minorHAnsi"/>
          <w:sz w:val="21"/>
          <w:szCs w:val="21"/>
        </w:rPr>
        <w:t>the University website</w:t>
      </w:r>
      <w:r w:rsidR="007939C3" w:rsidRPr="007939C3">
        <w:rPr>
          <w:rFonts w:asciiTheme="minorHAnsi" w:hAnsiTheme="minorHAnsi"/>
          <w:sz w:val="21"/>
          <w:szCs w:val="21"/>
        </w:rPr>
        <w:t xml:space="preserve"> at </w:t>
      </w:r>
      <w:hyperlink r:id="rId9" w:history="1">
        <w:r w:rsidR="007939C3" w:rsidRPr="007939C3">
          <w:rPr>
            <w:rStyle w:val="Hyperlink"/>
            <w:rFonts w:asciiTheme="minorHAnsi" w:hAnsiTheme="minorHAnsi"/>
            <w:sz w:val="21"/>
            <w:szCs w:val="21"/>
          </w:rPr>
          <w:t>www.bishopg.ac.uk</w:t>
        </w:r>
      </w:hyperlink>
    </w:p>
    <w:p w:rsidR="007939C3" w:rsidRPr="007939C3" w:rsidRDefault="007939C3" w:rsidP="007939C3">
      <w:pPr>
        <w:spacing w:after="0"/>
        <w:rPr>
          <w:rFonts w:asciiTheme="minorHAnsi" w:hAnsiTheme="minorHAnsi"/>
          <w:b/>
          <w:sz w:val="21"/>
          <w:szCs w:val="21"/>
        </w:rPr>
      </w:pPr>
    </w:p>
    <w:p w:rsidR="007939C3" w:rsidRPr="007939C3" w:rsidRDefault="007939C3" w:rsidP="007939C3">
      <w:pPr>
        <w:spacing w:after="0"/>
        <w:rPr>
          <w:rFonts w:asciiTheme="minorHAnsi" w:hAnsiTheme="minorHAnsi"/>
          <w:b/>
          <w:sz w:val="21"/>
          <w:szCs w:val="21"/>
        </w:rPr>
      </w:pPr>
    </w:p>
    <w:p w:rsidR="001E0E27" w:rsidRPr="007939C3" w:rsidRDefault="00120363" w:rsidP="007939C3">
      <w:pPr>
        <w:spacing w:after="0"/>
        <w:rPr>
          <w:rFonts w:asciiTheme="minorHAnsi" w:hAnsiTheme="minorHAnsi"/>
          <w:b/>
          <w:sz w:val="32"/>
          <w:szCs w:val="32"/>
        </w:rPr>
      </w:pPr>
      <w:r>
        <w:rPr>
          <w:rFonts w:asciiTheme="minorHAnsi" w:hAnsiTheme="minorHAnsi"/>
          <w:b/>
          <w:sz w:val="32"/>
          <w:szCs w:val="32"/>
        </w:rPr>
        <w:t>4</w:t>
      </w:r>
      <w:r w:rsidRPr="007939C3">
        <w:rPr>
          <w:rFonts w:asciiTheme="minorHAnsi" w:hAnsiTheme="minorHAnsi"/>
          <w:b/>
          <w:sz w:val="32"/>
          <w:szCs w:val="32"/>
        </w:rPr>
        <w:t>.</w:t>
      </w:r>
      <w:r>
        <w:rPr>
          <w:rFonts w:asciiTheme="minorHAnsi" w:hAnsiTheme="minorHAnsi"/>
          <w:b/>
          <w:sz w:val="32"/>
          <w:szCs w:val="32"/>
        </w:rPr>
        <w:t xml:space="preserve"> TENDER</w:t>
      </w:r>
      <w:r w:rsidR="00E53766">
        <w:rPr>
          <w:rFonts w:asciiTheme="minorHAnsi" w:hAnsiTheme="minorHAnsi"/>
          <w:b/>
          <w:sz w:val="32"/>
          <w:szCs w:val="32"/>
        </w:rPr>
        <w:t xml:space="preserve"> EVALUATIONS</w:t>
      </w:r>
    </w:p>
    <w:p w:rsidR="007939C3" w:rsidRDefault="007939C3" w:rsidP="007939C3">
      <w:pPr>
        <w:spacing w:after="0"/>
        <w:rPr>
          <w:rFonts w:asciiTheme="minorHAnsi" w:hAnsiTheme="minorHAnsi"/>
          <w:sz w:val="21"/>
          <w:szCs w:val="21"/>
        </w:rPr>
      </w:pPr>
    </w:p>
    <w:p w:rsidR="007939C3" w:rsidRPr="007939C3" w:rsidRDefault="00726E80" w:rsidP="007939C3">
      <w:pPr>
        <w:spacing w:after="0"/>
        <w:rPr>
          <w:rFonts w:asciiTheme="minorHAnsi" w:hAnsiTheme="minorHAnsi"/>
          <w:b/>
          <w:sz w:val="21"/>
          <w:szCs w:val="21"/>
        </w:rPr>
      </w:pPr>
      <w:r>
        <w:rPr>
          <w:rFonts w:asciiTheme="minorHAnsi" w:hAnsiTheme="minorHAnsi"/>
          <w:b/>
          <w:sz w:val="21"/>
          <w:szCs w:val="21"/>
        </w:rPr>
        <w:t>4</w:t>
      </w:r>
      <w:r w:rsidR="007939C3">
        <w:rPr>
          <w:rFonts w:asciiTheme="minorHAnsi" w:hAnsiTheme="minorHAnsi"/>
          <w:b/>
          <w:sz w:val="21"/>
          <w:szCs w:val="21"/>
        </w:rPr>
        <w:t>.1</w:t>
      </w:r>
      <w:r w:rsidR="00120363" w:rsidRPr="007939C3">
        <w:rPr>
          <w:rFonts w:asciiTheme="minorHAnsi" w:hAnsiTheme="minorHAnsi"/>
          <w:b/>
          <w:sz w:val="21"/>
          <w:szCs w:val="21"/>
        </w:rPr>
        <w:t>. TENDER</w:t>
      </w:r>
      <w:r w:rsidR="007939C3" w:rsidRPr="007939C3">
        <w:rPr>
          <w:rFonts w:asciiTheme="minorHAnsi" w:hAnsiTheme="minorHAnsi"/>
          <w:b/>
          <w:sz w:val="21"/>
          <w:szCs w:val="21"/>
        </w:rPr>
        <w:t xml:space="preserve"> DETAILS</w:t>
      </w:r>
      <w:r w:rsidR="007939C3">
        <w:rPr>
          <w:rFonts w:asciiTheme="minorHAnsi" w:hAnsiTheme="minorHAnsi"/>
          <w:b/>
          <w:sz w:val="21"/>
          <w:szCs w:val="21"/>
        </w:rPr>
        <w:t>.</w:t>
      </w:r>
    </w:p>
    <w:p w:rsidR="007939C3" w:rsidRPr="007939C3" w:rsidRDefault="007939C3" w:rsidP="007939C3">
      <w:pPr>
        <w:spacing w:after="0"/>
        <w:rPr>
          <w:rFonts w:asciiTheme="minorHAnsi" w:hAnsiTheme="minorHAnsi"/>
          <w:sz w:val="21"/>
          <w:szCs w:val="21"/>
        </w:rPr>
      </w:pPr>
      <w:r w:rsidRPr="007939C3">
        <w:rPr>
          <w:rFonts w:asciiTheme="minorHAnsi" w:hAnsiTheme="minorHAnsi"/>
          <w:sz w:val="21"/>
          <w:szCs w:val="21"/>
        </w:rPr>
        <w:t xml:space="preserve">A Purchase Order will be awarded as soon as reasonably practicable after </w:t>
      </w:r>
      <w:r>
        <w:rPr>
          <w:rFonts w:asciiTheme="minorHAnsi" w:hAnsiTheme="minorHAnsi"/>
          <w:sz w:val="21"/>
          <w:szCs w:val="21"/>
        </w:rPr>
        <w:t>the evaluation of t</w:t>
      </w:r>
      <w:r w:rsidRPr="007939C3">
        <w:rPr>
          <w:rFonts w:asciiTheme="minorHAnsi" w:hAnsiTheme="minorHAnsi"/>
          <w:sz w:val="21"/>
          <w:szCs w:val="21"/>
        </w:rPr>
        <w:t xml:space="preserve">enders and any necessary clarifications. Tenderers may be invited to deliver presentations or attend interviews as part of the evaluation process.  </w:t>
      </w:r>
    </w:p>
    <w:p w:rsidR="007939C3" w:rsidRDefault="007939C3" w:rsidP="007939C3">
      <w:pPr>
        <w:spacing w:after="0"/>
        <w:rPr>
          <w:rFonts w:asciiTheme="minorHAnsi" w:hAnsiTheme="minorHAnsi"/>
          <w:sz w:val="21"/>
          <w:szCs w:val="21"/>
        </w:rPr>
      </w:pPr>
    </w:p>
    <w:p w:rsidR="007939C3" w:rsidRPr="007939C3" w:rsidRDefault="007939C3" w:rsidP="007939C3">
      <w:pPr>
        <w:spacing w:after="0"/>
        <w:rPr>
          <w:rFonts w:asciiTheme="minorHAnsi" w:hAnsiTheme="minorHAnsi"/>
          <w:b/>
          <w:i/>
          <w:sz w:val="21"/>
          <w:szCs w:val="21"/>
        </w:rPr>
      </w:pPr>
      <w:r w:rsidRPr="007939C3">
        <w:rPr>
          <w:rFonts w:asciiTheme="minorHAnsi" w:hAnsiTheme="minorHAnsi"/>
          <w:b/>
          <w:i/>
          <w:sz w:val="21"/>
          <w:szCs w:val="21"/>
        </w:rPr>
        <w:t>Incomplete tenders may not be considered.</w:t>
      </w:r>
    </w:p>
    <w:p w:rsidR="007939C3" w:rsidRPr="007939C3" w:rsidRDefault="007939C3" w:rsidP="007939C3">
      <w:pPr>
        <w:spacing w:after="0"/>
        <w:rPr>
          <w:rFonts w:asciiTheme="minorHAnsi" w:hAnsiTheme="minorHAnsi"/>
          <w:sz w:val="21"/>
          <w:szCs w:val="21"/>
        </w:rPr>
      </w:pPr>
    </w:p>
    <w:p w:rsidR="007939C3" w:rsidRPr="00726E80" w:rsidRDefault="007939C3" w:rsidP="00726E80">
      <w:pPr>
        <w:spacing w:after="0"/>
        <w:rPr>
          <w:rFonts w:asciiTheme="minorHAnsi" w:hAnsiTheme="minorHAnsi"/>
          <w:i/>
          <w:sz w:val="21"/>
          <w:szCs w:val="21"/>
        </w:rPr>
      </w:pPr>
      <w:r w:rsidRPr="007939C3">
        <w:rPr>
          <w:rFonts w:asciiTheme="minorHAnsi" w:hAnsiTheme="minorHAnsi"/>
          <w:sz w:val="21"/>
          <w:szCs w:val="21"/>
        </w:rPr>
        <w:t xml:space="preserve">Tenders must be </w:t>
      </w:r>
      <w:r>
        <w:rPr>
          <w:rFonts w:asciiTheme="minorHAnsi" w:hAnsiTheme="minorHAnsi"/>
          <w:sz w:val="21"/>
          <w:szCs w:val="21"/>
        </w:rPr>
        <w:t>m</w:t>
      </w:r>
      <w:r w:rsidRPr="007939C3">
        <w:rPr>
          <w:rFonts w:asciiTheme="minorHAnsi" w:hAnsiTheme="minorHAnsi"/>
          <w:sz w:val="21"/>
          <w:szCs w:val="21"/>
        </w:rPr>
        <w:t xml:space="preserve">arked </w:t>
      </w:r>
      <w:r w:rsidRPr="007939C3">
        <w:rPr>
          <w:rFonts w:asciiTheme="minorHAnsi" w:hAnsiTheme="minorHAnsi"/>
          <w:b/>
          <w:i/>
          <w:sz w:val="21"/>
          <w:szCs w:val="21"/>
        </w:rPr>
        <w:t>“</w:t>
      </w:r>
      <w:r w:rsidR="00E53766" w:rsidRPr="007939C3">
        <w:rPr>
          <w:rFonts w:asciiTheme="minorHAnsi" w:hAnsiTheme="minorHAnsi"/>
          <w:b/>
          <w:i/>
          <w:sz w:val="21"/>
          <w:szCs w:val="21"/>
        </w:rPr>
        <w:t>Tender</w:t>
      </w:r>
      <w:r w:rsidR="00E53766" w:rsidRPr="00726E80">
        <w:rPr>
          <w:rFonts w:asciiTheme="minorHAnsi" w:hAnsiTheme="minorHAnsi"/>
          <w:b/>
          <w:i/>
          <w:sz w:val="21"/>
          <w:szCs w:val="21"/>
        </w:rPr>
        <w:t xml:space="preserve"> for</w:t>
      </w:r>
      <w:r w:rsidR="00726E80" w:rsidRPr="00726E80">
        <w:rPr>
          <w:rFonts w:asciiTheme="minorHAnsi" w:hAnsiTheme="minorHAnsi"/>
          <w:b/>
          <w:i/>
          <w:sz w:val="21"/>
          <w:szCs w:val="21"/>
        </w:rPr>
        <w:t xml:space="preserve"> open data consultancy </w:t>
      </w:r>
      <w:r w:rsidR="00726E80">
        <w:rPr>
          <w:rFonts w:asciiTheme="minorHAnsi" w:hAnsiTheme="minorHAnsi"/>
          <w:b/>
          <w:i/>
          <w:sz w:val="21"/>
          <w:szCs w:val="21"/>
        </w:rPr>
        <w:t>(</w:t>
      </w:r>
      <w:r w:rsidR="00726E80" w:rsidRPr="00726E80">
        <w:rPr>
          <w:rFonts w:asciiTheme="minorHAnsi" w:hAnsiTheme="minorHAnsi"/>
          <w:b/>
          <w:i/>
          <w:sz w:val="21"/>
          <w:szCs w:val="21"/>
        </w:rPr>
        <w:t>LORIC</w:t>
      </w:r>
      <w:r w:rsidR="00E53766">
        <w:rPr>
          <w:rFonts w:asciiTheme="minorHAnsi" w:hAnsiTheme="minorHAnsi"/>
          <w:b/>
          <w:i/>
          <w:sz w:val="21"/>
          <w:szCs w:val="21"/>
        </w:rPr>
        <w:t>)</w:t>
      </w:r>
      <w:r w:rsidR="00E53766" w:rsidRPr="007939C3">
        <w:rPr>
          <w:rFonts w:asciiTheme="minorHAnsi" w:hAnsiTheme="minorHAnsi"/>
          <w:b/>
          <w:i/>
          <w:sz w:val="21"/>
          <w:szCs w:val="21"/>
        </w:rPr>
        <w:t xml:space="preserve"> –</w:t>
      </w:r>
      <w:r w:rsidRPr="007939C3">
        <w:rPr>
          <w:rFonts w:asciiTheme="minorHAnsi" w:hAnsiTheme="minorHAnsi"/>
          <w:b/>
          <w:i/>
          <w:sz w:val="21"/>
          <w:szCs w:val="21"/>
        </w:rPr>
        <w:t xml:space="preserve"> DO NOT OPEN”</w:t>
      </w:r>
      <w:r>
        <w:rPr>
          <w:rFonts w:asciiTheme="minorHAnsi" w:hAnsiTheme="minorHAnsi"/>
          <w:sz w:val="21"/>
          <w:szCs w:val="21"/>
        </w:rPr>
        <w:t xml:space="preserve"> and </w:t>
      </w:r>
      <w:r w:rsidRPr="007939C3">
        <w:rPr>
          <w:rFonts w:asciiTheme="minorHAnsi" w:hAnsiTheme="minorHAnsi"/>
          <w:sz w:val="21"/>
          <w:szCs w:val="21"/>
        </w:rPr>
        <w:t>delivered to</w:t>
      </w:r>
      <w:r w:rsidR="00726E80">
        <w:rPr>
          <w:rFonts w:asciiTheme="minorHAnsi" w:hAnsiTheme="minorHAnsi"/>
          <w:sz w:val="21"/>
          <w:szCs w:val="21"/>
        </w:rPr>
        <w:t xml:space="preserve"> the postal </w:t>
      </w:r>
      <w:r>
        <w:rPr>
          <w:rFonts w:asciiTheme="minorHAnsi" w:hAnsiTheme="minorHAnsi"/>
          <w:sz w:val="21"/>
          <w:szCs w:val="21"/>
        </w:rPr>
        <w:t xml:space="preserve">address below, along with an accompanying electronic version </w:t>
      </w:r>
      <w:r w:rsidR="00DC067B">
        <w:rPr>
          <w:rFonts w:asciiTheme="minorHAnsi" w:hAnsiTheme="minorHAnsi"/>
          <w:sz w:val="21"/>
          <w:szCs w:val="21"/>
        </w:rPr>
        <w:t>on a USB stick</w:t>
      </w:r>
      <w:r>
        <w:rPr>
          <w:rFonts w:asciiTheme="minorHAnsi" w:hAnsiTheme="minorHAnsi"/>
          <w:sz w:val="21"/>
          <w:szCs w:val="21"/>
        </w:rPr>
        <w:t>.</w:t>
      </w:r>
    </w:p>
    <w:p w:rsidR="007939C3" w:rsidRPr="007939C3" w:rsidRDefault="007939C3" w:rsidP="007939C3">
      <w:pPr>
        <w:spacing w:after="0"/>
        <w:rPr>
          <w:rFonts w:asciiTheme="minorHAnsi" w:hAnsiTheme="minorHAnsi"/>
          <w:sz w:val="21"/>
          <w:szCs w:val="21"/>
        </w:rPr>
      </w:pPr>
    </w:p>
    <w:p w:rsidR="007939C3" w:rsidRPr="007939C3" w:rsidRDefault="00726E80" w:rsidP="007939C3">
      <w:pPr>
        <w:spacing w:after="0"/>
        <w:ind w:left="720"/>
        <w:rPr>
          <w:rFonts w:asciiTheme="minorHAnsi" w:hAnsiTheme="minorHAnsi"/>
          <w:b/>
          <w:i/>
          <w:sz w:val="21"/>
          <w:szCs w:val="21"/>
        </w:rPr>
      </w:pPr>
      <w:r>
        <w:rPr>
          <w:rFonts w:asciiTheme="minorHAnsi" w:hAnsiTheme="minorHAnsi"/>
          <w:b/>
          <w:i/>
          <w:sz w:val="21"/>
          <w:szCs w:val="21"/>
        </w:rPr>
        <w:t>Laura Spencer</w:t>
      </w:r>
    </w:p>
    <w:p w:rsidR="007939C3" w:rsidRPr="007939C3" w:rsidRDefault="00726E80" w:rsidP="007939C3">
      <w:pPr>
        <w:spacing w:after="0"/>
        <w:ind w:left="720"/>
        <w:rPr>
          <w:rFonts w:asciiTheme="minorHAnsi" w:hAnsiTheme="minorHAnsi"/>
          <w:b/>
          <w:i/>
          <w:sz w:val="21"/>
          <w:szCs w:val="21"/>
        </w:rPr>
      </w:pPr>
      <w:r>
        <w:rPr>
          <w:rFonts w:asciiTheme="minorHAnsi" w:hAnsiTheme="minorHAnsi"/>
          <w:b/>
          <w:i/>
          <w:sz w:val="21"/>
          <w:szCs w:val="21"/>
        </w:rPr>
        <w:t>Innovation Centre Co-ordinator</w:t>
      </w:r>
    </w:p>
    <w:p w:rsidR="007939C3" w:rsidRDefault="007939C3" w:rsidP="007939C3">
      <w:pPr>
        <w:spacing w:after="0"/>
        <w:ind w:left="720"/>
        <w:rPr>
          <w:rFonts w:asciiTheme="minorHAnsi" w:hAnsiTheme="minorHAnsi"/>
          <w:b/>
          <w:i/>
          <w:sz w:val="21"/>
          <w:szCs w:val="21"/>
        </w:rPr>
      </w:pPr>
      <w:r w:rsidRPr="007939C3">
        <w:rPr>
          <w:rFonts w:asciiTheme="minorHAnsi" w:hAnsiTheme="minorHAnsi"/>
          <w:b/>
          <w:i/>
          <w:sz w:val="21"/>
          <w:szCs w:val="21"/>
        </w:rPr>
        <w:t>Bishop Grosseteste University</w:t>
      </w:r>
    </w:p>
    <w:p w:rsidR="007939C3" w:rsidRPr="007939C3" w:rsidRDefault="007939C3" w:rsidP="007939C3">
      <w:pPr>
        <w:spacing w:after="0"/>
        <w:ind w:left="720"/>
        <w:rPr>
          <w:rFonts w:asciiTheme="minorHAnsi" w:hAnsiTheme="minorHAnsi"/>
          <w:b/>
          <w:i/>
          <w:sz w:val="21"/>
          <w:szCs w:val="21"/>
        </w:rPr>
      </w:pPr>
      <w:r>
        <w:rPr>
          <w:rFonts w:asciiTheme="minorHAnsi" w:hAnsiTheme="minorHAnsi"/>
          <w:b/>
          <w:i/>
          <w:sz w:val="21"/>
          <w:szCs w:val="21"/>
        </w:rPr>
        <w:t>Longdales Road</w:t>
      </w:r>
    </w:p>
    <w:p w:rsidR="007939C3" w:rsidRPr="007939C3" w:rsidRDefault="007939C3" w:rsidP="007939C3">
      <w:pPr>
        <w:spacing w:after="0"/>
        <w:ind w:left="720"/>
        <w:rPr>
          <w:rFonts w:asciiTheme="minorHAnsi" w:hAnsiTheme="minorHAnsi"/>
          <w:b/>
          <w:i/>
          <w:sz w:val="21"/>
          <w:szCs w:val="21"/>
        </w:rPr>
      </w:pPr>
      <w:r w:rsidRPr="007939C3">
        <w:rPr>
          <w:rFonts w:asciiTheme="minorHAnsi" w:hAnsiTheme="minorHAnsi"/>
          <w:b/>
          <w:i/>
          <w:sz w:val="21"/>
          <w:szCs w:val="21"/>
        </w:rPr>
        <w:t>Lincoln</w:t>
      </w:r>
    </w:p>
    <w:p w:rsidR="007939C3" w:rsidRDefault="007939C3" w:rsidP="007939C3">
      <w:pPr>
        <w:spacing w:after="0"/>
        <w:ind w:left="720"/>
        <w:rPr>
          <w:rFonts w:asciiTheme="minorHAnsi" w:hAnsiTheme="minorHAnsi"/>
          <w:b/>
          <w:i/>
          <w:sz w:val="21"/>
          <w:szCs w:val="21"/>
        </w:rPr>
      </w:pPr>
      <w:r w:rsidRPr="007939C3">
        <w:rPr>
          <w:rFonts w:asciiTheme="minorHAnsi" w:hAnsiTheme="minorHAnsi"/>
          <w:b/>
          <w:i/>
          <w:sz w:val="21"/>
          <w:szCs w:val="21"/>
        </w:rPr>
        <w:t>LN1 3DY</w:t>
      </w:r>
    </w:p>
    <w:p w:rsidR="00340125" w:rsidRDefault="00340125" w:rsidP="007939C3">
      <w:pPr>
        <w:spacing w:after="0"/>
        <w:rPr>
          <w:rFonts w:asciiTheme="minorHAnsi" w:hAnsiTheme="minorHAnsi"/>
          <w:sz w:val="21"/>
          <w:szCs w:val="21"/>
        </w:rPr>
      </w:pPr>
    </w:p>
    <w:p w:rsidR="007939C3" w:rsidRPr="007939C3" w:rsidRDefault="007939C3" w:rsidP="007939C3">
      <w:pPr>
        <w:spacing w:after="0"/>
        <w:rPr>
          <w:rFonts w:asciiTheme="minorHAnsi" w:hAnsiTheme="minorHAnsi"/>
          <w:sz w:val="21"/>
          <w:szCs w:val="21"/>
        </w:rPr>
      </w:pPr>
      <w:r w:rsidRPr="007939C3">
        <w:rPr>
          <w:rFonts w:asciiTheme="minorHAnsi" w:hAnsiTheme="minorHAnsi"/>
          <w:sz w:val="21"/>
          <w:szCs w:val="21"/>
        </w:rPr>
        <w:t>Tender</w:t>
      </w:r>
      <w:r>
        <w:rPr>
          <w:rFonts w:asciiTheme="minorHAnsi" w:hAnsiTheme="minorHAnsi"/>
          <w:sz w:val="21"/>
          <w:szCs w:val="21"/>
        </w:rPr>
        <w:t xml:space="preserve">ers should ensure all </w:t>
      </w:r>
      <w:r w:rsidRPr="007939C3">
        <w:rPr>
          <w:rFonts w:asciiTheme="minorHAnsi" w:hAnsiTheme="minorHAnsi"/>
          <w:sz w:val="21"/>
          <w:szCs w:val="21"/>
        </w:rPr>
        <w:t xml:space="preserve">documents </w:t>
      </w:r>
      <w:r>
        <w:rPr>
          <w:rFonts w:asciiTheme="minorHAnsi" w:hAnsiTheme="minorHAnsi"/>
          <w:sz w:val="21"/>
          <w:szCs w:val="21"/>
        </w:rPr>
        <w:t xml:space="preserve">are received by </w:t>
      </w:r>
      <w:r w:rsidRPr="007939C3">
        <w:rPr>
          <w:rFonts w:asciiTheme="minorHAnsi" w:hAnsiTheme="minorHAnsi"/>
          <w:b/>
          <w:i/>
          <w:sz w:val="21"/>
          <w:szCs w:val="21"/>
        </w:rPr>
        <w:t xml:space="preserve">12 </w:t>
      </w:r>
      <w:r w:rsidR="00E53766" w:rsidRPr="007939C3">
        <w:rPr>
          <w:rFonts w:asciiTheme="minorHAnsi" w:hAnsiTheme="minorHAnsi"/>
          <w:b/>
          <w:i/>
          <w:sz w:val="21"/>
          <w:szCs w:val="21"/>
        </w:rPr>
        <w:t>noon</w:t>
      </w:r>
      <w:r w:rsidR="00E53766">
        <w:rPr>
          <w:rFonts w:asciiTheme="minorHAnsi" w:hAnsiTheme="minorHAnsi"/>
          <w:sz w:val="21"/>
          <w:szCs w:val="21"/>
        </w:rPr>
        <w:t xml:space="preserve"> on</w:t>
      </w:r>
      <w:r>
        <w:rPr>
          <w:rFonts w:asciiTheme="minorHAnsi" w:hAnsiTheme="minorHAnsi"/>
          <w:sz w:val="21"/>
          <w:szCs w:val="21"/>
        </w:rPr>
        <w:t xml:space="preserve"> </w:t>
      </w:r>
      <w:r w:rsidR="00A54CE5">
        <w:rPr>
          <w:rFonts w:asciiTheme="minorHAnsi" w:hAnsiTheme="minorHAnsi"/>
          <w:b/>
          <w:i/>
          <w:sz w:val="21"/>
          <w:szCs w:val="21"/>
        </w:rPr>
        <w:t>Monday 9</w:t>
      </w:r>
      <w:r w:rsidR="00C2077E" w:rsidRPr="00C2077E">
        <w:rPr>
          <w:rFonts w:asciiTheme="minorHAnsi" w:hAnsiTheme="minorHAnsi"/>
          <w:b/>
          <w:i/>
          <w:sz w:val="21"/>
          <w:szCs w:val="21"/>
          <w:vertAlign w:val="superscript"/>
        </w:rPr>
        <w:t>th</w:t>
      </w:r>
      <w:r w:rsidR="00C2077E">
        <w:rPr>
          <w:rFonts w:asciiTheme="minorHAnsi" w:hAnsiTheme="minorHAnsi"/>
          <w:b/>
          <w:i/>
          <w:sz w:val="21"/>
          <w:szCs w:val="21"/>
        </w:rPr>
        <w:t xml:space="preserve"> April 2018</w:t>
      </w:r>
      <w:r w:rsidR="00340125">
        <w:rPr>
          <w:rFonts w:asciiTheme="minorHAnsi" w:hAnsiTheme="minorHAnsi"/>
          <w:b/>
          <w:i/>
          <w:sz w:val="21"/>
          <w:szCs w:val="21"/>
        </w:rPr>
        <w:t>.</w:t>
      </w:r>
      <w:r w:rsidR="00C2077E">
        <w:rPr>
          <w:rFonts w:asciiTheme="minorHAnsi" w:hAnsiTheme="minorHAnsi"/>
          <w:sz w:val="21"/>
          <w:szCs w:val="21"/>
        </w:rPr>
        <w:br/>
      </w:r>
      <w:r w:rsidRPr="007939C3">
        <w:rPr>
          <w:rFonts w:asciiTheme="minorHAnsi" w:hAnsiTheme="minorHAnsi"/>
          <w:sz w:val="21"/>
          <w:szCs w:val="21"/>
        </w:rPr>
        <w:t xml:space="preserve">Tenders received later </w:t>
      </w:r>
      <w:r w:rsidR="003A1FA5">
        <w:rPr>
          <w:rFonts w:asciiTheme="minorHAnsi" w:hAnsiTheme="minorHAnsi"/>
          <w:sz w:val="21"/>
          <w:szCs w:val="21"/>
        </w:rPr>
        <w:t>than</w:t>
      </w:r>
      <w:r>
        <w:rPr>
          <w:rFonts w:asciiTheme="minorHAnsi" w:hAnsiTheme="minorHAnsi"/>
          <w:sz w:val="21"/>
          <w:szCs w:val="21"/>
        </w:rPr>
        <w:t xml:space="preserve"> this </w:t>
      </w:r>
      <w:r w:rsidRPr="007939C3">
        <w:rPr>
          <w:rFonts w:asciiTheme="minorHAnsi" w:hAnsiTheme="minorHAnsi"/>
          <w:sz w:val="21"/>
          <w:szCs w:val="21"/>
        </w:rPr>
        <w:t>may not be considered.</w:t>
      </w:r>
    </w:p>
    <w:p w:rsidR="007939C3" w:rsidRPr="007939C3" w:rsidRDefault="007939C3" w:rsidP="007939C3">
      <w:pPr>
        <w:spacing w:after="0"/>
        <w:rPr>
          <w:rFonts w:asciiTheme="minorHAnsi" w:hAnsiTheme="minorHAnsi"/>
          <w:sz w:val="21"/>
          <w:szCs w:val="21"/>
        </w:rPr>
      </w:pPr>
    </w:p>
    <w:p w:rsidR="007939C3" w:rsidRPr="007939C3" w:rsidRDefault="007939C3" w:rsidP="007939C3">
      <w:pPr>
        <w:spacing w:after="0"/>
        <w:rPr>
          <w:rFonts w:asciiTheme="minorHAnsi" w:hAnsiTheme="minorHAnsi"/>
          <w:sz w:val="21"/>
          <w:szCs w:val="21"/>
        </w:rPr>
      </w:pPr>
      <w:r w:rsidRPr="007939C3">
        <w:rPr>
          <w:rFonts w:asciiTheme="minorHAnsi" w:hAnsiTheme="minorHAnsi"/>
          <w:sz w:val="21"/>
          <w:szCs w:val="21"/>
        </w:rPr>
        <w:t>It is the Tenderer’s responsibility to ensure that their proposal is delivered on time.  The University will not accept any costs incurred in the preparation and submission of Tenders.</w:t>
      </w:r>
    </w:p>
    <w:p w:rsidR="007939C3" w:rsidRPr="007939C3" w:rsidRDefault="007939C3" w:rsidP="007939C3">
      <w:pPr>
        <w:spacing w:after="0"/>
        <w:rPr>
          <w:rFonts w:asciiTheme="minorHAnsi" w:hAnsiTheme="minorHAnsi"/>
          <w:sz w:val="21"/>
          <w:szCs w:val="21"/>
        </w:rPr>
      </w:pPr>
    </w:p>
    <w:p w:rsidR="007939C3" w:rsidRPr="007939C3" w:rsidRDefault="007939C3" w:rsidP="007939C3">
      <w:pPr>
        <w:spacing w:after="0"/>
        <w:rPr>
          <w:rFonts w:asciiTheme="minorHAnsi" w:hAnsiTheme="minorHAnsi"/>
          <w:b/>
          <w:i/>
          <w:sz w:val="21"/>
          <w:szCs w:val="21"/>
        </w:rPr>
      </w:pPr>
      <w:r w:rsidRPr="007939C3">
        <w:rPr>
          <w:rFonts w:asciiTheme="minorHAnsi" w:hAnsiTheme="minorHAnsi"/>
          <w:b/>
          <w:i/>
          <w:sz w:val="21"/>
          <w:szCs w:val="21"/>
        </w:rPr>
        <w:t xml:space="preserve">The University </w:t>
      </w:r>
      <w:r w:rsidR="00704083">
        <w:rPr>
          <w:rFonts w:asciiTheme="minorHAnsi" w:hAnsiTheme="minorHAnsi"/>
          <w:b/>
          <w:i/>
          <w:sz w:val="21"/>
          <w:szCs w:val="21"/>
        </w:rPr>
        <w:t xml:space="preserve">is not obliged </w:t>
      </w:r>
      <w:r w:rsidR="00DC067B">
        <w:rPr>
          <w:rFonts w:asciiTheme="minorHAnsi" w:hAnsiTheme="minorHAnsi"/>
          <w:b/>
          <w:i/>
          <w:sz w:val="21"/>
          <w:szCs w:val="21"/>
        </w:rPr>
        <w:t xml:space="preserve">to accept any or all </w:t>
      </w:r>
      <w:r w:rsidRPr="007939C3">
        <w:rPr>
          <w:rFonts w:asciiTheme="minorHAnsi" w:hAnsiTheme="minorHAnsi"/>
          <w:b/>
          <w:i/>
          <w:sz w:val="21"/>
          <w:szCs w:val="21"/>
        </w:rPr>
        <w:t>tender</w:t>
      </w:r>
      <w:r w:rsidR="00DC067B">
        <w:rPr>
          <w:rFonts w:asciiTheme="minorHAnsi" w:hAnsiTheme="minorHAnsi"/>
          <w:b/>
          <w:i/>
          <w:sz w:val="21"/>
          <w:szCs w:val="21"/>
        </w:rPr>
        <w:t>s</w:t>
      </w:r>
      <w:r w:rsidRPr="007939C3">
        <w:rPr>
          <w:rFonts w:asciiTheme="minorHAnsi" w:hAnsiTheme="minorHAnsi"/>
          <w:b/>
          <w:i/>
          <w:sz w:val="21"/>
          <w:szCs w:val="21"/>
        </w:rPr>
        <w:t xml:space="preserve"> and reserves the right to accept a portion of any tender, unless the Tenderer expressly stipulates otherwise. The University reserves the right to award more than one tender or reject any and/or all.</w:t>
      </w:r>
    </w:p>
    <w:p w:rsidR="007939C3" w:rsidRDefault="007939C3" w:rsidP="007939C3">
      <w:pPr>
        <w:spacing w:after="0"/>
        <w:rPr>
          <w:rFonts w:asciiTheme="minorHAnsi" w:hAnsiTheme="minorHAnsi"/>
          <w:sz w:val="21"/>
          <w:szCs w:val="21"/>
        </w:rPr>
      </w:pPr>
    </w:p>
    <w:p w:rsidR="00EF4DC6" w:rsidRDefault="00EF4DC6" w:rsidP="007939C3">
      <w:pPr>
        <w:spacing w:after="0"/>
        <w:rPr>
          <w:rFonts w:asciiTheme="minorHAnsi" w:hAnsiTheme="minorHAnsi"/>
          <w:sz w:val="21"/>
          <w:szCs w:val="21"/>
        </w:rPr>
      </w:pPr>
    </w:p>
    <w:p w:rsidR="00E53766" w:rsidRDefault="00E53766" w:rsidP="007939C3">
      <w:pPr>
        <w:spacing w:after="0"/>
        <w:rPr>
          <w:rFonts w:asciiTheme="minorHAnsi" w:hAnsiTheme="minorHAnsi"/>
          <w:sz w:val="21"/>
          <w:szCs w:val="21"/>
        </w:rPr>
      </w:pPr>
    </w:p>
    <w:p w:rsidR="007939C3" w:rsidRPr="007939C3" w:rsidRDefault="00C2077E" w:rsidP="007939C3">
      <w:pPr>
        <w:spacing w:after="0"/>
        <w:rPr>
          <w:rFonts w:asciiTheme="minorHAnsi" w:hAnsiTheme="minorHAnsi"/>
          <w:b/>
          <w:sz w:val="21"/>
          <w:szCs w:val="21"/>
        </w:rPr>
      </w:pPr>
      <w:r>
        <w:rPr>
          <w:rFonts w:asciiTheme="minorHAnsi" w:hAnsiTheme="minorHAnsi"/>
          <w:b/>
          <w:sz w:val="21"/>
          <w:szCs w:val="21"/>
        </w:rPr>
        <w:lastRenderedPageBreak/>
        <w:t>4</w:t>
      </w:r>
      <w:r w:rsidR="007939C3" w:rsidRPr="007939C3">
        <w:rPr>
          <w:rFonts w:asciiTheme="minorHAnsi" w:hAnsiTheme="minorHAnsi"/>
          <w:b/>
          <w:sz w:val="21"/>
          <w:szCs w:val="21"/>
        </w:rPr>
        <w:t>.2</w:t>
      </w:r>
      <w:r w:rsidR="00120363" w:rsidRPr="007939C3">
        <w:rPr>
          <w:rFonts w:asciiTheme="minorHAnsi" w:hAnsiTheme="minorHAnsi"/>
          <w:b/>
          <w:sz w:val="21"/>
          <w:szCs w:val="21"/>
        </w:rPr>
        <w:t>. FORM</w:t>
      </w:r>
      <w:r w:rsidR="007939C3" w:rsidRPr="007939C3">
        <w:rPr>
          <w:rFonts w:asciiTheme="minorHAnsi" w:hAnsiTheme="minorHAnsi"/>
          <w:b/>
          <w:sz w:val="21"/>
          <w:szCs w:val="21"/>
        </w:rPr>
        <w:t xml:space="preserve"> OF THE TENDER</w:t>
      </w:r>
    </w:p>
    <w:p w:rsidR="00704083" w:rsidRDefault="00704083" w:rsidP="007939C3">
      <w:pPr>
        <w:spacing w:after="0"/>
        <w:rPr>
          <w:rFonts w:asciiTheme="minorHAnsi" w:hAnsiTheme="minorHAnsi"/>
          <w:sz w:val="21"/>
          <w:szCs w:val="21"/>
        </w:rPr>
      </w:pPr>
      <w:r>
        <w:rPr>
          <w:rFonts w:asciiTheme="minorHAnsi" w:hAnsiTheme="minorHAnsi"/>
          <w:sz w:val="21"/>
          <w:szCs w:val="21"/>
        </w:rPr>
        <w:t xml:space="preserve">The tender should cover three main areas, with the evaluation made accordingly. </w:t>
      </w:r>
    </w:p>
    <w:p w:rsidR="00704083" w:rsidRDefault="00704083" w:rsidP="007939C3">
      <w:pPr>
        <w:spacing w:after="0"/>
        <w:rPr>
          <w:rFonts w:asciiTheme="minorHAnsi" w:hAnsiTheme="minorHAnsi"/>
          <w:sz w:val="21"/>
          <w:szCs w:val="21"/>
        </w:rPr>
      </w:pPr>
    </w:p>
    <w:p w:rsidR="00704083" w:rsidRPr="004F0B84" w:rsidRDefault="00704083" w:rsidP="004F0B84">
      <w:pPr>
        <w:spacing w:after="0"/>
        <w:ind w:left="284"/>
        <w:rPr>
          <w:rFonts w:asciiTheme="minorHAnsi" w:hAnsiTheme="minorHAnsi"/>
          <w:b/>
          <w:i/>
          <w:sz w:val="21"/>
          <w:szCs w:val="21"/>
        </w:rPr>
      </w:pPr>
      <w:r w:rsidRPr="004F0B84">
        <w:rPr>
          <w:rFonts w:asciiTheme="minorHAnsi" w:hAnsiTheme="minorHAnsi"/>
          <w:b/>
          <w:i/>
          <w:sz w:val="21"/>
          <w:szCs w:val="21"/>
        </w:rPr>
        <w:t>Part 1 – Business Information</w:t>
      </w:r>
    </w:p>
    <w:p w:rsidR="007939C3" w:rsidRDefault="00704083" w:rsidP="004F0B84">
      <w:pPr>
        <w:spacing w:after="0"/>
        <w:ind w:left="284"/>
        <w:rPr>
          <w:rFonts w:asciiTheme="minorHAnsi" w:hAnsiTheme="minorHAnsi"/>
          <w:sz w:val="21"/>
          <w:szCs w:val="21"/>
        </w:rPr>
      </w:pPr>
      <w:r>
        <w:rPr>
          <w:rFonts w:asciiTheme="minorHAnsi" w:hAnsiTheme="minorHAnsi"/>
          <w:sz w:val="21"/>
          <w:szCs w:val="21"/>
        </w:rPr>
        <w:t xml:space="preserve">Fully outline </w:t>
      </w:r>
      <w:r w:rsidR="007939C3" w:rsidRPr="007939C3">
        <w:rPr>
          <w:rFonts w:asciiTheme="minorHAnsi" w:hAnsiTheme="minorHAnsi"/>
          <w:sz w:val="21"/>
          <w:szCs w:val="21"/>
        </w:rPr>
        <w:t xml:space="preserve">background information on the bidding company, including ownership information, date of company creation </w:t>
      </w:r>
      <w:r>
        <w:rPr>
          <w:rFonts w:asciiTheme="minorHAnsi" w:hAnsiTheme="minorHAnsi"/>
          <w:sz w:val="21"/>
          <w:szCs w:val="21"/>
        </w:rPr>
        <w:t xml:space="preserve">and </w:t>
      </w:r>
      <w:r w:rsidR="00187F91">
        <w:rPr>
          <w:rFonts w:asciiTheme="minorHAnsi" w:hAnsiTheme="minorHAnsi"/>
          <w:sz w:val="21"/>
          <w:szCs w:val="21"/>
        </w:rPr>
        <w:t xml:space="preserve">at least two </w:t>
      </w:r>
      <w:r>
        <w:rPr>
          <w:rFonts w:asciiTheme="minorHAnsi" w:hAnsiTheme="minorHAnsi"/>
          <w:sz w:val="21"/>
          <w:szCs w:val="21"/>
        </w:rPr>
        <w:t xml:space="preserve">references from recent clients. These references should include reference </w:t>
      </w:r>
      <w:r w:rsidR="007939C3" w:rsidRPr="007939C3">
        <w:rPr>
          <w:rFonts w:asciiTheme="minorHAnsi" w:hAnsiTheme="minorHAnsi"/>
          <w:sz w:val="21"/>
          <w:szCs w:val="21"/>
        </w:rPr>
        <w:t xml:space="preserve">contact details, links to examples of the company’s work and </w:t>
      </w:r>
      <w:r w:rsidR="004F0B84">
        <w:rPr>
          <w:rFonts w:asciiTheme="minorHAnsi" w:hAnsiTheme="minorHAnsi"/>
          <w:sz w:val="21"/>
          <w:szCs w:val="21"/>
        </w:rPr>
        <w:t xml:space="preserve">clear </w:t>
      </w:r>
      <w:r w:rsidR="007939C3" w:rsidRPr="007939C3">
        <w:rPr>
          <w:rFonts w:asciiTheme="minorHAnsi" w:hAnsiTheme="minorHAnsi"/>
          <w:sz w:val="21"/>
          <w:szCs w:val="21"/>
        </w:rPr>
        <w:t>evidence of impact.</w:t>
      </w:r>
    </w:p>
    <w:p w:rsidR="007939C3" w:rsidRPr="007939C3" w:rsidRDefault="007939C3" w:rsidP="004F0B84">
      <w:pPr>
        <w:spacing w:after="0"/>
        <w:ind w:left="284"/>
        <w:rPr>
          <w:rFonts w:asciiTheme="minorHAnsi" w:hAnsiTheme="minorHAnsi"/>
          <w:sz w:val="21"/>
          <w:szCs w:val="21"/>
        </w:rPr>
      </w:pPr>
    </w:p>
    <w:p w:rsidR="004F0B84" w:rsidRPr="004F0B84" w:rsidRDefault="004F0B84" w:rsidP="004F0B84">
      <w:pPr>
        <w:spacing w:after="0"/>
        <w:ind w:left="284"/>
        <w:rPr>
          <w:rFonts w:asciiTheme="minorHAnsi" w:hAnsiTheme="minorHAnsi"/>
          <w:b/>
          <w:i/>
          <w:sz w:val="21"/>
          <w:szCs w:val="21"/>
        </w:rPr>
      </w:pPr>
      <w:r w:rsidRPr="004F0B84">
        <w:rPr>
          <w:rFonts w:asciiTheme="minorHAnsi" w:hAnsiTheme="minorHAnsi"/>
          <w:b/>
          <w:i/>
          <w:sz w:val="21"/>
          <w:szCs w:val="21"/>
        </w:rPr>
        <w:t xml:space="preserve">Part 2 – </w:t>
      </w:r>
      <w:r w:rsidR="00A54CE5">
        <w:rPr>
          <w:rFonts w:asciiTheme="minorHAnsi" w:hAnsiTheme="minorHAnsi"/>
          <w:b/>
          <w:i/>
          <w:sz w:val="21"/>
          <w:szCs w:val="21"/>
        </w:rPr>
        <w:t>Skill Set</w:t>
      </w:r>
      <w:r w:rsidR="00DE1230">
        <w:rPr>
          <w:rFonts w:asciiTheme="minorHAnsi" w:hAnsiTheme="minorHAnsi"/>
          <w:b/>
          <w:i/>
          <w:sz w:val="21"/>
          <w:szCs w:val="21"/>
        </w:rPr>
        <w:t>, Experience &amp; Delivery</w:t>
      </w:r>
    </w:p>
    <w:p w:rsidR="007939C3" w:rsidRPr="007939C3" w:rsidRDefault="004F0B84" w:rsidP="004F0B84">
      <w:pPr>
        <w:spacing w:after="0"/>
        <w:ind w:left="284"/>
        <w:rPr>
          <w:rFonts w:asciiTheme="minorHAnsi" w:hAnsiTheme="minorHAnsi"/>
          <w:sz w:val="21"/>
          <w:szCs w:val="21"/>
        </w:rPr>
      </w:pPr>
      <w:r>
        <w:rPr>
          <w:rFonts w:asciiTheme="minorHAnsi" w:hAnsiTheme="minorHAnsi"/>
          <w:sz w:val="21"/>
          <w:szCs w:val="21"/>
        </w:rPr>
        <w:t>Detail</w:t>
      </w:r>
      <w:r w:rsidR="00DE1230">
        <w:rPr>
          <w:rFonts w:asciiTheme="minorHAnsi" w:hAnsiTheme="minorHAnsi"/>
          <w:sz w:val="21"/>
          <w:szCs w:val="21"/>
        </w:rPr>
        <w:t xml:space="preserve"> demonstrable experience of working with large scale datasets, and the ability to apply appropriate statistical techniques and analysis to interpret data. Evidence specialist knowledge in Open &amp; Big data quantitative analysis tools. </w:t>
      </w:r>
      <w:r w:rsidR="00120363">
        <w:rPr>
          <w:rFonts w:asciiTheme="minorHAnsi" w:hAnsiTheme="minorHAnsi"/>
          <w:sz w:val="21"/>
          <w:szCs w:val="21"/>
        </w:rPr>
        <w:t>Demonstrable</w:t>
      </w:r>
      <w:r w:rsidR="00DE1230">
        <w:rPr>
          <w:rFonts w:asciiTheme="minorHAnsi" w:hAnsiTheme="minorHAnsi"/>
          <w:sz w:val="21"/>
          <w:szCs w:val="21"/>
        </w:rPr>
        <w:t xml:space="preserve"> strong IT skills. Evidenced ability to communicate effectively to a wide range of stakeholders as well as a track record of effectively translating ideas into practice through the use of data.</w:t>
      </w:r>
    </w:p>
    <w:p w:rsidR="007939C3" w:rsidRPr="007939C3" w:rsidRDefault="007939C3" w:rsidP="004F0B84">
      <w:pPr>
        <w:spacing w:after="0"/>
        <w:ind w:left="284"/>
        <w:rPr>
          <w:rFonts w:asciiTheme="minorHAnsi" w:hAnsiTheme="minorHAnsi"/>
          <w:sz w:val="21"/>
          <w:szCs w:val="21"/>
        </w:rPr>
      </w:pPr>
    </w:p>
    <w:p w:rsidR="004F0B84" w:rsidRPr="004F0B84" w:rsidRDefault="004F0B84" w:rsidP="004F0B84">
      <w:pPr>
        <w:spacing w:after="0"/>
        <w:ind w:left="284"/>
        <w:rPr>
          <w:rFonts w:asciiTheme="minorHAnsi" w:hAnsiTheme="minorHAnsi"/>
          <w:b/>
          <w:i/>
          <w:sz w:val="21"/>
          <w:szCs w:val="21"/>
        </w:rPr>
      </w:pPr>
      <w:r w:rsidRPr="004F0B84">
        <w:rPr>
          <w:rFonts w:asciiTheme="minorHAnsi" w:hAnsiTheme="minorHAnsi"/>
          <w:b/>
          <w:i/>
          <w:sz w:val="21"/>
          <w:szCs w:val="21"/>
        </w:rPr>
        <w:t xml:space="preserve">Part 3 – </w:t>
      </w:r>
      <w:r w:rsidR="00DE1230">
        <w:rPr>
          <w:rFonts w:asciiTheme="minorHAnsi" w:hAnsiTheme="minorHAnsi"/>
          <w:b/>
          <w:i/>
          <w:sz w:val="21"/>
          <w:szCs w:val="21"/>
        </w:rPr>
        <w:t>Price</w:t>
      </w:r>
    </w:p>
    <w:p w:rsidR="007939C3" w:rsidRPr="00E53766" w:rsidRDefault="004F0B84" w:rsidP="004F0B84">
      <w:pPr>
        <w:spacing w:after="0"/>
        <w:ind w:left="284"/>
        <w:rPr>
          <w:rFonts w:asciiTheme="minorHAnsi" w:hAnsiTheme="minorHAnsi"/>
          <w:sz w:val="21"/>
          <w:szCs w:val="21"/>
        </w:rPr>
      </w:pPr>
      <w:r>
        <w:rPr>
          <w:rFonts w:asciiTheme="minorHAnsi" w:hAnsiTheme="minorHAnsi"/>
          <w:sz w:val="21"/>
          <w:szCs w:val="21"/>
        </w:rPr>
        <w:t xml:space="preserve">The </w:t>
      </w:r>
      <w:r w:rsidR="007939C3">
        <w:rPr>
          <w:rFonts w:asciiTheme="minorHAnsi" w:hAnsiTheme="minorHAnsi"/>
          <w:sz w:val="21"/>
          <w:szCs w:val="21"/>
        </w:rPr>
        <w:t xml:space="preserve">tender submission </w:t>
      </w:r>
      <w:r>
        <w:rPr>
          <w:rFonts w:asciiTheme="minorHAnsi" w:hAnsiTheme="minorHAnsi"/>
          <w:sz w:val="21"/>
          <w:szCs w:val="21"/>
        </w:rPr>
        <w:t xml:space="preserve">should </w:t>
      </w:r>
      <w:r w:rsidR="00E53766">
        <w:rPr>
          <w:rFonts w:asciiTheme="minorHAnsi" w:hAnsiTheme="minorHAnsi"/>
          <w:sz w:val="21"/>
          <w:szCs w:val="21"/>
        </w:rPr>
        <w:t>include an</w:t>
      </w:r>
      <w:r w:rsidR="00BE00BE">
        <w:rPr>
          <w:rFonts w:asciiTheme="minorHAnsi" w:hAnsiTheme="minorHAnsi"/>
          <w:sz w:val="21"/>
          <w:szCs w:val="21"/>
        </w:rPr>
        <w:t xml:space="preserve"> hourly consultancy and day rate (with confirmation as to whether the contracting organisation</w:t>
      </w:r>
      <w:r w:rsidR="00EF4DC6">
        <w:rPr>
          <w:rFonts w:asciiTheme="minorHAnsi" w:hAnsiTheme="minorHAnsi"/>
          <w:sz w:val="21"/>
          <w:szCs w:val="21"/>
        </w:rPr>
        <w:t xml:space="preserve"> is VAT registered), and any ancillary expenses which would be envisaged to be claimed back for the duration of the contract.</w:t>
      </w:r>
      <w:r w:rsidR="00E53766">
        <w:rPr>
          <w:rFonts w:asciiTheme="minorHAnsi" w:hAnsiTheme="minorHAnsi"/>
          <w:sz w:val="21"/>
          <w:szCs w:val="21"/>
        </w:rPr>
        <w:br/>
      </w:r>
      <w:r w:rsidR="00E53766">
        <w:rPr>
          <w:rFonts w:asciiTheme="minorHAnsi" w:hAnsiTheme="minorHAnsi"/>
          <w:sz w:val="21"/>
          <w:szCs w:val="21"/>
        </w:rPr>
        <w:br/>
      </w:r>
      <w:r w:rsidR="00E53766" w:rsidRPr="00E53766">
        <w:rPr>
          <w:rFonts w:asciiTheme="minorHAnsi" w:hAnsiTheme="minorHAnsi"/>
          <w:sz w:val="21"/>
          <w:szCs w:val="21"/>
        </w:rPr>
        <w:t>Please note that the total amount available for this contract, including all fees and expenses, is £55,000 including VAT. This includes all fees and expenses related to the project.</w:t>
      </w:r>
    </w:p>
    <w:p w:rsidR="003A1FA5" w:rsidRPr="00E53766" w:rsidRDefault="003A1FA5" w:rsidP="004F0B84">
      <w:pPr>
        <w:spacing w:after="0"/>
        <w:ind w:left="284"/>
        <w:rPr>
          <w:rFonts w:asciiTheme="minorHAnsi" w:hAnsiTheme="minorHAnsi"/>
          <w:sz w:val="21"/>
          <w:szCs w:val="21"/>
        </w:rPr>
      </w:pPr>
    </w:p>
    <w:p w:rsidR="007939C3" w:rsidRDefault="007939C3" w:rsidP="007939C3">
      <w:pPr>
        <w:spacing w:after="0"/>
        <w:rPr>
          <w:rFonts w:asciiTheme="minorHAnsi" w:hAnsiTheme="minorHAnsi"/>
          <w:sz w:val="21"/>
          <w:szCs w:val="21"/>
        </w:rPr>
      </w:pPr>
    </w:p>
    <w:p w:rsidR="007939C3" w:rsidRPr="007939C3" w:rsidRDefault="007939C3" w:rsidP="007939C3">
      <w:pPr>
        <w:spacing w:after="0"/>
        <w:rPr>
          <w:rFonts w:asciiTheme="minorHAnsi" w:hAnsiTheme="minorHAnsi"/>
          <w:sz w:val="21"/>
          <w:szCs w:val="21"/>
        </w:rPr>
      </w:pPr>
    </w:p>
    <w:p w:rsidR="007939C3" w:rsidRPr="004F0B84" w:rsidRDefault="00EF4DC6" w:rsidP="007939C3">
      <w:pPr>
        <w:spacing w:after="0"/>
        <w:rPr>
          <w:rFonts w:asciiTheme="minorHAnsi" w:hAnsiTheme="minorHAnsi"/>
          <w:b/>
          <w:sz w:val="21"/>
          <w:szCs w:val="21"/>
        </w:rPr>
      </w:pPr>
      <w:r>
        <w:rPr>
          <w:rFonts w:asciiTheme="minorHAnsi" w:hAnsiTheme="minorHAnsi"/>
          <w:b/>
          <w:sz w:val="21"/>
          <w:szCs w:val="21"/>
        </w:rPr>
        <w:t>4</w:t>
      </w:r>
      <w:r w:rsidR="007939C3" w:rsidRPr="004F0B84">
        <w:rPr>
          <w:rFonts w:asciiTheme="minorHAnsi" w:hAnsiTheme="minorHAnsi"/>
          <w:b/>
          <w:sz w:val="21"/>
          <w:szCs w:val="21"/>
        </w:rPr>
        <w:t>.3</w:t>
      </w:r>
      <w:r w:rsidR="00120363" w:rsidRPr="004F0B84">
        <w:rPr>
          <w:rFonts w:asciiTheme="minorHAnsi" w:hAnsiTheme="minorHAnsi"/>
          <w:b/>
          <w:sz w:val="21"/>
          <w:szCs w:val="21"/>
        </w:rPr>
        <w:t>. TENDER</w:t>
      </w:r>
      <w:r w:rsidR="007939C3" w:rsidRPr="004F0B84">
        <w:rPr>
          <w:rFonts w:asciiTheme="minorHAnsi" w:hAnsiTheme="minorHAnsi"/>
          <w:b/>
          <w:sz w:val="21"/>
          <w:szCs w:val="21"/>
        </w:rPr>
        <w:t xml:space="preserve"> EVALUATION</w:t>
      </w:r>
    </w:p>
    <w:p w:rsidR="004F0B84" w:rsidRDefault="004F0B84" w:rsidP="007939C3">
      <w:pPr>
        <w:spacing w:after="0"/>
        <w:rPr>
          <w:rFonts w:asciiTheme="minorHAnsi" w:hAnsiTheme="minorHAnsi"/>
          <w:sz w:val="21"/>
          <w:szCs w:val="21"/>
        </w:rPr>
      </w:pPr>
      <w:r>
        <w:rPr>
          <w:rFonts w:asciiTheme="minorHAnsi" w:hAnsiTheme="minorHAnsi"/>
          <w:sz w:val="21"/>
          <w:szCs w:val="21"/>
        </w:rPr>
        <w:t>Tenders will be evaluated as follows:</w:t>
      </w:r>
    </w:p>
    <w:p w:rsidR="004F0B84" w:rsidRDefault="004F0B84" w:rsidP="007939C3">
      <w:pPr>
        <w:spacing w:after="0"/>
        <w:rPr>
          <w:rFonts w:asciiTheme="minorHAnsi" w:hAnsiTheme="minorHAnsi"/>
          <w:sz w:val="21"/>
          <w:szCs w:val="21"/>
        </w:rPr>
      </w:pPr>
    </w:p>
    <w:tbl>
      <w:tblPr>
        <w:tblStyle w:val="TableContemporary"/>
        <w:tblW w:w="0" w:type="auto"/>
        <w:tblInd w:w="720" w:type="dxa"/>
        <w:tblLook w:val="04A0"/>
      </w:tblPr>
      <w:tblGrid>
        <w:gridCol w:w="2082"/>
        <w:gridCol w:w="5244"/>
        <w:gridCol w:w="1701"/>
      </w:tblGrid>
      <w:tr w:rsidR="00187F91" w:rsidRPr="007939C3" w:rsidTr="00187F91">
        <w:trPr>
          <w:cnfStyle w:val="100000000000"/>
        </w:trPr>
        <w:tc>
          <w:tcPr>
            <w:tcW w:w="2082" w:type="dxa"/>
          </w:tcPr>
          <w:p w:rsidR="00187F91" w:rsidRPr="007939C3" w:rsidRDefault="00187F91" w:rsidP="004F0B84">
            <w:pPr>
              <w:spacing w:after="0"/>
              <w:rPr>
                <w:rFonts w:asciiTheme="minorHAnsi" w:hAnsiTheme="minorHAnsi"/>
                <w:sz w:val="21"/>
                <w:szCs w:val="21"/>
              </w:rPr>
            </w:pPr>
            <w:r>
              <w:rPr>
                <w:rFonts w:asciiTheme="minorHAnsi" w:hAnsiTheme="minorHAnsi"/>
                <w:sz w:val="21"/>
                <w:szCs w:val="21"/>
              </w:rPr>
              <w:t>CRITERIA</w:t>
            </w:r>
          </w:p>
        </w:tc>
        <w:tc>
          <w:tcPr>
            <w:tcW w:w="5244" w:type="dxa"/>
          </w:tcPr>
          <w:p w:rsidR="00187F91" w:rsidRPr="007939C3" w:rsidRDefault="00187F91" w:rsidP="004F0B84">
            <w:pPr>
              <w:spacing w:after="0"/>
              <w:rPr>
                <w:rFonts w:asciiTheme="minorHAnsi" w:hAnsiTheme="minorHAnsi"/>
                <w:sz w:val="21"/>
                <w:szCs w:val="21"/>
              </w:rPr>
            </w:pPr>
            <w:r>
              <w:rPr>
                <w:rFonts w:asciiTheme="minorHAnsi" w:hAnsiTheme="minorHAnsi"/>
                <w:sz w:val="21"/>
                <w:szCs w:val="21"/>
              </w:rPr>
              <w:t>NOTES</w:t>
            </w:r>
          </w:p>
        </w:tc>
        <w:tc>
          <w:tcPr>
            <w:tcW w:w="1701" w:type="dxa"/>
          </w:tcPr>
          <w:p w:rsidR="00187F91" w:rsidRDefault="00187F91" w:rsidP="004F0B84">
            <w:pPr>
              <w:spacing w:after="0"/>
              <w:rPr>
                <w:rFonts w:asciiTheme="minorHAnsi" w:hAnsiTheme="minorHAnsi"/>
                <w:sz w:val="21"/>
                <w:szCs w:val="21"/>
              </w:rPr>
            </w:pPr>
            <w:r>
              <w:rPr>
                <w:rFonts w:asciiTheme="minorHAnsi" w:hAnsiTheme="minorHAnsi"/>
                <w:sz w:val="21"/>
                <w:szCs w:val="21"/>
              </w:rPr>
              <w:t>WEIGHTING</w:t>
            </w:r>
          </w:p>
        </w:tc>
      </w:tr>
      <w:tr w:rsidR="00187F91" w:rsidTr="00187F91">
        <w:trPr>
          <w:cnfStyle w:val="000000100000"/>
        </w:trPr>
        <w:tc>
          <w:tcPr>
            <w:tcW w:w="2082" w:type="dxa"/>
          </w:tcPr>
          <w:p w:rsidR="00187F91" w:rsidRPr="00187F91" w:rsidRDefault="00187F91" w:rsidP="004F0B84">
            <w:pPr>
              <w:spacing w:after="0"/>
              <w:rPr>
                <w:rFonts w:asciiTheme="minorHAnsi" w:hAnsiTheme="minorHAnsi"/>
                <w:b/>
                <w:sz w:val="21"/>
                <w:szCs w:val="21"/>
              </w:rPr>
            </w:pPr>
            <w:r>
              <w:rPr>
                <w:rFonts w:asciiTheme="minorHAnsi" w:hAnsiTheme="minorHAnsi"/>
                <w:b/>
                <w:sz w:val="21"/>
                <w:szCs w:val="21"/>
              </w:rPr>
              <w:t>Compliance with the tender brief</w:t>
            </w:r>
          </w:p>
        </w:tc>
        <w:tc>
          <w:tcPr>
            <w:tcW w:w="5244" w:type="dxa"/>
          </w:tcPr>
          <w:p w:rsidR="00187F91" w:rsidRDefault="00187F91" w:rsidP="004F0B84">
            <w:pPr>
              <w:spacing w:after="0"/>
              <w:rPr>
                <w:rFonts w:asciiTheme="minorHAnsi" w:hAnsiTheme="minorHAnsi"/>
                <w:sz w:val="21"/>
                <w:szCs w:val="21"/>
              </w:rPr>
            </w:pPr>
            <w:r>
              <w:rPr>
                <w:rFonts w:asciiTheme="minorHAnsi" w:hAnsiTheme="minorHAnsi"/>
                <w:sz w:val="21"/>
                <w:szCs w:val="21"/>
              </w:rPr>
              <w:t>Has the bidding company provided all the information required, and in the correct manner?</w:t>
            </w:r>
          </w:p>
          <w:p w:rsidR="004469F3" w:rsidRPr="007939C3" w:rsidRDefault="004469F3" w:rsidP="004F0B84">
            <w:pPr>
              <w:spacing w:after="0"/>
              <w:rPr>
                <w:rFonts w:asciiTheme="minorHAnsi" w:hAnsiTheme="minorHAnsi"/>
                <w:sz w:val="21"/>
                <w:szCs w:val="21"/>
              </w:rPr>
            </w:pPr>
          </w:p>
        </w:tc>
        <w:tc>
          <w:tcPr>
            <w:tcW w:w="1701" w:type="dxa"/>
          </w:tcPr>
          <w:p w:rsidR="00187F91" w:rsidRPr="007939C3" w:rsidRDefault="00187F91" w:rsidP="004F0B84">
            <w:pPr>
              <w:spacing w:after="0"/>
              <w:rPr>
                <w:rFonts w:asciiTheme="minorHAnsi" w:hAnsiTheme="minorHAnsi"/>
                <w:sz w:val="21"/>
                <w:szCs w:val="21"/>
              </w:rPr>
            </w:pPr>
            <w:r>
              <w:rPr>
                <w:rFonts w:asciiTheme="minorHAnsi" w:hAnsiTheme="minorHAnsi"/>
                <w:sz w:val="21"/>
                <w:szCs w:val="21"/>
              </w:rPr>
              <w:t>Pass / fail</w:t>
            </w:r>
          </w:p>
        </w:tc>
      </w:tr>
      <w:tr w:rsidR="00187F91" w:rsidTr="00187F91">
        <w:trPr>
          <w:cnfStyle w:val="000000010000"/>
        </w:trPr>
        <w:tc>
          <w:tcPr>
            <w:tcW w:w="2082" w:type="dxa"/>
          </w:tcPr>
          <w:p w:rsidR="00187F91" w:rsidRPr="00187F91" w:rsidRDefault="00187F91" w:rsidP="004F0B84">
            <w:pPr>
              <w:spacing w:after="0"/>
              <w:rPr>
                <w:rFonts w:asciiTheme="minorHAnsi" w:hAnsiTheme="minorHAnsi"/>
                <w:b/>
                <w:sz w:val="21"/>
                <w:szCs w:val="21"/>
              </w:rPr>
            </w:pPr>
            <w:r w:rsidRPr="00187F91">
              <w:rPr>
                <w:rFonts w:asciiTheme="minorHAnsi" w:hAnsiTheme="minorHAnsi"/>
                <w:b/>
                <w:sz w:val="21"/>
                <w:szCs w:val="21"/>
              </w:rPr>
              <w:t>Business Information</w:t>
            </w:r>
          </w:p>
        </w:tc>
        <w:tc>
          <w:tcPr>
            <w:tcW w:w="5244" w:type="dxa"/>
          </w:tcPr>
          <w:p w:rsidR="00187F91" w:rsidRDefault="00187F91" w:rsidP="00187F91">
            <w:pPr>
              <w:spacing w:after="0"/>
              <w:rPr>
                <w:rFonts w:asciiTheme="minorHAnsi" w:hAnsiTheme="minorHAnsi"/>
                <w:sz w:val="21"/>
                <w:szCs w:val="21"/>
              </w:rPr>
            </w:pPr>
            <w:r>
              <w:rPr>
                <w:rFonts w:asciiTheme="minorHAnsi" w:hAnsiTheme="minorHAnsi"/>
                <w:sz w:val="21"/>
                <w:szCs w:val="21"/>
              </w:rPr>
              <w:t xml:space="preserve">All requirements outlined </w:t>
            </w:r>
            <w:r w:rsidR="004469F3">
              <w:rPr>
                <w:rFonts w:asciiTheme="minorHAnsi" w:hAnsiTheme="minorHAnsi"/>
                <w:sz w:val="21"/>
                <w:szCs w:val="21"/>
              </w:rPr>
              <w:t xml:space="preserve">in the Business Information section above </w:t>
            </w:r>
            <w:r>
              <w:rPr>
                <w:rFonts w:asciiTheme="minorHAnsi" w:hAnsiTheme="minorHAnsi"/>
                <w:sz w:val="21"/>
                <w:szCs w:val="21"/>
              </w:rPr>
              <w:t>must be complied with – failure to provide evidence will result in a 0% mark. Submissions will be awarded marks for their thoroughness and provision of evidence, rather than quantity of references.</w:t>
            </w:r>
          </w:p>
          <w:p w:rsidR="004469F3" w:rsidRDefault="004469F3" w:rsidP="00187F91">
            <w:pPr>
              <w:spacing w:after="0"/>
              <w:rPr>
                <w:rFonts w:asciiTheme="minorHAnsi" w:hAnsiTheme="minorHAnsi"/>
                <w:sz w:val="21"/>
                <w:szCs w:val="21"/>
              </w:rPr>
            </w:pPr>
          </w:p>
        </w:tc>
        <w:tc>
          <w:tcPr>
            <w:tcW w:w="1701" w:type="dxa"/>
          </w:tcPr>
          <w:p w:rsidR="00187F91" w:rsidRPr="007939C3" w:rsidRDefault="00A54CE5" w:rsidP="004F0B84">
            <w:pPr>
              <w:spacing w:after="0"/>
              <w:rPr>
                <w:rFonts w:asciiTheme="minorHAnsi" w:hAnsiTheme="minorHAnsi"/>
                <w:sz w:val="21"/>
                <w:szCs w:val="21"/>
              </w:rPr>
            </w:pPr>
            <w:r>
              <w:rPr>
                <w:rFonts w:asciiTheme="minorHAnsi" w:hAnsiTheme="minorHAnsi"/>
                <w:sz w:val="21"/>
                <w:szCs w:val="21"/>
              </w:rPr>
              <w:t>1</w:t>
            </w:r>
            <w:r w:rsidR="00187F91">
              <w:rPr>
                <w:rFonts w:asciiTheme="minorHAnsi" w:hAnsiTheme="minorHAnsi"/>
                <w:sz w:val="21"/>
                <w:szCs w:val="21"/>
              </w:rPr>
              <w:t>0%</w:t>
            </w:r>
          </w:p>
        </w:tc>
      </w:tr>
      <w:tr w:rsidR="00187F91" w:rsidTr="00187F91">
        <w:trPr>
          <w:cnfStyle w:val="000000100000"/>
        </w:trPr>
        <w:tc>
          <w:tcPr>
            <w:tcW w:w="2082" w:type="dxa"/>
          </w:tcPr>
          <w:p w:rsidR="00187F91" w:rsidRPr="00187F91" w:rsidRDefault="00DE1230" w:rsidP="004F0B84">
            <w:pPr>
              <w:spacing w:after="0"/>
              <w:rPr>
                <w:rFonts w:asciiTheme="minorHAnsi" w:hAnsiTheme="minorHAnsi"/>
                <w:b/>
                <w:sz w:val="21"/>
                <w:szCs w:val="21"/>
              </w:rPr>
            </w:pPr>
            <w:r>
              <w:rPr>
                <w:rFonts w:asciiTheme="minorHAnsi" w:hAnsiTheme="minorHAnsi"/>
                <w:b/>
                <w:sz w:val="21"/>
                <w:szCs w:val="21"/>
              </w:rPr>
              <w:t>Skill Set, Experience and Delivery</w:t>
            </w:r>
          </w:p>
        </w:tc>
        <w:tc>
          <w:tcPr>
            <w:tcW w:w="5244" w:type="dxa"/>
          </w:tcPr>
          <w:p w:rsidR="004469F3" w:rsidRDefault="00DE1230" w:rsidP="004469F3">
            <w:pPr>
              <w:spacing w:after="0"/>
              <w:rPr>
                <w:rFonts w:asciiTheme="minorHAnsi" w:hAnsiTheme="minorHAnsi"/>
                <w:sz w:val="21"/>
                <w:szCs w:val="21"/>
              </w:rPr>
            </w:pPr>
            <w:r>
              <w:rPr>
                <w:rFonts w:asciiTheme="minorHAnsi" w:hAnsiTheme="minorHAnsi"/>
                <w:sz w:val="21"/>
                <w:szCs w:val="21"/>
              </w:rPr>
              <w:t>We need to engage with a consultant/consultancy that can evidence a track record of working with, and the application of, open data sources, rather than an aspiration to do so.</w:t>
            </w:r>
          </w:p>
          <w:p w:rsidR="004469F3" w:rsidRDefault="004469F3" w:rsidP="004469F3">
            <w:pPr>
              <w:spacing w:after="0"/>
              <w:rPr>
                <w:rFonts w:asciiTheme="minorHAnsi" w:hAnsiTheme="minorHAnsi"/>
                <w:sz w:val="21"/>
                <w:szCs w:val="21"/>
              </w:rPr>
            </w:pPr>
          </w:p>
        </w:tc>
        <w:tc>
          <w:tcPr>
            <w:tcW w:w="1701" w:type="dxa"/>
          </w:tcPr>
          <w:p w:rsidR="00187F91" w:rsidRPr="007939C3" w:rsidRDefault="00DE1230" w:rsidP="004F0B84">
            <w:pPr>
              <w:spacing w:after="0"/>
              <w:rPr>
                <w:rFonts w:asciiTheme="minorHAnsi" w:hAnsiTheme="minorHAnsi"/>
                <w:sz w:val="21"/>
                <w:szCs w:val="21"/>
              </w:rPr>
            </w:pPr>
            <w:r>
              <w:rPr>
                <w:rFonts w:asciiTheme="minorHAnsi" w:hAnsiTheme="minorHAnsi"/>
                <w:sz w:val="21"/>
                <w:szCs w:val="21"/>
              </w:rPr>
              <w:t>6</w:t>
            </w:r>
            <w:r w:rsidR="00187F91">
              <w:rPr>
                <w:rFonts w:asciiTheme="minorHAnsi" w:hAnsiTheme="minorHAnsi"/>
                <w:sz w:val="21"/>
                <w:szCs w:val="21"/>
              </w:rPr>
              <w:t>0%</w:t>
            </w:r>
          </w:p>
        </w:tc>
      </w:tr>
      <w:tr w:rsidR="00187F91" w:rsidTr="00187F91">
        <w:trPr>
          <w:cnfStyle w:val="000000010000"/>
        </w:trPr>
        <w:tc>
          <w:tcPr>
            <w:tcW w:w="2082" w:type="dxa"/>
          </w:tcPr>
          <w:p w:rsidR="00187F91" w:rsidRPr="00187F91" w:rsidRDefault="00DE1230" w:rsidP="004F0B84">
            <w:pPr>
              <w:spacing w:after="0"/>
              <w:rPr>
                <w:rFonts w:asciiTheme="minorHAnsi" w:hAnsiTheme="minorHAnsi"/>
                <w:b/>
                <w:sz w:val="21"/>
                <w:szCs w:val="21"/>
              </w:rPr>
            </w:pPr>
            <w:r>
              <w:rPr>
                <w:rFonts w:asciiTheme="minorHAnsi" w:hAnsiTheme="minorHAnsi"/>
                <w:b/>
                <w:sz w:val="21"/>
                <w:szCs w:val="21"/>
              </w:rPr>
              <w:t>Price</w:t>
            </w:r>
          </w:p>
        </w:tc>
        <w:tc>
          <w:tcPr>
            <w:tcW w:w="5244" w:type="dxa"/>
          </w:tcPr>
          <w:p w:rsidR="00187F91" w:rsidRDefault="004469F3" w:rsidP="004F0B84">
            <w:pPr>
              <w:spacing w:after="0"/>
              <w:rPr>
                <w:rFonts w:asciiTheme="minorHAnsi" w:hAnsiTheme="minorHAnsi"/>
                <w:sz w:val="21"/>
                <w:szCs w:val="21"/>
              </w:rPr>
            </w:pPr>
            <w:r>
              <w:rPr>
                <w:rFonts w:asciiTheme="minorHAnsi" w:hAnsiTheme="minorHAnsi"/>
                <w:sz w:val="21"/>
                <w:szCs w:val="21"/>
              </w:rPr>
              <w:t xml:space="preserve">Submissions will be scored </w:t>
            </w:r>
            <w:r w:rsidR="00BE00BE">
              <w:rPr>
                <w:rFonts w:asciiTheme="minorHAnsi" w:hAnsiTheme="minorHAnsi"/>
                <w:sz w:val="21"/>
                <w:szCs w:val="21"/>
              </w:rPr>
              <w:t>on the basis of value for money</w:t>
            </w:r>
          </w:p>
          <w:p w:rsidR="004469F3" w:rsidRDefault="004469F3" w:rsidP="004F0B84">
            <w:pPr>
              <w:spacing w:after="0"/>
              <w:rPr>
                <w:rFonts w:asciiTheme="minorHAnsi" w:hAnsiTheme="minorHAnsi"/>
                <w:sz w:val="21"/>
                <w:szCs w:val="21"/>
              </w:rPr>
            </w:pPr>
          </w:p>
        </w:tc>
        <w:tc>
          <w:tcPr>
            <w:tcW w:w="1701" w:type="dxa"/>
          </w:tcPr>
          <w:p w:rsidR="00187F91" w:rsidRPr="007939C3" w:rsidRDefault="00DE1230" w:rsidP="004F0B84">
            <w:pPr>
              <w:spacing w:after="0"/>
              <w:rPr>
                <w:rFonts w:asciiTheme="minorHAnsi" w:hAnsiTheme="minorHAnsi"/>
                <w:sz w:val="21"/>
                <w:szCs w:val="21"/>
              </w:rPr>
            </w:pPr>
            <w:r>
              <w:rPr>
                <w:rFonts w:asciiTheme="minorHAnsi" w:hAnsiTheme="minorHAnsi"/>
                <w:sz w:val="21"/>
                <w:szCs w:val="21"/>
              </w:rPr>
              <w:t>3</w:t>
            </w:r>
            <w:r w:rsidR="00187F91">
              <w:rPr>
                <w:rFonts w:asciiTheme="minorHAnsi" w:hAnsiTheme="minorHAnsi"/>
                <w:sz w:val="21"/>
                <w:szCs w:val="21"/>
              </w:rPr>
              <w:t>0%</w:t>
            </w:r>
          </w:p>
        </w:tc>
      </w:tr>
    </w:tbl>
    <w:p w:rsidR="004F0B84" w:rsidRDefault="004F0B84" w:rsidP="007939C3">
      <w:pPr>
        <w:spacing w:after="0"/>
        <w:rPr>
          <w:rFonts w:asciiTheme="minorHAnsi" w:hAnsiTheme="minorHAnsi"/>
          <w:sz w:val="21"/>
          <w:szCs w:val="21"/>
        </w:rPr>
      </w:pPr>
    </w:p>
    <w:p w:rsidR="007939C3" w:rsidRPr="007939C3" w:rsidRDefault="007939C3" w:rsidP="007939C3">
      <w:pPr>
        <w:spacing w:after="0"/>
        <w:rPr>
          <w:rFonts w:asciiTheme="minorHAnsi" w:hAnsiTheme="minorHAnsi"/>
          <w:sz w:val="21"/>
          <w:szCs w:val="21"/>
        </w:rPr>
      </w:pPr>
      <w:r w:rsidRPr="004F0B84">
        <w:rPr>
          <w:rFonts w:asciiTheme="minorHAnsi" w:hAnsiTheme="minorHAnsi"/>
          <w:sz w:val="21"/>
          <w:szCs w:val="21"/>
        </w:rPr>
        <w:lastRenderedPageBreak/>
        <w:t>Once submissions have been reviewed, the University may wish to seek clarification or receive an oral presentation from one or more tenderers. The intention is that a final decision will be made promptly</w:t>
      </w:r>
      <w:r w:rsidR="003A1FA5">
        <w:rPr>
          <w:rFonts w:asciiTheme="minorHAnsi" w:hAnsiTheme="minorHAnsi"/>
          <w:sz w:val="21"/>
          <w:szCs w:val="21"/>
        </w:rPr>
        <w:t>.</w:t>
      </w:r>
    </w:p>
    <w:p w:rsidR="007939C3" w:rsidRDefault="007939C3" w:rsidP="007939C3">
      <w:pPr>
        <w:spacing w:after="0"/>
        <w:rPr>
          <w:rFonts w:asciiTheme="minorHAnsi" w:hAnsiTheme="minorHAnsi"/>
          <w:sz w:val="21"/>
          <w:szCs w:val="21"/>
        </w:rPr>
      </w:pPr>
    </w:p>
    <w:p w:rsidR="007939C3" w:rsidRDefault="007939C3" w:rsidP="007939C3">
      <w:pPr>
        <w:spacing w:after="0"/>
        <w:rPr>
          <w:rFonts w:asciiTheme="minorHAnsi" w:hAnsiTheme="minorHAnsi"/>
          <w:sz w:val="21"/>
          <w:szCs w:val="21"/>
        </w:rPr>
      </w:pPr>
    </w:p>
    <w:p w:rsidR="007939C3" w:rsidRPr="007939C3" w:rsidRDefault="00EF4DC6" w:rsidP="007939C3">
      <w:pPr>
        <w:spacing w:after="0"/>
        <w:rPr>
          <w:rFonts w:asciiTheme="minorHAnsi" w:hAnsiTheme="minorHAnsi"/>
          <w:b/>
          <w:sz w:val="21"/>
          <w:szCs w:val="21"/>
        </w:rPr>
      </w:pPr>
      <w:r>
        <w:rPr>
          <w:rFonts w:asciiTheme="minorHAnsi" w:hAnsiTheme="minorHAnsi"/>
          <w:b/>
          <w:sz w:val="21"/>
          <w:szCs w:val="21"/>
        </w:rPr>
        <w:t>4</w:t>
      </w:r>
      <w:r w:rsidR="007939C3" w:rsidRPr="007939C3">
        <w:rPr>
          <w:rFonts w:asciiTheme="minorHAnsi" w:hAnsiTheme="minorHAnsi"/>
          <w:b/>
          <w:sz w:val="21"/>
          <w:szCs w:val="21"/>
        </w:rPr>
        <w:t>.</w:t>
      </w:r>
      <w:r w:rsidR="007939C3">
        <w:rPr>
          <w:rFonts w:asciiTheme="minorHAnsi" w:hAnsiTheme="minorHAnsi"/>
          <w:b/>
          <w:sz w:val="21"/>
          <w:szCs w:val="21"/>
        </w:rPr>
        <w:t>4</w:t>
      </w:r>
      <w:r w:rsidR="00120363" w:rsidRPr="007939C3">
        <w:rPr>
          <w:rFonts w:asciiTheme="minorHAnsi" w:hAnsiTheme="minorHAnsi"/>
          <w:b/>
          <w:sz w:val="21"/>
          <w:szCs w:val="21"/>
        </w:rPr>
        <w:t>. CONFIDENTIALITY</w:t>
      </w:r>
    </w:p>
    <w:p w:rsidR="007939C3" w:rsidRDefault="007939C3" w:rsidP="007939C3">
      <w:pPr>
        <w:spacing w:after="0"/>
        <w:rPr>
          <w:rFonts w:asciiTheme="minorHAnsi" w:hAnsiTheme="minorHAnsi"/>
          <w:sz w:val="21"/>
          <w:szCs w:val="21"/>
        </w:rPr>
      </w:pPr>
      <w:r w:rsidRPr="007939C3">
        <w:rPr>
          <w:rFonts w:asciiTheme="minorHAnsi" w:hAnsiTheme="minorHAnsi"/>
          <w:sz w:val="21"/>
          <w:szCs w:val="21"/>
        </w:rPr>
        <w:t xml:space="preserve">All material issued in connection with this </w:t>
      </w:r>
      <w:r>
        <w:rPr>
          <w:rFonts w:asciiTheme="minorHAnsi" w:hAnsiTheme="minorHAnsi"/>
          <w:sz w:val="21"/>
          <w:szCs w:val="21"/>
        </w:rPr>
        <w:t xml:space="preserve">invitation to tender </w:t>
      </w:r>
      <w:r w:rsidRPr="007939C3">
        <w:rPr>
          <w:rFonts w:asciiTheme="minorHAnsi" w:hAnsiTheme="minorHAnsi"/>
          <w:sz w:val="21"/>
          <w:szCs w:val="21"/>
        </w:rPr>
        <w:t>shall remain the property of the University and shall be used only for the purpose of this procurement exercise.</w:t>
      </w:r>
    </w:p>
    <w:p w:rsidR="007939C3" w:rsidRPr="007939C3" w:rsidRDefault="007939C3" w:rsidP="007939C3">
      <w:pPr>
        <w:spacing w:after="0"/>
        <w:rPr>
          <w:rFonts w:asciiTheme="minorHAnsi" w:hAnsiTheme="minorHAnsi"/>
          <w:sz w:val="21"/>
          <w:szCs w:val="21"/>
        </w:rPr>
      </w:pPr>
    </w:p>
    <w:p w:rsidR="007939C3" w:rsidRDefault="007939C3" w:rsidP="007939C3">
      <w:pPr>
        <w:spacing w:after="0"/>
        <w:rPr>
          <w:rFonts w:asciiTheme="minorHAnsi" w:hAnsiTheme="minorHAnsi"/>
          <w:sz w:val="21"/>
          <w:szCs w:val="21"/>
        </w:rPr>
      </w:pPr>
      <w:r w:rsidRPr="007939C3">
        <w:rPr>
          <w:rFonts w:asciiTheme="minorHAnsi" w:hAnsiTheme="minorHAnsi"/>
          <w:sz w:val="21"/>
          <w:szCs w:val="21"/>
        </w:rPr>
        <w:t xml:space="preserve">The contents of this </w:t>
      </w:r>
      <w:r>
        <w:rPr>
          <w:rFonts w:asciiTheme="minorHAnsi" w:hAnsiTheme="minorHAnsi"/>
          <w:sz w:val="21"/>
          <w:szCs w:val="21"/>
        </w:rPr>
        <w:t xml:space="preserve">invitation to tender </w:t>
      </w:r>
      <w:r w:rsidRPr="007939C3">
        <w:rPr>
          <w:rFonts w:asciiTheme="minorHAnsi" w:hAnsiTheme="minorHAnsi"/>
          <w:sz w:val="21"/>
          <w:szCs w:val="21"/>
        </w:rPr>
        <w:t>are being made available on condition that:</w:t>
      </w:r>
    </w:p>
    <w:p w:rsidR="007939C3" w:rsidRPr="007939C3" w:rsidRDefault="007939C3" w:rsidP="007939C3">
      <w:pPr>
        <w:pStyle w:val="ListParagraph"/>
        <w:numPr>
          <w:ilvl w:val="0"/>
          <w:numId w:val="10"/>
        </w:numPr>
        <w:spacing w:after="0"/>
        <w:rPr>
          <w:sz w:val="21"/>
          <w:szCs w:val="21"/>
        </w:rPr>
      </w:pPr>
      <w:r w:rsidRPr="007939C3">
        <w:rPr>
          <w:sz w:val="21"/>
          <w:szCs w:val="21"/>
        </w:rPr>
        <w:t>tenderers shall at all times treat the contents of the invitation to tender and any related documents as confidential, save in so far as they are already in the public domain.</w:t>
      </w:r>
    </w:p>
    <w:p w:rsidR="007939C3" w:rsidRPr="001513E0" w:rsidRDefault="007939C3" w:rsidP="007939C3">
      <w:pPr>
        <w:pStyle w:val="ListParagraph"/>
        <w:numPr>
          <w:ilvl w:val="0"/>
          <w:numId w:val="10"/>
        </w:numPr>
        <w:spacing w:after="0" w:line="240" w:lineRule="auto"/>
        <w:rPr>
          <w:sz w:val="21"/>
          <w:szCs w:val="21"/>
        </w:rPr>
      </w:pPr>
      <w:r w:rsidRPr="001513E0">
        <w:rPr>
          <w:sz w:val="21"/>
          <w:szCs w:val="21"/>
        </w:rPr>
        <w:t>tenderers shall not disclose, copy</w:t>
      </w:r>
      <w:r w:rsidR="003A1FA5" w:rsidRPr="001513E0">
        <w:rPr>
          <w:sz w:val="21"/>
          <w:szCs w:val="21"/>
        </w:rPr>
        <w:t>,</w:t>
      </w:r>
      <w:r w:rsidRPr="001513E0">
        <w:rPr>
          <w:sz w:val="21"/>
          <w:szCs w:val="21"/>
        </w:rPr>
        <w:t xml:space="preserve"> reproduce, distribute or pass any of the information to any other person at any time or allow any of these things to happen unless to the tenderer’s advisers or sub-contractors (in which case the person receiving the information should undertake to keep the information confidential on the same terms as the tendered).</w:t>
      </w:r>
    </w:p>
    <w:p w:rsidR="007939C3" w:rsidRPr="001513E0" w:rsidRDefault="007939C3" w:rsidP="007939C3">
      <w:pPr>
        <w:pStyle w:val="ListParagraph"/>
        <w:numPr>
          <w:ilvl w:val="0"/>
          <w:numId w:val="10"/>
        </w:numPr>
        <w:spacing w:after="0" w:line="240" w:lineRule="auto"/>
        <w:rPr>
          <w:sz w:val="21"/>
          <w:szCs w:val="21"/>
        </w:rPr>
      </w:pPr>
      <w:r w:rsidRPr="001513E0">
        <w:rPr>
          <w:sz w:val="21"/>
          <w:szCs w:val="21"/>
        </w:rPr>
        <w:t>tenderers shall not use any of the information for any purpose other than for the purposes of submitting or deciding whether to submit a tender.</w:t>
      </w:r>
    </w:p>
    <w:p w:rsidR="007939C3" w:rsidRPr="001513E0" w:rsidRDefault="007939C3" w:rsidP="007939C3">
      <w:pPr>
        <w:pStyle w:val="ListParagraph"/>
        <w:numPr>
          <w:ilvl w:val="0"/>
          <w:numId w:val="10"/>
        </w:numPr>
        <w:spacing w:after="0" w:line="240" w:lineRule="auto"/>
        <w:rPr>
          <w:sz w:val="21"/>
          <w:szCs w:val="21"/>
        </w:rPr>
      </w:pPr>
      <w:r w:rsidRPr="001513E0">
        <w:rPr>
          <w:sz w:val="21"/>
          <w:szCs w:val="21"/>
        </w:rPr>
        <w:t>tenderers shall not undertake any media or publicity activity in relation to the tendering process.</w:t>
      </w:r>
    </w:p>
    <w:p w:rsidR="008A3106" w:rsidRDefault="007939C3" w:rsidP="007939C3">
      <w:pPr>
        <w:pStyle w:val="ListParagraph"/>
        <w:numPr>
          <w:ilvl w:val="0"/>
          <w:numId w:val="10"/>
        </w:numPr>
        <w:spacing w:after="0" w:line="240" w:lineRule="auto"/>
        <w:rPr>
          <w:sz w:val="21"/>
          <w:szCs w:val="21"/>
        </w:rPr>
      </w:pPr>
      <w:r w:rsidRPr="001513E0">
        <w:rPr>
          <w:sz w:val="21"/>
          <w:szCs w:val="21"/>
        </w:rPr>
        <w:t>successful tenderers will be subject to a credit check.</w:t>
      </w:r>
    </w:p>
    <w:p w:rsidR="00F40DD9" w:rsidRDefault="00F40DD9" w:rsidP="00F40DD9">
      <w:pPr>
        <w:spacing w:after="0"/>
        <w:rPr>
          <w:sz w:val="21"/>
          <w:szCs w:val="21"/>
        </w:rPr>
      </w:pPr>
    </w:p>
    <w:p w:rsidR="00F40DD9" w:rsidRPr="00F40DD9" w:rsidRDefault="00F40DD9" w:rsidP="00F40DD9">
      <w:pPr>
        <w:spacing w:after="0"/>
        <w:rPr>
          <w:sz w:val="21"/>
          <w:szCs w:val="21"/>
        </w:rPr>
      </w:pPr>
    </w:p>
    <w:p w:rsidR="001513E0" w:rsidRPr="001513E0" w:rsidRDefault="001513E0" w:rsidP="001513E0">
      <w:pPr>
        <w:spacing w:after="0"/>
        <w:rPr>
          <w:rFonts w:asciiTheme="minorHAnsi" w:hAnsiTheme="minorHAnsi"/>
          <w:sz w:val="21"/>
          <w:szCs w:val="21"/>
        </w:rPr>
      </w:pPr>
    </w:p>
    <w:p w:rsidR="001513E0" w:rsidRPr="00C11369" w:rsidRDefault="00EF4DC6" w:rsidP="001513E0">
      <w:pPr>
        <w:spacing w:after="0"/>
        <w:rPr>
          <w:rFonts w:asciiTheme="minorHAnsi" w:hAnsiTheme="minorHAnsi"/>
          <w:b/>
          <w:sz w:val="21"/>
          <w:szCs w:val="21"/>
        </w:rPr>
      </w:pPr>
      <w:r>
        <w:rPr>
          <w:rFonts w:asciiTheme="minorHAnsi" w:hAnsiTheme="minorHAnsi"/>
          <w:b/>
          <w:sz w:val="21"/>
          <w:szCs w:val="21"/>
        </w:rPr>
        <w:t>4</w:t>
      </w:r>
      <w:r w:rsidR="001513E0" w:rsidRPr="00C11369">
        <w:rPr>
          <w:rFonts w:asciiTheme="minorHAnsi" w:hAnsiTheme="minorHAnsi"/>
          <w:b/>
          <w:sz w:val="21"/>
          <w:szCs w:val="21"/>
        </w:rPr>
        <w:t>.5 FREEDOM OF INFORMATION ACT AND ENVIRONMENTAL INFORMATION STATEMENT</w:t>
      </w:r>
    </w:p>
    <w:p w:rsidR="001513E0" w:rsidRPr="00C11369" w:rsidRDefault="001513E0" w:rsidP="001513E0">
      <w:pPr>
        <w:spacing w:after="0"/>
        <w:rPr>
          <w:rFonts w:asciiTheme="minorHAnsi" w:hAnsiTheme="minorHAnsi"/>
          <w:sz w:val="21"/>
          <w:szCs w:val="21"/>
        </w:rPr>
      </w:pPr>
      <w:r w:rsidRPr="00C11369">
        <w:rPr>
          <w:rFonts w:asciiTheme="minorHAnsi" w:hAnsiTheme="minorHAnsi"/>
          <w:sz w:val="21"/>
          <w:szCs w:val="21"/>
        </w:rPr>
        <w:t>The University is subject to The Freedom of Information Act 2000 (“Act”) and The Environmental Information Regulations 2004 (EIR).</w:t>
      </w:r>
    </w:p>
    <w:p w:rsidR="001513E0" w:rsidRPr="00C11369" w:rsidRDefault="001513E0" w:rsidP="001513E0">
      <w:pPr>
        <w:pStyle w:val="ListParagraph"/>
        <w:numPr>
          <w:ilvl w:val="0"/>
          <w:numId w:val="11"/>
        </w:numPr>
        <w:spacing w:after="0"/>
        <w:rPr>
          <w:sz w:val="21"/>
          <w:szCs w:val="21"/>
        </w:rPr>
      </w:pPr>
      <w:r w:rsidRPr="00C11369">
        <w:rPr>
          <w:sz w:val="21"/>
          <w:szCs w:val="21"/>
        </w:rPr>
        <w:t xml:space="preserve">As part of the </w:t>
      </w:r>
      <w:r w:rsidR="0058315C" w:rsidRPr="00C11369">
        <w:rPr>
          <w:sz w:val="21"/>
          <w:szCs w:val="21"/>
        </w:rPr>
        <w:t>University’s</w:t>
      </w:r>
      <w:r w:rsidRPr="00C11369">
        <w:rPr>
          <w:sz w:val="21"/>
          <w:szCs w:val="21"/>
        </w:rPr>
        <w:t xml:space="preserve"> obligations, it may be required to disclose information concerning the procurement process or the Contract to </w:t>
      </w:r>
      <w:r w:rsidR="00EF4DC6">
        <w:rPr>
          <w:sz w:val="21"/>
          <w:szCs w:val="21"/>
        </w:rPr>
        <w:t xml:space="preserve">our funding partners or </w:t>
      </w:r>
      <w:r w:rsidRPr="00C11369">
        <w:rPr>
          <w:sz w:val="21"/>
          <w:szCs w:val="21"/>
        </w:rPr>
        <w:t>anyone who makes a reasonable request.</w:t>
      </w:r>
    </w:p>
    <w:p w:rsidR="001513E0" w:rsidRPr="00C11369" w:rsidRDefault="001513E0" w:rsidP="001513E0">
      <w:pPr>
        <w:pStyle w:val="ListParagraph"/>
        <w:numPr>
          <w:ilvl w:val="0"/>
          <w:numId w:val="11"/>
        </w:numPr>
        <w:spacing w:after="0"/>
        <w:rPr>
          <w:sz w:val="21"/>
          <w:szCs w:val="21"/>
        </w:rPr>
      </w:pPr>
      <w:r w:rsidRPr="00C11369">
        <w:rPr>
          <w:sz w:val="21"/>
          <w:szCs w:val="21"/>
        </w:rPr>
        <w:t>If Tenderers consider that any information provided in their Tender is commercially sensitive then it should be clearly marked as “Not for disclosure to third parties” together with valid reasons in support of the information being exempt from disclosure under the Act and the EIR.</w:t>
      </w:r>
    </w:p>
    <w:p w:rsidR="001513E0" w:rsidRPr="00C11369" w:rsidRDefault="001513E0" w:rsidP="001513E0">
      <w:pPr>
        <w:pStyle w:val="ListParagraph"/>
        <w:numPr>
          <w:ilvl w:val="0"/>
          <w:numId w:val="11"/>
        </w:numPr>
        <w:spacing w:after="0"/>
        <w:rPr>
          <w:sz w:val="21"/>
          <w:szCs w:val="21"/>
        </w:rPr>
      </w:pPr>
      <w:r w:rsidRPr="00C11369">
        <w:rPr>
          <w:sz w:val="21"/>
          <w:szCs w:val="21"/>
        </w:rPr>
        <w:t xml:space="preserve">The University will endeavour to consult with Tenderers and have regard to comments and any objections before it releases any information to a third party under the Act or the EIR. However, the University shall be entitled to determine in its absolute discretion whether any information is exempt from the Act and/or the EIR, or is to be </w:t>
      </w:r>
      <w:r w:rsidR="0058315C" w:rsidRPr="00C11369">
        <w:rPr>
          <w:sz w:val="21"/>
          <w:szCs w:val="21"/>
        </w:rPr>
        <w:t>disclosed</w:t>
      </w:r>
      <w:r w:rsidRPr="00C11369">
        <w:rPr>
          <w:sz w:val="21"/>
          <w:szCs w:val="21"/>
        </w:rPr>
        <w:t xml:space="preserve"> in response to a request of information. The University must make its decisions on disclosure in accordance with the provisions of the Act or the EIR and can only withhold information if it is covered by an exemption from disclosure under the Act or the EIR.</w:t>
      </w:r>
    </w:p>
    <w:p w:rsidR="001513E0" w:rsidRPr="00C11369" w:rsidRDefault="001513E0" w:rsidP="001513E0">
      <w:pPr>
        <w:pStyle w:val="ListParagraph"/>
        <w:numPr>
          <w:ilvl w:val="0"/>
          <w:numId w:val="11"/>
        </w:numPr>
        <w:spacing w:after="0"/>
        <w:rPr>
          <w:sz w:val="21"/>
          <w:szCs w:val="21"/>
        </w:rPr>
      </w:pPr>
      <w:r w:rsidRPr="00C11369">
        <w:rPr>
          <w:sz w:val="21"/>
          <w:szCs w:val="21"/>
        </w:rPr>
        <w:t>The University will not be held liable for any loss or prejudice caused by the disclosure of information that:</w:t>
      </w:r>
    </w:p>
    <w:p w:rsidR="001513E0" w:rsidRPr="00C11369" w:rsidRDefault="0058315C" w:rsidP="001513E0">
      <w:pPr>
        <w:pStyle w:val="ListParagraph"/>
        <w:numPr>
          <w:ilvl w:val="0"/>
          <w:numId w:val="13"/>
        </w:numPr>
        <w:spacing w:after="0"/>
        <w:rPr>
          <w:sz w:val="21"/>
          <w:szCs w:val="21"/>
        </w:rPr>
      </w:pPr>
      <w:r w:rsidRPr="00C11369">
        <w:rPr>
          <w:sz w:val="21"/>
          <w:szCs w:val="21"/>
        </w:rPr>
        <w:t>h</w:t>
      </w:r>
      <w:r w:rsidR="001513E0" w:rsidRPr="00C11369">
        <w:rPr>
          <w:sz w:val="21"/>
          <w:szCs w:val="21"/>
        </w:rPr>
        <w:t xml:space="preserve">as not been clearly </w:t>
      </w:r>
      <w:r w:rsidRPr="00C11369">
        <w:rPr>
          <w:sz w:val="21"/>
          <w:szCs w:val="21"/>
        </w:rPr>
        <w:t>marked</w:t>
      </w:r>
      <w:r w:rsidR="001513E0" w:rsidRPr="00C11369">
        <w:rPr>
          <w:sz w:val="21"/>
          <w:szCs w:val="21"/>
        </w:rPr>
        <w:t xml:space="preserve"> as “Not for disclosure to third parties” with supporting reasons (referring to the relevant category of exemption under the Act or EIR where possible; or</w:t>
      </w:r>
    </w:p>
    <w:p w:rsidR="001513E0" w:rsidRPr="00C11369" w:rsidRDefault="0058315C" w:rsidP="001513E0">
      <w:pPr>
        <w:pStyle w:val="ListParagraph"/>
        <w:numPr>
          <w:ilvl w:val="0"/>
          <w:numId w:val="13"/>
        </w:numPr>
        <w:spacing w:after="0"/>
        <w:rPr>
          <w:sz w:val="21"/>
          <w:szCs w:val="21"/>
        </w:rPr>
      </w:pPr>
      <w:r w:rsidRPr="00C11369">
        <w:rPr>
          <w:sz w:val="21"/>
          <w:szCs w:val="21"/>
        </w:rPr>
        <w:t>d</w:t>
      </w:r>
      <w:r w:rsidR="001513E0" w:rsidRPr="00C11369">
        <w:rPr>
          <w:sz w:val="21"/>
          <w:szCs w:val="21"/>
        </w:rPr>
        <w:t xml:space="preserve">oes not fall into a category of information that is exempt from disclosure under </w:t>
      </w:r>
      <w:r w:rsidRPr="00C11369">
        <w:rPr>
          <w:sz w:val="21"/>
          <w:szCs w:val="21"/>
        </w:rPr>
        <w:t>the Act</w:t>
      </w:r>
      <w:r w:rsidR="001513E0" w:rsidRPr="00C11369">
        <w:rPr>
          <w:sz w:val="21"/>
          <w:szCs w:val="21"/>
        </w:rPr>
        <w:t xml:space="preserve"> or EIR (for example, a trade secret or would </w:t>
      </w:r>
      <w:r w:rsidRPr="00C11369">
        <w:rPr>
          <w:sz w:val="21"/>
          <w:szCs w:val="21"/>
        </w:rPr>
        <w:t>likely</w:t>
      </w:r>
      <w:r w:rsidR="001513E0" w:rsidRPr="00C11369">
        <w:rPr>
          <w:sz w:val="21"/>
          <w:szCs w:val="21"/>
        </w:rPr>
        <w:t xml:space="preserve"> to prejudice the </w:t>
      </w:r>
      <w:r w:rsidRPr="00C11369">
        <w:rPr>
          <w:sz w:val="21"/>
          <w:szCs w:val="21"/>
        </w:rPr>
        <w:t>commercial</w:t>
      </w:r>
      <w:r w:rsidR="001513E0" w:rsidRPr="00C11369">
        <w:rPr>
          <w:sz w:val="21"/>
          <w:szCs w:val="21"/>
        </w:rPr>
        <w:t xml:space="preserve"> interests of an person); or</w:t>
      </w:r>
    </w:p>
    <w:p w:rsidR="00726E80" w:rsidRPr="00E53766" w:rsidRDefault="0058315C" w:rsidP="0058315C">
      <w:pPr>
        <w:pStyle w:val="ListParagraph"/>
        <w:numPr>
          <w:ilvl w:val="0"/>
          <w:numId w:val="13"/>
        </w:numPr>
        <w:spacing w:after="0"/>
        <w:rPr>
          <w:sz w:val="21"/>
          <w:szCs w:val="21"/>
        </w:rPr>
      </w:pPr>
      <w:proofErr w:type="gramStart"/>
      <w:r w:rsidRPr="00C11369">
        <w:rPr>
          <w:sz w:val="21"/>
          <w:szCs w:val="21"/>
        </w:rPr>
        <w:t>in</w:t>
      </w:r>
      <w:proofErr w:type="gramEnd"/>
      <w:r w:rsidRPr="00C11369">
        <w:rPr>
          <w:sz w:val="21"/>
          <w:szCs w:val="21"/>
        </w:rPr>
        <w:t xml:space="preserve"> cases where there is no absolute statutory duty to withhold information, then notwithstanding the previous clauses, in circumstances where it is in the public interest t to disclose any such information.</w:t>
      </w:r>
    </w:p>
    <w:p w:rsidR="00726E80" w:rsidRDefault="00726E80" w:rsidP="0058315C">
      <w:pPr>
        <w:spacing w:after="0"/>
        <w:rPr>
          <w:rFonts w:asciiTheme="minorHAnsi" w:hAnsiTheme="minorHAnsi"/>
          <w:b/>
          <w:sz w:val="21"/>
          <w:szCs w:val="21"/>
        </w:rPr>
      </w:pPr>
    </w:p>
    <w:p w:rsidR="00EF4DC6" w:rsidRDefault="00EF4DC6" w:rsidP="0058315C">
      <w:pPr>
        <w:spacing w:after="0"/>
        <w:rPr>
          <w:rFonts w:asciiTheme="minorHAnsi" w:hAnsiTheme="minorHAnsi"/>
          <w:b/>
          <w:sz w:val="21"/>
          <w:szCs w:val="21"/>
        </w:rPr>
      </w:pPr>
    </w:p>
    <w:p w:rsidR="0058315C" w:rsidRPr="00C11369" w:rsidRDefault="00EF4DC6" w:rsidP="0058315C">
      <w:pPr>
        <w:spacing w:after="0"/>
        <w:rPr>
          <w:rFonts w:asciiTheme="minorHAnsi" w:hAnsiTheme="minorHAnsi"/>
          <w:b/>
          <w:sz w:val="21"/>
          <w:szCs w:val="21"/>
        </w:rPr>
      </w:pPr>
      <w:r>
        <w:rPr>
          <w:rFonts w:asciiTheme="minorHAnsi" w:hAnsiTheme="minorHAnsi"/>
          <w:b/>
          <w:sz w:val="21"/>
          <w:szCs w:val="21"/>
        </w:rPr>
        <w:t>4</w:t>
      </w:r>
      <w:r w:rsidR="006051E1" w:rsidRPr="00C11369">
        <w:rPr>
          <w:rFonts w:asciiTheme="minorHAnsi" w:hAnsiTheme="minorHAnsi"/>
          <w:b/>
          <w:sz w:val="21"/>
          <w:szCs w:val="21"/>
        </w:rPr>
        <w:t>.6 PROCUREMENT PROC</w:t>
      </w:r>
      <w:r w:rsidR="0058315C" w:rsidRPr="00C11369">
        <w:rPr>
          <w:rFonts w:asciiTheme="minorHAnsi" w:hAnsiTheme="minorHAnsi"/>
          <w:b/>
          <w:sz w:val="21"/>
          <w:szCs w:val="21"/>
        </w:rPr>
        <w:t>ESS TIMETABLE</w:t>
      </w:r>
    </w:p>
    <w:p w:rsidR="007939C3" w:rsidRPr="00C11369" w:rsidRDefault="007939C3" w:rsidP="007939C3">
      <w:pPr>
        <w:spacing w:after="0"/>
        <w:rPr>
          <w:b/>
          <w:sz w:val="21"/>
          <w:szCs w:val="21"/>
        </w:rPr>
      </w:pPr>
    </w:p>
    <w:tbl>
      <w:tblPr>
        <w:tblStyle w:val="TableGrid"/>
        <w:tblW w:w="0" w:type="auto"/>
        <w:tblLook w:val="04A0"/>
      </w:tblPr>
      <w:tblGrid>
        <w:gridCol w:w="6091"/>
        <w:gridCol w:w="4252"/>
      </w:tblGrid>
      <w:tr w:rsidR="0058315C" w:rsidRPr="00C11369" w:rsidTr="69021DCA">
        <w:tc>
          <w:tcPr>
            <w:tcW w:w="6091" w:type="dxa"/>
          </w:tcPr>
          <w:p w:rsidR="0058315C" w:rsidRPr="00C11369" w:rsidRDefault="0058315C" w:rsidP="007939C3">
            <w:pPr>
              <w:spacing w:after="0"/>
              <w:rPr>
                <w:rFonts w:asciiTheme="minorHAnsi" w:hAnsiTheme="minorHAnsi"/>
                <w:b/>
                <w:sz w:val="21"/>
                <w:szCs w:val="21"/>
              </w:rPr>
            </w:pPr>
            <w:r w:rsidRPr="00C11369">
              <w:rPr>
                <w:rFonts w:asciiTheme="minorHAnsi" w:hAnsiTheme="minorHAnsi"/>
                <w:b/>
                <w:sz w:val="21"/>
                <w:szCs w:val="21"/>
              </w:rPr>
              <w:t>Event</w:t>
            </w:r>
          </w:p>
        </w:tc>
        <w:tc>
          <w:tcPr>
            <w:tcW w:w="4252" w:type="dxa"/>
          </w:tcPr>
          <w:p w:rsidR="0058315C" w:rsidRPr="00C11369" w:rsidRDefault="0058315C" w:rsidP="007939C3">
            <w:pPr>
              <w:spacing w:after="0"/>
              <w:rPr>
                <w:rFonts w:asciiTheme="minorHAnsi" w:hAnsiTheme="minorHAnsi"/>
                <w:b/>
                <w:sz w:val="21"/>
                <w:szCs w:val="21"/>
              </w:rPr>
            </w:pPr>
            <w:r w:rsidRPr="00C11369">
              <w:rPr>
                <w:rFonts w:asciiTheme="minorHAnsi" w:hAnsiTheme="minorHAnsi"/>
                <w:b/>
                <w:sz w:val="21"/>
                <w:szCs w:val="21"/>
              </w:rPr>
              <w:t>Date</w:t>
            </w:r>
          </w:p>
        </w:tc>
      </w:tr>
      <w:tr w:rsidR="0058315C" w:rsidRPr="00C11369" w:rsidTr="69021DCA">
        <w:tc>
          <w:tcPr>
            <w:tcW w:w="6091" w:type="dxa"/>
          </w:tcPr>
          <w:p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Deadline for queries and questions from tenderers</w:t>
            </w:r>
          </w:p>
        </w:tc>
        <w:tc>
          <w:tcPr>
            <w:tcW w:w="4252" w:type="dxa"/>
          </w:tcPr>
          <w:p w:rsidR="0058315C" w:rsidRPr="00C11369" w:rsidRDefault="00A54CE5" w:rsidP="69021DCA">
            <w:pPr>
              <w:spacing w:after="0"/>
              <w:rPr>
                <w:rFonts w:asciiTheme="minorHAnsi" w:hAnsiTheme="minorHAnsi"/>
                <w:sz w:val="21"/>
                <w:szCs w:val="21"/>
              </w:rPr>
            </w:pPr>
            <w:r>
              <w:rPr>
                <w:rFonts w:asciiTheme="minorHAnsi" w:hAnsiTheme="minorHAnsi"/>
                <w:sz w:val="21"/>
                <w:szCs w:val="21"/>
              </w:rPr>
              <w:t>Monday 9</w:t>
            </w:r>
            <w:r w:rsidR="00726E80" w:rsidRPr="00726E80">
              <w:rPr>
                <w:rFonts w:asciiTheme="minorHAnsi" w:hAnsiTheme="minorHAnsi"/>
                <w:sz w:val="21"/>
                <w:szCs w:val="21"/>
                <w:vertAlign w:val="superscript"/>
              </w:rPr>
              <w:t>th</w:t>
            </w:r>
            <w:r w:rsidR="00726E80">
              <w:rPr>
                <w:rFonts w:asciiTheme="minorHAnsi" w:hAnsiTheme="minorHAnsi"/>
                <w:sz w:val="21"/>
                <w:szCs w:val="21"/>
              </w:rPr>
              <w:t xml:space="preserve"> April 2018</w:t>
            </w:r>
          </w:p>
        </w:tc>
      </w:tr>
      <w:tr w:rsidR="0058315C" w:rsidRPr="00C11369" w:rsidTr="69021DCA">
        <w:tc>
          <w:tcPr>
            <w:tcW w:w="6091" w:type="dxa"/>
          </w:tcPr>
          <w:p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Deadline for the submission of tenders</w:t>
            </w:r>
          </w:p>
        </w:tc>
        <w:tc>
          <w:tcPr>
            <w:tcW w:w="4252" w:type="dxa"/>
          </w:tcPr>
          <w:p w:rsidR="0058315C" w:rsidRPr="00C11369" w:rsidRDefault="00A54CE5" w:rsidP="69021DCA">
            <w:pPr>
              <w:spacing w:after="0"/>
              <w:rPr>
                <w:rFonts w:asciiTheme="minorHAnsi" w:hAnsiTheme="minorHAnsi"/>
                <w:sz w:val="21"/>
                <w:szCs w:val="21"/>
              </w:rPr>
            </w:pPr>
            <w:r>
              <w:rPr>
                <w:rFonts w:asciiTheme="minorHAnsi" w:hAnsiTheme="minorHAnsi"/>
                <w:sz w:val="21"/>
                <w:szCs w:val="21"/>
              </w:rPr>
              <w:t>Monday 9</w:t>
            </w:r>
            <w:r w:rsidRPr="00A54CE5">
              <w:rPr>
                <w:rFonts w:asciiTheme="minorHAnsi" w:hAnsiTheme="minorHAnsi"/>
                <w:sz w:val="21"/>
                <w:szCs w:val="21"/>
                <w:vertAlign w:val="superscript"/>
              </w:rPr>
              <w:t>th</w:t>
            </w:r>
            <w:r w:rsidR="00726E80">
              <w:rPr>
                <w:rFonts w:asciiTheme="minorHAnsi" w:hAnsiTheme="minorHAnsi"/>
                <w:sz w:val="21"/>
                <w:szCs w:val="21"/>
              </w:rPr>
              <w:t>April 2018</w:t>
            </w:r>
          </w:p>
        </w:tc>
      </w:tr>
      <w:tr w:rsidR="0058315C" w:rsidRPr="00C11369" w:rsidTr="69021DCA">
        <w:tc>
          <w:tcPr>
            <w:tcW w:w="6091" w:type="dxa"/>
          </w:tcPr>
          <w:p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Evaluation of tenders</w:t>
            </w:r>
            <w:r w:rsidR="00726E80">
              <w:rPr>
                <w:rFonts w:asciiTheme="minorHAnsi" w:hAnsiTheme="minorHAnsi"/>
                <w:sz w:val="21"/>
                <w:szCs w:val="21"/>
              </w:rPr>
              <w:t>, interviews, presentations</w:t>
            </w:r>
          </w:p>
        </w:tc>
        <w:tc>
          <w:tcPr>
            <w:tcW w:w="4252" w:type="dxa"/>
          </w:tcPr>
          <w:p w:rsidR="0058315C" w:rsidRPr="00C11369" w:rsidRDefault="69021DCA" w:rsidP="00726E80">
            <w:pPr>
              <w:spacing w:after="0"/>
              <w:rPr>
                <w:rFonts w:asciiTheme="minorHAnsi" w:hAnsiTheme="minorHAnsi"/>
                <w:sz w:val="21"/>
                <w:szCs w:val="21"/>
              </w:rPr>
            </w:pPr>
            <w:r w:rsidRPr="00C11369">
              <w:rPr>
                <w:rFonts w:asciiTheme="minorHAnsi" w:hAnsiTheme="minorHAnsi"/>
                <w:sz w:val="21"/>
                <w:szCs w:val="21"/>
              </w:rPr>
              <w:t xml:space="preserve">w/c </w:t>
            </w:r>
            <w:r w:rsidR="00726E80">
              <w:rPr>
                <w:rFonts w:asciiTheme="minorHAnsi" w:hAnsiTheme="minorHAnsi"/>
                <w:sz w:val="21"/>
                <w:szCs w:val="21"/>
              </w:rPr>
              <w:t>9</w:t>
            </w:r>
            <w:r w:rsidR="00726E80" w:rsidRPr="00726E80">
              <w:rPr>
                <w:rFonts w:asciiTheme="minorHAnsi" w:hAnsiTheme="minorHAnsi"/>
                <w:sz w:val="21"/>
                <w:szCs w:val="21"/>
                <w:vertAlign w:val="superscript"/>
              </w:rPr>
              <w:t>th</w:t>
            </w:r>
            <w:r w:rsidR="00726E80">
              <w:rPr>
                <w:rFonts w:asciiTheme="minorHAnsi" w:hAnsiTheme="minorHAnsi"/>
                <w:sz w:val="21"/>
                <w:szCs w:val="21"/>
              </w:rPr>
              <w:t xml:space="preserve"> April and 16</w:t>
            </w:r>
            <w:r w:rsidR="00726E80" w:rsidRPr="00726E80">
              <w:rPr>
                <w:rFonts w:asciiTheme="minorHAnsi" w:hAnsiTheme="minorHAnsi"/>
                <w:sz w:val="21"/>
                <w:szCs w:val="21"/>
                <w:vertAlign w:val="superscript"/>
              </w:rPr>
              <w:t>th</w:t>
            </w:r>
            <w:r w:rsidR="00726E80">
              <w:rPr>
                <w:rFonts w:asciiTheme="minorHAnsi" w:hAnsiTheme="minorHAnsi"/>
                <w:sz w:val="21"/>
                <w:szCs w:val="21"/>
              </w:rPr>
              <w:t xml:space="preserve"> April 2018</w:t>
            </w:r>
          </w:p>
        </w:tc>
      </w:tr>
      <w:tr w:rsidR="0058315C" w:rsidRPr="00C11369" w:rsidTr="69021DCA">
        <w:tc>
          <w:tcPr>
            <w:tcW w:w="6091" w:type="dxa"/>
          </w:tcPr>
          <w:p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Notification to successful and unsuccessful bidders</w:t>
            </w:r>
          </w:p>
        </w:tc>
        <w:tc>
          <w:tcPr>
            <w:tcW w:w="4252" w:type="dxa"/>
          </w:tcPr>
          <w:p w:rsidR="0058315C" w:rsidRPr="00C11369" w:rsidRDefault="00726E80" w:rsidP="69021DCA">
            <w:pPr>
              <w:spacing w:after="0"/>
              <w:rPr>
                <w:rFonts w:asciiTheme="minorHAnsi" w:hAnsiTheme="minorHAnsi"/>
                <w:sz w:val="21"/>
                <w:szCs w:val="21"/>
              </w:rPr>
            </w:pPr>
            <w:r>
              <w:rPr>
                <w:rFonts w:asciiTheme="minorHAnsi" w:hAnsiTheme="minorHAnsi"/>
                <w:sz w:val="21"/>
                <w:szCs w:val="21"/>
              </w:rPr>
              <w:t>No later than Friday 20</w:t>
            </w:r>
            <w:r w:rsidRPr="00726E80">
              <w:rPr>
                <w:rFonts w:asciiTheme="minorHAnsi" w:hAnsiTheme="minorHAnsi"/>
                <w:sz w:val="21"/>
                <w:szCs w:val="21"/>
                <w:vertAlign w:val="superscript"/>
              </w:rPr>
              <w:t>th</w:t>
            </w:r>
            <w:r>
              <w:rPr>
                <w:rFonts w:asciiTheme="minorHAnsi" w:hAnsiTheme="minorHAnsi"/>
                <w:sz w:val="21"/>
                <w:szCs w:val="21"/>
              </w:rPr>
              <w:t xml:space="preserve"> April 2018</w:t>
            </w:r>
          </w:p>
        </w:tc>
      </w:tr>
      <w:tr w:rsidR="0058315C" w:rsidRPr="00C11369" w:rsidTr="69021DCA">
        <w:tc>
          <w:tcPr>
            <w:tcW w:w="6091" w:type="dxa"/>
          </w:tcPr>
          <w:p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Standstill Period</w:t>
            </w:r>
          </w:p>
        </w:tc>
        <w:tc>
          <w:tcPr>
            <w:tcW w:w="4252" w:type="dxa"/>
          </w:tcPr>
          <w:p w:rsidR="0058315C" w:rsidRPr="00C11369" w:rsidRDefault="00360FF0" w:rsidP="007939C3">
            <w:pPr>
              <w:spacing w:after="0"/>
              <w:rPr>
                <w:rFonts w:asciiTheme="minorHAnsi" w:hAnsiTheme="minorHAnsi"/>
                <w:sz w:val="21"/>
                <w:szCs w:val="21"/>
              </w:rPr>
            </w:pPr>
            <w:r w:rsidRPr="00C11369">
              <w:rPr>
                <w:rFonts w:asciiTheme="minorHAnsi" w:hAnsiTheme="minorHAnsi"/>
                <w:sz w:val="21"/>
                <w:szCs w:val="21"/>
              </w:rPr>
              <w:t>10 Calendar days following notification of award</w:t>
            </w:r>
          </w:p>
        </w:tc>
      </w:tr>
      <w:tr w:rsidR="0058315C" w:rsidRPr="00C11369" w:rsidTr="69021DCA">
        <w:tc>
          <w:tcPr>
            <w:tcW w:w="6091" w:type="dxa"/>
          </w:tcPr>
          <w:p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Contract Award Date</w:t>
            </w:r>
          </w:p>
        </w:tc>
        <w:tc>
          <w:tcPr>
            <w:tcW w:w="4252" w:type="dxa"/>
          </w:tcPr>
          <w:p w:rsidR="0058315C" w:rsidRPr="00C11369" w:rsidRDefault="00726E80" w:rsidP="69021DCA">
            <w:pPr>
              <w:spacing w:after="0"/>
              <w:rPr>
                <w:rFonts w:asciiTheme="minorHAnsi" w:hAnsiTheme="minorHAnsi"/>
                <w:sz w:val="21"/>
                <w:szCs w:val="21"/>
              </w:rPr>
            </w:pPr>
            <w:r>
              <w:rPr>
                <w:rFonts w:asciiTheme="minorHAnsi" w:hAnsiTheme="minorHAnsi"/>
                <w:sz w:val="21"/>
                <w:szCs w:val="21"/>
              </w:rPr>
              <w:t>Friday 20</w:t>
            </w:r>
            <w:r w:rsidRPr="00726E80">
              <w:rPr>
                <w:rFonts w:asciiTheme="minorHAnsi" w:hAnsiTheme="minorHAnsi"/>
                <w:sz w:val="21"/>
                <w:szCs w:val="21"/>
                <w:vertAlign w:val="superscript"/>
              </w:rPr>
              <w:t>th</w:t>
            </w:r>
            <w:r>
              <w:rPr>
                <w:rFonts w:asciiTheme="minorHAnsi" w:hAnsiTheme="minorHAnsi"/>
                <w:sz w:val="21"/>
                <w:szCs w:val="21"/>
              </w:rPr>
              <w:t xml:space="preserve"> April 2018</w:t>
            </w:r>
          </w:p>
        </w:tc>
      </w:tr>
      <w:tr w:rsidR="0058315C" w:rsidRPr="00C11369" w:rsidTr="69021DCA">
        <w:tc>
          <w:tcPr>
            <w:tcW w:w="6091" w:type="dxa"/>
          </w:tcPr>
          <w:p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Contract Start Date</w:t>
            </w:r>
          </w:p>
        </w:tc>
        <w:tc>
          <w:tcPr>
            <w:tcW w:w="4252" w:type="dxa"/>
          </w:tcPr>
          <w:p w:rsidR="0058315C" w:rsidRPr="00C11369" w:rsidRDefault="00726E80" w:rsidP="007939C3">
            <w:pPr>
              <w:spacing w:after="0"/>
              <w:rPr>
                <w:rFonts w:asciiTheme="minorHAnsi" w:hAnsiTheme="minorHAnsi"/>
                <w:sz w:val="21"/>
                <w:szCs w:val="21"/>
              </w:rPr>
            </w:pPr>
            <w:r>
              <w:rPr>
                <w:rFonts w:asciiTheme="minorHAnsi" w:hAnsiTheme="minorHAnsi"/>
                <w:sz w:val="21"/>
                <w:szCs w:val="21"/>
              </w:rPr>
              <w:t>Monday 30</w:t>
            </w:r>
            <w:r w:rsidRPr="00726E80">
              <w:rPr>
                <w:rFonts w:asciiTheme="minorHAnsi" w:hAnsiTheme="minorHAnsi"/>
                <w:sz w:val="21"/>
                <w:szCs w:val="21"/>
                <w:vertAlign w:val="superscript"/>
              </w:rPr>
              <w:t>th</w:t>
            </w:r>
            <w:r>
              <w:rPr>
                <w:rFonts w:asciiTheme="minorHAnsi" w:hAnsiTheme="minorHAnsi"/>
                <w:sz w:val="21"/>
                <w:szCs w:val="21"/>
              </w:rPr>
              <w:t xml:space="preserve"> April 2018</w:t>
            </w:r>
          </w:p>
        </w:tc>
      </w:tr>
      <w:tr w:rsidR="0058315C" w:rsidRPr="00C11369" w:rsidTr="69021DCA">
        <w:tc>
          <w:tcPr>
            <w:tcW w:w="6091" w:type="dxa"/>
          </w:tcPr>
          <w:p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Contract End Date</w:t>
            </w:r>
          </w:p>
        </w:tc>
        <w:tc>
          <w:tcPr>
            <w:tcW w:w="4252" w:type="dxa"/>
          </w:tcPr>
          <w:p w:rsidR="0058315C" w:rsidRPr="00C11369" w:rsidRDefault="00620809" w:rsidP="007939C3">
            <w:pPr>
              <w:spacing w:after="0"/>
              <w:rPr>
                <w:rFonts w:asciiTheme="minorHAnsi" w:hAnsiTheme="minorHAnsi"/>
                <w:sz w:val="21"/>
                <w:szCs w:val="21"/>
              </w:rPr>
            </w:pPr>
            <w:r>
              <w:rPr>
                <w:rFonts w:asciiTheme="minorHAnsi" w:hAnsiTheme="minorHAnsi"/>
                <w:sz w:val="21"/>
                <w:szCs w:val="21"/>
              </w:rPr>
              <w:t>Friday 28</w:t>
            </w:r>
            <w:r w:rsidRPr="00620809">
              <w:rPr>
                <w:rFonts w:asciiTheme="minorHAnsi" w:hAnsiTheme="minorHAnsi"/>
                <w:sz w:val="21"/>
                <w:szCs w:val="21"/>
                <w:vertAlign w:val="superscript"/>
              </w:rPr>
              <w:t>th</w:t>
            </w:r>
            <w:r>
              <w:rPr>
                <w:rFonts w:asciiTheme="minorHAnsi" w:hAnsiTheme="minorHAnsi"/>
                <w:sz w:val="21"/>
                <w:szCs w:val="21"/>
              </w:rPr>
              <w:t xml:space="preserve"> June 201</w:t>
            </w:r>
            <w:r w:rsidR="00AB0E24">
              <w:rPr>
                <w:rFonts w:asciiTheme="minorHAnsi" w:hAnsiTheme="minorHAnsi"/>
                <w:sz w:val="21"/>
                <w:szCs w:val="21"/>
              </w:rPr>
              <w:t>9</w:t>
            </w:r>
          </w:p>
        </w:tc>
      </w:tr>
    </w:tbl>
    <w:p w:rsidR="0058315C" w:rsidRPr="00C11369" w:rsidRDefault="0058315C" w:rsidP="007939C3">
      <w:pPr>
        <w:spacing w:after="0"/>
        <w:rPr>
          <w:rFonts w:asciiTheme="minorHAnsi" w:hAnsiTheme="minorHAnsi"/>
          <w:sz w:val="21"/>
          <w:szCs w:val="21"/>
        </w:rPr>
      </w:pPr>
    </w:p>
    <w:p w:rsidR="00654F83" w:rsidRPr="00C11369" w:rsidRDefault="00654F83" w:rsidP="00360FF0">
      <w:pPr>
        <w:pStyle w:val="Default"/>
        <w:rPr>
          <w:rFonts w:asciiTheme="minorHAnsi" w:hAnsiTheme="minorHAnsi"/>
          <w:b/>
          <w:bCs/>
          <w:sz w:val="21"/>
          <w:szCs w:val="21"/>
        </w:rPr>
      </w:pPr>
    </w:p>
    <w:p w:rsidR="00654F83" w:rsidRPr="00C11369" w:rsidRDefault="00120363" w:rsidP="00360FF0">
      <w:pPr>
        <w:pStyle w:val="Default"/>
        <w:rPr>
          <w:rFonts w:asciiTheme="minorHAnsi" w:hAnsiTheme="minorHAnsi"/>
          <w:b/>
          <w:bCs/>
          <w:sz w:val="32"/>
          <w:szCs w:val="32"/>
        </w:rPr>
      </w:pPr>
      <w:r>
        <w:rPr>
          <w:rFonts w:asciiTheme="minorHAnsi" w:hAnsiTheme="minorHAnsi"/>
          <w:b/>
          <w:bCs/>
          <w:sz w:val="32"/>
          <w:szCs w:val="32"/>
        </w:rPr>
        <w:t>5</w:t>
      </w:r>
      <w:r w:rsidRPr="00C11369">
        <w:rPr>
          <w:rFonts w:asciiTheme="minorHAnsi" w:hAnsiTheme="minorHAnsi"/>
          <w:b/>
          <w:bCs/>
          <w:sz w:val="32"/>
          <w:szCs w:val="32"/>
        </w:rPr>
        <w:t>. STANDARD</w:t>
      </w:r>
      <w:r w:rsidR="00654F83" w:rsidRPr="00C11369">
        <w:rPr>
          <w:rFonts w:asciiTheme="minorHAnsi" w:hAnsiTheme="minorHAnsi"/>
          <w:b/>
          <w:bCs/>
          <w:sz w:val="32"/>
          <w:szCs w:val="32"/>
        </w:rPr>
        <w:t xml:space="preserve"> TERMS</w:t>
      </w:r>
    </w:p>
    <w:p w:rsidR="00654F83" w:rsidRPr="00C11369" w:rsidRDefault="00654F83" w:rsidP="00360FF0">
      <w:pPr>
        <w:pStyle w:val="Default"/>
        <w:rPr>
          <w:rFonts w:asciiTheme="minorHAnsi" w:hAnsiTheme="minorHAnsi"/>
          <w:b/>
          <w:bCs/>
          <w:sz w:val="21"/>
          <w:szCs w:val="21"/>
        </w:rPr>
      </w:pPr>
    </w:p>
    <w:p w:rsidR="00360FF0" w:rsidRPr="00C11369" w:rsidRDefault="00EF4DC6" w:rsidP="00360FF0">
      <w:pPr>
        <w:pStyle w:val="Default"/>
        <w:rPr>
          <w:rFonts w:asciiTheme="minorHAnsi" w:hAnsiTheme="minorHAnsi"/>
          <w:sz w:val="21"/>
          <w:szCs w:val="21"/>
        </w:rPr>
      </w:pPr>
      <w:r>
        <w:rPr>
          <w:rFonts w:asciiTheme="minorHAnsi" w:hAnsiTheme="minorHAnsi"/>
          <w:b/>
          <w:bCs/>
          <w:sz w:val="21"/>
          <w:szCs w:val="21"/>
        </w:rPr>
        <w:t>5</w:t>
      </w:r>
      <w:r w:rsidR="00654F83" w:rsidRPr="00C11369">
        <w:rPr>
          <w:rFonts w:asciiTheme="minorHAnsi" w:hAnsiTheme="minorHAnsi"/>
          <w:b/>
          <w:bCs/>
          <w:sz w:val="21"/>
          <w:szCs w:val="21"/>
        </w:rPr>
        <w:t>.1</w:t>
      </w:r>
      <w:r w:rsidR="00360FF0" w:rsidRPr="00C11369">
        <w:rPr>
          <w:rFonts w:asciiTheme="minorHAnsi" w:hAnsiTheme="minorHAnsi"/>
          <w:b/>
          <w:bCs/>
          <w:sz w:val="21"/>
          <w:szCs w:val="21"/>
        </w:rPr>
        <w:t xml:space="preserve"> TERMS OF PAYMENT </w:t>
      </w:r>
    </w:p>
    <w:p w:rsidR="00360FF0" w:rsidRPr="00C11369" w:rsidRDefault="00360FF0" w:rsidP="00360FF0">
      <w:pPr>
        <w:pStyle w:val="Default"/>
        <w:rPr>
          <w:rFonts w:asciiTheme="minorHAnsi" w:hAnsiTheme="minorHAnsi"/>
          <w:sz w:val="21"/>
          <w:szCs w:val="21"/>
        </w:rPr>
      </w:pPr>
      <w:r w:rsidRPr="00C11369">
        <w:rPr>
          <w:rFonts w:asciiTheme="minorHAnsi" w:hAnsiTheme="minorHAnsi"/>
          <w:sz w:val="21"/>
          <w:szCs w:val="21"/>
        </w:rPr>
        <w:t xml:space="preserve">Unless otherwise stated in the Order, the University shall pay the Price of the Goods and the Services within 30 days </w:t>
      </w:r>
      <w:r w:rsidR="00E70DC2" w:rsidRPr="00C11369">
        <w:rPr>
          <w:rFonts w:asciiTheme="minorHAnsi" w:hAnsiTheme="minorHAnsi"/>
          <w:sz w:val="21"/>
          <w:szCs w:val="21"/>
        </w:rPr>
        <w:t xml:space="preserve">of receipt of an invoice only if accompanied by a </w:t>
      </w:r>
      <w:r w:rsidR="006051E1" w:rsidRPr="00C11369">
        <w:rPr>
          <w:rFonts w:asciiTheme="minorHAnsi" w:hAnsiTheme="minorHAnsi"/>
          <w:sz w:val="21"/>
          <w:szCs w:val="21"/>
        </w:rPr>
        <w:t>valid Purchase</w:t>
      </w:r>
      <w:r w:rsidR="00E70DC2" w:rsidRPr="00C11369">
        <w:rPr>
          <w:rFonts w:asciiTheme="minorHAnsi" w:hAnsiTheme="minorHAnsi"/>
          <w:sz w:val="21"/>
          <w:szCs w:val="21"/>
        </w:rPr>
        <w:t xml:space="preserve"> Order supplied by the University before the invoice is raised. It is important to note that invoices sent without a Purchase Order could </w:t>
      </w:r>
      <w:r w:rsidR="006051E1" w:rsidRPr="00C11369">
        <w:rPr>
          <w:rFonts w:asciiTheme="minorHAnsi" w:hAnsiTheme="minorHAnsi"/>
          <w:sz w:val="21"/>
          <w:szCs w:val="21"/>
        </w:rPr>
        <w:t>result</w:t>
      </w:r>
      <w:r w:rsidR="00E70DC2" w:rsidRPr="00C11369">
        <w:rPr>
          <w:rFonts w:asciiTheme="minorHAnsi" w:hAnsiTheme="minorHAnsi"/>
          <w:sz w:val="21"/>
          <w:szCs w:val="21"/>
        </w:rPr>
        <w:t xml:space="preserve"> in a delay in payment.</w:t>
      </w:r>
    </w:p>
    <w:p w:rsidR="00E70DC2" w:rsidRPr="00C11369" w:rsidRDefault="00E70DC2" w:rsidP="00360FF0">
      <w:pPr>
        <w:pStyle w:val="Default"/>
        <w:rPr>
          <w:rFonts w:asciiTheme="minorHAnsi" w:hAnsiTheme="minorHAnsi"/>
          <w:sz w:val="21"/>
          <w:szCs w:val="21"/>
        </w:rPr>
      </w:pPr>
    </w:p>
    <w:p w:rsidR="00E70DC2" w:rsidRPr="00C11369" w:rsidRDefault="00EF4DC6" w:rsidP="00E70DC2">
      <w:pPr>
        <w:pStyle w:val="Default"/>
        <w:rPr>
          <w:rFonts w:asciiTheme="minorHAnsi" w:hAnsiTheme="minorHAnsi"/>
          <w:sz w:val="21"/>
          <w:szCs w:val="21"/>
        </w:rPr>
      </w:pPr>
      <w:r>
        <w:rPr>
          <w:rFonts w:asciiTheme="minorHAnsi" w:hAnsiTheme="minorHAnsi"/>
          <w:b/>
          <w:bCs/>
          <w:sz w:val="21"/>
          <w:szCs w:val="21"/>
        </w:rPr>
        <w:t>5</w:t>
      </w:r>
      <w:r w:rsidR="00654F83" w:rsidRPr="00C11369">
        <w:rPr>
          <w:rFonts w:asciiTheme="minorHAnsi" w:hAnsiTheme="minorHAnsi"/>
          <w:b/>
          <w:bCs/>
          <w:sz w:val="21"/>
          <w:szCs w:val="21"/>
        </w:rPr>
        <w:t>.2</w:t>
      </w:r>
      <w:r w:rsidR="00E70DC2" w:rsidRPr="00C11369">
        <w:rPr>
          <w:rFonts w:asciiTheme="minorHAnsi" w:hAnsiTheme="minorHAnsi"/>
          <w:b/>
          <w:bCs/>
          <w:sz w:val="21"/>
          <w:szCs w:val="21"/>
        </w:rPr>
        <w:t xml:space="preserve"> INDEMNITY &amp; INSURANCE </w:t>
      </w:r>
    </w:p>
    <w:p w:rsidR="007055F2" w:rsidRPr="00C11369" w:rsidRDefault="007055F2" w:rsidP="007055F2">
      <w:pPr>
        <w:pStyle w:val="Default"/>
        <w:rPr>
          <w:rFonts w:asciiTheme="minorHAnsi" w:hAnsiTheme="minorHAnsi"/>
          <w:sz w:val="21"/>
          <w:szCs w:val="21"/>
        </w:rPr>
      </w:pPr>
    </w:p>
    <w:p w:rsidR="007055F2" w:rsidRPr="00C11369" w:rsidRDefault="007055F2" w:rsidP="007055F2">
      <w:pPr>
        <w:pStyle w:val="Default"/>
        <w:spacing w:after="17"/>
        <w:rPr>
          <w:rFonts w:asciiTheme="minorHAnsi" w:hAnsiTheme="minorHAnsi"/>
          <w:sz w:val="21"/>
          <w:szCs w:val="21"/>
        </w:rPr>
      </w:pPr>
      <w:r w:rsidRPr="00C11369">
        <w:rPr>
          <w:rFonts w:asciiTheme="minorHAnsi" w:hAnsiTheme="minorHAnsi"/>
          <w:sz w:val="21"/>
          <w:szCs w:val="21"/>
        </w:rPr>
        <w:t xml:space="preserve">The Supplier shall maintain in force for the duration of this agreement adequate public liability and in the case of professional or intellectually based services professional indemnity insurance relating to the provision of Services pursuant to this Agreement. </w:t>
      </w:r>
    </w:p>
    <w:p w:rsidR="007055F2" w:rsidRPr="00C11369" w:rsidRDefault="007055F2" w:rsidP="007055F2">
      <w:pPr>
        <w:pStyle w:val="Default"/>
        <w:spacing w:after="17"/>
        <w:rPr>
          <w:rFonts w:asciiTheme="minorHAnsi" w:hAnsiTheme="minorHAnsi"/>
          <w:sz w:val="21"/>
          <w:szCs w:val="21"/>
        </w:rPr>
      </w:pPr>
    </w:p>
    <w:p w:rsidR="007055F2" w:rsidRPr="00C11369" w:rsidRDefault="007055F2" w:rsidP="007055F2">
      <w:pPr>
        <w:pStyle w:val="Default"/>
        <w:rPr>
          <w:rFonts w:asciiTheme="minorHAnsi" w:hAnsiTheme="minorHAnsi"/>
          <w:sz w:val="21"/>
          <w:szCs w:val="21"/>
        </w:rPr>
      </w:pPr>
      <w:r w:rsidRPr="00C11369">
        <w:rPr>
          <w:rFonts w:asciiTheme="minorHAnsi" w:hAnsiTheme="minorHAnsi"/>
          <w:sz w:val="21"/>
          <w:szCs w:val="21"/>
        </w:rPr>
        <w:t xml:space="preserve">The Contractor shall indemnify and hold the University harmless from all liability, loss, damage costs, claims and all direct, indirect or consequential liabilities (including loss of profits, loss of business, depletion of goodwill and similar losses), costs, proceedings, damages and </w:t>
      </w:r>
      <w:r w:rsidR="006051E1" w:rsidRPr="00C11369">
        <w:rPr>
          <w:rFonts w:asciiTheme="minorHAnsi" w:hAnsiTheme="minorHAnsi"/>
          <w:sz w:val="21"/>
          <w:szCs w:val="21"/>
        </w:rPr>
        <w:t>expenses (</w:t>
      </w:r>
      <w:r w:rsidRPr="00C11369">
        <w:rPr>
          <w:rFonts w:asciiTheme="minorHAnsi" w:hAnsiTheme="minorHAnsi" w:cs="Times New Roman"/>
          <w:color w:val="auto"/>
          <w:sz w:val="21"/>
          <w:szCs w:val="21"/>
        </w:rPr>
        <w:t xml:space="preserve">including legal expenses) awarded against or incurred or paid by the University as a result of or in connection with: </w:t>
      </w:r>
    </w:p>
    <w:p w:rsidR="007055F2" w:rsidRPr="00C11369" w:rsidRDefault="007055F2" w:rsidP="007055F2">
      <w:pPr>
        <w:pStyle w:val="Default"/>
        <w:numPr>
          <w:ilvl w:val="0"/>
          <w:numId w:val="17"/>
        </w:numPr>
        <w:rPr>
          <w:rFonts w:asciiTheme="minorHAnsi" w:hAnsiTheme="minorHAnsi" w:cs="Times New Roman"/>
          <w:color w:val="auto"/>
          <w:sz w:val="21"/>
          <w:szCs w:val="21"/>
        </w:rPr>
      </w:pPr>
      <w:r w:rsidRPr="00C11369">
        <w:rPr>
          <w:rFonts w:asciiTheme="minorHAnsi" w:hAnsiTheme="minorHAnsi" w:cs="Times New Roman"/>
          <w:color w:val="auto"/>
          <w:sz w:val="21"/>
          <w:szCs w:val="21"/>
        </w:rPr>
        <w:t xml:space="preserve">breach of any warranty given by the Contractor in relation to the Goods or Services; </w:t>
      </w:r>
    </w:p>
    <w:p w:rsidR="007055F2" w:rsidRPr="00C11369" w:rsidRDefault="007055F2" w:rsidP="007055F2">
      <w:pPr>
        <w:pStyle w:val="Default"/>
        <w:numPr>
          <w:ilvl w:val="0"/>
          <w:numId w:val="17"/>
        </w:numPr>
        <w:rPr>
          <w:rFonts w:asciiTheme="minorHAnsi" w:hAnsiTheme="minorHAnsi" w:cs="Times New Roman"/>
          <w:color w:val="auto"/>
          <w:sz w:val="21"/>
          <w:szCs w:val="21"/>
        </w:rPr>
      </w:pPr>
      <w:r w:rsidRPr="00C11369">
        <w:rPr>
          <w:rFonts w:asciiTheme="minorHAnsi" w:hAnsiTheme="minorHAnsi" w:cs="Times New Roman"/>
          <w:color w:val="auto"/>
          <w:sz w:val="21"/>
          <w:szCs w:val="21"/>
        </w:rPr>
        <w:t xml:space="preserve">any alleged or actual infringement, whether or not under English law, of any third party's Intellectual Property Rights or other rights arising out of the use or supply of the products of the Services (including the Deliverables); </w:t>
      </w:r>
    </w:p>
    <w:p w:rsidR="007055F2" w:rsidRPr="00C11369" w:rsidRDefault="007055F2" w:rsidP="007055F2">
      <w:pPr>
        <w:pStyle w:val="Default"/>
        <w:numPr>
          <w:ilvl w:val="0"/>
          <w:numId w:val="17"/>
        </w:numPr>
        <w:rPr>
          <w:rFonts w:asciiTheme="minorHAnsi" w:hAnsiTheme="minorHAnsi" w:cs="Times New Roman"/>
          <w:color w:val="auto"/>
          <w:sz w:val="21"/>
          <w:szCs w:val="21"/>
        </w:rPr>
      </w:pPr>
      <w:r w:rsidRPr="00C11369">
        <w:rPr>
          <w:rFonts w:asciiTheme="minorHAnsi" w:hAnsiTheme="minorHAnsi" w:cs="Times New Roman"/>
          <w:color w:val="auto"/>
          <w:sz w:val="21"/>
          <w:szCs w:val="21"/>
        </w:rPr>
        <w:t xml:space="preserve">any liability under the Consumer Protection Act 1987 in respect of the Goods; </w:t>
      </w:r>
    </w:p>
    <w:p w:rsidR="007055F2" w:rsidRPr="00C11369" w:rsidRDefault="007055F2" w:rsidP="007055F2">
      <w:pPr>
        <w:pStyle w:val="Default"/>
        <w:numPr>
          <w:ilvl w:val="0"/>
          <w:numId w:val="17"/>
        </w:numPr>
        <w:rPr>
          <w:rFonts w:asciiTheme="minorHAnsi" w:hAnsiTheme="minorHAnsi" w:cs="Times New Roman"/>
          <w:color w:val="auto"/>
          <w:sz w:val="21"/>
          <w:szCs w:val="21"/>
        </w:rPr>
      </w:pPr>
      <w:r w:rsidRPr="00C11369">
        <w:rPr>
          <w:rFonts w:asciiTheme="minorHAnsi" w:hAnsiTheme="minorHAnsi" w:cs="Times New Roman"/>
          <w:color w:val="auto"/>
          <w:sz w:val="21"/>
          <w:szCs w:val="21"/>
        </w:rPr>
        <w:t xml:space="preserve">act or omission of the Contractor or its employees, agents or subcontractors in supplying, delivering and installing the Goods; </w:t>
      </w:r>
    </w:p>
    <w:p w:rsidR="007055F2" w:rsidRPr="00C11369" w:rsidRDefault="007055F2" w:rsidP="007055F2">
      <w:pPr>
        <w:pStyle w:val="Default"/>
        <w:numPr>
          <w:ilvl w:val="0"/>
          <w:numId w:val="17"/>
        </w:numPr>
        <w:rPr>
          <w:rFonts w:asciiTheme="minorHAnsi" w:hAnsiTheme="minorHAnsi" w:cs="Times New Roman"/>
          <w:color w:val="auto"/>
          <w:sz w:val="21"/>
          <w:szCs w:val="21"/>
        </w:rPr>
      </w:pPr>
      <w:r w:rsidRPr="00C11369">
        <w:rPr>
          <w:rFonts w:asciiTheme="minorHAnsi" w:hAnsiTheme="minorHAnsi" w:cs="Times New Roman"/>
          <w:color w:val="auto"/>
          <w:sz w:val="21"/>
          <w:szCs w:val="21"/>
        </w:rPr>
        <w:t xml:space="preserve">any act or omission of any of the Contractor’s personnel in connection with the performance of the Services; and </w:t>
      </w:r>
    </w:p>
    <w:p w:rsidR="007055F2" w:rsidRPr="00C11369" w:rsidRDefault="007055F2" w:rsidP="007055F2">
      <w:pPr>
        <w:pStyle w:val="Default"/>
        <w:numPr>
          <w:ilvl w:val="0"/>
          <w:numId w:val="17"/>
        </w:numPr>
        <w:rPr>
          <w:rFonts w:asciiTheme="minorHAnsi" w:hAnsiTheme="minorHAnsi" w:cs="Times New Roman"/>
          <w:color w:val="auto"/>
          <w:sz w:val="21"/>
          <w:szCs w:val="21"/>
        </w:rPr>
      </w:pPr>
      <w:r w:rsidRPr="00C11369">
        <w:rPr>
          <w:rFonts w:asciiTheme="minorHAnsi" w:hAnsiTheme="minorHAnsi" w:cs="Times New Roman"/>
          <w:color w:val="auto"/>
          <w:sz w:val="21"/>
          <w:szCs w:val="21"/>
        </w:rPr>
        <w:t>any claim made against the University in respect of any liability, loss, damage, injury, cost or expense sustained by the University's employees or agents or by any customer or third party to the extent that such liability, loss, damage, injury, cost or expense was caused by, relates to or arises from the provision of the Services or the supply of the Goods and/or Deliverables as a consequence of a direct or indirect breach or negligent</w:t>
      </w:r>
    </w:p>
    <w:p w:rsidR="007055F2" w:rsidRPr="00C11369" w:rsidRDefault="007055F2" w:rsidP="007055F2">
      <w:pPr>
        <w:pStyle w:val="Default"/>
        <w:rPr>
          <w:rFonts w:asciiTheme="minorHAnsi" w:hAnsiTheme="minorHAnsi"/>
          <w:color w:val="auto"/>
          <w:sz w:val="21"/>
          <w:szCs w:val="21"/>
        </w:rPr>
      </w:pPr>
    </w:p>
    <w:p w:rsidR="00CB78F2" w:rsidRDefault="00CB78F2" w:rsidP="007055F2">
      <w:pPr>
        <w:pStyle w:val="Default"/>
        <w:rPr>
          <w:rFonts w:asciiTheme="minorHAnsi" w:hAnsiTheme="minorHAnsi"/>
          <w:b/>
          <w:bCs/>
          <w:sz w:val="21"/>
          <w:szCs w:val="21"/>
        </w:rPr>
      </w:pPr>
    </w:p>
    <w:p w:rsidR="00CB78F2" w:rsidRDefault="00CB78F2" w:rsidP="007055F2">
      <w:pPr>
        <w:pStyle w:val="Default"/>
        <w:rPr>
          <w:rFonts w:asciiTheme="minorHAnsi" w:hAnsiTheme="minorHAnsi"/>
          <w:b/>
          <w:bCs/>
          <w:sz w:val="21"/>
          <w:szCs w:val="21"/>
        </w:rPr>
      </w:pPr>
    </w:p>
    <w:p w:rsidR="007055F2" w:rsidRPr="00C11369" w:rsidRDefault="00EF4DC6" w:rsidP="007055F2">
      <w:pPr>
        <w:pStyle w:val="Default"/>
        <w:rPr>
          <w:rFonts w:asciiTheme="minorHAnsi" w:hAnsiTheme="minorHAnsi"/>
          <w:sz w:val="21"/>
          <w:szCs w:val="21"/>
        </w:rPr>
      </w:pPr>
      <w:r>
        <w:rPr>
          <w:rFonts w:asciiTheme="minorHAnsi" w:hAnsiTheme="minorHAnsi"/>
          <w:b/>
          <w:bCs/>
          <w:sz w:val="21"/>
          <w:szCs w:val="21"/>
        </w:rPr>
        <w:t>5</w:t>
      </w:r>
      <w:r w:rsidR="00654F83" w:rsidRPr="00C11369">
        <w:rPr>
          <w:rFonts w:asciiTheme="minorHAnsi" w:hAnsiTheme="minorHAnsi"/>
          <w:b/>
          <w:bCs/>
          <w:sz w:val="21"/>
          <w:szCs w:val="21"/>
        </w:rPr>
        <w:t>.3</w:t>
      </w:r>
      <w:r w:rsidR="007055F2" w:rsidRPr="00C11369">
        <w:rPr>
          <w:rFonts w:asciiTheme="minorHAnsi" w:hAnsiTheme="minorHAnsi"/>
          <w:b/>
          <w:bCs/>
          <w:sz w:val="21"/>
          <w:szCs w:val="21"/>
        </w:rPr>
        <w:t xml:space="preserve"> TERMINATION </w:t>
      </w:r>
    </w:p>
    <w:p w:rsidR="007055F2" w:rsidRPr="00C11369" w:rsidRDefault="006051E1" w:rsidP="007055F2">
      <w:pPr>
        <w:pStyle w:val="Default"/>
        <w:rPr>
          <w:rFonts w:asciiTheme="minorHAnsi" w:hAnsiTheme="minorHAnsi"/>
          <w:sz w:val="21"/>
          <w:szCs w:val="21"/>
        </w:rPr>
      </w:pPr>
      <w:r w:rsidRPr="00C11369">
        <w:rPr>
          <w:rFonts w:asciiTheme="minorHAnsi" w:hAnsiTheme="minorHAnsi"/>
          <w:sz w:val="21"/>
          <w:szCs w:val="21"/>
        </w:rPr>
        <w:t>The University</w:t>
      </w:r>
      <w:r w:rsidR="007055F2" w:rsidRPr="00C11369">
        <w:rPr>
          <w:rFonts w:asciiTheme="minorHAnsi" w:hAnsiTheme="minorHAnsi"/>
          <w:sz w:val="21"/>
          <w:szCs w:val="21"/>
        </w:rPr>
        <w:t xml:space="preserve"> shall be entitled to cancel the Order in respect of all or part of the Goods and/or the Service</w:t>
      </w:r>
      <w:r w:rsidRPr="00C11369">
        <w:rPr>
          <w:rFonts w:asciiTheme="minorHAnsi" w:hAnsiTheme="minorHAnsi"/>
          <w:sz w:val="21"/>
          <w:szCs w:val="21"/>
        </w:rPr>
        <w:t>s by giving notice to the Supplier</w:t>
      </w:r>
      <w:r w:rsidR="007055F2" w:rsidRPr="00C11369">
        <w:rPr>
          <w:rFonts w:asciiTheme="minorHAnsi" w:hAnsiTheme="minorHAnsi"/>
          <w:sz w:val="21"/>
          <w:szCs w:val="21"/>
        </w:rPr>
        <w:t xml:space="preserve"> at any time prior to delivery or perf</w:t>
      </w:r>
      <w:r w:rsidRPr="00C11369">
        <w:rPr>
          <w:rFonts w:asciiTheme="minorHAnsi" w:hAnsiTheme="minorHAnsi"/>
          <w:sz w:val="21"/>
          <w:szCs w:val="21"/>
        </w:rPr>
        <w:t>ormance in which event the University</w:t>
      </w:r>
      <w:r w:rsidR="007055F2" w:rsidRPr="00C11369">
        <w:rPr>
          <w:rFonts w:asciiTheme="minorHAnsi" w:hAnsiTheme="minorHAnsi"/>
          <w:sz w:val="21"/>
          <w:szCs w:val="21"/>
        </w:rPr>
        <w:t>’s sole liab</w:t>
      </w:r>
      <w:r w:rsidRPr="00C11369">
        <w:rPr>
          <w:rFonts w:asciiTheme="minorHAnsi" w:hAnsiTheme="minorHAnsi"/>
          <w:sz w:val="21"/>
          <w:szCs w:val="21"/>
        </w:rPr>
        <w:t>ility shall be to pay the Supplier</w:t>
      </w:r>
      <w:r w:rsidR="007055F2" w:rsidRPr="00C11369">
        <w:rPr>
          <w:rFonts w:asciiTheme="minorHAnsi" w:hAnsiTheme="minorHAnsi"/>
          <w:sz w:val="21"/>
          <w:szCs w:val="21"/>
        </w:rPr>
        <w:t xml:space="preserve"> fair and reasonable compensation for work-in-progress at the time of termination but such compensation shall not include loss of anticipated profits or any consequential loss. </w:t>
      </w:r>
    </w:p>
    <w:p w:rsidR="007055F2" w:rsidRPr="00C11369" w:rsidRDefault="007055F2" w:rsidP="007055F2">
      <w:pPr>
        <w:pStyle w:val="Default"/>
        <w:rPr>
          <w:rFonts w:asciiTheme="minorHAnsi" w:hAnsiTheme="minorHAnsi"/>
          <w:sz w:val="21"/>
          <w:szCs w:val="21"/>
        </w:rPr>
      </w:pPr>
    </w:p>
    <w:p w:rsidR="007055F2" w:rsidRPr="00C11369" w:rsidRDefault="006051E1" w:rsidP="007055F2">
      <w:pPr>
        <w:pStyle w:val="Default"/>
        <w:rPr>
          <w:rFonts w:asciiTheme="minorHAnsi" w:hAnsiTheme="minorHAnsi"/>
          <w:sz w:val="21"/>
          <w:szCs w:val="21"/>
        </w:rPr>
      </w:pPr>
      <w:r w:rsidRPr="00C11369">
        <w:rPr>
          <w:rFonts w:asciiTheme="minorHAnsi" w:hAnsiTheme="minorHAnsi"/>
          <w:sz w:val="21"/>
          <w:szCs w:val="21"/>
        </w:rPr>
        <w:t>The University</w:t>
      </w:r>
      <w:r w:rsidR="007055F2" w:rsidRPr="00C11369">
        <w:rPr>
          <w:rFonts w:asciiTheme="minorHAnsi" w:hAnsiTheme="minorHAnsi"/>
          <w:sz w:val="21"/>
          <w:szCs w:val="21"/>
        </w:rPr>
        <w:t xml:space="preserve"> shall be entitled to terminate the Contract</w:t>
      </w:r>
      <w:r w:rsidRPr="00C11369">
        <w:rPr>
          <w:rFonts w:asciiTheme="minorHAnsi" w:hAnsiTheme="minorHAnsi"/>
          <w:sz w:val="21"/>
          <w:szCs w:val="21"/>
        </w:rPr>
        <w:t xml:space="preserve"> without liability to the Supplier by giving notice to the Supplie</w:t>
      </w:r>
      <w:r w:rsidR="007055F2" w:rsidRPr="00C11369">
        <w:rPr>
          <w:rFonts w:asciiTheme="minorHAnsi" w:hAnsiTheme="minorHAnsi"/>
          <w:sz w:val="21"/>
          <w:szCs w:val="21"/>
        </w:rPr>
        <w:t xml:space="preserve">r at any time if: </w:t>
      </w:r>
    </w:p>
    <w:p w:rsidR="007055F2" w:rsidRPr="00C11369" w:rsidRDefault="006051E1" w:rsidP="007055F2">
      <w:pPr>
        <w:pStyle w:val="Default"/>
        <w:numPr>
          <w:ilvl w:val="0"/>
          <w:numId w:val="16"/>
        </w:numPr>
        <w:rPr>
          <w:rFonts w:asciiTheme="minorHAnsi" w:hAnsiTheme="minorHAnsi"/>
          <w:sz w:val="21"/>
          <w:szCs w:val="21"/>
        </w:rPr>
      </w:pPr>
      <w:r w:rsidRPr="00C11369">
        <w:rPr>
          <w:rFonts w:asciiTheme="minorHAnsi" w:hAnsiTheme="minorHAnsi"/>
          <w:sz w:val="21"/>
          <w:szCs w:val="21"/>
        </w:rPr>
        <w:t>the Supplie</w:t>
      </w:r>
      <w:r w:rsidR="007055F2" w:rsidRPr="00C11369">
        <w:rPr>
          <w:rFonts w:asciiTheme="minorHAnsi" w:hAnsiTheme="minorHAnsi"/>
          <w:sz w:val="21"/>
          <w:szCs w:val="21"/>
        </w:rPr>
        <w:t xml:space="preserve">r makes any voluntary arrangement with its creditors (within the meaning of the Insolvency Act 1986) or (being a company) becomes subject to an administration or goes into liquidation (otherwise that for the purpose of amalgamation or reconstruction); or </w:t>
      </w:r>
    </w:p>
    <w:p w:rsidR="007055F2" w:rsidRPr="00C11369" w:rsidRDefault="007055F2" w:rsidP="007055F2">
      <w:pPr>
        <w:pStyle w:val="Default"/>
        <w:numPr>
          <w:ilvl w:val="0"/>
          <w:numId w:val="16"/>
        </w:numPr>
        <w:rPr>
          <w:rFonts w:asciiTheme="minorHAnsi" w:hAnsiTheme="minorHAnsi"/>
          <w:sz w:val="21"/>
          <w:szCs w:val="21"/>
        </w:rPr>
      </w:pPr>
      <w:r w:rsidRPr="00C11369">
        <w:rPr>
          <w:rFonts w:asciiTheme="minorHAnsi" w:hAnsiTheme="minorHAnsi"/>
          <w:sz w:val="21"/>
          <w:szCs w:val="21"/>
        </w:rPr>
        <w:t>an encumbrancer takes possession, or a receiver is appointed, of any of the</w:t>
      </w:r>
      <w:r w:rsidR="006051E1" w:rsidRPr="00C11369">
        <w:rPr>
          <w:rFonts w:asciiTheme="minorHAnsi" w:hAnsiTheme="minorHAnsi"/>
          <w:sz w:val="21"/>
          <w:szCs w:val="21"/>
        </w:rPr>
        <w:t xml:space="preserve"> property or assets of the Supplie</w:t>
      </w:r>
      <w:r w:rsidRPr="00C11369">
        <w:rPr>
          <w:rFonts w:asciiTheme="minorHAnsi" w:hAnsiTheme="minorHAnsi"/>
          <w:sz w:val="21"/>
          <w:szCs w:val="21"/>
        </w:rPr>
        <w:t xml:space="preserve">r, </w:t>
      </w:r>
    </w:p>
    <w:p w:rsidR="007055F2" w:rsidRPr="00C11369" w:rsidRDefault="006051E1" w:rsidP="007055F2">
      <w:pPr>
        <w:pStyle w:val="Default"/>
        <w:numPr>
          <w:ilvl w:val="0"/>
          <w:numId w:val="16"/>
        </w:numPr>
        <w:rPr>
          <w:rFonts w:asciiTheme="minorHAnsi" w:hAnsiTheme="minorHAnsi"/>
          <w:sz w:val="21"/>
          <w:szCs w:val="21"/>
        </w:rPr>
      </w:pPr>
      <w:r w:rsidRPr="00C11369">
        <w:rPr>
          <w:rFonts w:asciiTheme="minorHAnsi" w:hAnsiTheme="minorHAnsi"/>
          <w:sz w:val="21"/>
          <w:szCs w:val="21"/>
        </w:rPr>
        <w:t>the Supplie</w:t>
      </w:r>
      <w:r w:rsidR="007055F2" w:rsidRPr="00C11369">
        <w:rPr>
          <w:rFonts w:asciiTheme="minorHAnsi" w:hAnsiTheme="minorHAnsi"/>
          <w:sz w:val="21"/>
          <w:szCs w:val="21"/>
        </w:rPr>
        <w:t xml:space="preserve">r ceases, or threatens to cease to carry on business; or </w:t>
      </w:r>
    </w:p>
    <w:p w:rsidR="007055F2" w:rsidRPr="00C11369" w:rsidRDefault="006051E1" w:rsidP="007055F2">
      <w:pPr>
        <w:pStyle w:val="Default"/>
        <w:numPr>
          <w:ilvl w:val="0"/>
          <w:numId w:val="16"/>
        </w:numPr>
        <w:rPr>
          <w:rFonts w:asciiTheme="minorHAnsi" w:hAnsiTheme="minorHAnsi"/>
          <w:sz w:val="21"/>
          <w:szCs w:val="21"/>
        </w:rPr>
      </w:pPr>
      <w:r w:rsidRPr="00C11369">
        <w:rPr>
          <w:rFonts w:asciiTheme="minorHAnsi" w:hAnsiTheme="minorHAnsi"/>
          <w:sz w:val="21"/>
          <w:szCs w:val="21"/>
        </w:rPr>
        <w:t>the University</w:t>
      </w:r>
      <w:r w:rsidR="007055F2" w:rsidRPr="00C11369">
        <w:rPr>
          <w:rFonts w:asciiTheme="minorHAnsi" w:hAnsiTheme="minorHAnsi"/>
          <w:sz w:val="21"/>
          <w:szCs w:val="21"/>
        </w:rPr>
        <w:t xml:space="preserve"> reasonably apprehends that any of the above events is about t</w:t>
      </w:r>
      <w:r w:rsidRPr="00C11369">
        <w:rPr>
          <w:rFonts w:asciiTheme="minorHAnsi" w:hAnsiTheme="minorHAnsi"/>
          <w:sz w:val="21"/>
          <w:szCs w:val="21"/>
        </w:rPr>
        <w:t>o occur in relation to the Supplier and notifies the Supplie</w:t>
      </w:r>
      <w:r w:rsidR="007055F2" w:rsidRPr="00C11369">
        <w:rPr>
          <w:rFonts w:asciiTheme="minorHAnsi" w:hAnsiTheme="minorHAnsi"/>
          <w:sz w:val="21"/>
          <w:szCs w:val="21"/>
        </w:rPr>
        <w:t xml:space="preserve">r accordingly; or </w:t>
      </w:r>
    </w:p>
    <w:p w:rsidR="007055F2" w:rsidRPr="00C11369" w:rsidRDefault="006051E1" w:rsidP="007055F2">
      <w:pPr>
        <w:pStyle w:val="Default"/>
        <w:numPr>
          <w:ilvl w:val="0"/>
          <w:numId w:val="16"/>
        </w:numPr>
        <w:rPr>
          <w:rFonts w:asciiTheme="minorHAnsi" w:hAnsiTheme="minorHAnsi"/>
          <w:sz w:val="21"/>
          <w:szCs w:val="21"/>
        </w:rPr>
      </w:pPr>
      <w:r w:rsidRPr="00C11369">
        <w:rPr>
          <w:rFonts w:asciiTheme="minorHAnsi" w:hAnsiTheme="minorHAnsi"/>
          <w:sz w:val="21"/>
          <w:szCs w:val="21"/>
        </w:rPr>
        <w:t>the Supplier</w:t>
      </w:r>
      <w:r w:rsidR="007055F2" w:rsidRPr="00C11369">
        <w:rPr>
          <w:rFonts w:asciiTheme="minorHAnsi" w:hAnsiTheme="minorHAnsi"/>
          <w:sz w:val="21"/>
          <w:szCs w:val="21"/>
        </w:rPr>
        <w:t xml:space="preserve"> commits a material breach of any of the terms and conditions of the Contract. </w:t>
      </w:r>
    </w:p>
    <w:p w:rsidR="007055F2" w:rsidRPr="00C11369" w:rsidRDefault="006051E1" w:rsidP="007055F2">
      <w:pPr>
        <w:pStyle w:val="Default"/>
        <w:numPr>
          <w:ilvl w:val="0"/>
          <w:numId w:val="16"/>
        </w:numPr>
        <w:rPr>
          <w:rFonts w:asciiTheme="minorHAnsi" w:hAnsiTheme="minorHAnsi"/>
          <w:sz w:val="21"/>
          <w:szCs w:val="21"/>
        </w:rPr>
      </w:pPr>
      <w:r w:rsidRPr="00C11369">
        <w:rPr>
          <w:rFonts w:asciiTheme="minorHAnsi" w:hAnsiTheme="minorHAnsi"/>
          <w:sz w:val="21"/>
          <w:szCs w:val="21"/>
        </w:rPr>
        <w:t>The University</w:t>
      </w:r>
      <w:r w:rsidR="007055F2" w:rsidRPr="00C11369">
        <w:rPr>
          <w:rFonts w:asciiTheme="minorHAnsi" w:hAnsiTheme="minorHAnsi"/>
          <w:sz w:val="21"/>
          <w:szCs w:val="21"/>
        </w:rPr>
        <w:t xml:space="preserve"> shall be entitled to refuse to accept any further deliveries of the Goods, or performance of the Services, but without any liability to the </w:t>
      </w:r>
      <w:r w:rsidRPr="00C11369">
        <w:rPr>
          <w:rFonts w:asciiTheme="minorHAnsi" w:hAnsiTheme="minorHAnsi"/>
          <w:sz w:val="21"/>
          <w:szCs w:val="21"/>
        </w:rPr>
        <w:t>University</w:t>
      </w:r>
      <w:r w:rsidR="007055F2" w:rsidRPr="00C11369">
        <w:rPr>
          <w:rFonts w:asciiTheme="minorHAnsi" w:hAnsiTheme="minorHAnsi"/>
          <w:sz w:val="21"/>
          <w:szCs w:val="21"/>
        </w:rPr>
        <w:t xml:space="preserve">; </w:t>
      </w:r>
    </w:p>
    <w:p w:rsidR="007055F2" w:rsidRPr="00C11369" w:rsidRDefault="007055F2" w:rsidP="007055F2">
      <w:pPr>
        <w:pStyle w:val="Default"/>
        <w:numPr>
          <w:ilvl w:val="0"/>
          <w:numId w:val="16"/>
        </w:numPr>
        <w:rPr>
          <w:rFonts w:asciiTheme="minorHAnsi" w:hAnsiTheme="minorHAnsi"/>
          <w:sz w:val="21"/>
          <w:szCs w:val="21"/>
        </w:rPr>
      </w:pPr>
      <w:r w:rsidRPr="00C11369">
        <w:rPr>
          <w:rFonts w:asciiTheme="minorHAnsi" w:hAnsiTheme="minorHAnsi"/>
          <w:sz w:val="21"/>
          <w:szCs w:val="21"/>
        </w:rPr>
        <w:t xml:space="preserve">The termination of the Contract, however arising, shall be without prejudice to the rights and duties of the </w:t>
      </w:r>
      <w:r w:rsidR="006051E1" w:rsidRPr="00C11369">
        <w:rPr>
          <w:rFonts w:asciiTheme="minorHAnsi" w:hAnsiTheme="minorHAnsi"/>
          <w:sz w:val="21"/>
          <w:szCs w:val="21"/>
        </w:rPr>
        <w:t xml:space="preserve">University </w:t>
      </w:r>
      <w:r w:rsidRPr="00C11369">
        <w:rPr>
          <w:rFonts w:asciiTheme="minorHAnsi" w:hAnsiTheme="minorHAnsi"/>
          <w:sz w:val="21"/>
          <w:szCs w:val="21"/>
        </w:rPr>
        <w:t>accrued prior to termination. The Conditions which expressly or impliedly</w:t>
      </w:r>
    </w:p>
    <w:p w:rsidR="007055F2" w:rsidRPr="00C11369" w:rsidRDefault="007055F2" w:rsidP="007055F2">
      <w:pPr>
        <w:pStyle w:val="Default"/>
        <w:rPr>
          <w:rFonts w:asciiTheme="minorHAnsi" w:hAnsiTheme="minorHAnsi"/>
          <w:sz w:val="21"/>
          <w:szCs w:val="21"/>
        </w:rPr>
      </w:pPr>
    </w:p>
    <w:p w:rsidR="007055F2" w:rsidRPr="00C11369" w:rsidRDefault="00EF4DC6" w:rsidP="007055F2">
      <w:pPr>
        <w:pStyle w:val="Default"/>
        <w:rPr>
          <w:rFonts w:asciiTheme="minorHAnsi" w:hAnsiTheme="minorHAnsi"/>
          <w:sz w:val="21"/>
          <w:szCs w:val="21"/>
        </w:rPr>
      </w:pPr>
      <w:r>
        <w:rPr>
          <w:rFonts w:asciiTheme="minorHAnsi" w:hAnsiTheme="minorHAnsi"/>
          <w:b/>
          <w:bCs/>
          <w:sz w:val="21"/>
          <w:szCs w:val="21"/>
        </w:rPr>
        <w:t>5</w:t>
      </w:r>
      <w:r w:rsidR="00654F83" w:rsidRPr="00C11369">
        <w:rPr>
          <w:rFonts w:asciiTheme="minorHAnsi" w:hAnsiTheme="minorHAnsi"/>
          <w:b/>
          <w:bCs/>
          <w:sz w:val="21"/>
          <w:szCs w:val="21"/>
        </w:rPr>
        <w:t>.4</w:t>
      </w:r>
      <w:r w:rsidR="007055F2" w:rsidRPr="00C11369">
        <w:rPr>
          <w:rFonts w:asciiTheme="minorHAnsi" w:hAnsiTheme="minorHAnsi"/>
          <w:b/>
          <w:bCs/>
          <w:sz w:val="21"/>
          <w:szCs w:val="21"/>
        </w:rPr>
        <w:t xml:space="preserve"> LAW </w:t>
      </w:r>
    </w:p>
    <w:p w:rsidR="007055F2" w:rsidRPr="00C11369" w:rsidRDefault="007055F2" w:rsidP="007055F2">
      <w:pPr>
        <w:pStyle w:val="Default"/>
        <w:rPr>
          <w:rFonts w:asciiTheme="minorHAnsi" w:hAnsiTheme="minorHAnsi"/>
          <w:sz w:val="21"/>
          <w:szCs w:val="21"/>
        </w:rPr>
      </w:pPr>
      <w:r w:rsidRPr="00C11369">
        <w:rPr>
          <w:rFonts w:asciiTheme="minorHAnsi" w:hAnsiTheme="minorHAnsi"/>
          <w:sz w:val="21"/>
          <w:szCs w:val="21"/>
        </w:rPr>
        <w:t xml:space="preserve">The construction, validity and performance of the Contract shall be governed by the Law of England. The Contract shall be deemed to have been made in England and the parties to the Contract hereby submit to the exclusive jurisdiction of the English Courts </w:t>
      </w:r>
    </w:p>
    <w:p w:rsidR="00654F83" w:rsidRPr="00C11369" w:rsidRDefault="00654F83" w:rsidP="007055F2">
      <w:pPr>
        <w:pStyle w:val="Default"/>
        <w:rPr>
          <w:rFonts w:asciiTheme="minorHAnsi" w:hAnsiTheme="minorHAnsi"/>
          <w:sz w:val="21"/>
          <w:szCs w:val="21"/>
        </w:rPr>
      </w:pPr>
    </w:p>
    <w:p w:rsidR="007055F2" w:rsidRPr="00C11369" w:rsidRDefault="00EF4DC6" w:rsidP="007055F2">
      <w:pPr>
        <w:pStyle w:val="Default"/>
        <w:rPr>
          <w:rFonts w:asciiTheme="minorHAnsi" w:hAnsiTheme="minorHAnsi"/>
          <w:sz w:val="21"/>
          <w:szCs w:val="21"/>
        </w:rPr>
      </w:pPr>
      <w:r>
        <w:rPr>
          <w:rFonts w:asciiTheme="minorHAnsi" w:hAnsiTheme="minorHAnsi"/>
          <w:b/>
          <w:bCs/>
          <w:sz w:val="21"/>
          <w:szCs w:val="21"/>
        </w:rPr>
        <w:t>5</w:t>
      </w:r>
      <w:r w:rsidR="00654F83" w:rsidRPr="00C11369">
        <w:rPr>
          <w:rFonts w:asciiTheme="minorHAnsi" w:hAnsiTheme="minorHAnsi"/>
          <w:b/>
          <w:bCs/>
          <w:sz w:val="21"/>
          <w:szCs w:val="21"/>
        </w:rPr>
        <w:t>.5</w:t>
      </w:r>
      <w:r w:rsidR="007055F2" w:rsidRPr="00C11369">
        <w:rPr>
          <w:rFonts w:asciiTheme="minorHAnsi" w:hAnsiTheme="minorHAnsi"/>
          <w:b/>
          <w:bCs/>
          <w:sz w:val="21"/>
          <w:szCs w:val="21"/>
        </w:rPr>
        <w:t xml:space="preserve"> EQUALITY AND DIVERSITY REQUIREMENTS </w:t>
      </w:r>
    </w:p>
    <w:p w:rsidR="007055F2" w:rsidRPr="00C11369" w:rsidRDefault="006051E1" w:rsidP="007055F2">
      <w:pPr>
        <w:pStyle w:val="Default"/>
        <w:rPr>
          <w:rFonts w:asciiTheme="minorHAnsi" w:hAnsiTheme="minorHAnsi"/>
          <w:sz w:val="21"/>
          <w:szCs w:val="21"/>
        </w:rPr>
      </w:pPr>
      <w:r w:rsidRPr="00C11369">
        <w:rPr>
          <w:rFonts w:asciiTheme="minorHAnsi" w:hAnsiTheme="minorHAnsi"/>
          <w:sz w:val="21"/>
          <w:szCs w:val="21"/>
        </w:rPr>
        <w:t>The Supplier</w:t>
      </w:r>
      <w:r w:rsidR="007055F2" w:rsidRPr="00C11369">
        <w:rPr>
          <w:rFonts w:asciiTheme="minorHAnsi" w:hAnsiTheme="minorHAnsi"/>
          <w:sz w:val="21"/>
          <w:szCs w:val="21"/>
        </w:rPr>
        <w:t xml:space="preserve"> agrees to comply with the </w:t>
      </w:r>
      <w:r w:rsidRPr="00C11369">
        <w:rPr>
          <w:rFonts w:asciiTheme="minorHAnsi" w:hAnsiTheme="minorHAnsi"/>
          <w:sz w:val="21"/>
          <w:szCs w:val="21"/>
        </w:rPr>
        <w:t>University</w:t>
      </w:r>
      <w:r w:rsidR="007055F2" w:rsidRPr="00C11369">
        <w:rPr>
          <w:rFonts w:asciiTheme="minorHAnsi" w:hAnsiTheme="minorHAnsi"/>
          <w:sz w:val="21"/>
          <w:szCs w:val="21"/>
        </w:rPr>
        <w:t xml:space="preserve">’s policies and procedures to prevent unlawful discrimination on the grounds of sex, race, disability, sexual orientation, age, religion and belief, gender identity, pregnancy and maternity and marriage/civil partnership and to comply with the terms of the Equality Act 2010 and all relevant Human Rights and EU legislation </w:t>
      </w:r>
    </w:p>
    <w:p w:rsidR="00F40DD9" w:rsidRPr="00C11369" w:rsidRDefault="00F40DD9" w:rsidP="007055F2">
      <w:pPr>
        <w:pStyle w:val="Default"/>
        <w:rPr>
          <w:rFonts w:asciiTheme="minorHAnsi" w:hAnsiTheme="minorHAnsi"/>
          <w:sz w:val="21"/>
          <w:szCs w:val="21"/>
        </w:rPr>
      </w:pPr>
    </w:p>
    <w:p w:rsidR="007055F2" w:rsidRPr="00C11369" w:rsidRDefault="006051E1" w:rsidP="007055F2">
      <w:pPr>
        <w:pStyle w:val="Default"/>
        <w:rPr>
          <w:rFonts w:asciiTheme="minorHAnsi" w:hAnsiTheme="minorHAnsi"/>
          <w:sz w:val="21"/>
          <w:szCs w:val="21"/>
        </w:rPr>
      </w:pPr>
      <w:r w:rsidRPr="00C11369">
        <w:rPr>
          <w:rFonts w:asciiTheme="minorHAnsi" w:hAnsiTheme="minorHAnsi"/>
          <w:sz w:val="21"/>
          <w:szCs w:val="21"/>
        </w:rPr>
        <w:t>The Supplie</w:t>
      </w:r>
      <w:r w:rsidR="007055F2" w:rsidRPr="00C11369">
        <w:rPr>
          <w:rFonts w:asciiTheme="minorHAnsi" w:hAnsiTheme="minorHAnsi"/>
          <w:sz w:val="21"/>
          <w:szCs w:val="21"/>
        </w:rPr>
        <w:t xml:space="preserve">r warrants that its own practices and procedures comply with the Equality Act 2010 and all relevant Human Rights and EU Legislation to prevent unlawful discrimination and that its employees are fully trained on matters relating to the prevention of unlawful discrimination on the grounds of sex, race, disability, sexual orientation, age, religion and belief, gender identity, pregnancy and maternity and marriage/civil </w:t>
      </w:r>
      <w:r w:rsidRPr="00C11369">
        <w:rPr>
          <w:rFonts w:asciiTheme="minorHAnsi" w:hAnsiTheme="minorHAnsi"/>
          <w:sz w:val="21"/>
          <w:szCs w:val="21"/>
        </w:rPr>
        <w:t xml:space="preserve">partnership. The </w:t>
      </w:r>
      <w:r w:rsidR="003B42AC" w:rsidRPr="00C11369">
        <w:rPr>
          <w:rFonts w:asciiTheme="minorHAnsi" w:hAnsiTheme="minorHAnsi"/>
          <w:sz w:val="21"/>
          <w:szCs w:val="21"/>
        </w:rPr>
        <w:t>Supplier will</w:t>
      </w:r>
      <w:r w:rsidR="007055F2" w:rsidRPr="00C11369">
        <w:rPr>
          <w:rFonts w:asciiTheme="minorHAnsi" w:hAnsiTheme="minorHAnsi"/>
          <w:sz w:val="21"/>
          <w:szCs w:val="21"/>
        </w:rPr>
        <w:t xml:space="preserve"> provide a copy of their non-discrimination policy to the </w:t>
      </w:r>
      <w:r w:rsidR="000066E8" w:rsidRPr="00C11369">
        <w:rPr>
          <w:rFonts w:asciiTheme="minorHAnsi" w:hAnsiTheme="minorHAnsi"/>
          <w:sz w:val="21"/>
          <w:szCs w:val="21"/>
        </w:rPr>
        <w:t>University</w:t>
      </w:r>
      <w:r w:rsidR="007055F2" w:rsidRPr="00C11369">
        <w:rPr>
          <w:rFonts w:asciiTheme="minorHAnsi" w:hAnsiTheme="minorHAnsi"/>
          <w:sz w:val="21"/>
          <w:szCs w:val="21"/>
        </w:rPr>
        <w:t xml:space="preserve">. </w:t>
      </w:r>
    </w:p>
    <w:p w:rsidR="00F40DD9" w:rsidRPr="00C11369" w:rsidRDefault="00F40DD9" w:rsidP="007055F2">
      <w:pPr>
        <w:pStyle w:val="Default"/>
        <w:rPr>
          <w:rFonts w:asciiTheme="minorHAnsi" w:hAnsiTheme="minorHAnsi"/>
          <w:sz w:val="21"/>
          <w:szCs w:val="21"/>
        </w:rPr>
      </w:pPr>
    </w:p>
    <w:p w:rsidR="00E53766" w:rsidRDefault="006051E1" w:rsidP="007055F2">
      <w:pPr>
        <w:pStyle w:val="Default"/>
        <w:rPr>
          <w:rFonts w:asciiTheme="minorHAnsi" w:hAnsiTheme="minorHAnsi"/>
          <w:sz w:val="21"/>
          <w:szCs w:val="21"/>
        </w:rPr>
      </w:pPr>
      <w:r w:rsidRPr="00C11369">
        <w:rPr>
          <w:rFonts w:asciiTheme="minorHAnsi" w:hAnsiTheme="minorHAnsi"/>
          <w:sz w:val="21"/>
          <w:szCs w:val="21"/>
        </w:rPr>
        <w:t>The Supplie</w:t>
      </w:r>
      <w:r w:rsidR="007055F2" w:rsidRPr="00C11369">
        <w:rPr>
          <w:rFonts w:asciiTheme="minorHAnsi" w:hAnsiTheme="minorHAnsi"/>
          <w:sz w:val="21"/>
          <w:szCs w:val="21"/>
        </w:rPr>
        <w:t>r will provide such info</w:t>
      </w:r>
      <w:r w:rsidRPr="00C11369">
        <w:rPr>
          <w:rFonts w:asciiTheme="minorHAnsi" w:hAnsiTheme="minorHAnsi"/>
          <w:sz w:val="21"/>
          <w:szCs w:val="21"/>
        </w:rPr>
        <w:t>rmation as required by the University</w:t>
      </w:r>
      <w:r w:rsidR="007055F2" w:rsidRPr="00C11369">
        <w:rPr>
          <w:rFonts w:asciiTheme="minorHAnsi" w:hAnsiTheme="minorHAnsi"/>
          <w:sz w:val="21"/>
          <w:szCs w:val="21"/>
        </w:rPr>
        <w:t xml:space="preserve"> in relation to </w:t>
      </w:r>
      <w:r w:rsidR="003B42AC" w:rsidRPr="00C11369">
        <w:rPr>
          <w:rFonts w:asciiTheme="minorHAnsi" w:hAnsiTheme="minorHAnsi"/>
          <w:sz w:val="21"/>
          <w:szCs w:val="21"/>
        </w:rPr>
        <w:t>its compliance</w:t>
      </w:r>
      <w:r w:rsidR="007055F2" w:rsidRPr="00C11369">
        <w:rPr>
          <w:rFonts w:asciiTheme="minorHAnsi" w:hAnsiTheme="minorHAnsi"/>
          <w:sz w:val="21"/>
          <w:szCs w:val="21"/>
        </w:rPr>
        <w:t xml:space="preserve"> with anti-discrimination legislation and will co-operate wit</w:t>
      </w:r>
      <w:r w:rsidRPr="00C11369">
        <w:rPr>
          <w:rFonts w:asciiTheme="minorHAnsi" w:hAnsiTheme="minorHAnsi"/>
          <w:sz w:val="21"/>
          <w:szCs w:val="21"/>
        </w:rPr>
        <w:t>h any investigation by the University</w:t>
      </w:r>
      <w:r w:rsidR="007055F2" w:rsidRPr="00C11369">
        <w:rPr>
          <w:rFonts w:asciiTheme="minorHAnsi" w:hAnsiTheme="minorHAnsi"/>
          <w:sz w:val="21"/>
          <w:szCs w:val="21"/>
        </w:rPr>
        <w:t xml:space="preserve"> or a body empowered to carry out such investigations under the r</w:t>
      </w:r>
      <w:r w:rsidRPr="00C11369">
        <w:rPr>
          <w:rFonts w:asciiTheme="minorHAnsi" w:hAnsiTheme="minorHAnsi"/>
          <w:sz w:val="21"/>
          <w:szCs w:val="21"/>
        </w:rPr>
        <w:t xml:space="preserve">elevant legislation. The Supplier </w:t>
      </w:r>
      <w:r w:rsidR="007055F2" w:rsidRPr="00C11369">
        <w:rPr>
          <w:rFonts w:asciiTheme="minorHAnsi" w:hAnsiTheme="minorHAnsi"/>
          <w:sz w:val="21"/>
          <w:szCs w:val="21"/>
        </w:rPr>
        <w:t xml:space="preserve">will provide yearly details of all or any discrimination complaints or claims and customer feedback it has received from any employee, consultant, worker, agent, customer or member of the public. </w:t>
      </w:r>
    </w:p>
    <w:p w:rsidR="007055F2" w:rsidRPr="00C11369" w:rsidRDefault="007055F2" w:rsidP="007055F2">
      <w:pPr>
        <w:pStyle w:val="Default"/>
        <w:rPr>
          <w:rFonts w:asciiTheme="minorHAnsi" w:hAnsiTheme="minorHAnsi"/>
          <w:sz w:val="21"/>
          <w:szCs w:val="21"/>
        </w:rPr>
      </w:pPr>
      <w:r w:rsidRPr="00C11369">
        <w:rPr>
          <w:rFonts w:asciiTheme="minorHAnsi" w:hAnsiTheme="minorHAnsi"/>
          <w:sz w:val="21"/>
          <w:szCs w:val="21"/>
        </w:rPr>
        <w:lastRenderedPageBreak/>
        <w:t xml:space="preserve">Where any investigation is conducted, or proceedings are brought which arise directly or indirectly out of any act or omission of the Seller, its agents or sub-contractors and where there is a finding against the Contractor in any such investigation or proceedings, the Seller shall indemnify the </w:t>
      </w:r>
      <w:r w:rsidR="000066E8" w:rsidRPr="00C11369">
        <w:rPr>
          <w:rFonts w:asciiTheme="minorHAnsi" w:hAnsiTheme="minorHAnsi"/>
          <w:sz w:val="21"/>
          <w:szCs w:val="21"/>
        </w:rPr>
        <w:t xml:space="preserve">University </w:t>
      </w:r>
      <w:r w:rsidRPr="00C11369">
        <w:rPr>
          <w:rFonts w:asciiTheme="minorHAnsi" w:hAnsiTheme="minorHAnsi"/>
          <w:sz w:val="21"/>
          <w:szCs w:val="21"/>
        </w:rPr>
        <w:t xml:space="preserve">with respect to all costs, charges and expenses (including legal and administrative expenses) incurred by the </w:t>
      </w:r>
      <w:r w:rsidR="000066E8" w:rsidRPr="00C11369">
        <w:rPr>
          <w:rFonts w:asciiTheme="minorHAnsi" w:hAnsiTheme="minorHAnsi"/>
          <w:sz w:val="21"/>
          <w:szCs w:val="21"/>
        </w:rPr>
        <w:t>University</w:t>
      </w:r>
      <w:r w:rsidRPr="00C11369">
        <w:rPr>
          <w:rFonts w:asciiTheme="minorHAnsi" w:hAnsiTheme="minorHAnsi"/>
          <w:sz w:val="21"/>
          <w:szCs w:val="21"/>
        </w:rPr>
        <w:t xml:space="preserve"> during or in connection with any such investigation or proceedings </w:t>
      </w:r>
      <w:r w:rsidR="000066E8" w:rsidRPr="00C11369">
        <w:rPr>
          <w:rFonts w:asciiTheme="minorHAnsi" w:hAnsiTheme="minorHAnsi"/>
          <w:sz w:val="21"/>
          <w:szCs w:val="21"/>
        </w:rPr>
        <w:t xml:space="preserve">and further indemnify the University </w:t>
      </w:r>
      <w:r w:rsidRPr="00C11369">
        <w:rPr>
          <w:rFonts w:asciiTheme="minorHAnsi" w:hAnsiTheme="minorHAnsi"/>
          <w:sz w:val="21"/>
          <w:szCs w:val="21"/>
        </w:rPr>
        <w:t xml:space="preserve">for any compensation, damages, costs or other award the </w:t>
      </w:r>
      <w:r w:rsidR="000066E8" w:rsidRPr="00C11369">
        <w:rPr>
          <w:rFonts w:asciiTheme="minorHAnsi" w:hAnsiTheme="minorHAnsi"/>
          <w:sz w:val="21"/>
          <w:szCs w:val="21"/>
        </w:rPr>
        <w:t xml:space="preserve">University </w:t>
      </w:r>
      <w:r w:rsidRPr="00C11369">
        <w:rPr>
          <w:rFonts w:asciiTheme="minorHAnsi" w:hAnsiTheme="minorHAnsi"/>
          <w:sz w:val="21"/>
          <w:szCs w:val="21"/>
        </w:rPr>
        <w:t xml:space="preserve">may be ordered or required to pay to a third party. </w:t>
      </w:r>
    </w:p>
    <w:p w:rsidR="00F40DD9" w:rsidRPr="00C11369" w:rsidRDefault="00F40DD9" w:rsidP="007055F2">
      <w:pPr>
        <w:pStyle w:val="Default"/>
        <w:rPr>
          <w:rFonts w:asciiTheme="minorHAnsi" w:hAnsiTheme="minorHAnsi"/>
          <w:sz w:val="21"/>
          <w:szCs w:val="21"/>
        </w:rPr>
      </w:pPr>
    </w:p>
    <w:p w:rsidR="00654F83" w:rsidRPr="00C11369" w:rsidRDefault="00EF4DC6" w:rsidP="00654F83">
      <w:pPr>
        <w:pStyle w:val="Default"/>
        <w:rPr>
          <w:rFonts w:asciiTheme="minorHAnsi" w:hAnsiTheme="minorHAnsi"/>
          <w:sz w:val="21"/>
          <w:szCs w:val="21"/>
        </w:rPr>
      </w:pPr>
      <w:r>
        <w:rPr>
          <w:rFonts w:asciiTheme="minorHAnsi" w:hAnsiTheme="minorHAnsi"/>
          <w:b/>
          <w:bCs/>
          <w:sz w:val="21"/>
          <w:szCs w:val="21"/>
        </w:rPr>
        <w:t>5</w:t>
      </w:r>
      <w:r w:rsidR="00654F83" w:rsidRPr="00C11369">
        <w:rPr>
          <w:rFonts w:asciiTheme="minorHAnsi" w:hAnsiTheme="minorHAnsi"/>
          <w:b/>
          <w:bCs/>
          <w:sz w:val="21"/>
          <w:szCs w:val="21"/>
        </w:rPr>
        <w:t xml:space="preserve">.6. FORCE MAJEURE </w:t>
      </w:r>
    </w:p>
    <w:p w:rsidR="00654F83" w:rsidRPr="00C11369" w:rsidRDefault="00654F83" w:rsidP="00654F83">
      <w:pPr>
        <w:pStyle w:val="Default"/>
        <w:rPr>
          <w:rFonts w:asciiTheme="minorHAnsi" w:hAnsiTheme="minorHAnsi"/>
          <w:sz w:val="21"/>
          <w:szCs w:val="21"/>
        </w:rPr>
      </w:pPr>
      <w:r w:rsidRPr="00C11369">
        <w:rPr>
          <w:rFonts w:asciiTheme="minorHAnsi" w:hAnsiTheme="minorHAnsi"/>
          <w:sz w:val="21"/>
          <w:szCs w:val="21"/>
        </w:rPr>
        <w:t>Neither party shall be liable to the other for any default hereunder where such default is directly or indirectly caused by or arises out of any event beyond its reasonable control. It is hereby agreed between the parties that the mere shortage of labour, materials or utilities shall not constitute force majeure unless caused by circumstances which are themselves force majeure. Any claim that any default hereunder shall have been caused by force majeure shall be notified in writing immediately by the party making the claim to the other.</w:t>
      </w:r>
    </w:p>
    <w:p w:rsidR="007939C3" w:rsidRPr="00C11369" w:rsidRDefault="007939C3" w:rsidP="00360FF0">
      <w:pPr>
        <w:spacing w:after="0"/>
        <w:rPr>
          <w:rFonts w:asciiTheme="minorHAnsi" w:hAnsiTheme="minorHAnsi"/>
          <w:sz w:val="21"/>
          <w:szCs w:val="21"/>
        </w:rPr>
      </w:pPr>
    </w:p>
    <w:p w:rsidR="00654F83" w:rsidRPr="00C11369" w:rsidRDefault="00EF4DC6" w:rsidP="00654F83">
      <w:pPr>
        <w:pStyle w:val="HPStyle"/>
        <w:numPr>
          <w:ilvl w:val="0"/>
          <w:numId w:val="0"/>
        </w:numPr>
        <w:spacing w:after="0"/>
        <w:ind w:left="720" w:hanging="720"/>
        <w:rPr>
          <w:rFonts w:cstheme="majorHAnsi"/>
          <w:b/>
          <w:sz w:val="21"/>
          <w:szCs w:val="21"/>
          <w:lang w:eastAsia="en-GB"/>
        </w:rPr>
      </w:pPr>
      <w:r>
        <w:rPr>
          <w:rFonts w:cstheme="majorHAnsi"/>
          <w:b/>
          <w:sz w:val="21"/>
          <w:szCs w:val="21"/>
          <w:lang w:eastAsia="en-GB"/>
        </w:rPr>
        <w:t>5</w:t>
      </w:r>
      <w:r w:rsidR="00654F83" w:rsidRPr="00C11369">
        <w:rPr>
          <w:rFonts w:cstheme="majorHAnsi"/>
          <w:b/>
          <w:sz w:val="21"/>
          <w:szCs w:val="21"/>
          <w:lang w:eastAsia="en-GB"/>
        </w:rPr>
        <w:t>.7 PERFORMANCE REVIEW</w:t>
      </w:r>
    </w:p>
    <w:p w:rsidR="00654F83" w:rsidRPr="00C11369" w:rsidRDefault="00654F83" w:rsidP="00F40DD9">
      <w:pPr>
        <w:pStyle w:val="HPStyle"/>
        <w:numPr>
          <w:ilvl w:val="0"/>
          <w:numId w:val="0"/>
        </w:numPr>
        <w:spacing w:after="0"/>
        <w:rPr>
          <w:rFonts w:cstheme="majorHAnsi"/>
          <w:sz w:val="21"/>
          <w:szCs w:val="21"/>
          <w:lang w:eastAsia="en-GB"/>
        </w:rPr>
      </w:pPr>
      <w:r w:rsidRPr="00C11369">
        <w:rPr>
          <w:rFonts w:cstheme="majorHAnsi"/>
          <w:sz w:val="21"/>
          <w:szCs w:val="21"/>
          <w:lang w:eastAsia="en-GB"/>
        </w:rPr>
        <w:t xml:space="preserve">Both parties agree to review the performance of the </w:t>
      </w:r>
      <w:r w:rsidR="00D3480F" w:rsidRPr="00C11369">
        <w:rPr>
          <w:rFonts w:cstheme="majorHAnsi"/>
          <w:sz w:val="21"/>
          <w:szCs w:val="21"/>
          <w:lang w:eastAsia="en-GB"/>
        </w:rPr>
        <w:t>contract</w:t>
      </w:r>
      <w:r w:rsidRPr="00C11369">
        <w:rPr>
          <w:rFonts w:cstheme="majorHAnsi"/>
          <w:sz w:val="21"/>
          <w:szCs w:val="21"/>
          <w:lang w:eastAsia="en-GB"/>
        </w:rPr>
        <w:t xml:space="preserve"> one month after written notice of commencement of the </w:t>
      </w:r>
      <w:r w:rsidR="00D3480F" w:rsidRPr="00C11369">
        <w:rPr>
          <w:rFonts w:cstheme="majorHAnsi"/>
          <w:sz w:val="21"/>
          <w:szCs w:val="21"/>
          <w:lang w:eastAsia="en-GB"/>
        </w:rPr>
        <w:t>contract</w:t>
      </w:r>
      <w:r w:rsidRPr="00C11369">
        <w:rPr>
          <w:rFonts w:cstheme="majorHAnsi"/>
          <w:sz w:val="21"/>
          <w:szCs w:val="21"/>
          <w:lang w:eastAsia="en-GB"/>
        </w:rPr>
        <w:t xml:space="preserve"> and then </w:t>
      </w:r>
      <w:r w:rsidR="00EF4DC6">
        <w:rPr>
          <w:rFonts w:cstheme="majorHAnsi"/>
          <w:sz w:val="21"/>
          <w:szCs w:val="21"/>
          <w:lang w:eastAsia="en-GB"/>
        </w:rPr>
        <w:t>undertake further reviews at three</w:t>
      </w:r>
      <w:r w:rsidRPr="00C11369">
        <w:rPr>
          <w:rFonts w:cstheme="majorHAnsi"/>
          <w:sz w:val="21"/>
          <w:szCs w:val="21"/>
          <w:lang w:eastAsia="en-GB"/>
        </w:rPr>
        <w:t xml:space="preserve"> monthly intervals until such time as the </w:t>
      </w:r>
      <w:r w:rsidR="00D3480F" w:rsidRPr="00C11369">
        <w:rPr>
          <w:rFonts w:cstheme="majorHAnsi"/>
          <w:sz w:val="21"/>
          <w:szCs w:val="21"/>
          <w:lang w:eastAsia="en-GB"/>
        </w:rPr>
        <w:t>University</w:t>
      </w:r>
      <w:r w:rsidRPr="00C11369">
        <w:rPr>
          <w:rFonts w:cstheme="majorHAnsi"/>
          <w:sz w:val="21"/>
          <w:szCs w:val="21"/>
          <w:lang w:eastAsia="en-GB"/>
        </w:rPr>
        <w:t xml:space="preserve"> may decide that a review or reviews are inappropriate.</w:t>
      </w:r>
    </w:p>
    <w:p w:rsidR="00F40DD9" w:rsidRPr="00C11369" w:rsidRDefault="00F40DD9" w:rsidP="00F40DD9">
      <w:pPr>
        <w:pStyle w:val="HPStyle"/>
        <w:numPr>
          <w:ilvl w:val="0"/>
          <w:numId w:val="0"/>
        </w:numPr>
        <w:spacing w:after="0"/>
        <w:rPr>
          <w:rFonts w:cstheme="majorHAnsi"/>
          <w:sz w:val="21"/>
          <w:szCs w:val="21"/>
          <w:lang w:eastAsia="en-GB"/>
        </w:rPr>
      </w:pPr>
    </w:p>
    <w:p w:rsidR="00E53766" w:rsidRDefault="00EF4DC6" w:rsidP="00E53766">
      <w:pPr>
        <w:pStyle w:val="HPStyle"/>
        <w:numPr>
          <w:ilvl w:val="0"/>
          <w:numId w:val="0"/>
        </w:numPr>
        <w:spacing w:after="0"/>
        <w:rPr>
          <w:rFonts w:cstheme="majorHAnsi"/>
          <w:b/>
          <w:sz w:val="21"/>
          <w:szCs w:val="21"/>
          <w:lang w:eastAsia="en-GB"/>
        </w:rPr>
      </w:pPr>
      <w:r>
        <w:rPr>
          <w:rFonts w:cstheme="majorHAnsi"/>
          <w:b/>
          <w:sz w:val="21"/>
          <w:szCs w:val="21"/>
          <w:lang w:eastAsia="en-GB"/>
        </w:rPr>
        <w:t>5</w:t>
      </w:r>
      <w:r w:rsidR="00F40DD9" w:rsidRPr="00C11369">
        <w:rPr>
          <w:rFonts w:cstheme="majorHAnsi"/>
          <w:b/>
          <w:sz w:val="21"/>
          <w:szCs w:val="21"/>
          <w:lang w:eastAsia="en-GB"/>
        </w:rPr>
        <w:t>.8 ASSIGNMENT AND SUBCONTRACTING</w:t>
      </w:r>
    </w:p>
    <w:p w:rsidR="00F40DD9" w:rsidRPr="00E53766" w:rsidRDefault="00F40DD9" w:rsidP="00E53766">
      <w:pPr>
        <w:pStyle w:val="HPStyle"/>
        <w:numPr>
          <w:ilvl w:val="0"/>
          <w:numId w:val="0"/>
        </w:numPr>
        <w:spacing w:after="0"/>
        <w:rPr>
          <w:rFonts w:cstheme="majorHAnsi"/>
          <w:b/>
          <w:sz w:val="21"/>
          <w:szCs w:val="21"/>
          <w:lang w:eastAsia="en-GB"/>
        </w:rPr>
      </w:pPr>
      <w:r w:rsidRPr="00C11369">
        <w:rPr>
          <w:rFonts w:cstheme="majorHAnsi"/>
          <w:sz w:val="21"/>
          <w:szCs w:val="21"/>
        </w:rPr>
        <w:t xml:space="preserve">The </w:t>
      </w:r>
      <w:r w:rsidR="000066E8" w:rsidRPr="00C11369">
        <w:rPr>
          <w:rFonts w:cstheme="majorHAnsi"/>
          <w:sz w:val="21"/>
          <w:szCs w:val="21"/>
        </w:rPr>
        <w:t>Supplier</w:t>
      </w:r>
      <w:r w:rsidRPr="00C11369">
        <w:rPr>
          <w:rFonts w:cstheme="majorHAnsi"/>
          <w:sz w:val="21"/>
          <w:szCs w:val="21"/>
        </w:rPr>
        <w:t xml:space="preserve"> shall not assign the </w:t>
      </w:r>
      <w:r w:rsidR="000066E8" w:rsidRPr="00C11369">
        <w:rPr>
          <w:rFonts w:cstheme="majorHAnsi"/>
          <w:sz w:val="21"/>
          <w:szCs w:val="21"/>
        </w:rPr>
        <w:t>contract</w:t>
      </w:r>
      <w:r w:rsidRPr="00C11369">
        <w:rPr>
          <w:rFonts w:cstheme="majorHAnsi"/>
          <w:sz w:val="21"/>
          <w:szCs w:val="21"/>
        </w:rPr>
        <w:t xml:space="preserve"> in whole or in part of any benefit or interest therein without the prior w</w:t>
      </w:r>
      <w:r w:rsidR="000066E8" w:rsidRPr="00C11369">
        <w:rPr>
          <w:rFonts w:cstheme="majorHAnsi"/>
          <w:sz w:val="21"/>
          <w:szCs w:val="21"/>
        </w:rPr>
        <w:t>ritten consent of the University</w:t>
      </w:r>
      <w:r w:rsidRPr="00C11369">
        <w:rPr>
          <w:rFonts w:cstheme="majorHAnsi"/>
          <w:sz w:val="21"/>
          <w:szCs w:val="21"/>
        </w:rPr>
        <w:t>.</w:t>
      </w:r>
    </w:p>
    <w:p w:rsidR="000066E8" w:rsidRPr="00C11369" w:rsidRDefault="000066E8" w:rsidP="00F40DD9">
      <w:pPr>
        <w:pStyle w:val="HPStyle"/>
        <w:numPr>
          <w:ilvl w:val="0"/>
          <w:numId w:val="0"/>
        </w:numPr>
        <w:spacing w:after="0"/>
        <w:ind w:left="720" w:hanging="720"/>
        <w:rPr>
          <w:sz w:val="21"/>
          <w:szCs w:val="21"/>
          <w:lang w:eastAsia="en-GB"/>
        </w:rPr>
      </w:pPr>
      <w:bookmarkStart w:id="1" w:name="_Ref395176306"/>
    </w:p>
    <w:p w:rsidR="00F40DD9" w:rsidRPr="00C11369" w:rsidRDefault="00F40DD9" w:rsidP="00F40DD9">
      <w:pPr>
        <w:pStyle w:val="HPStyle"/>
        <w:numPr>
          <w:ilvl w:val="0"/>
          <w:numId w:val="0"/>
        </w:numPr>
        <w:spacing w:after="0"/>
        <w:ind w:left="720" w:hanging="720"/>
        <w:rPr>
          <w:sz w:val="21"/>
          <w:szCs w:val="21"/>
          <w:lang w:eastAsia="en-GB"/>
        </w:rPr>
      </w:pPr>
      <w:r w:rsidRPr="00C11369">
        <w:rPr>
          <w:sz w:val="21"/>
          <w:szCs w:val="21"/>
          <w:lang w:eastAsia="en-GB"/>
        </w:rPr>
        <w:t xml:space="preserve">The </w:t>
      </w:r>
      <w:r w:rsidR="000066E8" w:rsidRPr="00C11369">
        <w:rPr>
          <w:sz w:val="21"/>
          <w:szCs w:val="21"/>
          <w:lang w:eastAsia="en-GB"/>
        </w:rPr>
        <w:t>Supplier</w:t>
      </w:r>
      <w:r w:rsidRPr="00C11369">
        <w:rPr>
          <w:sz w:val="21"/>
          <w:szCs w:val="21"/>
          <w:lang w:eastAsia="en-GB"/>
        </w:rPr>
        <w:t xml:space="preserve"> shall: </w:t>
      </w:r>
    </w:p>
    <w:p w:rsidR="00F40DD9" w:rsidRPr="00C11369" w:rsidRDefault="00F40DD9" w:rsidP="000066E8">
      <w:pPr>
        <w:pStyle w:val="HPStyle"/>
        <w:numPr>
          <w:ilvl w:val="0"/>
          <w:numId w:val="20"/>
        </w:numPr>
        <w:spacing w:after="0"/>
        <w:rPr>
          <w:sz w:val="21"/>
          <w:szCs w:val="21"/>
          <w:lang w:eastAsia="en-GB"/>
        </w:rPr>
      </w:pPr>
      <w:bookmarkStart w:id="2" w:name="_Ref456015934"/>
      <w:r w:rsidRPr="00C11369">
        <w:rPr>
          <w:sz w:val="21"/>
          <w:szCs w:val="21"/>
          <w:lang w:eastAsia="en-GB"/>
        </w:rPr>
        <w:t>not sub-contract the w</w:t>
      </w:r>
      <w:r w:rsidR="000066E8" w:rsidRPr="00C11369">
        <w:rPr>
          <w:sz w:val="21"/>
          <w:szCs w:val="21"/>
          <w:lang w:eastAsia="en-GB"/>
        </w:rPr>
        <w:t>hole or any part of the services</w:t>
      </w:r>
      <w:r w:rsidRPr="00C11369">
        <w:rPr>
          <w:sz w:val="21"/>
          <w:szCs w:val="21"/>
          <w:lang w:eastAsia="en-GB"/>
        </w:rPr>
        <w:t xml:space="preserve"> including sub-contracting for labour only, without the p</w:t>
      </w:r>
      <w:r w:rsidR="000066E8" w:rsidRPr="00C11369">
        <w:rPr>
          <w:sz w:val="21"/>
          <w:szCs w:val="21"/>
          <w:lang w:eastAsia="en-GB"/>
        </w:rPr>
        <w:t>rior written consent of the University</w:t>
      </w:r>
      <w:r w:rsidRPr="00C11369">
        <w:rPr>
          <w:sz w:val="21"/>
          <w:szCs w:val="21"/>
          <w:lang w:eastAsia="en-GB"/>
        </w:rPr>
        <w:t xml:space="preserve">. If such consent is given it </w:t>
      </w:r>
      <w:r w:rsidR="000066E8" w:rsidRPr="00C11369">
        <w:rPr>
          <w:sz w:val="21"/>
          <w:szCs w:val="21"/>
          <w:lang w:eastAsia="en-GB"/>
        </w:rPr>
        <w:t xml:space="preserve">shall not relieve the Supplier </w:t>
      </w:r>
      <w:r w:rsidRPr="00C11369">
        <w:rPr>
          <w:sz w:val="21"/>
          <w:szCs w:val="21"/>
          <w:lang w:eastAsia="en-GB"/>
        </w:rPr>
        <w:t xml:space="preserve">from any liability </w:t>
      </w:r>
      <w:r w:rsidR="000066E8" w:rsidRPr="00C11369">
        <w:rPr>
          <w:sz w:val="21"/>
          <w:szCs w:val="21"/>
          <w:lang w:eastAsia="en-GB"/>
        </w:rPr>
        <w:t>or obligation under the contract and the Supplier</w:t>
      </w:r>
      <w:r w:rsidRPr="00C11369">
        <w:rPr>
          <w:sz w:val="21"/>
          <w:szCs w:val="21"/>
          <w:lang w:eastAsia="en-GB"/>
        </w:rPr>
        <w:t xml:space="preserve"> shall be responsible for the acts, omissions, defaults or negligence of any </w:t>
      </w:r>
      <w:r w:rsidR="000066E8" w:rsidRPr="00C11369">
        <w:rPr>
          <w:sz w:val="21"/>
          <w:szCs w:val="21"/>
          <w:lang w:eastAsia="en-GB"/>
        </w:rPr>
        <w:t>sub-contractor</w:t>
      </w:r>
      <w:r w:rsidRPr="00C11369">
        <w:rPr>
          <w:sz w:val="21"/>
          <w:szCs w:val="21"/>
          <w:lang w:eastAsia="en-GB"/>
        </w:rPr>
        <w:t xml:space="preserve">, its agents, servants, or workmen as fully as if they were the acts, omissions, defaults or negligence of the </w:t>
      </w:r>
      <w:r w:rsidR="003B42AC" w:rsidRPr="00C11369">
        <w:rPr>
          <w:sz w:val="21"/>
          <w:szCs w:val="21"/>
          <w:lang w:eastAsia="en-GB"/>
        </w:rPr>
        <w:t>S</w:t>
      </w:r>
      <w:r w:rsidR="000066E8" w:rsidRPr="00C11369">
        <w:rPr>
          <w:sz w:val="21"/>
          <w:szCs w:val="21"/>
          <w:lang w:eastAsia="en-GB"/>
        </w:rPr>
        <w:t>upplier</w:t>
      </w:r>
      <w:r w:rsidRPr="00C11369">
        <w:rPr>
          <w:sz w:val="21"/>
          <w:szCs w:val="21"/>
          <w:lang w:eastAsia="en-GB"/>
        </w:rPr>
        <w:t>.</w:t>
      </w:r>
      <w:bookmarkEnd w:id="1"/>
      <w:bookmarkEnd w:id="2"/>
    </w:p>
    <w:p w:rsidR="00F40DD9" w:rsidRPr="00E52C17" w:rsidRDefault="00F40DD9" w:rsidP="000066E8">
      <w:pPr>
        <w:pStyle w:val="HPStyle"/>
        <w:numPr>
          <w:ilvl w:val="0"/>
          <w:numId w:val="20"/>
        </w:numPr>
        <w:spacing w:after="0"/>
        <w:rPr>
          <w:sz w:val="21"/>
          <w:szCs w:val="21"/>
          <w:lang w:eastAsia="en-GB"/>
        </w:rPr>
      </w:pPr>
      <w:bookmarkStart w:id="3" w:name="_Ref456015903"/>
      <w:r w:rsidRPr="00C11369">
        <w:rPr>
          <w:rFonts w:cstheme="majorHAnsi"/>
          <w:sz w:val="21"/>
          <w:szCs w:val="21"/>
          <w:lang w:eastAsia="en-GB"/>
        </w:rPr>
        <w:t xml:space="preserve">include in every </w:t>
      </w:r>
      <w:r w:rsidR="000066E8" w:rsidRPr="00C11369">
        <w:rPr>
          <w:rFonts w:cstheme="majorHAnsi"/>
          <w:sz w:val="21"/>
          <w:szCs w:val="21"/>
          <w:lang w:eastAsia="en-GB"/>
        </w:rPr>
        <w:t>sub-contract</w:t>
      </w:r>
      <w:r w:rsidR="003B42AC" w:rsidRPr="00C11369">
        <w:rPr>
          <w:rFonts w:cstheme="majorHAnsi"/>
          <w:sz w:val="21"/>
          <w:szCs w:val="21"/>
          <w:lang w:eastAsia="en-GB"/>
        </w:rPr>
        <w:t xml:space="preserve"> a right for the S</w:t>
      </w:r>
      <w:r w:rsidR="000066E8" w:rsidRPr="00C11369">
        <w:rPr>
          <w:rFonts w:cstheme="majorHAnsi"/>
          <w:sz w:val="21"/>
          <w:szCs w:val="21"/>
          <w:lang w:eastAsia="en-GB"/>
        </w:rPr>
        <w:t>upplier to terminate that sub-contract</w:t>
      </w:r>
      <w:r w:rsidRPr="00C11369">
        <w:rPr>
          <w:rFonts w:cstheme="majorHAnsi"/>
          <w:sz w:val="21"/>
          <w:szCs w:val="21"/>
          <w:lang w:eastAsia="en-GB"/>
        </w:rPr>
        <w:t xml:space="preserve"> if the sub</w:t>
      </w:r>
      <w:r w:rsidRPr="00C11369">
        <w:rPr>
          <w:rFonts w:cstheme="majorHAnsi"/>
          <w:sz w:val="21"/>
          <w:szCs w:val="21"/>
          <w:lang w:eastAsia="en-GB"/>
        </w:rPr>
        <w:softHyphen/>
        <w:t xml:space="preserve">contractor fails to comply with </w:t>
      </w:r>
      <w:r w:rsidR="000066E8" w:rsidRPr="00C11369">
        <w:rPr>
          <w:rFonts w:cstheme="majorHAnsi"/>
          <w:sz w:val="21"/>
          <w:szCs w:val="21"/>
          <w:lang w:eastAsia="en-GB"/>
        </w:rPr>
        <w:t>applicable law</w:t>
      </w:r>
      <w:r w:rsidRPr="00C11369">
        <w:rPr>
          <w:rFonts w:cstheme="majorHAnsi"/>
          <w:sz w:val="21"/>
          <w:szCs w:val="21"/>
          <w:lang w:eastAsia="en-GB"/>
        </w:rPr>
        <w:t xml:space="preserve"> (and a requirement that the subcontractor includes </w:t>
      </w:r>
      <w:r w:rsidR="00120363" w:rsidRPr="00C11369">
        <w:rPr>
          <w:rFonts w:cstheme="majorHAnsi"/>
          <w:sz w:val="21"/>
          <w:szCs w:val="21"/>
          <w:lang w:eastAsia="en-GB"/>
        </w:rPr>
        <w:t>a</w:t>
      </w:r>
      <w:r w:rsidRPr="00C11369">
        <w:rPr>
          <w:rFonts w:cstheme="majorHAnsi"/>
          <w:sz w:val="21"/>
          <w:szCs w:val="21"/>
          <w:lang w:eastAsia="en-GB"/>
        </w:rPr>
        <w:t xml:space="preserve"> provision having the same effect in any </w:t>
      </w:r>
      <w:r w:rsidR="000066E8" w:rsidRPr="00C11369">
        <w:rPr>
          <w:rFonts w:cstheme="majorHAnsi"/>
          <w:sz w:val="21"/>
          <w:szCs w:val="21"/>
          <w:lang w:eastAsia="en-GB"/>
        </w:rPr>
        <w:t>sub-contract</w:t>
      </w:r>
      <w:r w:rsidRPr="00C11369">
        <w:rPr>
          <w:rFonts w:cstheme="majorHAnsi"/>
          <w:sz w:val="21"/>
          <w:szCs w:val="21"/>
          <w:lang w:eastAsia="en-GB"/>
        </w:rPr>
        <w:t xml:space="preserve"> which it awards). Where </w:t>
      </w:r>
      <w:r w:rsidR="003B42AC" w:rsidRPr="00C11369">
        <w:rPr>
          <w:rFonts w:cstheme="majorHAnsi"/>
          <w:sz w:val="21"/>
          <w:szCs w:val="21"/>
          <w:lang w:eastAsia="en-GB"/>
        </w:rPr>
        <w:t>the University</w:t>
      </w:r>
      <w:r w:rsidRPr="00C11369">
        <w:rPr>
          <w:rFonts w:cstheme="majorHAnsi"/>
          <w:sz w:val="21"/>
          <w:szCs w:val="21"/>
          <w:lang w:eastAsia="en-GB"/>
        </w:rPr>
        <w:t xml:space="preserve"> considers there are grounds for the exclusion of a sub</w:t>
      </w:r>
      <w:r w:rsidRPr="00C11369">
        <w:rPr>
          <w:rFonts w:cstheme="majorHAnsi"/>
          <w:sz w:val="21"/>
          <w:szCs w:val="21"/>
          <w:lang w:eastAsia="en-GB"/>
        </w:rPr>
        <w:softHyphen/>
        <w:t>contractor under Regulation 57 of the Public Contracts Regula</w:t>
      </w:r>
      <w:r w:rsidR="000066E8" w:rsidRPr="00C11369">
        <w:rPr>
          <w:rFonts w:cstheme="majorHAnsi"/>
          <w:sz w:val="21"/>
          <w:szCs w:val="21"/>
          <w:lang w:eastAsia="en-GB"/>
        </w:rPr>
        <w:t xml:space="preserve">tions 2015 (whether or not </w:t>
      </w:r>
      <w:r w:rsidR="003B42AC" w:rsidRPr="00C11369">
        <w:rPr>
          <w:rFonts w:cstheme="majorHAnsi"/>
          <w:sz w:val="21"/>
          <w:szCs w:val="21"/>
          <w:lang w:eastAsia="en-GB"/>
        </w:rPr>
        <w:t xml:space="preserve">the </w:t>
      </w:r>
      <w:r w:rsidR="00E53766" w:rsidRPr="00C11369">
        <w:rPr>
          <w:rFonts w:cstheme="majorHAnsi"/>
          <w:sz w:val="21"/>
          <w:szCs w:val="21"/>
          <w:lang w:eastAsia="en-GB"/>
        </w:rPr>
        <w:t>University constitutes</w:t>
      </w:r>
      <w:r w:rsidRPr="00C11369">
        <w:rPr>
          <w:rFonts w:cstheme="majorHAnsi"/>
          <w:sz w:val="21"/>
          <w:szCs w:val="21"/>
          <w:lang w:eastAsia="en-GB"/>
        </w:rPr>
        <w:t xml:space="preserve"> a contracting authority under such regulation), then: (i) if the </w:t>
      </w:r>
      <w:r w:rsidR="000066E8" w:rsidRPr="00C11369">
        <w:rPr>
          <w:rFonts w:cstheme="majorHAnsi"/>
          <w:sz w:val="21"/>
          <w:szCs w:val="21"/>
          <w:lang w:eastAsia="en-GB"/>
        </w:rPr>
        <w:t xml:space="preserve">University </w:t>
      </w:r>
      <w:r w:rsidRPr="00C11369">
        <w:rPr>
          <w:rFonts w:cstheme="majorHAnsi"/>
          <w:sz w:val="21"/>
          <w:szCs w:val="21"/>
          <w:lang w:eastAsia="en-GB"/>
        </w:rPr>
        <w:t xml:space="preserve">finds there are compulsory grounds for exclusion, the </w:t>
      </w:r>
      <w:r w:rsidR="003B42AC" w:rsidRPr="00C11369">
        <w:rPr>
          <w:rFonts w:cstheme="majorHAnsi"/>
          <w:sz w:val="21"/>
          <w:szCs w:val="21"/>
          <w:lang w:eastAsia="en-GB"/>
        </w:rPr>
        <w:t>S</w:t>
      </w:r>
      <w:r w:rsidR="000066E8" w:rsidRPr="00C11369">
        <w:rPr>
          <w:rFonts w:cstheme="majorHAnsi"/>
          <w:sz w:val="21"/>
          <w:szCs w:val="21"/>
          <w:lang w:eastAsia="en-GB"/>
        </w:rPr>
        <w:t>upplier</w:t>
      </w:r>
      <w:r w:rsidRPr="00C11369">
        <w:rPr>
          <w:rFonts w:cstheme="majorHAnsi"/>
          <w:sz w:val="21"/>
          <w:szCs w:val="21"/>
          <w:lang w:eastAsia="en-GB"/>
        </w:rPr>
        <w:t xml:space="preserve"> shall replace or not appoint the subcontractor; &amp; (ii) if the </w:t>
      </w:r>
      <w:r w:rsidR="000066E8" w:rsidRPr="00C11369">
        <w:rPr>
          <w:rFonts w:cstheme="majorHAnsi"/>
          <w:sz w:val="21"/>
          <w:szCs w:val="21"/>
          <w:lang w:eastAsia="en-GB"/>
        </w:rPr>
        <w:t xml:space="preserve">University </w:t>
      </w:r>
      <w:r w:rsidRPr="00C11369">
        <w:rPr>
          <w:rFonts w:cstheme="majorHAnsi"/>
          <w:sz w:val="21"/>
          <w:szCs w:val="21"/>
          <w:lang w:eastAsia="en-GB"/>
        </w:rPr>
        <w:t xml:space="preserve">finds there are non-compulsory grounds, the </w:t>
      </w:r>
      <w:r w:rsidR="000066E8" w:rsidRPr="00C11369">
        <w:rPr>
          <w:rFonts w:cstheme="majorHAnsi"/>
          <w:sz w:val="21"/>
          <w:szCs w:val="21"/>
          <w:lang w:eastAsia="en-GB"/>
        </w:rPr>
        <w:t>University</w:t>
      </w:r>
      <w:r w:rsidRPr="00C11369">
        <w:rPr>
          <w:rFonts w:cstheme="majorHAnsi"/>
          <w:sz w:val="21"/>
          <w:szCs w:val="21"/>
          <w:lang w:eastAsia="en-GB"/>
        </w:rPr>
        <w:t xml:space="preserve"> may require </w:t>
      </w:r>
      <w:r w:rsidR="003B42AC" w:rsidRPr="00C11369">
        <w:rPr>
          <w:rFonts w:cstheme="majorHAnsi"/>
          <w:sz w:val="21"/>
          <w:szCs w:val="21"/>
          <w:lang w:eastAsia="en-GB"/>
        </w:rPr>
        <w:t>S</w:t>
      </w:r>
      <w:r w:rsidR="000066E8" w:rsidRPr="00C11369">
        <w:rPr>
          <w:rFonts w:cstheme="majorHAnsi"/>
          <w:sz w:val="21"/>
          <w:szCs w:val="21"/>
          <w:lang w:eastAsia="en-GB"/>
        </w:rPr>
        <w:t>upplier</w:t>
      </w:r>
      <w:r w:rsidRPr="00C11369">
        <w:rPr>
          <w:rFonts w:cstheme="majorHAnsi"/>
          <w:sz w:val="21"/>
          <w:szCs w:val="21"/>
          <w:lang w:eastAsia="en-GB"/>
        </w:rPr>
        <w:t xml:space="preserve"> to replace or not to appo</w:t>
      </w:r>
      <w:r w:rsidR="000066E8" w:rsidRPr="00C11369">
        <w:rPr>
          <w:rFonts w:cstheme="majorHAnsi"/>
          <w:sz w:val="21"/>
          <w:szCs w:val="21"/>
          <w:lang w:eastAsia="en-GB"/>
        </w:rPr>
        <w:t>int the sub</w:t>
      </w:r>
      <w:r w:rsidR="000066E8" w:rsidRPr="00C11369">
        <w:rPr>
          <w:rFonts w:cstheme="majorHAnsi"/>
          <w:sz w:val="21"/>
          <w:szCs w:val="21"/>
          <w:lang w:eastAsia="en-GB"/>
        </w:rPr>
        <w:softHyphen/>
        <w:t>contractor and the supplier</w:t>
      </w:r>
      <w:r w:rsidRPr="00C11369">
        <w:rPr>
          <w:rFonts w:cstheme="majorHAnsi"/>
          <w:sz w:val="21"/>
          <w:szCs w:val="21"/>
          <w:lang w:eastAsia="en-GB"/>
        </w:rPr>
        <w:t xml:space="preserve"> shall comply with such requirement.</w:t>
      </w:r>
      <w:bookmarkEnd w:id="3"/>
    </w:p>
    <w:p w:rsidR="00E52C17" w:rsidRPr="00C11369" w:rsidRDefault="00E52C17" w:rsidP="00E52C17">
      <w:pPr>
        <w:pStyle w:val="HPStyle"/>
        <w:numPr>
          <w:ilvl w:val="0"/>
          <w:numId w:val="0"/>
        </w:numPr>
        <w:spacing w:after="0"/>
        <w:ind w:left="720"/>
        <w:rPr>
          <w:sz w:val="21"/>
          <w:szCs w:val="21"/>
          <w:lang w:eastAsia="en-GB"/>
        </w:rPr>
      </w:pPr>
    </w:p>
    <w:p w:rsidR="00F40DD9" w:rsidRPr="00C11369" w:rsidRDefault="00F40DD9" w:rsidP="000066E8">
      <w:pPr>
        <w:pStyle w:val="HPStyle"/>
        <w:numPr>
          <w:ilvl w:val="0"/>
          <w:numId w:val="0"/>
        </w:numPr>
        <w:spacing w:after="0"/>
        <w:ind w:left="709"/>
        <w:rPr>
          <w:sz w:val="21"/>
          <w:szCs w:val="21"/>
          <w:lang w:eastAsia="en-GB"/>
        </w:rPr>
      </w:pPr>
      <w:r w:rsidRPr="00C11369">
        <w:rPr>
          <w:sz w:val="21"/>
          <w:szCs w:val="21"/>
          <w:lang w:eastAsia="en-GB"/>
        </w:rPr>
        <w:t xml:space="preserve">If the consent is granted by the </w:t>
      </w:r>
      <w:r w:rsidR="00E53766" w:rsidRPr="00C11369">
        <w:rPr>
          <w:sz w:val="21"/>
          <w:szCs w:val="21"/>
          <w:lang w:eastAsia="en-GB"/>
        </w:rPr>
        <w:t>University to</w:t>
      </w:r>
      <w:r w:rsidR="000066E8" w:rsidRPr="00C11369">
        <w:rPr>
          <w:sz w:val="21"/>
          <w:szCs w:val="21"/>
          <w:lang w:eastAsia="en-GB"/>
        </w:rPr>
        <w:t xml:space="preserve"> assign the contract in whole or in part, the Supplier </w:t>
      </w:r>
      <w:r w:rsidRPr="00C11369">
        <w:rPr>
          <w:sz w:val="21"/>
          <w:szCs w:val="21"/>
          <w:lang w:eastAsia="en-GB"/>
        </w:rPr>
        <w:t xml:space="preserve">shall ensure that all rights, duties and obligations that the </w:t>
      </w:r>
      <w:r w:rsidR="000066E8" w:rsidRPr="00C11369">
        <w:rPr>
          <w:sz w:val="21"/>
          <w:szCs w:val="21"/>
          <w:lang w:eastAsia="en-GB"/>
        </w:rPr>
        <w:t>Supplier has under the contract</w:t>
      </w:r>
      <w:r w:rsidRPr="00C11369">
        <w:rPr>
          <w:sz w:val="21"/>
          <w:szCs w:val="21"/>
          <w:lang w:eastAsia="en-GB"/>
        </w:rPr>
        <w:t xml:space="preserve"> shall be included in any con</w:t>
      </w:r>
      <w:r w:rsidR="000066E8" w:rsidRPr="00C11369">
        <w:rPr>
          <w:sz w:val="21"/>
          <w:szCs w:val="21"/>
          <w:lang w:eastAsia="en-GB"/>
        </w:rPr>
        <w:t>tract that the Supplier</w:t>
      </w:r>
      <w:r w:rsidRPr="00C11369">
        <w:rPr>
          <w:sz w:val="21"/>
          <w:szCs w:val="21"/>
          <w:lang w:eastAsia="en-GB"/>
        </w:rPr>
        <w:t xml:space="preserve"> has with any </w:t>
      </w:r>
      <w:r w:rsidR="000066E8" w:rsidRPr="00C11369">
        <w:rPr>
          <w:sz w:val="21"/>
          <w:szCs w:val="21"/>
          <w:lang w:eastAsia="en-GB"/>
        </w:rPr>
        <w:t>sub-contractor</w:t>
      </w:r>
      <w:r w:rsidRPr="00C11369">
        <w:rPr>
          <w:sz w:val="21"/>
          <w:szCs w:val="21"/>
          <w:lang w:eastAsia="en-GB"/>
        </w:rPr>
        <w:t>.</w:t>
      </w:r>
    </w:p>
    <w:p w:rsidR="00F40DD9" w:rsidRPr="00F40DD9" w:rsidRDefault="00F40DD9" w:rsidP="00F40DD9">
      <w:pPr>
        <w:pStyle w:val="HPStyle"/>
        <w:numPr>
          <w:ilvl w:val="0"/>
          <w:numId w:val="0"/>
        </w:numPr>
        <w:spacing w:after="0"/>
        <w:rPr>
          <w:rFonts w:cstheme="majorHAnsi"/>
          <w:b/>
          <w:sz w:val="21"/>
          <w:szCs w:val="21"/>
          <w:lang w:eastAsia="en-GB"/>
        </w:rPr>
      </w:pPr>
    </w:p>
    <w:p w:rsidR="007939C3" w:rsidRPr="0058315C" w:rsidRDefault="007939C3" w:rsidP="007939C3">
      <w:pPr>
        <w:spacing w:after="0"/>
        <w:rPr>
          <w:rFonts w:asciiTheme="minorHAnsi" w:hAnsiTheme="minorHAnsi"/>
          <w:sz w:val="21"/>
          <w:szCs w:val="21"/>
        </w:rPr>
      </w:pPr>
      <w:r w:rsidRPr="0058315C">
        <w:rPr>
          <w:rFonts w:asciiTheme="minorHAnsi" w:hAnsiTheme="minorHAnsi"/>
          <w:sz w:val="21"/>
          <w:szCs w:val="21"/>
        </w:rPr>
        <w:t xml:space="preserve">Should you have any problems or difficulties with this form, or require any further clarification about the project in question, please contact </w:t>
      </w:r>
      <w:r w:rsidR="00CB78F2">
        <w:rPr>
          <w:rFonts w:asciiTheme="minorHAnsi" w:hAnsiTheme="minorHAnsi"/>
          <w:sz w:val="21"/>
          <w:szCs w:val="21"/>
        </w:rPr>
        <w:t xml:space="preserve">the Interim Project </w:t>
      </w:r>
      <w:r w:rsidR="00E53766">
        <w:rPr>
          <w:rFonts w:asciiTheme="minorHAnsi" w:hAnsiTheme="minorHAnsi"/>
          <w:sz w:val="21"/>
          <w:szCs w:val="21"/>
        </w:rPr>
        <w:t>Manager</w:t>
      </w:r>
      <w:r w:rsidR="00E53766" w:rsidRPr="0058315C">
        <w:rPr>
          <w:rFonts w:asciiTheme="minorHAnsi" w:hAnsiTheme="minorHAnsi"/>
          <w:b/>
          <w:i/>
          <w:sz w:val="21"/>
          <w:szCs w:val="21"/>
        </w:rPr>
        <w:t xml:space="preserve"> by</w:t>
      </w:r>
      <w:r w:rsidRPr="0058315C">
        <w:rPr>
          <w:rFonts w:asciiTheme="minorHAnsi" w:hAnsiTheme="minorHAnsi"/>
          <w:b/>
          <w:i/>
          <w:sz w:val="21"/>
          <w:szCs w:val="21"/>
        </w:rPr>
        <w:t xml:space="preserve"> email only</w:t>
      </w:r>
      <w:r w:rsidR="00CB78F2">
        <w:rPr>
          <w:rFonts w:asciiTheme="minorHAnsi" w:hAnsiTheme="minorHAnsi"/>
          <w:sz w:val="21"/>
          <w:szCs w:val="21"/>
        </w:rPr>
        <w:t>–</w:t>
      </w:r>
      <w:hyperlink r:id="rId10" w:history="1">
        <w:r w:rsidR="00CB78F2" w:rsidRPr="006B455D">
          <w:rPr>
            <w:rStyle w:val="Hyperlink"/>
            <w:rFonts w:asciiTheme="minorHAnsi" w:hAnsiTheme="minorHAnsi"/>
            <w:sz w:val="21"/>
            <w:szCs w:val="21"/>
          </w:rPr>
          <w:t>rob.jones@bishopg.ac.uk</w:t>
        </w:r>
      </w:hyperlink>
    </w:p>
    <w:p w:rsidR="007939C3" w:rsidRPr="0058315C" w:rsidRDefault="007939C3" w:rsidP="007939C3">
      <w:pPr>
        <w:spacing w:after="0"/>
        <w:rPr>
          <w:rFonts w:asciiTheme="minorHAnsi" w:hAnsiTheme="minorHAnsi"/>
          <w:sz w:val="21"/>
          <w:szCs w:val="21"/>
        </w:rPr>
      </w:pPr>
    </w:p>
    <w:p w:rsidR="007939C3" w:rsidRPr="0058315C" w:rsidRDefault="007939C3" w:rsidP="007939C3">
      <w:pPr>
        <w:spacing w:after="0"/>
        <w:rPr>
          <w:rFonts w:asciiTheme="minorHAnsi" w:hAnsiTheme="minorHAnsi"/>
          <w:sz w:val="21"/>
          <w:szCs w:val="21"/>
        </w:rPr>
      </w:pPr>
    </w:p>
    <w:p w:rsidR="004469F3" w:rsidRPr="0058315C" w:rsidRDefault="004469F3" w:rsidP="007939C3">
      <w:pPr>
        <w:spacing w:after="0"/>
        <w:rPr>
          <w:rFonts w:asciiTheme="minorHAnsi" w:hAnsiTheme="minorHAnsi"/>
          <w:sz w:val="21"/>
          <w:szCs w:val="21"/>
        </w:rPr>
      </w:pPr>
    </w:p>
    <w:sectPr w:rsidR="004469F3" w:rsidRPr="0058315C" w:rsidSect="007939C3">
      <w:headerReference w:type="default" r:id="rId11"/>
      <w:footerReference w:type="default" r:id="rId12"/>
      <w:pgSz w:w="11906" w:h="16838"/>
      <w:pgMar w:top="720" w:right="720" w:bottom="720" w:left="720" w:header="709" w:footer="3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DC6" w:rsidRDefault="00EF4DC6">
      <w:r>
        <w:separator/>
      </w:r>
    </w:p>
  </w:endnote>
  <w:endnote w:type="continuationSeparator" w:id="1">
    <w:p w:rsidR="00EF4DC6" w:rsidRDefault="00EF4D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utiger 55 Roman">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16"/>
        <w:szCs w:val="16"/>
      </w:rPr>
      <w:id w:val="-1891333840"/>
      <w:docPartObj>
        <w:docPartGallery w:val="Page Numbers (Bottom of Page)"/>
        <w:docPartUnique/>
      </w:docPartObj>
    </w:sdtPr>
    <w:sdtContent>
      <w:sdt>
        <w:sdtPr>
          <w:rPr>
            <w:rFonts w:asciiTheme="minorHAnsi" w:hAnsiTheme="minorHAnsi"/>
            <w:sz w:val="16"/>
            <w:szCs w:val="16"/>
          </w:rPr>
          <w:id w:val="-1669238322"/>
          <w:docPartObj>
            <w:docPartGallery w:val="Page Numbers (Top of Page)"/>
            <w:docPartUnique/>
          </w:docPartObj>
        </w:sdtPr>
        <w:sdtContent>
          <w:p w:rsidR="00EF4DC6" w:rsidRPr="007939C3" w:rsidRDefault="00EF4DC6" w:rsidP="007939C3">
            <w:pPr>
              <w:pStyle w:val="Footer"/>
              <w:jc w:val="center"/>
              <w:rPr>
                <w:rFonts w:asciiTheme="minorHAnsi" w:hAnsiTheme="minorHAnsi"/>
                <w:sz w:val="16"/>
                <w:szCs w:val="16"/>
              </w:rPr>
            </w:pPr>
            <w:r w:rsidRPr="007939C3">
              <w:rPr>
                <w:rFonts w:asciiTheme="minorHAnsi" w:hAnsiTheme="minorHAnsi"/>
                <w:sz w:val="16"/>
                <w:szCs w:val="16"/>
              </w:rPr>
              <w:t xml:space="preserve">Page </w:t>
            </w:r>
            <w:r w:rsidR="00E363BF" w:rsidRPr="007939C3">
              <w:rPr>
                <w:rFonts w:asciiTheme="minorHAnsi" w:hAnsiTheme="minorHAnsi"/>
                <w:b/>
                <w:bCs/>
                <w:sz w:val="16"/>
                <w:szCs w:val="16"/>
              </w:rPr>
              <w:fldChar w:fldCharType="begin"/>
            </w:r>
            <w:r w:rsidRPr="007939C3">
              <w:rPr>
                <w:rFonts w:asciiTheme="minorHAnsi" w:hAnsiTheme="minorHAnsi"/>
                <w:b/>
                <w:bCs/>
                <w:sz w:val="16"/>
                <w:szCs w:val="16"/>
              </w:rPr>
              <w:instrText xml:space="preserve"> PAGE </w:instrText>
            </w:r>
            <w:r w:rsidR="00E363BF" w:rsidRPr="007939C3">
              <w:rPr>
                <w:rFonts w:asciiTheme="minorHAnsi" w:hAnsiTheme="minorHAnsi"/>
                <w:b/>
                <w:bCs/>
                <w:sz w:val="16"/>
                <w:szCs w:val="16"/>
              </w:rPr>
              <w:fldChar w:fldCharType="separate"/>
            </w:r>
            <w:r w:rsidR="00E52C17">
              <w:rPr>
                <w:rFonts w:asciiTheme="minorHAnsi" w:hAnsiTheme="minorHAnsi"/>
                <w:b/>
                <w:bCs/>
                <w:noProof/>
                <w:sz w:val="16"/>
                <w:szCs w:val="16"/>
              </w:rPr>
              <w:t>1</w:t>
            </w:r>
            <w:r w:rsidR="00E363BF" w:rsidRPr="007939C3">
              <w:rPr>
                <w:rFonts w:asciiTheme="minorHAnsi" w:hAnsiTheme="minorHAnsi"/>
                <w:b/>
                <w:bCs/>
                <w:sz w:val="16"/>
                <w:szCs w:val="16"/>
              </w:rPr>
              <w:fldChar w:fldCharType="end"/>
            </w:r>
            <w:r w:rsidRPr="007939C3">
              <w:rPr>
                <w:rFonts w:asciiTheme="minorHAnsi" w:hAnsiTheme="minorHAnsi"/>
                <w:sz w:val="16"/>
                <w:szCs w:val="16"/>
              </w:rPr>
              <w:t xml:space="preserve"> of </w:t>
            </w:r>
            <w:r w:rsidR="00E363BF" w:rsidRPr="007939C3">
              <w:rPr>
                <w:rFonts w:asciiTheme="minorHAnsi" w:hAnsiTheme="minorHAnsi"/>
                <w:b/>
                <w:bCs/>
                <w:sz w:val="16"/>
                <w:szCs w:val="16"/>
              </w:rPr>
              <w:fldChar w:fldCharType="begin"/>
            </w:r>
            <w:r w:rsidRPr="007939C3">
              <w:rPr>
                <w:rFonts w:asciiTheme="minorHAnsi" w:hAnsiTheme="minorHAnsi"/>
                <w:b/>
                <w:bCs/>
                <w:sz w:val="16"/>
                <w:szCs w:val="16"/>
              </w:rPr>
              <w:instrText xml:space="preserve"> NUMPAGES  </w:instrText>
            </w:r>
            <w:r w:rsidR="00E363BF" w:rsidRPr="007939C3">
              <w:rPr>
                <w:rFonts w:asciiTheme="minorHAnsi" w:hAnsiTheme="minorHAnsi"/>
                <w:b/>
                <w:bCs/>
                <w:sz w:val="16"/>
                <w:szCs w:val="16"/>
              </w:rPr>
              <w:fldChar w:fldCharType="separate"/>
            </w:r>
            <w:r w:rsidR="00E52C17">
              <w:rPr>
                <w:rFonts w:asciiTheme="minorHAnsi" w:hAnsiTheme="minorHAnsi"/>
                <w:b/>
                <w:bCs/>
                <w:noProof/>
                <w:sz w:val="16"/>
                <w:szCs w:val="16"/>
              </w:rPr>
              <w:t>9</w:t>
            </w:r>
            <w:r w:rsidR="00E363BF" w:rsidRPr="007939C3">
              <w:rPr>
                <w:rFonts w:asciiTheme="minorHAnsi" w:hAnsiTheme="minorHAnsi"/>
                <w:b/>
                <w:bCs/>
                <w:sz w:val="16"/>
                <w:szCs w:val="16"/>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DC6" w:rsidRDefault="00EF4DC6">
      <w:r>
        <w:separator/>
      </w:r>
    </w:p>
  </w:footnote>
  <w:footnote w:type="continuationSeparator" w:id="1">
    <w:p w:rsidR="00EF4DC6" w:rsidRDefault="00EF4D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DC6" w:rsidRDefault="00EF4DC6" w:rsidP="007939C3">
    <w:pPr>
      <w:pStyle w:val="Header"/>
      <w:spacing w:after="0"/>
      <w:jc w:val="right"/>
      <w:rPr>
        <w:rFonts w:asciiTheme="minorHAnsi" w:hAnsiTheme="minorHAnsi"/>
        <w:b/>
        <w:sz w:val="21"/>
        <w:szCs w:val="21"/>
      </w:rPr>
    </w:pPr>
    <w:r>
      <w:rPr>
        <w:rFonts w:asciiTheme="minorHAnsi" w:hAnsiTheme="minorHAnsi"/>
        <w:noProof/>
        <w:sz w:val="32"/>
        <w:szCs w:val="32"/>
      </w:rPr>
      <w:drawing>
        <wp:inline distT="0" distB="0" distL="0" distR="0">
          <wp:extent cx="6645910" cy="65406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5910" cy="654064"/>
                  </a:xfrm>
                  <a:prstGeom prst="rect">
                    <a:avLst/>
                  </a:prstGeom>
                  <a:noFill/>
                </pic:spPr>
              </pic:pic>
            </a:graphicData>
          </a:graphic>
        </wp:inline>
      </w:drawing>
    </w:r>
  </w:p>
  <w:p w:rsidR="00EF4DC6" w:rsidRDefault="00EF4DC6" w:rsidP="007939C3">
    <w:pPr>
      <w:pStyle w:val="Header"/>
      <w:spacing w:after="0"/>
      <w:jc w:val="right"/>
      <w:rPr>
        <w:rFonts w:asciiTheme="minorHAnsi" w:hAnsiTheme="minorHAnsi"/>
        <w:b/>
        <w:sz w:val="21"/>
        <w:szCs w:val="21"/>
      </w:rPr>
    </w:pPr>
  </w:p>
  <w:p w:rsidR="00EF4DC6" w:rsidRDefault="00EF4DC6" w:rsidP="007939C3">
    <w:pPr>
      <w:pStyle w:val="Header"/>
      <w:spacing w:after="0"/>
      <w:jc w:val="right"/>
      <w:rPr>
        <w:rFonts w:asciiTheme="minorHAnsi" w:hAnsiTheme="minorHAnsi"/>
        <w:b/>
        <w:sz w:val="21"/>
        <w:szCs w:val="21"/>
      </w:rPr>
    </w:pPr>
  </w:p>
  <w:p w:rsidR="00EF4DC6" w:rsidRPr="007939C3" w:rsidRDefault="00EF4DC6" w:rsidP="007939C3">
    <w:pPr>
      <w:pStyle w:val="Header"/>
      <w:spacing w:after="0"/>
      <w:jc w:val="right"/>
      <w:rPr>
        <w:rFonts w:asciiTheme="minorHAnsi" w:hAnsiTheme="minorHAnsi"/>
        <w:b/>
        <w:sz w:val="21"/>
        <w:szCs w:val="21"/>
      </w:rPr>
    </w:pPr>
    <w:r>
      <w:rPr>
        <w:rFonts w:asciiTheme="minorHAnsi" w:hAnsiTheme="minorHAnsi"/>
        <w:b/>
        <w:sz w:val="21"/>
        <w:szCs w:val="21"/>
      </w:rPr>
      <w:t>BGU Open Data Consultant</w:t>
    </w:r>
  </w:p>
  <w:p w:rsidR="00EF4DC6" w:rsidRPr="007939C3" w:rsidRDefault="00EF4DC6" w:rsidP="007939C3">
    <w:pPr>
      <w:pStyle w:val="Header"/>
      <w:spacing w:after="0"/>
      <w:jc w:val="right"/>
      <w:rPr>
        <w:rFonts w:asciiTheme="minorHAnsi" w:hAnsiTheme="minorHAnsi"/>
        <w:sz w:val="21"/>
        <w:szCs w:val="21"/>
      </w:rPr>
    </w:pPr>
    <w:r w:rsidRPr="007939C3">
      <w:rPr>
        <w:rFonts w:asciiTheme="minorHAnsi" w:hAnsiTheme="minorHAnsi"/>
        <w:sz w:val="21"/>
        <w:szCs w:val="21"/>
      </w:rPr>
      <w:t>Invitation to Tender</w:t>
    </w:r>
  </w:p>
  <w:p w:rsidR="00EF4DC6" w:rsidRDefault="00EF4DC6" w:rsidP="007939C3">
    <w:pPr>
      <w:pStyle w:val="Header"/>
      <w:spacing w:after="0"/>
      <w:jc w:val="right"/>
      <w:rPr>
        <w:rFonts w:asciiTheme="minorHAnsi" w:hAnsiTheme="minorHAnsi"/>
        <w:b/>
        <w:i/>
        <w:sz w:val="21"/>
        <w:szCs w:val="21"/>
      </w:rPr>
    </w:pPr>
    <w:r>
      <w:rPr>
        <w:rFonts w:asciiTheme="minorHAnsi" w:hAnsiTheme="minorHAnsi"/>
        <w:b/>
        <w:i/>
        <w:sz w:val="21"/>
        <w:szCs w:val="21"/>
      </w:rPr>
      <w:t>March 2018</w:t>
    </w:r>
  </w:p>
  <w:p w:rsidR="00EF4DC6" w:rsidRDefault="00EF4DC6" w:rsidP="007939C3">
    <w:pPr>
      <w:pStyle w:val="Header"/>
      <w:spacing w:after="0"/>
      <w:jc w:val="right"/>
      <w:rPr>
        <w:rFonts w:asciiTheme="minorHAnsi" w:hAnsiTheme="minorHAnsi"/>
        <w:b/>
        <w:i/>
        <w:sz w:val="21"/>
        <w:szCs w:val="21"/>
      </w:rPr>
    </w:pPr>
  </w:p>
  <w:p w:rsidR="00EF4DC6" w:rsidRDefault="00EF4DC6" w:rsidP="007939C3">
    <w:pPr>
      <w:pStyle w:val="Header"/>
      <w:spacing w:after="0"/>
      <w:jc w:val="right"/>
      <w:rPr>
        <w:rFonts w:asciiTheme="minorHAnsi" w:hAnsiTheme="minorHAnsi"/>
        <w:b/>
        <w:i/>
        <w:sz w:val="21"/>
        <w:szCs w:val="21"/>
      </w:rPr>
    </w:pPr>
  </w:p>
  <w:p w:rsidR="00EF4DC6" w:rsidRDefault="00EF4DC6" w:rsidP="007939C3">
    <w:pPr>
      <w:pStyle w:val="Header"/>
      <w:spacing w:after="0"/>
      <w:jc w:val="right"/>
      <w:rPr>
        <w:rFonts w:asciiTheme="minorHAnsi" w:hAnsiTheme="minorHAnsi"/>
        <w:b/>
        <w:i/>
        <w:sz w:val="21"/>
        <w:szCs w:val="21"/>
      </w:rPr>
    </w:pPr>
  </w:p>
  <w:p w:rsidR="00EF4DC6" w:rsidRPr="007939C3" w:rsidRDefault="00EF4DC6" w:rsidP="007939C3">
    <w:pPr>
      <w:pStyle w:val="Header"/>
      <w:spacing w:after="0"/>
      <w:jc w:val="right"/>
      <w:rPr>
        <w:rFonts w:asciiTheme="minorHAnsi" w:hAnsiTheme="minorHAnsi"/>
        <w:b/>
        <w:i/>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5A71"/>
    <w:multiLevelType w:val="hybridMultilevel"/>
    <w:tmpl w:val="91DE6BD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nsid w:val="02867D2E"/>
    <w:multiLevelType w:val="hybridMultilevel"/>
    <w:tmpl w:val="42541A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48C276E"/>
    <w:multiLevelType w:val="hybridMultilevel"/>
    <w:tmpl w:val="F01CE112"/>
    <w:lvl w:ilvl="0" w:tplc="8E327B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6DD775F"/>
    <w:multiLevelType w:val="hybridMultilevel"/>
    <w:tmpl w:val="F6A010B4"/>
    <w:lvl w:ilvl="0" w:tplc="7FE848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A477F82"/>
    <w:multiLevelType w:val="multilevel"/>
    <w:tmpl w:val="E58A60BE"/>
    <w:numStyleLink w:val="HPNum"/>
  </w:abstractNum>
  <w:abstractNum w:abstractNumId="5">
    <w:nsid w:val="0D5F33DA"/>
    <w:multiLevelType w:val="hybridMultilevel"/>
    <w:tmpl w:val="BA38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E1314F"/>
    <w:multiLevelType w:val="hybridMultilevel"/>
    <w:tmpl w:val="D4847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2648AB"/>
    <w:multiLevelType w:val="hybridMultilevel"/>
    <w:tmpl w:val="F800A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9C1CAF"/>
    <w:multiLevelType w:val="multilevel"/>
    <w:tmpl w:val="E58A60BE"/>
    <w:name w:val="HPNum2"/>
    <w:styleLink w:val="HPNum"/>
    <w:lvl w:ilvl="0">
      <w:start w:val="1"/>
      <w:numFmt w:val="decimal"/>
      <w:pStyle w:val="HPStyle"/>
      <w:lvlText w:val="%1"/>
      <w:lvlJc w:val="left"/>
      <w:pPr>
        <w:ind w:left="720" w:hanging="720"/>
      </w:pPr>
      <w:rPr>
        <w:rFonts w:asciiTheme="minorHAnsi" w:hAnsiTheme="minorHAnsi" w:cs="Times New Roman" w:hint="default"/>
        <w:sz w:val="22"/>
      </w:rPr>
    </w:lvl>
    <w:lvl w:ilvl="1">
      <w:start w:val="1"/>
      <w:numFmt w:val="decimal"/>
      <w:lvlText w:val="%1.%2"/>
      <w:lvlJc w:val="left"/>
      <w:pPr>
        <w:ind w:left="1440" w:hanging="720"/>
      </w:pPr>
      <w:rPr>
        <w:rFonts w:asciiTheme="minorHAnsi" w:hAnsiTheme="minorHAnsi" w:cs="Times New Roman" w:hint="default"/>
        <w:sz w:val="22"/>
      </w:rPr>
    </w:lvl>
    <w:lvl w:ilvl="2">
      <w:start w:val="1"/>
      <w:numFmt w:val="decimal"/>
      <w:lvlText w:val="%1.%2.%3"/>
      <w:lvlJc w:val="left"/>
      <w:pPr>
        <w:ind w:left="2160" w:hanging="720"/>
      </w:pPr>
      <w:rPr>
        <w:rFonts w:asciiTheme="minorHAnsi" w:hAnsiTheme="minorHAnsi" w:cs="Times New Roman" w:hint="default"/>
        <w:sz w:val="22"/>
      </w:rPr>
    </w:lvl>
    <w:lvl w:ilvl="3">
      <w:start w:val="1"/>
      <w:numFmt w:val="decimal"/>
      <w:lvlText w:val="%1.%2.%3.%4"/>
      <w:lvlJc w:val="left"/>
      <w:pPr>
        <w:ind w:left="2880" w:hanging="720"/>
      </w:pPr>
      <w:rPr>
        <w:rFonts w:asciiTheme="minorHAnsi" w:hAnsiTheme="minorHAnsi" w:cs="Times New Roman" w:hint="default"/>
        <w:sz w:val="22"/>
      </w:rPr>
    </w:lvl>
    <w:lvl w:ilvl="4">
      <w:start w:val="1"/>
      <w:numFmt w:val="decimal"/>
      <w:lvlText w:val="%1.%2.%3.%4.%5"/>
      <w:lvlJc w:val="left"/>
      <w:pPr>
        <w:ind w:left="3600" w:hanging="720"/>
      </w:pPr>
      <w:rPr>
        <w:rFonts w:asciiTheme="minorHAnsi" w:hAnsiTheme="minorHAnsi" w:cs="Times New Roman" w:hint="default"/>
        <w:sz w:val="22"/>
      </w:rPr>
    </w:lvl>
    <w:lvl w:ilvl="5">
      <w:start w:val="1"/>
      <w:numFmt w:val="decimal"/>
      <w:lvlText w:val="%1.%2.%3.%4.%5.%6"/>
      <w:lvlJc w:val="left"/>
      <w:pPr>
        <w:ind w:left="4320" w:hanging="720"/>
      </w:pPr>
      <w:rPr>
        <w:rFonts w:asciiTheme="minorHAnsi" w:hAnsiTheme="minorHAnsi" w:cs="Times New Roman" w:hint="default"/>
        <w:sz w:val="22"/>
      </w:rPr>
    </w:lvl>
    <w:lvl w:ilvl="6">
      <w:start w:val="1"/>
      <w:numFmt w:val="decimal"/>
      <w:lvlText w:val="%1.%2.%3.%4.%5.%6.%7"/>
      <w:lvlJc w:val="left"/>
      <w:pPr>
        <w:ind w:left="5040" w:hanging="720"/>
      </w:pPr>
      <w:rPr>
        <w:rFonts w:asciiTheme="minorHAnsi" w:hAnsiTheme="minorHAnsi" w:cs="Times New Roman" w:hint="default"/>
        <w:sz w:val="22"/>
      </w:rPr>
    </w:lvl>
    <w:lvl w:ilvl="7">
      <w:start w:val="1"/>
      <w:numFmt w:val="decimal"/>
      <w:lvlText w:val="%1.%2.%3.%4.%5.%6.%7.%8"/>
      <w:lvlJc w:val="left"/>
      <w:pPr>
        <w:ind w:left="5760" w:hanging="720"/>
      </w:pPr>
      <w:rPr>
        <w:rFonts w:asciiTheme="minorHAnsi" w:hAnsiTheme="minorHAnsi" w:cs="Times New Roman" w:hint="default"/>
        <w:sz w:val="22"/>
      </w:rPr>
    </w:lvl>
    <w:lvl w:ilvl="8">
      <w:start w:val="1"/>
      <w:numFmt w:val="decimal"/>
      <w:lvlText w:val="%1.%2.%3.%4.%5.%6.%7.%8.%9"/>
      <w:lvlJc w:val="left"/>
      <w:pPr>
        <w:ind w:left="6480" w:hanging="720"/>
      </w:pPr>
      <w:rPr>
        <w:rFonts w:asciiTheme="minorHAnsi" w:hAnsiTheme="minorHAnsi" w:cs="Times New Roman" w:hint="default"/>
        <w:sz w:val="22"/>
      </w:rPr>
    </w:lvl>
  </w:abstractNum>
  <w:abstractNum w:abstractNumId="9">
    <w:nsid w:val="26706022"/>
    <w:multiLevelType w:val="hybridMultilevel"/>
    <w:tmpl w:val="56C0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B70715"/>
    <w:multiLevelType w:val="hybridMultilevel"/>
    <w:tmpl w:val="E160C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F81E83"/>
    <w:multiLevelType w:val="hybridMultilevel"/>
    <w:tmpl w:val="6D04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0D69E6"/>
    <w:multiLevelType w:val="hybridMultilevel"/>
    <w:tmpl w:val="D5B89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21128C"/>
    <w:multiLevelType w:val="hybridMultilevel"/>
    <w:tmpl w:val="347CB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84668EE"/>
    <w:multiLevelType w:val="hybridMultilevel"/>
    <w:tmpl w:val="9972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01C61DB"/>
    <w:multiLevelType w:val="hybridMultilevel"/>
    <w:tmpl w:val="1CDA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0AF61BD"/>
    <w:multiLevelType w:val="hybridMultilevel"/>
    <w:tmpl w:val="6F36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4D1A04"/>
    <w:multiLevelType w:val="hybridMultilevel"/>
    <w:tmpl w:val="8F66D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43A45FE"/>
    <w:multiLevelType w:val="hybridMultilevel"/>
    <w:tmpl w:val="7634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71113AD"/>
    <w:multiLevelType w:val="hybridMultilevel"/>
    <w:tmpl w:val="3104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7716B69"/>
    <w:multiLevelType w:val="hybridMultilevel"/>
    <w:tmpl w:val="CDF6C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ACA6425"/>
    <w:multiLevelType w:val="hybridMultilevel"/>
    <w:tmpl w:val="7CFE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E880597"/>
    <w:multiLevelType w:val="hybridMultilevel"/>
    <w:tmpl w:val="8A46369E"/>
    <w:lvl w:ilvl="0" w:tplc="08090001">
      <w:start w:val="1"/>
      <w:numFmt w:val="bullet"/>
      <w:lvlText w:val=""/>
      <w:lvlJc w:val="left"/>
      <w:pPr>
        <w:ind w:left="720" w:hanging="360"/>
      </w:pPr>
      <w:rPr>
        <w:rFonts w:ascii="Symbol" w:hAnsi="Symbol" w:hint="default"/>
      </w:rPr>
    </w:lvl>
    <w:lvl w:ilvl="1" w:tplc="9E0A60EE">
      <w:numFmt w:val="bullet"/>
      <w:lvlText w:val="•"/>
      <w:lvlJc w:val="left"/>
      <w:pPr>
        <w:ind w:left="1800" w:hanging="72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1"/>
  </w:num>
  <w:num w:numId="4">
    <w:abstractNumId w:val="7"/>
  </w:num>
  <w:num w:numId="5">
    <w:abstractNumId w:val="12"/>
  </w:num>
  <w:num w:numId="6">
    <w:abstractNumId w:val="22"/>
  </w:num>
  <w:num w:numId="7">
    <w:abstractNumId w:val="1"/>
  </w:num>
  <w:num w:numId="8">
    <w:abstractNumId w:val="13"/>
  </w:num>
  <w:num w:numId="9">
    <w:abstractNumId w:val="20"/>
  </w:num>
  <w:num w:numId="10">
    <w:abstractNumId w:val="5"/>
  </w:num>
  <w:num w:numId="11">
    <w:abstractNumId w:val="14"/>
  </w:num>
  <w:num w:numId="12">
    <w:abstractNumId w:val="2"/>
  </w:num>
  <w:num w:numId="13">
    <w:abstractNumId w:val="3"/>
  </w:num>
  <w:num w:numId="14">
    <w:abstractNumId w:val="0"/>
  </w:num>
  <w:num w:numId="15">
    <w:abstractNumId w:val="15"/>
  </w:num>
  <w:num w:numId="16">
    <w:abstractNumId w:val="18"/>
  </w:num>
  <w:num w:numId="17">
    <w:abstractNumId w:val="16"/>
  </w:num>
  <w:num w:numId="18">
    <w:abstractNumId w:val="4"/>
    <w:lvlOverride w:ilvl="0">
      <w:lvl w:ilvl="0">
        <w:start w:val="1"/>
        <w:numFmt w:val="decimal"/>
        <w:lvlText w:val="%1"/>
        <w:lvlJc w:val="left"/>
        <w:pPr>
          <w:ind w:left="720" w:hanging="720"/>
        </w:pPr>
        <w:rPr>
          <w:rFonts w:asciiTheme="minorHAnsi" w:hAnsiTheme="minorHAnsi" w:cs="Times New Roman" w:hint="default"/>
          <w:b/>
          <w:sz w:val="22"/>
        </w:rPr>
      </w:lvl>
    </w:lvlOverride>
    <w:lvlOverride w:ilvl="1">
      <w:lvl w:ilvl="1">
        <w:start w:val="1"/>
        <w:numFmt w:val="decimal"/>
        <w:lvlText w:val="%1.%2"/>
        <w:lvlJc w:val="left"/>
        <w:pPr>
          <w:ind w:left="862" w:hanging="720"/>
        </w:pPr>
        <w:rPr>
          <w:rFonts w:asciiTheme="minorHAnsi" w:hAnsiTheme="minorHAnsi" w:cs="Times New Roman" w:hint="default"/>
          <w:b w:val="0"/>
          <w:color w:val="auto"/>
          <w:sz w:val="22"/>
        </w:rPr>
      </w:lvl>
    </w:lvlOverride>
    <w:lvlOverride w:ilvl="2">
      <w:lvl w:ilvl="2">
        <w:start w:val="1"/>
        <w:numFmt w:val="decimal"/>
        <w:lvlText w:val="%1.%2.%3"/>
        <w:lvlJc w:val="left"/>
        <w:pPr>
          <w:ind w:left="2160" w:hanging="720"/>
        </w:pPr>
        <w:rPr>
          <w:rFonts w:asciiTheme="minorHAnsi" w:hAnsiTheme="minorHAnsi" w:cs="Times New Roman" w:hint="default"/>
          <w:sz w:val="22"/>
        </w:rPr>
      </w:lvl>
    </w:lvlOverride>
    <w:lvlOverride w:ilvl="3">
      <w:lvl w:ilvl="3">
        <w:start w:val="1"/>
        <w:numFmt w:val="decimal"/>
        <w:lvlText w:val="%1.%2.%3.%4"/>
        <w:lvlJc w:val="left"/>
        <w:pPr>
          <w:ind w:left="2880" w:hanging="720"/>
        </w:pPr>
        <w:rPr>
          <w:rFonts w:asciiTheme="minorHAnsi" w:hAnsiTheme="minorHAnsi" w:cs="Times New Roman" w:hint="default"/>
          <w:sz w:val="22"/>
        </w:rPr>
      </w:lvl>
    </w:lvlOverride>
    <w:lvlOverride w:ilvl="4">
      <w:lvl w:ilvl="4">
        <w:start w:val="1"/>
        <w:numFmt w:val="decimal"/>
        <w:lvlText w:val="%1.%2.%3.%4.%5"/>
        <w:lvlJc w:val="left"/>
        <w:pPr>
          <w:ind w:left="3600" w:hanging="720"/>
        </w:pPr>
        <w:rPr>
          <w:rFonts w:asciiTheme="minorHAnsi" w:hAnsiTheme="minorHAnsi" w:cs="Times New Roman" w:hint="default"/>
          <w:sz w:val="22"/>
        </w:rPr>
      </w:lvl>
    </w:lvlOverride>
    <w:lvlOverride w:ilvl="5">
      <w:lvl w:ilvl="5">
        <w:start w:val="1"/>
        <w:numFmt w:val="decimal"/>
        <w:lvlText w:val="%1.%2.%3.%4.%5.%6"/>
        <w:lvlJc w:val="left"/>
        <w:pPr>
          <w:ind w:left="4320" w:hanging="720"/>
        </w:pPr>
        <w:rPr>
          <w:rFonts w:asciiTheme="minorHAnsi" w:hAnsiTheme="minorHAnsi" w:cs="Times New Roman" w:hint="default"/>
          <w:sz w:val="22"/>
        </w:rPr>
      </w:lvl>
    </w:lvlOverride>
    <w:lvlOverride w:ilvl="6">
      <w:lvl w:ilvl="6">
        <w:start w:val="1"/>
        <w:numFmt w:val="decimal"/>
        <w:lvlText w:val="%1.%2.%3.%4.%5.%6.%7"/>
        <w:lvlJc w:val="left"/>
        <w:pPr>
          <w:ind w:left="5040" w:hanging="720"/>
        </w:pPr>
        <w:rPr>
          <w:rFonts w:asciiTheme="minorHAnsi" w:hAnsiTheme="minorHAnsi" w:cs="Times New Roman" w:hint="default"/>
          <w:sz w:val="22"/>
        </w:rPr>
      </w:lvl>
    </w:lvlOverride>
    <w:lvlOverride w:ilvl="7">
      <w:lvl w:ilvl="7">
        <w:start w:val="1"/>
        <w:numFmt w:val="decimal"/>
        <w:lvlText w:val="%1.%2.%3.%4.%5.%6.%7.%8"/>
        <w:lvlJc w:val="left"/>
        <w:pPr>
          <w:ind w:left="5760" w:hanging="720"/>
        </w:pPr>
        <w:rPr>
          <w:rFonts w:asciiTheme="minorHAnsi" w:hAnsiTheme="minorHAnsi" w:cs="Times New Roman" w:hint="default"/>
          <w:sz w:val="22"/>
        </w:rPr>
      </w:lvl>
    </w:lvlOverride>
    <w:lvlOverride w:ilvl="8">
      <w:lvl w:ilvl="8">
        <w:start w:val="1"/>
        <w:numFmt w:val="decimal"/>
        <w:lvlText w:val="%1.%2.%3.%4.%5.%6.%7.%8.%9"/>
        <w:lvlJc w:val="left"/>
        <w:pPr>
          <w:ind w:left="6480" w:hanging="720"/>
        </w:pPr>
        <w:rPr>
          <w:rFonts w:asciiTheme="minorHAnsi" w:hAnsiTheme="minorHAnsi" w:cs="Times New Roman" w:hint="default"/>
          <w:sz w:val="22"/>
        </w:rPr>
      </w:lvl>
    </w:lvlOverride>
  </w:num>
  <w:num w:numId="19">
    <w:abstractNumId w:val="8"/>
  </w:num>
  <w:num w:numId="20">
    <w:abstractNumId w:val="9"/>
  </w:num>
  <w:num w:numId="21">
    <w:abstractNumId w:val="10"/>
  </w:num>
  <w:num w:numId="22">
    <w:abstractNumId w:val="19"/>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57"/>
  <w:displayVerticalDrawingGridEvery w:val="2"/>
  <w:characterSpacingControl w:val="doNotCompress"/>
  <w:hdrShapeDefaults>
    <o:shapedefaults v:ext="edit" spidmax="27649"/>
  </w:hdrShapeDefaults>
  <w:footnotePr>
    <w:footnote w:id="0"/>
    <w:footnote w:id="1"/>
  </w:footnotePr>
  <w:endnotePr>
    <w:endnote w:id="0"/>
    <w:endnote w:id="1"/>
  </w:endnotePr>
  <w:compat/>
  <w:rsids>
    <w:rsidRoot w:val="00B1210E"/>
    <w:rsid w:val="000066E8"/>
    <w:rsid w:val="0001389E"/>
    <w:rsid w:val="000A6682"/>
    <w:rsid w:val="00120363"/>
    <w:rsid w:val="00141B6D"/>
    <w:rsid w:val="001513E0"/>
    <w:rsid w:val="00187F91"/>
    <w:rsid w:val="00194CF5"/>
    <w:rsid w:val="001C4D62"/>
    <w:rsid w:val="001E0E27"/>
    <w:rsid w:val="00204277"/>
    <w:rsid w:val="00223CC1"/>
    <w:rsid w:val="00236BCA"/>
    <w:rsid w:val="002556CA"/>
    <w:rsid w:val="00264915"/>
    <w:rsid w:val="0032072D"/>
    <w:rsid w:val="00325516"/>
    <w:rsid w:val="00340125"/>
    <w:rsid w:val="00360FF0"/>
    <w:rsid w:val="003A0799"/>
    <w:rsid w:val="003A19DD"/>
    <w:rsid w:val="003A1FA5"/>
    <w:rsid w:val="003B42AC"/>
    <w:rsid w:val="00434BDF"/>
    <w:rsid w:val="004469F3"/>
    <w:rsid w:val="004F0B84"/>
    <w:rsid w:val="00522B29"/>
    <w:rsid w:val="0058315C"/>
    <w:rsid w:val="005B2D69"/>
    <w:rsid w:val="005C3EC4"/>
    <w:rsid w:val="006051E1"/>
    <w:rsid w:val="006104BB"/>
    <w:rsid w:val="00620809"/>
    <w:rsid w:val="00654F83"/>
    <w:rsid w:val="00674484"/>
    <w:rsid w:val="00704083"/>
    <w:rsid w:val="007055F2"/>
    <w:rsid w:val="00726E80"/>
    <w:rsid w:val="007826E8"/>
    <w:rsid w:val="007939C3"/>
    <w:rsid w:val="007B0F90"/>
    <w:rsid w:val="007B36AA"/>
    <w:rsid w:val="00807C14"/>
    <w:rsid w:val="008639D0"/>
    <w:rsid w:val="008A29FE"/>
    <w:rsid w:val="008A3106"/>
    <w:rsid w:val="00945253"/>
    <w:rsid w:val="009B415E"/>
    <w:rsid w:val="009E491F"/>
    <w:rsid w:val="00A54CE5"/>
    <w:rsid w:val="00AA25DD"/>
    <w:rsid w:val="00AB0E24"/>
    <w:rsid w:val="00AC4564"/>
    <w:rsid w:val="00B1210E"/>
    <w:rsid w:val="00B71099"/>
    <w:rsid w:val="00BE00BE"/>
    <w:rsid w:val="00BF5223"/>
    <w:rsid w:val="00BF6269"/>
    <w:rsid w:val="00C11369"/>
    <w:rsid w:val="00C2077E"/>
    <w:rsid w:val="00C25799"/>
    <w:rsid w:val="00C90FF1"/>
    <w:rsid w:val="00CA2B43"/>
    <w:rsid w:val="00CB78F2"/>
    <w:rsid w:val="00CC78CB"/>
    <w:rsid w:val="00D23ADD"/>
    <w:rsid w:val="00D3480F"/>
    <w:rsid w:val="00D64EBD"/>
    <w:rsid w:val="00D905BC"/>
    <w:rsid w:val="00DC067B"/>
    <w:rsid w:val="00DE1230"/>
    <w:rsid w:val="00E363BF"/>
    <w:rsid w:val="00E52C17"/>
    <w:rsid w:val="00E53766"/>
    <w:rsid w:val="00E70DC2"/>
    <w:rsid w:val="00E76D79"/>
    <w:rsid w:val="00EB4235"/>
    <w:rsid w:val="00EC6C8E"/>
    <w:rsid w:val="00EF4DC6"/>
    <w:rsid w:val="00F40DD9"/>
    <w:rsid w:val="00FD35D9"/>
    <w:rsid w:val="69021D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pPr>
        <w:spacing w:after="12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BDF"/>
    <w:rPr>
      <w:rFonts w:ascii="Frutiger 55 Roman" w:hAnsi="Frutiger 55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4484"/>
    <w:rPr>
      <w:color w:val="0000FF"/>
      <w:u w:val="single"/>
    </w:rPr>
  </w:style>
  <w:style w:type="paragraph" w:styleId="Header">
    <w:name w:val="header"/>
    <w:basedOn w:val="Normal"/>
    <w:rsid w:val="0032072D"/>
    <w:pPr>
      <w:tabs>
        <w:tab w:val="center" w:pos="4153"/>
        <w:tab w:val="right" w:pos="8306"/>
      </w:tabs>
    </w:pPr>
  </w:style>
  <w:style w:type="paragraph" w:styleId="Footer">
    <w:name w:val="footer"/>
    <w:basedOn w:val="Normal"/>
    <w:link w:val="FooterChar"/>
    <w:uiPriority w:val="99"/>
    <w:rsid w:val="0032072D"/>
    <w:pPr>
      <w:tabs>
        <w:tab w:val="center" w:pos="4153"/>
        <w:tab w:val="right" w:pos="8306"/>
      </w:tabs>
    </w:pPr>
  </w:style>
  <w:style w:type="table" w:styleId="TableGrid">
    <w:name w:val="Table Grid"/>
    <w:basedOn w:val="TableNormal"/>
    <w:uiPriority w:val="59"/>
    <w:rsid w:val="001E0E27"/>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E0E27"/>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7939C3"/>
    <w:pPr>
      <w:spacing w:after="0"/>
    </w:pPr>
    <w:rPr>
      <w:rFonts w:ascii="Tahoma" w:hAnsi="Tahoma" w:cs="Tahoma"/>
      <w:sz w:val="16"/>
      <w:szCs w:val="16"/>
    </w:rPr>
  </w:style>
  <w:style w:type="character" w:customStyle="1" w:styleId="BalloonTextChar">
    <w:name w:val="Balloon Text Char"/>
    <w:basedOn w:val="DefaultParagraphFont"/>
    <w:link w:val="BalloonText"/>
    <w:rsid w:val="007939C3"/>
    <w:rPr>
      <w:rFonts w:ascii="Tahoma" w:hAnsi="Tahoma" w:cs="Tahoma"/>
      <w:sz w:val="16"/>
      <w:szCs w:val="16"/>
    </w:rPr>
  </w:style>
  <w:style w:type="character" w:customStyle="1" w:styleId="FooterChar">
    <w:name w:val="Footer Char"/>
    <w:basedOn w:val="DefaultParagraphFont"/>
    <w:link w:val="Footer"/>
    <w:uiPriority w:val="99"/>
    <w:rsid w:val="007939C3"/>
    <w:rPr>
      <w:rFonts w:ascii="Frutiger 55 Roman" w:hAnsi="Frutiger 55 Roman"/>
      <w:sz w:val="24"/>
      <w:szCs w:val="24"/>
    </w:rPr>
  </w:style>
  <w:style w:type="table" w:styleId="TableContemporary">
    <w:name w:val="Table Contemporary"/>
    <w:basedOn w:val="TableNormal"/>
    <w:rsid w:val="007939C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Default">
    <w:name w:val="Default"/>
    <w:rsid w:val="00360FF0"/>
    <w:pPr>
      <w:autoSpaceDE w:val="0"/>
      <w:autoSpaceDN w:val="0"/>
      <w:adjustRightInd w:val="0"/>
      <w:spacing w:after="0"/>
    </w:pPr>
    <w:rPr>
      <w:rFonts w:ascii="Calibri" w:hAnsi="Calibri" w:cs="Calibri"/>
      <w:color w:val="000000"/>
      <w:sz w:val="24"/>
      <w:szCs w:val="24"/>
    </w:rPr>
  </w:style>
  <w:style w:type="paragraph" w:customStyle="1" w:styleId="HPStyle">
    <w:name w:val="HPStyle"/>
    <w:basedOn w:val="Normal"/>
    <w:uiPriority w:val="2"/>
    <w:qFormat/>
    <w:rsid w:val="00654F83"/>
    <w:pPr>
      <w:numPr>
        <w:numId w:val="19"/>
      </w:numPr>
      <w:spacing w:after="240"/>
      <w:jc w:val="both"/>
    </w:pPr>
    <w:rPr>
      <w:rFonts w:asciiTheme="minorHAnsi" w:eastAsiaTheme="minorHAnsi" w:hAnsiTheme="minorHAnsi" w:cstheme="minorBidi"/>
      <w:sz w:val="22"/>
      <w:szCs w:val="22"/>
      <w:lang w:eastAsia="en-US"/>
    </w:rPr>
  </w:style>
  <w:style w:type="numbering" w:customStyle="1" w:styleId="HPNum">
    <w:name w:val="HPNum"/>
    <w:uiPriority w:val="99"/>
    <w:rsid w:val="00654F83"/>
    <w:pPr>
      <w:numPr>
        <w:numId w:val="19"/>
      </w:numPr>
    </w:pPr>
  </w:style>
</w:styles>
</file>

<file path=word/webSettings.xml><?xml version="1.0" encoding="utf-8"?>
<w:webSettings xmlns:r="http://schemas.openxmlformats.org/officeDocument/2006/relationships" xmlns:w="http://schemas.openxmlformats.org/wordprocessingml/2006/main">
  <w:divs>
    <w:div w:id="1451126343">
      <w:bodyDiv w:val="1"/>
      <w:marLeft w:val="0"/>
      <w:marRight w:val="0"/>
      <w:marTop w:val="0"/>
      <w:marBottom w:val="0"/>
      <w:divBdr>
        <w:top w:val="none" w:sz="0" w:space="0" w:color="auto"/>
        <w:left w:val="none" w:sz="0" w:space="0" w:color="auto"/>
        <w:bottom w:val="none" w:sz="0" w:space="0" w:color="auto"/>
        <w:right w:val="none" w:sz="0" w:space="0" w:color="auto"/>
      </w:divBdr>
    </w:div>
    <w:div w:id="16833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b.jones@bishopg.ac.uk" TargetMode="External"/><Relationship Id="rId4" Type="http://schemas.openxmlformats.org/officeDocument/2006/relationships/settings" Target="settings.xml"/><Relationship Id="rId9" Type="http://schemas.openxmlformats.org/officeDocument/2006/relationships/hyperlink" Target="http://www.bishopg.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A0C3-B190-4D82-9990-596D1C74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3467</Words>
  <Characters>18856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Recipient Name</vt:lpstr>
    </vt:vector>
  </TitlesOfParts>
  <Company>Bishop Grosseteste College</Company>
  <LinksUpToDate>false</LinksUpToDate>
  <CharactersWithSpaces>22279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creator>Ben Rook</dc:creator>
  <cp:lastModifiedBy>Master</cp:lastModifiedBy>
  <cp:revision>3</cp:revision>
  <cp:lastPrinted>2018-02-27T16:13:00Z</cp:lastPrinted>
  <dcterms:created xsi:type="dcterms:W3CDTF">2018-03-02T10:34:00Z</dcterms:created>
  <dcterms:modified xsi:type="dcterms:W3CDTF">2018-03-02T11:04:00Z</dcterms:modified>
</cp:coreProperties>
</file>