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8240" behindDoc="1" locked="0" layoutInCell="1" allowOverlap="1">
            <wp:simplePos x="0" y="0"/>
            <wp:positionH relativeFrom="margin">
              <wp:posOffset>-127221</wp:posOffset>
            </wp:positionH>
            <wp:positionV relativeFrom="paragraph">
              <wp:posOffset>10160</wp:posOffset>
            </wp:positionV>
            <wp:extent cx="1613535" cy="901065"/>
            <wp:effectExtent l="0" t="0" r="5715" b="0"/>
            <wp:wrapTight wrapText="bothSides">
              <wp:wrapPolygon edited="0">
                <wp:start x="0" y="0"/>
                <wp:lineTo x="0" y="21006"/>
                <wp:lineTo x="21421" y="21006"/>
                <wp:lineTo x="21421" y="0"/>
                <wp:lineTo x="0" y="0"/>
              </wp:wrapPolygon>
            </wp:wrapTight>
            <wp:docPr id="2" name="Picture 2" descr="Image result for u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k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353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E62707" w:rsidRDefault="00BA6386" w:rsidP="00E62707">
      <w:pPr>
        <w:jc w:val="center"/>
        <w:rPr>
          <w:b/>
          <w:sz w:val="28"/>
          <w:szCs w:val="28"/>
        </w:rPr>
      </w:pPr>
      <w:r>
        <w:rPr>
          <w:b/>
          <w:sz w:val="28"/>
          <w:szCs w:val="28"/>
        </w:rPr>
        <w:t>Ref: RFQ-FY17-11-EASOS M&amp;E Reporting</w:t>
      </w:r>
    </w:p>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003ACE" w:rsidRPr="00003ACE" w:rsidRDefault="00003ACE" w:rsidP="00003ACE">
      <w:pPr>
        <w:pStyle w:val="NormalWeb"/>
        <w:jc w:val="center"/>
        <w:rPr>
          <w:rFonts w:ascii="Calibri" w:hAnsi="Calibri" w:cs="Arial"/>
          <w:b/>
          <w:sz w:val="32"/>
          <w:szCs w:val="32"/>
        </w:rPr>
      </w:pPr>
      <w:r w:rsidRPr="00003ACE">
        <w:rPr>
          <w:rFonts w:ascii="Calibri" w:hAnsi="Calibri" w:cs="Arial"/>
          <w:b/>
          <w:sz w:val="32"/>
          <w:szCs w:val="32"/>
        </w:rPr>
        <w:t>MONITORING AND EVALUATION OF THE</w:t>
      </w:r>
      <w:r>
        <w:rPr>
          <w:rFonts w:ascii="Calibri" w:hAnsi="Calibri" w:cs="Arial"/>
          <w:b/>
          <w:sz w:val="32"/>
          <w:szCs w:val="32"/>
        </w:rPr>
        <w:t xml:space="preserve"> </w:t>
      </w:r>
      <w:r w:rsidRPr="00003ACE">
        <w:rPr>
          <w:rFonts w:ascii="Calibri" w:hAnsi="Calibri" w:cs="Arial"/>
          <w:b/>
          <w:sz w:val="32"/>
          <w:szCs w:val="32"/>
        </w:rPr>
        <w:t>EARTH AND SEA OBSERVATION SYSTEM (EASOS) PROGRAMME FUNDED BY THE UK SPACE AGENCY INTERNATIONAL PARTNERSHIP PROGRAMME</w:t>
      </w:r>
    </w:p>
    <w:p w:rsidR="00E62707" w:rsidRPr="00A43BC0" w:rsidRDefault="00E62707" w:rsidP="00E62707">
      <w:pPr>
        <w:jc w:val="center"/>
        <w:rPr>
          <w:rFonts w:ascii="Calibri" w:hAnsi="Calibri" w:cs="Arial"/>
          <w:b/>
          <w:sz w:val="32"/>
          <w:szCs w:val="32"/>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BB34F0">
        <w:rPr>
          <w:color w:val="FF0000"/>
          <w:u w:val="single"/>
        </w:rPr>
        <w:t>27 February 2017</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003ACE" w:rsidRPr="00003ACE" w:rsidRDefault="00003ACE" w:rsidP="00B029EC">
      <w:pPr>
        <w:pStyle w:val="NormalWeb"/>
        <w:ind w:left="360"/>
        <w:jc w:val="both"/>
        <w:rPr>
          <w:b/>
          <w:color w:val="000000"/>
          <w:sz w:val="27"/>
          <w:szCs w:val="27"/>
        </w:rPr>
      </w:pPr>
      <w:r w:rsidRPr="00003ACE">
        <w:rPr>
          <w:b/>
          <w:color w:val="000000"/>
          <w:sz w:val="27"/>
          <w:szCs w:val="27"/>
        </w:rPr>
        <w:t>Earth and Sea Observation System (EASOS) programme</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 Catapult is leading a consortium consisting of 13 organisations including SMEs and universities, to develop and deliver EASOS that if fully adopted by the Malaysian Government will deliver a 10% reduction in the social and economic costs associated with illegal logging, marine pollution and flood events to the country, thereby making Malaysia more environmentally resilient. The project is funded by the UK Space Agency’s International Partnership Programme (IPP) and seeks to answer the 4 Tactical Malaysia IPP problem statements detailed on the UKSA website</w:t>
      </w:r>
      <w:r w:rsidR="004F68CF">
        <w:rPr>
          <w:rStyle w:val="FootnoteReference"/>
          <w:color w:val="000000"/>
          <w:sz w:val="20"/>
          <w:szCs w:val="20"/>
        </w:rPr>
        <w:footnoteReference w:id="1"/>
      </w:r>
      <w:r w:rsidRPr="009F2BB9">
        <w:rPr>
          <w:color w:val="000000"/>
          <w:sz w:val="20"/>
          <w:szCs w:val="20"/>
        </w:rPr>
        <w:t>.</w:t>
      </w:r>
    </w:p>
    <w:p w:rsidR="00003ACE" w:rsidRPr="009F2BB9" w:rsidRDefault="00003ACE" w:rsidP="00B029EC">
      <w:pPr>
        <w:pStyle w:val="NormalWeb"/>
        <w:ind w:left="360"/>
        <w:jc w:val="both"/>
        <w:rPr>
          <w:color w:val="000000"/>
          <w:sz w:val="20"/>
          <w:szCs w:val="20"/>
        </w:rPr>
      </w:pPr>
      <w:r w:rsidRPr="009F2BB9">
        <w:rPr>
          <w:color w:val="000000"/>
          <w:sz w:val="20"/>
          <w:szCs w:val="20"/>
        </w:rPr>
        <w:t>The 18-month programme will provide an informed and coordinated decision making capability to 23 Government Agencies in Malaysia through an integrated user-centred dashboard to identify:</w:t>
      </w:r>
    </w:p>
    <w:p w:rsidR="00003ACE" w:rsidRDefault="00003ACE" w:rsidP="00B029EC">
      <w:pPr>
        <w:pStyle w:val="NormalWeb"/>
        <w:numPr>
          <w:ilvl w:val="0"/>
          <w:numId w:val="12"/>
        </w:numPr>
        <w:jc w:val="both"/>
        <w:rPr>
          <w:color w:val="000000"/>
          <w:sz w:val="20"/>
          <w:szCs w:val="20"/>
        </w:rPr>
      </w:pPr>
      <w:r w:rsidRPr="009F2BB9">
        <w:rPr>
          <w:color w:val="000000"/>
          <w:sz w:val="20"/>
          <w:szCs w:val="20"/>
        </w:rPr>
        <w:t>Marine pollution events in the Malacca Straits, which, if acted on, will reduce marine pollution and ultimately the degradation of the mangrove coastline in Malaysia.</w:t>
      </w:r>
    </w:p>
    <w:p w:rsidR="009F2BB9" w:rsidRDefault="009F2BB9" w:rsidP="00B029EC">
      <w:pPr>
        <w:pStyle w:val="NormalWeb"/>
        <w:numPr>
          <w:ilvl w:val="0"/>
          <w:numId w:val="12"/>
        </w:numPr>
        <w:jc w:val="both"/>
        <w:rPr>
          <w:color w:val="000000"/>
          <w:sz w:val="20"/>
          <w:szCs w:val="20"/>
        </w:rPr>
      </w:pPr>
      <w:r>
        <w:rPr>
          <w:color w:val="000000"/>
          <w:sz w:val="20"/>
          <w:szCs w:val="20"/>
        </w:rPr>
        <w:t>Illegal logging, which if acted on, should reduce the social and environmental impact of illegal logging and increase the economic benefit from legal logging for Malaysia</w:t>
      </w:r>
    </w:p>
    <w:p w:rsidR="004F68CF" w:rsidRPr="004F68CF" w:rsidRDefault="009F2BB9" w:rsidP="00B029EC">
      <w:pPr>
        <w:pStyle w:val="NormalWeb"/>
        <w:numPr>
          <w:ilvl w:val="0"/>
          <w:numId w:val="12"/>
        </w:numPr>
        <w:jc w:val="both"/>
        <w:rPr>
          <w:color w:val="000000"/>
          <w:sz w:val="20"/>
          <w:szCs w:val="20"/>
        </w:rPr>
      </w:pPr>
      <w:r w:rsidRPr="004F68CF">
        <w:rPr>
          <w:color w:val="000000"/>
          <w:sz w:val="20"/>
          <w:szCs w:val="20"/>
        </w:rPr>
        <w:t>Risk of potential flood events so that measures can be put in place to reduce the economic and social cost of flood events</w:t>
      </w:r>
    </w:p>
    <w:p w:rsidR="00E10B15" w:rsidRPr="004F68CF" w:rsidRDefault="00E10B15" w:rsidP="00B029EC">
      <w:pPr>
        <w:pStyle w:val="NormalWeb"/>
        <w:ind w:left="360"/>
        <w:jc w:val="both"/>
        <w:rPr>
          <w:color w:val="000000"/>
          <w:sz w:val="20"/>
          <w:szCs w:val="20"/>
        </w:rPr>
      </w:pPr>
      <w:r w:rsidRPr="004F68CF">
        <w:rPr>
          <w:color w:val="000000"/>
          <w:sz w:val="20"/>
          <w:szCs w:val="20"/>
        </w:rPr>
        <w:t xml:space="preserve">The EASOS programme abstract can be found at </w:t>
      </w:r>
      <w:r w:rsidRPr="00312F0D">
        <w:rPr>
          <w:b/>
          <w:color w:val="000000"/>
          <w:sz w:val="20"/>
          <w:szCs w:val="20"/>
        </w:rPr>
        <w:t>Annex A</w:t>
      </w:r>
    </w:p>
    <w:p w:rsidR="009F2BB9" w:rsidRDefault="009F2BB9" w:rsidP="00B029EC">
      <w:pPr>
        <w:pStyle w:val="NormalWeb"/>
        <w:ind w:left="360"/>
        <w:jc w:val="both"/>
        <w:rPr>
          <w:b/>
          <w:color w:val="000000"/>
          <w:sz w:val="27"/>
          <w:szCs w:val="27"/>
        </w:rPr>
      </w:pPr>
    </w:p>
    <w:p w:rsidR="009F2BB9" w:rsidRDefault="009F2BB9" w:rsidP="00E10B15">
      <w:pPr>
        <w:pStyle w:val="NormalWeb"/>
        <w:ind w:left="360"/>
        <w:rPr>
          <w:b/>
          <w:color w:val="000000"/>
          <w:sz w:val="27"/>
          <w:szCs w:val="27"/>
        </w:rPr>
      </w:pPr>
    </w:p>
    <w:p w:rsidR="009F2BB9" w:rsidRDefault="009F2BB9" w:rsidP="00E10B15">
      <w:pPr>
        <w:pStyle w:val="NormalWeb"/>
        <w:ind w:left="360"/>
        <w:rPr>
          <w:b/>
          <w:color w:val="000000"/>
          <w:sz w:val="27"/>
          <w:szCs w:val="27"/>
        </w:rPr>
      </w:pPr>
    </w:p>
    <w:p w:rsidR="00B029EC" w:rsidRDefault="00B029EC" w:rsidP="00E10B15">
      <w:pPr>
        <w:pStyle w:val="NormalWeb"/>
        <w:ind w:left="360"/>
        <w:rPr>
          <w:b/>
          <w:color w:val="000000"/>
          <w:sz w:val="27"/>
          <w:szCs w:val="27"/>
        </w:rPr>
      </w:pPr>
    </w:p>
    <w:p w:rsidR="00952E83" w:rsidRDefault="00952E83" w:rsidP="00E10B15">
      <w:pPr>
        <w:pStyle w:val="NormalWeb"/>
        <w:ind w:left="360"/>
        <w:rPr>
          <w:b/>
          <w:color w:val="000000"/>
          <w:sz w:val="27"/>
          <w:szCs w:val="27"/>
        </w:rPr>
      </w:pPr>
    </w:p>
    <w:p w:rsidR="00E10B15" w:rsidRPr="00E10B15" w:rsidRDefault="00E10B15" w:rsidP="00E10B15">
      <w:pPr>
        <w:pStyle w:val="NormalWeb"/>
        <w:ind w:left="360"/>
        <w:rPr>
          <w:b/>
          <w:color w:val="000000"/>
          <w:sz w:val="27"/>
          <w:szCs w:val="27"/>
        </w:rPr>
      </w:pPr>
      <w:r w:rsidRPr="00E10B15">
        <w:rPr>
          <w:b/>
          <w:color w:val="000000"/>
          <w:sz w:val="27"/>
          <w:szCs w:val="27"/>
        </w:rPr>
        <w:t>International Partnership Programme (IPP)</w:t>
      </w:r>
    </w:p>
    <w:p w:rsidR="00E10B15" w:rsidRPr="009F2BB9" w:rsidRDefault="00E10B15" w:rsidP="00B029EC">
      <w:pPr>
        <w:pStyle w:val="NormalWeb"/>
        <w:ind w:left="360"/>
        <w:jc w:val="both"/>
        <w:rPr>
          <w:color w:val="000000"/>
          <w:sz w:val="20"/>
          <w:szCs w:val="20"/>
        </w:rPr>
      </w:pPr>
      <w:r w:rsidRPr="009F2BB9">
        <w:rPr>
          <w:color w:val="000000"/>
          <w:sz w:val="20"/>
          <w:szCs w:val="20"/>
        </w:rPr>
        <w:t>The UK Space Agency’s International Partnerships Programme is a £150M multi-ye</w:t>
      </w:r>
      <w:r w:rsidR="00B029EC">
        <w:rPr>
          <w:color w:val="000000"/>
          <w:sz w:val="20"/>
          <w:szCs w:val="20"/>
        </w:rPr>
        <w:t xml:space="preserve">ar programme, which will provide capability delivered through industry and academia and </w:t>
      </w:r>
      <w:r w:rsidRPr="009F2BB9">
        <w:rPr>
          <w:color w:val="000000"/>
          <w:sz w:val="20"/>
          <w:szCs w:val="20"/>
        </w:rPr>
        <w:t>solutions whose outputs provide a measurable, sustainable economic or societal benefit in chosen partner countries or regions.</w:t>
      </w:r>
    </w:p>
    <w:p w:rsidR="00E10B15" w:rsidRPr="009F2BB9" w:rsidRDefault="00E10B15" w:rsidP="00B029EC">
      <w:pPr>
        <w:pStyle w:val="NormalWeb"/>
        <w:ind w:left="360"/>
        <w:jc w:val="both"/>
        <w:rPr>
          <w:color w:val="000000"/>
          <w:sz w:val="20"/>
          <w:szCs w:val="20"/>
        </w:rPr>
      </w:pPr>
      <w:r w:rsidRPr="009F2BB9">
        <w:rPr>
          <w:color w:val="000000"/>
          <w:sz w:val="20"/>
          <w:szCs w:val="20"/>
        </w:rPr>
        <w:t>In order to fully comply with OECD guidelines and the UKSA Impact and Evaluation Strategy that IPP is working to, all projects must have an element of monitoring and evaluation built into them to ensure we are able to ascertain their delivery to the IPP primary aim. At the end of the project there must be a clear route as to how the project benefits will be implemented.</w:t>
      </w: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52E83">
        <w:rPr>
          <w:rFonts w:ascii="Times New Roman" w:eastAsia="Times New Roman" w:hAnsi="Times New Roman" w:cs="Times New Roman"/>
          <w:sz w:val="20"/>
          <w:szCs w:val="20"/>
          <w:lang w:eastAsia="en-GB"/>
        </w:rPr>
        <w:t>Services detailed in 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B029EC" w:rsidRDefault="00FC04BA" w:rsidP="00B029EC">
      <w:pPr>
        <w:pStyle w:val="BodyText"/>
        <w:spacing w:line="276" w:lineRule="auto"/>
        <w:ind w:left="360"/>
        <w:jc w:val="both"/>
        <w:rPr>
          <w:rFonts w:ascii="Times New Roman" w:hAnsi="Times New Roman"/>
          <w:b/>
          <w:sz w:val="20"/>
          <w:szCs w:val="20"/>
        </w:rPr>
      </w:pPr>
      <w:r w:rsidRPr="009F2BB9">
        <w:rPr>
          <w:rFonts w:ascii="Times New Roman" w:hAnsi="Times New Roman"/>
          <w:sz w:val="20"/>
          <w:szCs w:val="20"/>
        </w:rPr>
        <w:t xml:space="preserve">The estimated value of the contract is anticipated to </w:t>
      </w:r>
      <w:r w:rsidRPr="005E3A8D">
        <w:rPr>
          <w:rFonts w:ascii="Times New Roman" w:hAnsi="Times New Roman"/>
          <w:sz w:val="20"/>
          <w:szCs w:val="20"/>
        </w:rPr>
        <w:t xml:space="preserve">be </w:t>
      </w:r>
      <w:r w:rsidR="004F68CF" w:rsidRPr="005E3A8D">
        <w:rPr>
          <w:rFonts w:ascii="Times New Roman" w:hAnsi="Times New Roman"/>
          <w:sz w:val="20"/>
          <w:szCs w:val="20"/>
        </w:rPr>
        <w:t>£450,000</w:t>
      </w:r>
      <w:r w:rsidRPr="005E3A8D">
        <w:rPr>
          <w:rFonts w:ascii="Times New Roman" w:hAnsi="Times New Roman"/>
          <w:sz w:val="20"/>
          <w:szCs w:val="20"/>
        </w:rPr>
        <w:t xml:space="preserve">. </w:t>
      </w:r>
      <w:r w:rsidR="00BA6386" w:rsidRPr="009717F5">
        <w:rPr>
          <w:rFonts w:ascii="Times New Roman" w:hAnsi="Times New Roman"/>
          <w:b/>
          <w:sz w:val="20"/>
          <w:szCs w:val="20"/>
        </w:rPr>
        <w:t xml:space="preserve">Offers in excess of this sum </w:t>
      </w:r>
      <w:proofErr w:type="gramStart"/>
      <w:r w:rsidR="00BA6386" w:rsidRPr="009717F5">
        <w:rPr>
          <w:rFonts w:ascii="Times New Roman" w:hAnsi="Times New Roman"/>
          <w:b/>
          <w:sz w:val="20"/>
          <w:szCs w:val="20"/>
        </w:rPr>
        <w:t>will not be entertained</w:t>
      </w:r>
      <w:proofErr w:type="gramEnd"/>
      <w:r w:rsidR="00BA6386" w:rsidRPr="009717F5">
        <w:rPr>
          <w:rFonts w:ascii="Times New Roman" w:hAnsi="Times New Roman"/>
          <w:b/>
          <w:sz w:val="20"/>
          <w:szCs w:val="20"/>
        </w:rPr>
        <w:t>.</w:t>
      </w:r>
    </w:p>
    <w:p w:rsidR="00FC04BA" w:rsidRPr="009717F5" w:rsidRDefault="00BA6386" w:rsidP="00B029EC">
      <w:pPr>
        <w:pStyle w:val="BodyText"/>
        <w:spacing w:line="276" w:lineRule="auto"/>
        <w:ind w:left="360"/>
        <w:jc w:val="both"/>
        <w:rPr>
          <w:rFonts w:ascii="Times New Roman" w:hAnsi="Times New Roman"/>
          <w:b/>
          <w:sz w:val="20"/>
          <w:szCs w:val="20"/>
        </w:rPr>
      </w:pPr>
      <w:r w:rsidRPr="009717F5">
        <w:rPr>
          <w:rFonts w:ascii="Times New Roman" w:hAnsi="Times New Roman"/>
          <w:b/>
          <w:sz w:val="20"/>
          <w:szCs w:val="20"/>
        </w:rPr>
        <w:t xml:space="preserve"> </w:t>
      </w: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E10B15" w:rsidRPr="00B029EC"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3.1 </w:t>
      </w:r>
      <w:r w:rsidR="00E10B15" w:rsidRPr="00E10B15">
        <w:rPr>
          <w:b/>
          <w:color w:val="000000"/>
          <w:sz w:val="27"/>
          <w:szCs w:val="27"/>
        </w:rPr>
        <w:t>Ai</w:t>
      </w:r>
      <w:r w:rsidR="00E10B15" w:rsidRPr="00B029EC">
        <w:rPr>
          <w:b/>
          <w:color w:val="000000"/>
          <w:sz w:val="27"/>
          <w:szCs w:val="27"/>
        </w:rPr>
        <w:t>ms and Objectives</w:t>
      </w:r>
    </w:p>
    <w:p w:rsidR="00E10B15" w:rsidRPr="00B029EC" w:rsidRDefault="00E10B15" w:rsidP="00B029EC">
      <w:pPr>
        <w:pStyle w:val="Default"/>
        <w:spacing w:line="276" w:lineRule="auto"/>
        <w:ind w:left="360"/>
        <w:jc w:val="both"/>
        <w:rPr>
          <w:rFonts w:ascii="Times New Roman" w:eastAsia="Times New Roman" w:hAnsi="Times New Roman" w:cs="Times New Roman"/>
          <w:sz w:val="20"/>
          <w:szCs w:val="20"/>
          <w:lang w:eastAsia="en-GB"/>
        </w:rPr>
      </w:pPr>
      <w:r w:rsidRPr="00B029EC">
        <w:rPr>
          <w:rFonts w:ascii="Times New Roman" w:eastAsia="Times New Roman" w:hAnsi="Times New Roman" w:cs="Times New Roman"/>
          <w:sz w:val="20"/>
          <w:szCs w:val="20"/>
          <w:lang w:eastAsia="en-GB"/>
        </w:rPr>
        <w:t>As part of the EASOS programme, Satellite Applications Catapult is required to demonstrate that it is compliant</w:t>
      </w:r>
      <w:r w:rsidR="004E21B9" w:rsidRPr="00B029EC">
        <w:rPr>
          <w:rFonts w:ascii="Times New Roman" w:eastAsia="Times New Roman" w:hAnsi="Times New Roman" w:cs="Times New Roman"/>
          <w:sz w:val="20"/>
          <w:szCs w:val="20"/>
          <w:lang w:eastAsia="en-GB"/>
        </w:rPr>
        <w:t xml:space="preserve"> with Overseas Development Aid (ODA) guideline</w:t>
      </w:r>
      <w:r w:rsidRPr="00B029EC">
        <w:rPr>
          <w:rFonts w:ascii="Times New Roman" w:eastAsia="Times New Roman" w:hAnsi="Times New Roman" w:cs="Times New Roman"/>
          <w:sz w:val="20"/>
          <w:szCs w:val="20"/>
          <w:lang w:eastAsia="en-GB"/>
        </w:rPr>
        <w:t>, to establish a comprehensive Monitoring and Evaluation (M&amp;E) regime, and to quantify and communicate the resulting social and economic impact to UKSA (and via UKSA to UK Government) and to wider EASOS stakeholders.</w:t>
      </w:r>
    </w:p>
    <w:p w:rsidR="00E10B15" w:rsidRDefault="00E10B15" w:rsidP="00B029EC">
      <w:pPr>
        <w:pStyle w:val="Default"/>
        <w:spacing w:line="276" w:lineRule="auto"/>
        <w:ind w:left="360"/>
        <w:jc w:val="both"/>
        <w:rPr>
          <w:rFonts w:ascii="Times New Roman" w:eastAsia="Times New Roman" w:hAnsi="Times New Roman" w:cs="Times New Roman"/>
          <w:sz w:val="20"/>
          <w:szCs w:val="20"/>
          <w:lang w:eastAsia="en-GB"/>
        </w:rPr>
      </w:pPr>
      <w:r w:rsidRPr="00B029EC">
        <w:rPr>
          <w:rFonts w:ascii="Times New Roman" w:eastAsia="Times New Roman" w:hAnsi="Times New Roman" w:cs="Times New Roman"/>
          <w:sz w:val="20"/>
          <w:szCs w:val="20"/>
          <w:lang w:eastAsia="en-GB"/>
        </w:rPr>
        <w:t xml:space="preserve">The purpose of this contract is to provide a full evaluation of EASOS, including appropriate interim reports for the EASOS programme. This </w:t>
      </w:r>
      <w:proofErr w:type="gramStart"/>
      <w:r w:rsidRPr="00B029EC">
        <w:rPr>
          <w:rFonts w:ascii="Times New Roman" w:eastAsia="Times New Roman" w:hAnsi="Times New Roman" w:cs="Times New Roman"/>
          <w:sz w:val="20"/>
          <w:szCs w:val="20"/>
          <w:lang w:eastAsia="en-GB"/>
        </w:rPr>
        <w:t>will be used</w:t>
      </w:r>
      <w:proofErr w:type="gramEnd"/>
      <w:r w:rsidRPr="00B029EC">
        <w:rPr>
          <w:rFonts w:ascii="Times New Roman" w:eastAsia="Times New Roman" w:hAnsi="Times New Roman" w:cs="Times New Roman"/>
          <w:sz w:val="20"/>
          <w:szCs w:val="20"/>
          <w:lang w:eastAsia="en-GB"/>
        </w:rPr>
        <w:t xml:space="preserve"> by UKSA to demonstrate that the programme satisfies the ODA criteria and the success of IPP.</w:t>
      </w:r>
    </w:p>
    <w:p w:rsidR="00B029EC" w:rsidRPr="00B029EC" w:rsidRDefault="00B029EC" w:rsidP="00B029EC">
      <w:pPr>
        <w:pStyle w:val="Default"/>
        <w:spacing w:line="276" w:lineRule="auto"/>
        <w:ind w:left="360"/>
        <w:jc w:val="both"/>
        <w:rPr>
          <w:rFonts w:ascii="Times New Roman" w:eastAsia="Times New Roman" w:hAnsi="Times New Roman" w:cs="Times New Roman"/>
          <w:sz w:val="20"/>
          <w:szCs w:val="20"/>
          <w:lang w:eastAsia="en-GB"/>
        </w:rPr>
      </w:pP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p>
    <w:p w:rsidR="00E10B15" w:rsidRPr="00546D10" w:rsidRDefault="00B029EC" w:rsidP="00B029EC">
      <w:pPr>
        <w:pStyle w:val="NormalWeb"/>
        <w:spacing w:before="0" w:beforeAutospacing="0" w:after="0" w:afterAutospacing="0"/>
        <w:ind w:left="284"/>
        <w:jc w:val="both"/>
        <w:rPr>
          <w:color w:val="000000"/>
          <w:sz w:val="20"/>
          <w:szCs w:val="20"/>
        </w:rPr>
      </w:pPr>
      <w:r>
        <w:rPr>
          <w:color w:val="000000"/>
          <w:sz w:val="20"/>
          <w:szCs w:val="20"/>
        </w:rPr>
        <w:t xml:space="preserve"> </w:t>
      </w:r>
      <w:r w:rsidR="00E10B15" w:rsidRPr="00546D10">
        <w:rPr>
          <w:color w:val="000000"/>
          <w:sz w:val="20"/>
          <w:szCs w:val="20"/>
        </w:rPr>
        <w:t>The contract is to:</w:t>
      </w:r>
    </w:p>
    <w:p w:rsidR="00E10B15" w:rsidRPr="00F9205D" w:rsidRDefault="00952E83" w:rsidP="00B029EC">
      <w:pPr>
        <w:pStyle w:val="NormalWeb"/>
        <w:ind w:left="720"/>
        <w:jc w:val="both"/>
        <w:rPr>
          <w:color w:val="000000"/>
          <w:sz w:val="20"/>
          <w:szCs w:val="20"/>
        </w:rPr>
      </w:pPr>
      <w:r>
        <w:rPr>
          <w:color w:val="000000"/>
          <w:sz w:val="20"/>
          <w:szCs w:val="20"/>
        </w:rPr>
        <w:t>i</w:t>
      </w:r>
      <w:r w:rsidR="00E10B15" w:rsidRPr="00F9205D">
        <w:rPr>
          <w:color w:val="000000"/>
          <w:sz w:val="20"/>
          <w:szCs w:val="20"/>
        </w:rPr>
        <w:t>. Develop a detailed M&amp;E Plan and assess the baseline position during the first year of the project. The indicators to be baselined will vary by environmental tool and will be dependent on the availability and accuracy of local data sources. At this point the quantified targets for the project will be set, based on the baseline and indicators established. Working with in-country partners, the bidder will consider the use of control/comparison groups, difference-in-difference, or similar analysis, to establish a counterfactual to assess the outcomes and impact of EASOS. The baseline and framework will be signed off by all parties before the services are operational.</w:t>
      </w:r>
    </w:p>
    <w:p w:rsidR="00E10B15" w:rsidRPr="00F9205D" w:rsidRDefault="00952E83" w:rsidP="00B029EC">
      <w:pPr>
        <w:pStyle w:val="NormalWeb"/>
        <w:ind w:left="720"/>
        <w:jc w:val="both"/>
        <w:rPr>
          <w:color w:val="000000"/>
          <w:sz w:val="20"/>
          <w:szCs w:val="20"/>
        </w:rPr>
      </w:pPr>
      <w:r>
        <w:rPr>
          <w:color w:val="000000"/>
          <w:sz w:val="20"/>
          <w:szCs w:val="20"/>
        </w:rPr>
        <w:t>ii</w:t>
      </w:r>
      <w:r w:rsidR="00E10B15" w:rsidRPr="00F9205D">
        <w:rPr>
          <w:color w:val="000000"/>
          <w:sz w:val="20"/>
          <w:szCs w:val="20"/>
        </w:rPr>
        <w:t xml:space="preserve">. </w:t>
      </w:r>
      <w:r>
        <w:rPr>
          <w:color w:val="000000"/>
          <w:sz w:val="20"/>
          <w:szCs w:val="20"/>
        </w:rPr>
        <w:t>Provide a</w:t>
      </w:r>
      <w:r w:rsidR="00E10B15" w:rsidRPr="00F9205D">
        <w:rPr>
          <w:color w:val="000000"/>
          <w:sz w:val="20"/>
          <w:szCs w:val="20"/>
        </w:rPr>
        <w:t xml:space="preserve">n interim evaluation at 2.5/3 years after the start of the project will be conducted to assess progress against the intended outputs, outcomes and impacts for the three environmental services and any other measures established as part of the baseline. The indicators currently envisaged to be included are detailed in the log frame in the </w:t>
      </w:r>
      <w:r w:rsidR="00E10B15" w:rsidRPr="00312F0D">
        <w:rPr>
          <w:b/>
          <w:color w:val="000000"/>
          <w:sz w:val="20"/>
          <w:szCs w:val="20"/>
        </w:rPr>
        <w:t>Annex B</w:t>
      </w:r>
      <w:r w:rsidR="00E10B15" w:rsidRPr="00F9205D">
        <w:rPr>
          <w:color w:val="000000"/>
          <w:sz w:val="20"/>
          <w:szCs w:val="20"/>
        </w:rPr>
        <w:t>, but these will need to be refined in the initial task to develop the detailed M&amp;E framework/methodology.</w:t>
      </w:r>
    </w:p>
    <w:p w:rsidR="00E10B15" w:rsidRPr="00F9205D" w:rsidRDefault="00E10B15" w:rsidP="00B029EC">
      <w:pPr>
        <w:pStyle w:val="NormalWeb"/>
        <w:ind w:left="720"/>
        <w:jc w:val="both"/>
        <w:rPr>
          <w:color w:val="000000"/>
          <w:sz w:val="20"/>
          <w:szCs w:val="20"/>
        </w:rPr>
      </w:pPr>
      <w:r w:rsidRPr="00F9205D">
        <w:rPr>
          <w:color w:val="000000"/>
          <w:sz w:val="20"/>
          <w:szCs w:val="20"/>
        </w:rPr>
        <w:t>The interim evaluation will comprise of the following forms of evaluation:</w:t>
      </w:r>
    </w:p>
    <w:p w:rsidR="00E10B15" w:rsidRPr="00F9205D" w:rsidRDefault="00E10B15" w:rsidP="00952E83">
      <w:pPr>
        <w:pStyle w:val="NormalWeb"/>
        <w:numPr>
          <w:ilvl w:val="1"/>
          <w:numId w:val="12"/>
        </w:numPr>
        <w:rPr>
          <w:color w:val="000000"/>
          <w:sz w:val="20"/>
          <w:szCs w:val="20"/>
        </w:rPr>
      </w:pPr>
      <w:r w:rsidRPr="00F9205D">
        <w:rPr>
          <w:color w:val="000000"/>
          <w:sz w:val="20"/>
          <w:szCs w:val="20"/>
        </w:rPr>
        <w:t>Process evaluation (What was done and learnt?)</w:t>
      </w:r>
    </w:p>
    <w:p w:rsidR="00E10B15" w:rsidRPr="00F9205D" w:rsidRDefault="00E10B15" w:rsidP="00952E83">
      <w:pPr>
        <w:pStyle w:val="NormalWeb"/>
        <w:numPr>
          <w:ilvl w:val="1"/>
          <w:numId w:val="12"/>
        </w:numPr>
        <w:rPr>
          <w:color w:val="000000"/>
          <w:sz w:val="20"/>
          <w:szCs w:val="20"/>
        </w:rPr>
      </w:pPr>
      <w:r w:rsidRPr="00F9205D">
        <w:rPr>
          <w:color w:val="000000"/>
          <w:sz w:val="20"/>
          <w:szCs w:val="20"/>
        </w:rPr>
        <w:lastRenderedPageBreak/>
        <w:t>Impact evaluation (What was the social, environmental &amp; economic impact?)</w:t>
      </w:r>
    </w:p>
    <w:p w:rsidR="00E10B15" w:rsidRPr="00F9205D" w:rsidRDefault="00E10B15" w:rsidP="00952E83">
      <w:pPr>
        <w:pStyle w:val="NormalWeb"/>
        <w:numPr>
          <w:ilvl w:val="1"/>
          <w:numId w:val="12"/>
        </w:numPr>
        <w:rPr>
          <w:color w:val="000000"/>
          <w:sz w:val="20"/>
          <w:szCs w:val="20"/>
        </w:rPr>
      </w:pPr>
      <w:r w:rsidRPr="00F9205D">
        <w:rPr>
          <w:color w:val="000000"/>
          <w:sz w:val="20"/>
          <w:szCs w:val="20"/>
        </w:rPr>
        <w:t>Economic evaluation (Was the project an effective spend of money? Via a cost-effectiveness analysis)</w:t>
      </w:r>
    </w:p>
    <w:p w:rsidR="00FC04BA" w:rsidRPr="00F9205D" w:rsidRDefault="00E10B15" w:rsidP="00064247">
      <w:pPr>
        <w:pStyle w:val="Default"/>
        <w:ind w:left="720"/>
        <w:jc w:val="both"/>
        <w:rPr>
          <w:rFonts w:ascii="Times New Roman" w:eastAsia="Times New Roman" w:hAnsi="Times New Roman" w:cs="Times New Roman"/>
          <w:sz w:val="20"/>
          <w:szCs w:val="20"/>
          <w:lang w:eastAsia="en-GB"/>
        </w:rPr>
      </w:pPr>
      <w:r w:rsidRPr="00F9205D">
        <w:rPr>
          <w:rFonts w:ascii="Times New Roman" w:eastAsia="Times New Roman" w:hAnsi="Times New Roman" w:cs="Times New Roman"/>
          <w:sz w:val="20"/>
          <w:szCs w:val="20"/>
          <w:lang w:eastAsia="en-GB"/>
        </w:rPr>
        <w:t>A set of specific evaluation questions is being defined in collaboration with UKSA’s existing IPP M&amp;E partner on 31st January. These evaluation questions will need to be answered as much as the data allows at the midline stage.</w:t>
      </w:r>
    </w:p>
    <w:p w:rsidR="00E10B15" w:rsidRPr="00F9205D" w:rsidRDefault="00E10B15" w:rsidP="00064247">
      <w:pPr>
        <w:pStyle w:val="NormalWeb"/>
        <w:ind w:left="720"/>
        <w:jc w:val="both"/>
        <w:rPr>
          <w:color w:val="000000"/>
          <w:sz w:val="20"/>
          <w:szCs w:val="20"/>
        </w:rPr>
      </w:pPr>
      <w:r w:rsidRPr="00F9205D">
        <w:rPr>
          <w:color w:val="000000"/>
          <w:sz w:val="20"/>
          <w:szCs w:val="20"/>
        </w:rPr>
        <w:t>It is also required to use a methodology to define the counterfactual, for example a comparison/control group region, to help assess and ensure that the measured outcomes and impacts are the result of the service, and not due to other external factors e.g. environmental, political, economic change in Malaysia.</w:t>
      </w:r>
    </w:p>
    <w:p w:rsidR="00E10B15" w:rsidRPr="00F9205D" w:rsidRDefault="00952E83" w:rsidP="00064247">
      <w:pPr>
        <w:pStyle w:val="NormalWeb"/>
        <w:ind w:left="720"/>
        <w:jc w:val="both"/>
        <w:rPr>
          <w:color w:val="000000"/>
          <w:sz w:val="20"/>
          <w:szCs w:val="20"/>
        </w:rPr>
      </w:pPr>
      <w:r>
        <w:rPr>
          <w:color w:val="000000"/>
          <w:sz w:val="20"/>
          <w:szCs w:val="20"/>
        </w:rPr>
        <w:t>iii</w:t>
      </w:r>
      <w:r w:rsidR="00E10B15" w:rsidRPr="00F9205D">
        <w:rPr>
          <w:color w:val="000000"/>
          <w:sz w:val="20"/>
          <w:szCs w:val="20"/>
        </w:rPr>
        <w:t>. The final evaluation at 5 years will be to assess the benefits of the applications over the project’s lifetime, and to demonstrate their benefits to stakeholders. Aside from the outputs of the service, the majority of the data will need to come from the Malaysian governments, and is dependent on their willingness to share.</w:t>
      </w:r>
    </w:p>
    <w:p w:rsidR="00E10B15" w:rsidRPr="00F9205D" w:rsidRDefault="00E10B15" w:rsidP="00064247">
      <w:pPr>
        <w:pStyle w:val="NormalWeb"/>
        <w:ind w:left="720"/>
        <w:jc w:val="both"/>
        <w:rPr>
          <w:color w:val="000000"/>
          <w:sz w:val="20"/>
          <w:szCs w:val="20"/>
        </w:rPr>
      </w:pPr>
      <w:r w:rsidRPr="00F9205D">
        <w:rPr>
          <w:color w:val="000000"/>
          <w:sz w:val="20"/>
          <w:szCs w:val="20"/>
        </w:rPr>
        <w:t>The final evaluation will include similar scope to the midline evaluation but will incorporate the final data and results available from the project. It will address all of the evaluation questions.</w:t>
      </w: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064247">
      <w:pPr>
        <w:pStyle w:val="NormalWeb"/>
        <w:spacing w:before="0" w:beforeAutospacing="0" w:after="0" w:afterAutospacing="0"/>
        <w:ind w:left="284"/>
        <w:jc w:val="both"/>
        <w:rPr>
          <w:color w:val="000000"/>
          <w:sz w:val="20"/>
          <w:szCs w:val="20"/>
        </w:rPr>
      </w:pPr>
      <w:r w:rsidRPr="00F9205D">
        <w:rPr>
          <w:color w:val="000000"/>
          <w:sz w:val="20"/>
          <w:szCs w:val="20"/>
        </w:rPr>
        <w:t>The successful bidder will be required to work directly with the Satellite Applications Catapult and other EASOS consortium members to develop an understanding of the EASOS programme, its aims and timelines, as well as what data is and can be made available.</w:t>
      </w:r>
    </w:p>
    <w:p w:rsidR="00F4181B" w:rsidRPr="00F9205D" w:rsidRDefault="00F4181B" w:rsidP="00064247">
      <w:pPr>
        <w:pStyle w:val="NormalWeb"/>
        <w:ind w:left="283"/>
        <w:jc w:val="both"/>
        <w:rPr>
          <w:color w:val="000000"/>
          <w:sz w:val="20"/>
          <w:szCs w:val="20"/>
        </w:rPr>
      </w:pPr>
      <w:r w:rsidRPr="00F9205D">
        <w:rPr>
          <w:color w:val="000000"/>
          <w:sz w:val="20"/>
          <w:szCs w:val="20"/>
        </w:rPr>
        <w:t xml:space="preserve">It is anticipated that the proposed evaluation methodology will require a combination of quantitative and qualitative analytical techniques summarised in reports. </w:t>
      </w:r>
      <w:r w:rsidR="004F68CF">
        <w:rPr>
          <w:color w:val="000000"/>
          <w:sz w:val="20"/>
          <w:szCs w:val="20"/>
        </w:rPr>
        <w:t>S</w:t>
      </w:r>
      <w:r w:rsidRPr="00F9205D">
        <w:rPr>
          <w:color w:val="000000"/>
          <w:sz w:val="20"/>
          <w:szCs w:val="20"/>
        </w:rPr>
        <w:t>ome</w:t>
      </w:r>
      <w:r w:rsidR="00064247">
        <w:rPr>
          <w:color w:val="000000"/>
          <w:sz w:val="20"/>
          <w:szCs w:val="20"/>
        </w:rPr>
        <w:t xml:space="preserve"> travel to Malaysia is expected.  I</w:t>
      </w:r>
      <w:r w:rsidRPr="00F9205D">
        <w:rPr>
          <w:color w:val="000000"/>
          <w:sz w:val="20"/>
          <w:szCs w:val="20"/>
        </w:rPr>
        <w:t xml:space="preserve">t </w:t>
      </w:r>
      <w:proofErr w:type="gramStart"/>
      <w:r w:rsidRPr="00F9205D">
        <w:rPr>
          <w:color w:val="000000"/>
          <w:sz w:val="20"/>
          <w:szCs w:val="20"/>
        </w:rPr>
        <w:t>is anticipated</w:t>
      </w:r>
      <w:proofErr w:type="gramEnd"/>
      <w:r w:rsidR="004F68CF">
        <w:rPr>
          <w:color w:val="000000"/>
          <w:sz w:val="20"/>
          <w:szCs w:val="20"/>
        </w:rPr>
        <w:t xml:space="preserve"> </w:t>
      </w:r>
      <w:proofErr w:type="spellStart"/>
      <w:r w:rsidR="00064247">
        <w:rPr>
          <w:color w:val="000000"/>
          <w:sz w:val="20"/>
          <w:szCs w:val="20"/>
        </w:rPr>
        <w:t>thar</w:t>
      </w:r>
      <w:proofErr w:type="spellEnd"/>
      <w:r w:rsidR="004F68CF">
        <w:rPr>
          <w:color w:val="000000"/>
          <w:sz w:val="20"/>
          <w:szCs w:val="20"/>
        </w:rPr>
        <w:t xml:space="preserve"> access to Malaysian government agencies is expected to be through Janus TCD Ltd, the EASOS in-country representatives</w:t>
      </w:r>
      <w:r w:rsidRPr="00F9205D">
        <w:rPr>
          <w:color w:val="000000"/>
          <w:sz w:val="20"/>
          <w:szCs w:val="20"/>
        </w:rPr>
        <w:t>.</w:t>
      </w:r>
    </w:p>
    <w:p w:rsidR="00F4181B" w:rsidRPr="00F9205D" w:rsidRDefault="00F4181B" w:rsidP="00064247">
      <w:pPr>
        <w:pStyle w:val="NormalWeb"/>
        <w:ind w:left="283"/>
        <w:jc w:val="both"/>
        <w:rPr>
          <w:color w:val="000000"/>
          <w:sz w:val="20"/>
          <w:szCs w:val="20"/>
        </w:rPr>
      </w:pPr>
      <w:r w:rsidRPr="00F9205D">
        <w:rPr>
          <w:color w:val="000000"/>
          <w:sz w:val="20"/>
          <w:szCs w:val="20"/>
        </w:rPr>
        <w:t>All proposals should follow best-practice guidance in designing evaluations as set out in HM Treasury’s Magenta Book2 and UK Space Agency Evaluation3 Strategy. The proposals should demonstrate an understanding and incorporation of the OECD DAC Criteria for Evaluating Development Assistance.4</w:t>
      </w:r>
    </w:p>
    <w:p w:rsidR="00F4181B" w:rsidRPr="00F9205D" w:rsidRDefault="00F4181B" w:rsidP="00064247">
      <w:pPr>
        <w:pStyle w:val="NormalWeb"/>
        <w:ind w:left="283"/>
        <w:jc w:val="both"/>
        <w:rPr>
          <w:color w:val="000000"/>
          <w:sz w:val="20"/>
          <w:szCs w:val="20"/>
        </w:rPr>
      </w:pPr>
      <w:r w:rsidRPr="00F9205D">
        <w:rPr>
          <w:color w:val="000000"/>
          <w:sz w:val="20"/>
          <w:szCs w:val="20"/>
        </w:rPr>
        <w:t>The UK Space Agency’s external M&amp;E expert for IPP will also provide guidance and quality assurance to the selected supplier.</w:t>
      </w: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F9205D" w:rsidRDefault="00F4181B" w:rsidP="00064247">
      <w:pPr>
        <w:pStyle w:val="NormalWeb"/>
        <w:spacing w:before="0" w:beforeAutospacing="0" w:after="0" w:afterAutospacing="0"/>
        <w:ind w:left="284"/>
        <w:jc w:val="both"/>
        <w:rPr>
          <w:color w:val="000000"/>
          <w:sz w:val="20"/>
          <w:szCs w:val="20"/>
        </w:rPr>
      </w:pPr>
      <w:r w:rsidRPr="00F9205D">
        <w:rPr>
          <w:color w:val="000000"/>
          <w:sz w:val="20"/>
          <w:szCs w:val="20"/>
        </w:rPr>
        <w:t>This contract is to deliver, as a minimum, four reports:</w:t>
      </w:r>
    </w:p>
    <w:p w:rsidR="00F4181B" w:rsidRPr="00F9205D" w:rsidRDefault="00952E83" w:rsidP="00064247">
      <w:pPr>
        <w:pStyle w:val="NormalWeb"/>
        <w:spacing w:before="0" w:beforeAutospacing="0" w:after="0" w:afterAutospacing="0"/>
        <w:ind w:left="283"/>
        <w:jc w:val="both"/>
        <w:rPr>
          <w:color w:val="000000"/>
          <w:sz w:val="20"/>
          <w:szCs w:val="20"/>
        </w:rPr>
      </w:pPr>
      <w:r>
        <w:rPr>
          <w:color w:val="000000"/>
          <w:sz w:val="20"/>
          <w:szCs w:val="20"/>
        </w:rPr>
        <w:t>i</w:t>
      </w:r>
      <w:r w:rsidR="00F4181B" w:rsidRPr="00F9205D">
        <w:rPr>
          <w:color w:val="000000"/>
          <w:sz w:val="20"/>
          <w:szCs w:val="20"/>
        </w:rPr>
        <w:t>. Monitoring &amp; Evaluation Plan which will include the following. This plan will have been started by Satellite Applications Catapult with input from the UKSA IPP M&amp;E supplier, but will need to be updated and refined.</w:t>
      </w:r>
    </w:p>
    <w:p w:rsidR="00F4181B" w:rsidRPr="00F9205D"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a. A review of, and potential updates to, the Theory of Change and Logframe</w:t>
      </w:r>
    </w:p>
    <w:p w:rsidR="00F4181B" w:rsidRPr="00F9205D"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b. Data collection plan for LogFrame indicators</w:t>
      </w:r>
    </w:p>
    <w:p w:rsidR="00F4181B" w:rsidRPr="00F9205D"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c. Identification of the audiences, and their uses for the M&amp;E outputs</w:t>
      </w:r>
    </w:p>
    <w:p w:rsidR="00F4181B" w:rsidRPr="00F9205D"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d. Evaluation questions that the midline and endline evaluations will answer</w:t>
      </w:r>
    </w:p>
    <w:p w:rsidR="00F4181B" w:rsidRPr="00F9205D"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e. Evaluation framework including discussion of different evaluation methods, with reasoning, including process, impact and economic evaluation</w:t>
      </w:r>
    </w:p>
    <w:p w:rsidR="00F4181B" w:rsidRPr="00F9205D"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f. Identification of potential counterfactuals that could be used as part of the evaluation</w:t>
      </w:r>
    </w:p>
    <w:p w:rsidR="00F4181B" w:rsidRPr="00F9205D"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g. Plan to conduct a cost-effectiveness analysis</w:t>
      </w:r>
    </w:p>
    <w:p w:rsidR="00F4181B" w:rsidRDefault="00F4181B" w:rsidP="00064247">
      <w:pPr>
        <w:pStyle w:val="NormalWeb"/>
        <w:spacing w:before="0" w:beforeAutospacing="0" w:after="0" w:afterAutospacing="0"/>
        <w:ind w:left="720"/>
        <w:jc w:val="both"/>
        <w:rPr>
          <w:color w:val="000000"/>
          <w:sz w:val="20"/>
          <w:szCs w:val="20"/>
        </w:rPr>
      </w:pPr>
      <w:r w:rsidRPr="00F9205D">
        <w:rPr>
          <w:color w:val="000000"/>
          <w:sz w:val="20"/>
          <w:szCs w:val="20"/>
        </w:rPr>
        <w:t>h. Demonstration of OECD-DAC compliance</w:t>
      </w:r>
    </w:p>
    <w:p w:rsidR="00AF39CF" w:rsidRDefault="00AF39CF" w:rsidP="00AF39CF">
      <w:pPr>
        <w:pStyle w:val="Default"/>
        <w:ind w:left="283"/>
        <w:rPr>
          <w:sz w:val="16"/>
          <w:szCs w:val="16"/>
        </w:rPr>
      </w:pPr>
      <w:r>
        <w:rPr>
          <w:sz w:val="16"/>
          <w:szCs w:val="16"/>
        </w:rPr>
        <w:t>------------------------------------------</w:t>
      </w:r>
    </w:p>
    <w:p w:rsidR="00AF39CF" w:rsidRPr="009717F5" w:rsidRDefault="00AF39CF" w:rsidP="00AF39CF">
      <w:pPr>
        <w:pStyle w:val="Default"/>
        <w:ind w:left="283"/>
        <w:rPr>
          <w:sz w:val="12"/>
          <w:szCs w:val="20"/>
          <w:lang w:eastAsia="en-GB"/>
        </w:rPr>
      </w:pPr>
      <w:r w:rsidRPr="009717F5">
        <w:rPr>
          <w:sz w:val="12"/>
          <w:szCs w:val="20"/>
        </w:rPr>
        <w:t>2 https://www.gov.uk/government/publications/the-magenta-book 3 3.https://www.gov.uk/government/publications/evaluation-strategy-uk-space-agency 4 4.http://www.oecd.org/dac/evaluation/daccriteriaforevaluatingdevelopmentassistance.htm</w:t>
      </w:r>
    </w:p>
    <w:p w:rsidR="00450D30" w:rsidRDefault="00450D30" w:rsidP="00450D30">
      <w:pPr>
        <w:pStyle w:val="NormalWeb"/>
        <w:ind w:left="283"/>
        <w:jc w:val="both"/>
        <w:rPr>
          <w:color w:val="000000"/>
          <w:sz w:val="20"/>
          <w:szCs w:val="20"/>
        </w:rPr>
      </w:pPr>
    </w:p>
    <w:p w:rsidR="00F4181B" w:rsidRDefault="00952E83" w:rsidP="00450D30">
      <w:pPr>
        <w:pStyle w:val="NormalWeb"/>
        <w:ind w:left="283"/>
        <w:jc w:val="both"/>
        <w:rPr>
          <w:color w:val="000000"/>
          <w:sz w:val="20"/>
          <w:szCs w:val="20"/>
        </w:rPr>
      </w:pPr>
      <w:r>
        <w:rPr>
          <w:color w:val="000000"/>
          <w:sz w:val="20"/>
          <w:szCs w:val="20"/>
        </w:rPr>
        <w:lastRenderedPageBreak/>
        <w:t>ii</w:t>
      </w:r>
      <w:r w:rsidR="00F4181B" w:rsidRPr="00F9205D">
        <w:rPr>
          <w:color w:val="000000"/>
          <w:sz w:val="20"/>
          <w:szCs w:val="20"/>
        </w:rPr>
        <w:t xml:space="preserve">. Baseline report with assessment of </w:t>
      </w:r>
      <w:proofErr w:type="gramStart"/>
      <w:r w:rsidR="00F4181B" w:rsidRPr="00F9205D">
        <w:rPr>
          <w:color w:val="000000"/>
          <w:sz w:val="20"/>
          <w:szCs w:val="20"/>
        </w:rPr>
        <w:t>current status</w:t>
      </w:r>
      <w:proofErr w:type="gramEnd"/>
      <w:r w:rsidR="00F4181B" w:rsidRPr="00F9205D">
        <w:rPr>
          <w:color w:val="000000"/>
          <w:sz w:val="20"/>
          <w:szCs w:val="20"/>
        </w:rPr>
        <w:t xml:space="preserve"> of indicators against which future impact will be measured.</w:t>
      </w:r>
    </w:p>
    <w:p w:rsidR="00F4181B" w:rsidRPr="00F9205D" w:rsidRDefault="00952E83" w:rsidP="00450D30">
      <w:pPr>
        <w:pStyle w:val="NormalWeb"/>
        <w:ind w:left="283"/>
        <w:jc w:val="both"/>
        <w:rPr>
          <w:color w:val="000000"/>
          <w:sz w:val="20"/>
          <w:szCs w:val="20"/>
        </w:rPr>
      </w:pPr>
      <w:r>
        <w:rPr>
          <w:color w:val="000000"/>
          <w:sz w:val="20"/>
          <w:szCs w:val="20"/>
        </w:rPr>
        <w:t>iii</w:t>
      </w:r>
      <w:r w:rsidR="00F4181B" w:rsidRPr="00F9205D">
        <w:rPr>
          <w:color w:val="000000"/>
          <w:sz w:val="20"/>
          <w:szCs w:val="20"/>
        </w:rPr>
        <w:t>. Interim evaluation report 2.5/3 years after the start of the project to provide evidence of the progress against the targets and evaluation questions agreed in (1).</w:t>
      </w:r>
    </w:p>
    <w:p w:rsidR="00F4181B" w:rsidRPr="00F9205D" w:rsidRDefault="00952E83" w:rsidP="00450D30">
      <w:pPr>
        <w:pStyle w:val="NormalWeb"/>
        <w:ind w:left="283"/>
        <w:jc w:val="both"/>
        <w:rPr>
          <w:color w:val="000000"/>
          <w:sz w:val="20"/>
          <w:szCs w:val="20"/>
        </w:rPr>
      </w:pPr>
      <w:r>
        <w:rPr>
          <w:color w:val="000000"/>
          <w:sz w:val="20"/>
          <w:szCs w:val="20"/>
        </w:rPr>
        <w:t>iv</w:t>
      </w:r>
      <w:r w:rsidR="00F4181B" w:rsidRPr="00F9205D">
        <w:rPr>
          <w:color w:val="000000"/>
          <w:sz w:val="20"/>
          <w:szCs w:val="20"/>
        </w:rPr>
        <w:t>. Final evaluation report 5 years after the start of the project for Satellite Applications Catapult and UK Space Agency to evidence the impact of the EASOS programme. Provide evidence of the achievement against the targets and evaluation questions agreed in (1).</w:t>
      </w:r>
    </w:p>
    <w:p w:rsidR="00F4181B" w:rsidRPr="00F9205D" w:rsidRDefault="00F4181B" w:rsidP="00450D30">
      <w:pPr>
        <w:pStyle w:val="NormalWeb"/>
        <w:ind w:left="283"/>
        <w:jc w:val="both"/>
        <w:rPr>
          <w:color w:val="000000"/>
          <w:sz w:val="20"/>
          <w:szCs w:val="20"/>
        </w:rPr>
      </w:pPr>
      <w:r w:rsidRPr="00F9205D">
        <w:rPr>
          <w:color w:val="000000"/>
          <w:sz w:val="20"/>
          <w:szCs w:val="20"/>
        </w:rPr>
        <w:t>The reports must include an executive summary. Any analysis carried out for the report must be clearly set out.</w:t>
      </w: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w:t>
      </w:r>
      <w:r w:rsidR="00F9205D">
        <w:rPr>
          <w:b/>
          <w:color w:val="000000"/>
          <w:sz w:val="27"/>
          <w:szCs w:val="27"/>
        </w:rPr>
        <w:t>5</w:t>
      </w:r>
      <w:r w:rsidRPr="00F4181B">
        <w:rPr>
          <w:b/>
          <w:color w:val="000000"/>
          <w:sz w:val="27"/>
          <w:szCs w:val="27"/>
        </w:rPr>
        <w:t xml:space="preserve"> Management of the contact</w:t>
      </w:r>
    </w:p>
    <w:p w:rsidR="00F4181B" w:rsidRPr="00BA6386" w:rsidRDefault="00F4181B" w:rsidP="00450D30">
      <w:pPr>
        <w:pStyle w:val="NormalWeb"/>
        <w:spacing w:before="0" w:beforeAutospacing="0" w:after="0" w:afterAutospacing="0"/>
        <w:ind w:left="283"/>
        <w:jc w:val="both"/>
        <w:rPr>
          <w:color w:val="FF0000"/>
          <w:sz w:val="20"/>
          <w:szCs w:val="20"/>
        </w:rPr>
      </w:pPr>
      <w:r w:rsidRPr="00F9205D">
        <w:rPr>
          <w:color w:val="000000"/>
          <w:sz w:val="20"/>
          <w:szCs w:val="20"/>
        </w:rPr>
        <w:t>Proposals should set out a detailed contract timeline and detail the members of the team. The contract will be managed day-to-day by Satellite Applications Catapult. There will be up to twenty additional meetings with the wider consortium and UK Space Agency representatives.</w:t>
      </w:r>
      <w:r w:rsidR="004F68CF">
        <w:rPr>
          <w:color w:val="000000"/>
          <w:sz w:val="20"/>
          <w:szCs w:val="20"/>
        </w:rPr>
        <w:t xml:space="preserve"> The majority of meetings are expected to be held in Harwell, Oxfordshire or Swindon, Wiltshire.</w:t>
      </w:r>
    </w:p>
    <w:p w:rsidR="00F9205D" w:rsidRDefault="00F9205D" w:rsidP="00450D30">
      <w:pPr>
        <w:pStyle w:val="NormalWeb"/>
        <w:spacing w:before="0" w:beforeAutospacing="0" w:after="0" w:afterAutospacing="0"/>
        <w:ind w:left="284"/>
        <w:jc w:val="both"/>
        <w:rPr>
          <w:b/>
          <w:color w:val="000000"/>
          <w:sz w:val="27"/>
          <w:szCs w:val="27"/>
        </w:rPr>
      </w:pPr>
    </w:p>
    <w:p w:rsidR="00F4181B" w:rsidRPr="00F4181B" w:rsidRDefault="00F4181B" w:rsidP="00450D30">
      <w:pPr>
        <w:pStyle w:val="NormalWeb"/>
        <w:spacing w:before="0" w:beforeAutospacing="0" w:after="0" w:afterAutospacing="0"/>
        <w:ind w:left="284"/>
        <w:jc w:val="both"/>
        <w:rPr>
          <w:b/>
          <w:color w:val="000000"/>
          <w:sz w:val="27"/>
          <w:szCs w:val="27"/>
        </w:rPr>
      </w:pPr>
      <w:r w:rsidRPr="00F4181B">
        <w:rPr>
          <w:b/>
          <w:color w:val="000000"/>
          <w:sz w:val="27"/>
          <w:szCs w:val="27"/>
        </w:rPr>
        <w:t>3.</w:t>
      </w:r>
      <w:r w:rsidR="00F9205D">
        <w:rPr>
          <w:b/>
          <w:color w:val="000000"/>
          <w:sz w:val="27"/>
          <w:szCs w:val="27"/>
        </w:rPr>
        <w:t>6</w:t>
      </w:r>
      <w:r w:rsidRPr="00F4181B">
        <w:rPr>
          <w:b/>
          <w:color w:val="000000"/>
          <w:sz w:val="27"/>
          <w:szCs w:val="27"/>
        </w:rPr>
        <w:t xml:space="preserve"> Data</w:t>
      </w:r>
    </w:p>
    <w:p w:rsidR="00F4181B" w:rsidRPr="00F9205D" w:rsidRDefault="00F4181B" w:rsidP="00450D30">
      <w:pPr>
        <w:pStyle w:val="NormalWeb"/>
        <w:spacing w:before="0" w:beforeAutospacing="0" w:after="0" w:afterAutospacing="0"/>
        <w:ind w:left="284"/>
        <w:jc w:val="both"/>
        <w:rPr>
          <w:color w:val="000000"/>
          <w:sz w:val="20"/>
          <w:szCs w:val="20"/>
        </w:rPr>
      </w:pPr>
      <w:r w:rsidRPr="00F9205D">
        <w:rPr>
          <w:color w:val="000000"/>
          <w:sz w:val="20"/>
          <w:szCs w:val="20"/>
        </w:rPr>
        <w:t>The majority of relevant data will be held by Satellite Applications Catapult, other EASOS consortium members, or Malaysian government departments and agencies with whom the EASOS consortium has existing relationships. The successful bidder will have to work with the Satellite Applications Catapult and other EASOS consortium members to understand what data is available and what data could be made available in order to achieve the most robust and yet practical impact evaluation.</w:t>
      </w:r>
      <w:r w:rsidR="004F68CF">
        <w:rPr>
          <w:color w:val="000000"/>
          <w:sz w:val="20"/>
          <w:szCs w:val="20"/>
        </w:rPr>
        <w:t xml:space="preserve"> In particular, </w:t>
      </w:r>
      <w:proofErr w:type="gramStart"/>
      <w:r w:rsidR="004F68CF">
        <w:rPr>
          <w:color w:val="000000"/>
          <w:sz w:val="20"/>
          <w:szCs w:val="20"/>
        </w:rPr>
        <w:t xml:space="preserve">the EASOS consortium is represented within Malaysia by Janus TCD Ltd, who have extensive contacts and connections within </w:t>
      </w:r>
      <w:r w:rsidR="00450D30">
        <w:rPr>
          <w:color w:val="000000"/>
          <w:sz w:val="20"/>
          <w:szCs w:val="20"/>
        </w:rPr>
        <w:t>the Malaysian government and it</w:t>
      </w:r>
      <w:r w:rsidR="004F68CF">
        <w:rPr>
          <w:color w:val="000000"/>
          <w:sz w:val="20"/>
          <w:szCs w:val="20"/>
        </w:rPr>
        <w:t>s agencies</w:t>
      </w:r>
      <w:proofErr w:type="gramEnd"/>
      <w:r w:rsidR="004F68CF">
        <w:rPr>
          <w:color w:val="000000"/>
          <w:sz w:val="20"/>
          <w:szCs w:val="20"/>
        </w:rPr>
        <w:t>.</w:t>
      </w:r>
    </w:p>
    <w:p w:rsidR="00F9205D" w:rsidRDefault="00F9205D" w:rsidP="00450D30">
      <w:pPr>
        <w:pStyle w:val="NormalWeb"/>
        <w:spacing w:before="0" w:beforeAutospacing="0" w:after="0" w:afterAutospacing="0"/>
        <w:ind w:left="284"/>
        <w:jc w:val="both"/>
        <w:rPr>
          <w:b/>
          <w:color w:val="000000"/>
          <w:sz w:val="27"/>
          <w:szCs w:val="27"/>
        </w:rPr>
      </w:pPr>
    </w:p>
    <w:p w:rsidR="00F4181B" w:rsidRPr="00F4181B" w:rsidRDefault="00F4181B" w:rsidP="00450D30">
      <w:pPr>
        <w:pStyle w:val="NormalWeb"/>
        <w:spacing w:before="0" w:beforeAutospacing="0" w:after="0" w:afterAutospacing="0"/>
        <w:ind w:left="284"/>
        <w:jc w:val="both"/>
        <w:rPr>
          <w:b/>
          <w:color w:val="000000"/>
          <w:sz w:val="27"/>
          <w:szCs w:val="27"/>
        </w:rPr>
      </w:pPr>
      <w:r w:rsidRPr="00F4181B">
        <w:rPr>
          <w:b/>
          <w:color w:val="000000"/>
          <w:sz w:val="27"/>
          <w:szCs w:val="27"/>
        </w:rPr>
        <w:t>3.</w:t>
      </w:r>
      <w:r w:rsidR="00F9205D">
        <w:rPr>
          <w:b/>
          <w:color w:val="000000"/>
          <w:sz w:val="27"/>
          <w:szCs w:val="27"/>
        </w:rPr>
        <w:t>7</w:t>
      </w:r>
      <w:r w:rsidRPr="00F4181B">
        <w:rPr>
          <w:b/>
          <w:color w:val="000000"/>
          <w:sz w:val="27"/>
          <w:szCs w:val="27"/>
        </w:rPr>
        <w:t xml:space="preserve"> Security</w:t>
      </w:r>
    </w:p>
    <w:p w:rsidR="00F4181B" w:rsidRPr="00F9205D" w:rsidRDefault="00F4181B" w:rsidP="00450D30">
      <w:pPr>
        <w:pStyle w:val="NormalWeb"/>
        <w:spacing w:before="0" w:beforeAutospacing="0" w:after="0" w:afterAutospacing="0"/>
        <w:ind w:left="284"/>
        <w:jc w:val="both"/>
        <w:rPr>
          <w:color w:val="000000"/>
          <w:sz w:val="20"/>
          <w:szCs w:val="20"/>
        </w:rPr>
      </w:pPr>
      <w:r w:rsidRPr="00F9205D">
        <w:rPr>
          <w:color w:val="000000"/>
          <w:sz w:val="20"/>
          <w:szCs w:val="20"/>
        </w:rPr>
        <w:t xml:space="preserve">This project will involve utilising data regarded as commercially sensitive. Proposals should include the data (includes personal data) security arrangements that will be in place for this project; the arrangements should detail how the confidentiality, integrity and the availability of the data will be maintained during the project lifespan. The successful bidder will be expected to sign a binding non-disclosure agreement (See </w:t>
      </w:r>
      <w:r w:rsidRPr="00F9205D">
        <w:rPr>
          <w:b/>
          <w:color w:val="000000"/>
          <w:sz w:val="20"/>
          <w:szCs w:val="20"/>
        </w:rPr>
        <w:t xml:space="preserve">Annex </w:t>
      </w:r>
      <w:r w:rsidR="00952E83">
        <w:rPr>
          <w:b/>
          <w:color w:val="000000"/>
          <w:sz w:val="20"/>
          <w:szCs w:val="20"/>
        </w:rPr>
        <w:t>C</w:t>
      </w:r>
      <w:r w:rsidRPr="00F9205D">
        <w:rPr>
          <w:color w:val="000000"/>
          <w:sz w:val="20"/>
          <w:szCs w:val="20"/>
        </w:rPr>
        <w:t>). At the end of the project, the successful bidder and any sub-contractors must return all data to the Satellite Applications Catapult and destroy any copies they hold.</w:t>
      </w:r>
    </w:p>
    <w:p w:rsidR="00E62707" w:rsidRPr="00027366" w:rsidRDefault="00E62707" w:rsidP="00027366">
      <w:pPr>
        <w:pStyle w:val="NormalWeb"/>
        <w:spacing w:before="0" w:beforeAutospacing="0" w:after="0" w:afterAutospacing="0"/>
        <w:ind w:left="284"/>
        <w:jc w:val="both"/>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52E83" w:rsidRPr="00027366">
        <w:rPr>
          <w:rFonts w:ascii="Times New Roman" w:eastAsia="Times New Roman" w:hAnsi="Times New Roman" w:cs="Times New Roman"/>
          <w:b/>
          <w:sz w:val="20"/>
          <w:szCs w:val="20"/>
          <w:lang w:eastAsia="en-GB"/>
        </w:rPr>
        <w:t>D</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027366">
        <w:rPr>
          <w:color w:val="000000"/>
          <w:sz w:val="20"/>
          <w:szCs w:val="20"/>
        </w:rPr>
        <w:t xml:space="preserve">Annex </w:t>
      </w:r>
      <w:r w:rsidR="00952E83" w:rsidRPr="00027366">
        <w:rPr>
          <w:color w:val="000000"/>
          <w:sz w:val="20"/>
          <w:szCs w:val="20"/>
        </w:rPr>
        <w:t>E</w:t>
      </w:r>
      <w:r w:rsidRPr="00AF39CF">
        <w:rPr>
          <w:color w:val="000000"/>
          <w:sz w:val="20"/>
          <w:szCs w:val="20"/>
        </w:rPr>
        <w:t xml:space="preserve">, which accepts the terms &amp; conditions issued with this invitation. </w:t>
      </w:r>
      <w:r w:rsidRPr="00F40B28">
        <w:rPr>
          <w:b/>
          <w:color w:val="000000"/>
          <w:sz w:val="20"/>
          <w:szCs w:val="20"/>
        </w:rPr>
        <w:t xml:space="preserve">Failure to return this declaration will mean that your proposal </w:t>
      </w:r>
      <w:proofErr w:type="gramStart"/>
      <w:r w:rsidRPr="00F40B28">
        <w:rPr>
          <w:b/>
          <w:color w:val="000000"/>
          <w:sz w:val="20"/>
          <w:szCs w:val="20"/>
        </w:rPr>
        <w:t>will not be evaluated</w:t>
      </w:r>
      <w:proofErr w:type="gramEnd"/>
      <w:r w:rsidRPr="00F40B28">
        <w:rPr>
          <w:b/>
          <w:color w:val="000000"/>
          <w:sz w:val="20"/>
          <w:szCs w:val="20"/>
        </w:rPr>
        <w:t>.</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lastRenderedPageBreak/>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BB34F0">
        <w:rPr>
          <w:rFonts w:ascii="Times New Roman" w:hAnsi="Times New Roman" w:cs="Times New Roman"/>
          <w:b/>
          <w:color w:val="FF0000"/>
          <w:sz w:val="20"/>
          <w:szCs w:val="20"/>
        </w:rPr>
        <w:t>14 February 2017</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BB34F0">
        <w:rPr>
          <w:rFonts w:ascii="Times New Roman" w:hAnsi="Times New Roman" w:cs="Times New Roman"/>
          <w:b/>
          <w:color w:val="FF0000"/>
          <w:sz w:val="20"/>
          <w:szCs w:val="20"/>
        </w:rPr>
        <w:t>17 February 2017</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w:t>
      </w:r>
      <w:proofErr w:type="gramStart"/>
      <w:r w:rsidRPr="007D7E6A">
        <w:rPr>
          <w:rFonts w:ascii="Times New Roman" w:hAnsi="Times New Roman" w:cs="Times New Roman"/>
          <w:sz w:val="20"/>
          <w:szCs w:val="20"/>
        </w:rPr>
        <w:t xml:space="preserve">to in the Respondents Acknowledgement letter </w:t>
      </w:r>
      <w:r w:rsidRPr="00A22BA5">
        <w:rPr>
          <w:rFonts w:ascii="Times New Roman" w:hAnsi="Times New Roman" w:cs="Times New Roman"/>
          <w:b/>
          <w:sz w:val="20"/>
          <w:szCs w:val="20"/>
        </w:rPr>
        <w:t>(see</w:t>
      </w:r>
      <w:proofErr w:type="gramEnd"/>
      <w:r w:rsidRPr="00A22BA5">
        <w:rPr>
          <w:rFonts w:ascii="Times New Roman" w:hAnsi="Times New Roman" w:cs="Times New Roman"/>
          <w:b/>
          <w:sz w:val="20"/>
          <w:szCs w:val="20"/>
        </w:rPr>
        <w:t xml:space="preserve"> Annex 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P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FF773F" w:rsidRDefault="00FF773F" w:rsidP="00A22BA5">
      <w:pPr>
        <w:spacing w:after="0" w:line="240" w:lineRule="auto"/>
        <w:jc w:val="both"/>
        <w:rPr>
          <w:rFonts w:ascii="Arial" w:hAnsi="Arial" w:cs="Arial"/>
          <w:b/>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lastRenderedPageBreak/>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1921E6" w:rsidRPr="005A2E4B" w:rsidRDefault="001921E6" w:rsidP="005A2E4B">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27 January 2017</w:t>
            </w:r>
            <w:r w:rsidR="00F44457" w:rsidRPr="005A2E4B">
              <w:rPr>
                <w:rFonts w:ascii="Times New Roman" w:hAnsi="Times New Roman" w:cs="Times New Roman"/>
                <w:bCs/>
                <w:color w:val="FF0000"/>
                <w:sz w:val="20"/>
                <w:szCs w:val="20"/>
              </w:rPr>
              <w:t xml:space="preserv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8776C">
              <w:rPr>
                <w:rFonts w:ascii="Times New Roman" w:hAnsi="Times New Roman" w:cs="Times New Roman"/>
                <w:b/>
                <w:sz w:val="20"/>
                <w:szCs w:val="20"/>
              </w:rPr>
              <w:t>E</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14 February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17 February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BB34F0">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BB34F0" w:rsidRPr="00C731B8">
              <w:rPr>
                <w:rFonts w:ascii="Times New Roman" w:hAnsi="Times New Roman" w:cs="Times New Roman"/>
                <w:b/>
                <w:bCs/>
                <w:color w:val="FF0000"/>
                <w:sz w:val="20"/>
                <w:szCs w:val="20"/>
                <w:u w:val="single"/>
              </w:rPr>
              <w:t>27 February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44457">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r w:rsidRPr="005A2E4B">
              <w:rPr>
                <w:rFonts w:ascii="Times New Roman" w:hAnsi="Times New Roman" w:cs="Times New Roman"/>
                <w:sz w:val="20"/>
                <w:szCs w:val="20"/>
              </w:rPr>
              <w:br/>
              <w:t xml:space="preserve">Identification of Respondents who will be invited to present their proposals in more detail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06 March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Respondent presentations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09 &amp; 10 March 2017</w:t>
            </w:r>
          </w:p>
        </w:tc>
      </w:tr>
      <w:tr w:rsidR="00BB34F0"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BB34F0" w:rsidRPr="005A2E4B" w:rsidRDefault="00BB34F0" w:rsidP="00AF39CF">
            <w:pPr>
              <w:pStyle w:val="Default"/>
              <w:spacing w:before="100" w:beforeAutospacing="1" w:after="100" w:afterAutospacing="1"/>
              <w:contextualSpacing/>
              <w:jc w:val="both"/>
              <w:rPr>
                <w:rFonts w:ascii="Times New Roman" w:hAnsi="Times New Roman" w:cs="Times New Roman"/>
                <w:b/>
                <w:bCs/>
                <w:sz w:val="20"/>
                <w:szCs w:val="20"/>
              </w:rPr>
            </w:pPr>
            <w:r w:rsidRPr="00BB34F0">
              <w:rPr>
                <w:rFonts w:ascii="Times New Roman" w:hAnsi="Times New Roman" w:cs="Times New Roman"/>
                <w:b/>
                <w:bCs/>
                <w:sz w:val="20"/>
                <w:szCs w:val="20"/>
              </w:rPr>
              <w:t>Director Approval</w:t>
            </w:r>
          </w:p>
        </w:tc>
        <w:tc>
          <w:tcPr>
            <w:tcW w:w="2695" w:type="dxa"/>
            <w:tcBorders>
              <w:top w:val="single" w:sz="4" w:space="0" w:color="000000"/>
              <w:left w:val="single" w:sz="4" w:space="0" w:color="000000"/>
              <w:bottom w:val="single" w:sz="4" w:space="0" w:color="000000"/>
              <w:right w:val="single" w:sz="4" w:space="0" w:color="000000"/>
            </w:tcBorders>
            <w:vAlign w:val="center"/>
          </w:tcPr>
          <w:p w:rsidR="00BB34F0"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Nomination of </w:t>
            </w:r>
            <w:r w:rsidR="00AF39CF" w:rsidRPr="005A2E4B">
              <w:rPr>
                <w:rFonts w:ascii="Times New Roman" w:hAnsi="Times New Roman" w:cs="Times New Roman"/>
                <w:b/>
                <w:bCs/>
                <w:sz w:val="20"/>
                <w:szCs w:val="20"/>
              </w:rPr>
              <w:t>Preferred</w:t>
            </w:r>
            <w:r w:rsidRPr="005A2E4B">
              <w:rPr>
                <w:rFonts w:ascii="Times New Roman" w:hAnsi="Times New Roman" w:cs="Times New Roman"/>
                <w:b/>
                <w:bCs/>
                <w:sz w:val="20"/>
                <w:szCs w:val="20"/>
              </w:rPr>
              <w:t xml:space="preserve"> Supplier and  </w:t>
            </w:r>
            <w:r w:rsidR="00AF39CF">
              <w:rPr>
                <w:rFonts w:ascii="Times New Roman" w:hAnsi="Times New Roman" w:cs="Times New Roman"/>
                <w:b/>
                <w:bCs/>
                <w:sz w:val="20"/>
                <w:szCs w:val="20"/>
              </w:rPr>
              <w:t xml:space="preserve">notice to </w:t>
            </w:r>
            <w:r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312F0D">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1</w:t>
            </w:r>
            <w:r w:rsidR="00312F0D">
              <w:rPr>
                <w:rFonts w:ascii="Times New Roman" w:hAnsi="Times New Roman" w:cs="Times New Roman"/>
                <w:bCs/>
                <w:color w:val="FF0000"/>
                <w:sz w:val="20"/>
                <w:szCs w:val="20"/>
              </w:rPr>
              <w:t>3</w:t>
            </w:r>
            <w:r>
              <w:rPr>
                <w:rFonts w:ascii="Times New Roman" w:hAnsi="Times New Roman" w:cs="Times New Roman"/>
                <w:bCs/>
                <w:color w:val="FF0000"/>
                <w:sz w:val="20"/>
                <w:szCs w:val="20"/>
              </w:rPr>
              <w:t xml:space="preserve"> March 2017</w:t>
            </w: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44457">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lastRenderedPageBreak/>
              <w:t xml:space="preserve">Start Mandatory standstill period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312F0D">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1</w:t>
            </w:r>
            <w:r w:rsidR="00312F0D">
              <w:rPr>
                <w:rFonts w:ascii="Times New Roman" w:hAnsi="Times New Roman" w:cs="Times New Roman"/>
                <w:bCs/>
                <w:color w:val="FF0000"/>
                <w:sz w:val="20"/>
                <w:szCs w:val="20"/>
              </w:rPr>
              <w:t>3</w:t>
            </w:r>
            <w:r>
              <w:rPr>
                <w:rFonts w:ascii="Times New Roman" w:hAnsi="Times New Roman" w:cs="Times New Roman"/>
                <w:bCs/>
                <w:color w:val="FF0000"/>
                <w:sz w:val="20"/>
                <w:szCs w:val="20"/>
              </w:rPr>
              <w:t xml:space="preserve"> March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44457">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Supplier appointment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23 March 2017</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B34F0"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0</w:t>
            </w:r>
            <w:r w:rsidR="00A9074F">
              <w:rPr>
                <w:rFonts w:ascii="Times New Roman" w:hAnsi="Times New Roman" w:cs="Times New Roman"/>
                <w:bCs/>
                <w:color w:val="FF0000"/>
                <w:sz w:val="20"/>
                <w:szCs w:val="20"/>
              </w:rPr>
              <w:t>3</w:t>
            </w:r>
            <w:r>
              <w:rPr>
                <w:rFonts w:ascii="Times New Roman" w:hAnsi="Times New Roman" w:cs="Times New Roman"/>
                <w:bCs/>
                <w:color w:val="FF0000"/>
                <w:sz w:val="20"/>
                <w:szCs w:val="20"/>
              </w:rPr>
              <w:t xml:space="preserve"> April</w:t>
            </w:r>
            <w:r w:rsidR="00A9074F">
              <w:rPr>
                <w:rFonts w:ascii="Times New Roman" w:hAnsi="Times New Roman" w:cs="Times New Roman"/>
                <w:bCs/>
                <w:color w:val="FF0000"/>
                <w:sz w:val="20"/>
                <w:szCs w:val="20"/>
              </w:rPr>
              <w:t xml:space="preserve"> 2017</w:t>
            </w:r>
          </w:p>
        </w:tc>
      </w:tr>
      <w:tr w:rsidR="0057460C"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BB34F0" w:rsidP="00A9074F">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0</w:t>
            </w:r>
            <w:r w:rsidR="00A9074F">
              <w:rPr>
                <w:rFonts w:ascii="Times New Roman" w:hAnsi="Times New Roman" w:cs="Times New Roman"/>
                <w:bCs/>
                <w:color w:val="FF0000"/>
                <w:sz w:val="20"/>
                <w:szCs w:val="20"/>
              </w:rPr>
              <w:t>3</w:t>
            </w:r>
            <w:r>
              <w:rPr>
                <w:rFonts w:ascii="Times New Roman" w:hAnsi="Times New Roman" w:cs="Times New Roman"/>
                <w:bCs/>
                <w:color w:val="FF0000"/>
                <w:sz w:val="20"/>
                <w:szCs w:val="20"/>
              </w:rPr>
              <w:t xml:space="preserve"> April</w:t>
            </w:r>
            <w:r w:rsidR="00A9074F">
              <w:rPr>
                <w:rFonts w:ascii="Times New Roman" w:hAnsi="Times New Roman" w:cs="Times New Roman"/>
                <w:bCs/>
                <w:color w:val="FF0000"/>
                <w:sz w:val="20"/>
                <w:szCs w:val="20"/>
              </w:rPr>
              <w:t xml:space="preserve"> 2017</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9067" w:type="dxa"/>
        <w:tblInd w:w="426" w:type="dxa"/>
        <w:tblLook w:val="04A0" w:firstRow="1" w:lastRow="0" w:firstColumn="1" w:lastColumn="0" w:noHBand="0" w:noVBand="1"/>
      </w:tblPr>
      <w:tblGrid>
        <w:gridCol w:w="1814"/>
        <w:gridCol w:w="1360"/>
        <w:gridCol w:w="5893"/>
      </w:tblGrid>
      <w:tr w:rsidR="006271B8" w:rsidRPr="00D659CD" w:rsidTr="00055522">
        <w:trPr>
          <w:trHeight w:val="615"/>
        </w:trPr>
        <w:tc>
          <w:tcPr>
            <w:tcW w:w="1814"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271B8" w:rsidRPr="00D659CD" w:rsidRDefault="006271B8" w:rsidP="006271B8">
            <w:pPr>
              <w:spacing w:after="0" w:line="240" w:lineRule="auto"/>
              <w:jc w:val="center"/>
              <w:rPr>
                <w:rFonts w:ascii="Calibri" w:eastAsia="Times New Roman" w:hAnsi="Calibri" w:cs="Times New Roman"/>
                <w:b/>
                <w:bCs/>
                <w:color w:val="FFFFFF"/>
                <w:sz w:val="20"/>
                <w:lang w:eastAsia="en-GB"/>
              </w:rPr>
            </w:pPr>
            <w:r w:rsidRPr="00D659CD">
              <w:rPr>
                <w:rFonts w:ascii="Calibri" w:eastAsia="Times New Roman" w:hAnsi="Calibri" w:cs="Times New Roman"/>
                <w:b/>
                <w:bCs/>
                <w:color w:val="FFFFFF"/>
                <w:sz w:val="20"/>
                <w:lang w:eastAsia="en-GB"/>
              </w:rPr>
              <w:t>Evaluation Criteria</w:t>
            </w:r>
          </w:p>
        </w:tc>
        <w:tc>
          <w:tcPr>
            <w:tcW w:w="1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271B8" w:rsidRPr="00D659CD" w:rsidRDefault="006271B8" w:rsidP="006271B8">
            <w:pPr>
              <w:spacing w:after="0" w:line="240" w:lineRule="auto"/>
              <w:jc w:val="center"/>
              <w:rPr>
                <w:rFonts w:ascii="Calibri" w:eastAsia="Times New Roman" w:hAnsi="Calibri" w:cs="Times New Roman"/>
                <w:b/>
                <w:bCs/>
                <w:color w:val="FFFFFF"/>
                <w:sz w:val="20"/>
                <w:lang w:eastAsia="en-GB"/>
              </w:rPr>
            </w:pPr>
            <w:r w:rsidRPr="00D659CD">
              <w:rPr>
                <w:rFonts w:ascii="Calibri" w:eastAsia="Times New Roman" w:hAnsi="Calibri" w:cs="Times New Roman"/>
                <w:b/>
                <w:bCs/>
                <w:color w:val="FFFFFF"/>
                <w:sz w:val="20"/>
                <w:lang w:eastAsia="en-GB"/>
              </w:rPr>
              <w:t>Max score avaialbe</w:t>
            </w:r>
          </w:p>
        </w:tc>
        <w:tc>
          <w:tcPr>
            <w:tcW w:w="589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271B8" w:rsidRPr="00D659CD" w:rsidRDefault="006271B8" w:rsidP="006271B8">
            <w:pPr>
              <w:spacing w:after="0" w:line="240" w:lineRule="auto"/>
              <w:jc w:val="center"/>
              <w:rPr>
                <w:rFonts w:ascii="Calibri" w:eastAsia="Times New Roman" w:hAnsi="Calibri" w:cs="Times New Roman"/>
                <w:b/>
                <w:bCs/>
                <w:color w:val="FFFFFF"/>
                <w:sz w:val="20"/>
                <w:lang w:eastAsia="en-GB"/>
              </w:rPr>
            </w:pPr>
            <w:r w:rsidRPr="00D659CD">
              <w:rPr>
                <w:rFonts w:ascii="Calibri" w:eastAsia="Times New Roman" w:hAnsi="Calibri" w:cs="Times New Roman"/>
                <w:b/>
                <w:bCs/>
                <w:color w:val="FFFFFF"/>
                <w:sz w:val="20"/>
                <w:lang w:eastAsia="en-GB"/>
              </w:rPr>
              <w:t>Detailed requirements</w:t>
            </w:r>
          </w:p>
        </w:tc>
      </w:tr>
      <w:tr w:rsidR="006271B8" w:rsidRPr="00D659CD" w:rsidTr="00055522">
        <w:trPr>
          <w:trHeight w:val="975"/>
        </w:trPr>
        <w:tc>
          <w:tcPr>
            <w:tcW w:w="181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 xml:space="preserve">Price </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jc w:val="center"/>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20</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6271B8" w:rsidRPr="00D659CD" w:rsidRDefault="006271B8" w:rsidP="00BA6386">
            <w:pPr>
              <w:spacing w:after="0" w:line="240" w:lineRule="auto"/>
              <w:rPr>
                <w:rFonts w:ascii="Calibri" w:eastAsia="Times New Roman" w:hAnsi="Calibri" w:cs="Times New Roman"/>
                <w:color w:val="000000"/>
                <w:sz w:val="20"/>
                <w:szCs w:val="18"/>
                <w:lang w:eastAsia="en-GB"/>
              </w:rPr>
            </w:pPr>
            <w:r w:rsidRPr="00D659CD">
              <w:rPr>
                <w:rFonts w:ascii="Calibri" w:eastAsia="Times New Roman" w:hAnsi="Calibri" w:cs="Times New Roman"/>
                <w:color w:val="000000"/>
                <w:sz w:val="20"/>
                <w:szCs w:val="18"/>
                <w:lang w:eastAsia="en-GB"/>
              </w:rPr>
              <w:t xml:space="preserve">The </w:t>
            </w:r>
            <w:r w:rsidR="00BA6386" w:rsidRPr="00D659CD">
              <w:rPr>
                <w:rFonts w:ascii="Calibri" w:eastAsia="Times New Roman" w:hAnsi="Calibri" w:cs="Times New Roman"/>
                <w:color w:val="000000"/>
                <w:sz w:val="20"/>
                <w:szCs w:val="18"/>
                <w:lang w:eastAsia="en-GB"/>
              </w:rPr>
              <w:t>Tenderer</w:t>
            </w:r>
            <w:r w:rsidRPr="00D659CD">
              <w:rPr>
                <w:rFonts w:ascii="Calibri" w:eastAsia="Times New Roman" w:hAnsi="Calibri" w:cs="Times New Roman"/>
                <w:color w:val="000000"/>
                <w:sz w:val="20"/>
                <w:szCs w:val="18"/>
                <w:lang w:eastAsia="en-GB"/>
              </w:rPr>
              <w:t xml:space="preserve">, which submits the lowest price, will be given the maximum score for this criterion. Other </w:t>
            </w:r>
            <w:r w:rsidR="00BA6386" w:rsidRPr="00D659CD">
              <w:rPr>
                <w:rFonts w:ascii="Calibri" w:eastAsia="Times New Roman" w:hAnsi="Calibri" w:cs="Times New Roman"/>
                <w:color w:val="000000"/>
                <w:sz w:val="20"/>
                <w:szCs w:val="18"/>
                <w:lang w:eastAsia="en-GB"/>
              </w:rPr>
              <w:t>Tenderers’</w:t>
            </w:r>
            <w:r w:rsidRPr="00D659CD">
              <w:rPr>
                <w:rFonts w:ascii="Calibri" w:eastAsia="Times New Roman" w:hAnsi="Calibri" w:cs="Times New Roman"/>
                <w:color w:val="000000"/>
                <w:sz w:val="20"/>
                <w:szCs w:val="18"/>
                <w:lang w:eastAsia="en-GB"/>
              </w:rPr>
              <w:t xml:space="preserve"> (higher) prices will be divided into the lowest price and multiplied by the score available to achieve a proportionately lower score.</w:t>
            </w:r>
          </w:p>
        </w:tc>
      </w:tr>
      <w:tr w:rsidR="006271B8" w:rsidRPr="00D659CD" w:rsidTr="00055522">
        <w:trPr>
          <w:trHeight w:val="2437"/>
        </w:trPr>
        <w:tc>
          <w:tcPr>
            <w:tcW w:w="181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Understanding the environment</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jc w:val="center"/>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15</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color w:val="000000"/>
                <w:sz w:val="20"/>
                <w:szCs w:val="18"/>
                <w:lang w:eastAsia="en-GB"/>
              </w:rPr>
            </w:pPr>
            <w:r w:rsidRPr="00D659CD">
              <w:rPr>
                <w:rFonts w:ascii="Calibri" w:eastAsia="Times New Roman" w:hAnsi="Calibri" w:cs="Times New Roman"/>
                <w:color w:val="000000"/>
                <w:sz w:val="20"/>
                <w:szCs w:val="18"/>
                <w:lang w:eastAsia="en-GB"/>
              </w:rPr>
              <w:t>Tenderers should demonstrate proven experience &amp; understanding in delivering the range and scope services required within this invitation to tender.</w:t>
            </w:r>
            <w:r w:rsidRPr="00D659CD">
              <w:rPr>
                <w:rFonts w:ascii="Calibri" w:eastAsia="Times New Roman" w:hAnsi="Calibri" w:cs="Times New Roman"/>
                <w:color w:val="000000"/>
                <w:sz w:val="20"/>
                <w:szCs w:val="18"/>
                <w:lang w:eastAsia="en-GB"/>
              </w:rPr>
              <w:br/>
            </w:r>
            <w:r w:rsidRPr="00D659CD">
              <w:rPr>
                <w:rFonts w:ascii="Calibri" w:eastAsia="Times New Roman" w:hAnsi="Calibri" w:cs="Times New Roman"/>
                <w:color w:val="000000"/>
                <w:sz w:val="20"/>
                <w:szCs w:val="18"/>
                <w:lang w:eastAsia="en-GB"/>
              </w:rPr>
              <w:br/>
              <w:t xml:space="preserve">Please provide two examples of where these types of services have been delivered before, and please provide contact detail from two past customers who have received these services from your organisation and who would be willing to provide feedback by telephone.  </w:t>
            </w:r>
            <w:r w:rsidRPr="00D659CD">
              <w:rPr>
                <w:rFonts w:ascii="Calibri" w:eastAsia="Times New Roman" w:hAnsi="Calibri" w:cs="Times New Roman"/>
                <w:color w:val="000000"/>
                <w:sz w:val="20"/>
                <w:szCs w:val="18"/>
                <w:lang w:eastAsia="en-GB"/>
              </w:rPr>
              <w:br/>
            </w:r>
            <w:r w:rsidRPr="00D659CD">
              <w:rPr>
                <w:rFonts w:ascii="Calibri" w:eastAsia="Times New Roman" w:hAnsi="Calibri" w:cs="Times New Roman"/>
                <w:color w:val="000000"/>
                <w:sz w:val="20"/>
                <w:szCs w:val="18"/>
                <w:lang w:eastAsia="en-GB"/>
              </w:rPr>
              <w:br/>
              <w:t xml:space="preserve">Please note, references will not be contacted without prior notification. </w:t>
            </w:r>
          </w:p>
        </w:tc>
      </w:tr>
      <w:tr w:rsidR="006271B8" w:rsidRPr="00D659CD" w:rsidTr="00055522">
        <w:trPr>
          <w:trHeight w:val="1455"/>
        </w:trPr>
        <w:tc>
          <w:tcPr>
            <w:tcW w:w="181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 xml:space="preserve">Approach </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jc w:val="center"/>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40</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color w:val="000000"/>
                <w:sz w:val="20"/>
                <w:szCs w:val="18"/>
                <w:lang w:eastAsia="en-GB"/>
              </w:rPr>
            </w:pPr>
            <w:r w:rsidRPr="00D659CD">
              <w:rPr>
                <w:rFonts w:ascii="Calibri" w:eastAsia="Times New Roman" w:hAnsi="Calibri" w:cs="Times New Roman"/>
                <w:color w:val="000000"/>
                <w:sz w:val="20"/>
                <w:szCs w:val="18"/>
                <w:lang w:eastAsia="en-GB"/>
              </w:rPr>
              <w:t>Please detail your  proposed approach to execute the deliverables detailed within the ITT.  Please structure your response using each of the deliverables required.</w:t>
            </w:r>
            <w:r w:rsidRPr="00D659CD">
              <w:rPr>
                <w:rFonts w:ascii="Calibri" w:eastAsia="Times New Roman" w:hAnsi="Calibri" w:cs="Times New Roman"/>
                <w:color w:val="000000"/>
                <w:sz w:val="20"/>
                <w:szCs w:val="18"/>
                <w:lang w:eastAsia="en-GB"/>
              </w:rPr>
              <w:br/>
            </w:r>
            <w:r w:rsidRPr="00D659CD">
              <w:rPr>
                <w:rFonts w:ascii="Calibri" w:eastAsia="Times New Roman" w:hAnsi="Calibri" w:cs="Times New Roman"/>
                <w:color w:val="000000"/>
                <w:sz w:val="20"/>
                <w:szCs w:val="18"/>
                <w:lang w:eastAsia="en-GB"/>
              </w:rPr>
              <w:br/>
              <w:t>What do you see as the key risks/challenges of the project and how do you intend to mitigate/ overcome them?</w:t>
            </w:r>
          </w:p>
        </w:tc>
      </w:tr>
      <w:tr w:rsidR="006271B8" w:rsidRPr="00D659CD" w:rsidTr="00055522">
        <w:trPr>
          <w:trHeight w:val="1190"/>
        </w:trPr>
        <w:tc>
          <w:tcPr>
            <w:tcW w:w="181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 xml:space="preserve">Proposed Team </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6271B8" w:rsidRPr="00D659CD" w:rsidRDefault="006271B8" w:rsidP="006271B8">
            <w:pPr>
              <w:spacing w:after="0" w:line="240" w:lineRule="auto"/>
              <w:jc w:val="center"/>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15</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6271B8" w:rsidRPr="00D659CD" w:rsidRDefault="006271B8" w:rsidP="00BA6386">
            <w:pPr>
              <w:spacing w:after="240" w:line="240" w:lineRule="auto"/>
              <w:rPr>
                <w:rFonts w:ascii="Calibri" w:eastAsia="Times New Roman" w:hAnsi="Calibri" w:cs="Times New Roman"/>
                <w:color w:val="000000"/>
                <w:sz w:val="20"/>
                <w:szCs w:val="18"/>
                <w:lang w:eastAsia="en-GB"/>
              </w:rPr>
            </w:pPr>
            <w:r w:rsidRPr="00D659CD">
              <w:rPr>
                <w:rFonts w:ascii="Calibri" w:eastAsia="Times New Roman" w:hAnsi="Calibri" w:cs="Times New Roman"/>
                <w:color w:val="000000"/>
                <w:sz w:val="20"/>
                <w:szCs w:val="18"/>
                <w:lang w:eastAsia="en-GB"/>
              </w:rPr>
              <w:t xml:space="preserve">Please detail the Key Personnel identified to deliver the project. </w:t>
            </w:r>
            <w:r w:rsidRPr="00D659CD">
              <w:rPr>
                <w:rFonts w:ascii="Calibri" w:eastAsia="Times New Roman" w:hAnsi="Calibri" w:cs="Times New Roman"/>
                <w:color w:val="000000"/>
                <w:sz w:val="20"/>
                <w:szCs w:val="18"/>
                <w:lang w:eastAsia="en-GB"/>
              </w:rPr>
              <w:br/>
              <w:t xml:space="preserve">Please provide detailed evidence of their expertise in the role for which they have been identified. Please provide short version CVs for each team member. </w:t>
            </w:r>
          </w:p>
        </w:tc>
      </w:tr>
      <w:tr w:rsidR="006271B8" w:rsidRPr="00D659CD" w:rsidTr="00055522">
        <w:trPr>
          <w:trHeight w:val="2102"/>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lastRenderedPageBreak/>
              <w:t xml:space="preserve">Proposed Timetable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1B8" w:rsidRPr="00D659CD" w:rsidRDefault="006271B8" w:rsidP="006271B8">
            <w:pPr>
              <w:spacing w:after="0" w:line="240" w:lineRule="auto"/>
              <w:jc w:val="center"/>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10</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1B8" w:rsidRPr="00D659CD" w:rsidRDefault="006271B8" w:rsidP="006271B8">
            <w:pPr>
              <w:spacing w:after="0" w:line="240" w:lineRule="auto"/>
              <w:rPr>
                <w:rFonts w:ascii="Calibri" w:eastAsia="Times New Roman" w:hAnsi="Calibri" w:cs="Times New Roman"/>
                <w:color w:val="000000"/>
                <w:sz w:val="20"/>
                <w:szCs w:val="18"/>
                <w:lang w:eastAsia="en-GB"/>
              </w:rPr>
            </w:pPr>
            <w:r w:rsidRPr="00D659CD">
              <w:rPr>
                <w:rFonts w:ascii="Calibri" w:eastAsia="Times New Roman" w:hAnsi="Calibri" w:cs="Times New Roman"/>
                <w:color w:val="000000"/>
                <w:sz w:val="20"/>
                <w:szCs w:val="18"/>
                <w:lang w:eastAsia="en-GB"/>
              </w:rPr>
              <w:t xml:space="preserve">Please provide a project plan &amp; timetable to complete the assignment. Please provide this plan in MS Project format. </w:t>
            </w:r>
            <w:r w:rsidRPr="00D659CD">
              <w:rPr>
                <w:rFonts w:ascii="Calibri" w:eastAsia="Times New Roman" w:hAnsi="Calibri" w:cs="Times New Roman"/>
                <w:color w:val="000000"/>
                <w:sz w:val="20"/>
                <w:szCs w:val="18"/>
                <w:lang w:eastAsia="en-GB"/>
              </w:rPr>
              <w:br/>
            </w:r>
            <w:r w:rsidRPr="00D659CD">
              <w:rPr>
                <w:rFonts w:ascii="Calibri" w:eastAsia="Times New Roman" w:hAnsi="Calibri" w:cs="Times New Roman"/>
                <w:color w:val="000000"/>
                <w:sz w:val="20"/>
                <w:szCs w:val="18"/>
                <w:lang w:eastAsia="en-GB"/>
              </w:rPr>
              <w:br/>
              <w:t>Please detail the inputs required from yourselves and Satellite Applications Catapult in order to achieve the major milestones of your plan.</w:t>
            </w:r>
            <w:r w:rsidRPr="00D659CD">
              <w:rPr>
                <w:rFonts w:ascii="Calibri" w:eastAsia="Times New Roman" w:hAnsi="Calibri" w:cs="Times New Roman"/>
                <w:color w:val="000000"/>
                <w:sz w:val="20"/>
                <w:szCs w:val="18"/>
                <w:lang w:eastAsia="en-GB"/>
              </w:rPr>
              <w:br/>
            </w:r>
            <w:r w:rsidRPr="00D659CD">
              <w:rPr>
                <w:rFonts w:ascii="Calibri" w:eastAsia="Times New Roman" w:hAnsi="Calibri" w:cs="Times New Roman"/>
                <w:color w:val="000000"/>
                <w:sz w:val="20"/>
                <w:szCs w:val="18"/>
                <w:lang w:eastAsia="en-GB"/>
              </w:rPr>
              <w:br/>
              <w:t>What do you see as the main issues which may affect your timetable, and how would you overcome these challenges if they arose?</w:t>
            </w:r>
          </w:p>
        </w:tc>
      </w:tr>
      <w:tr w:rsidR="006271B8" w:rsidRPr="00D659CD" w:rsidTr="00055522">
        <w:trPr>
          <w:trHeight w:val="315"/>
        </w:trPr>
        <w:tc>
          <w:tcPr>
            <w:tcW w:w="1814"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271B8" w:rsidRPr="00D659CD" w:rsidRDefault="006271B8" w:rsidP="006271B8">
            <w:pPr>
              <w:spacing w:after="0" w:line="240" w:lineRule="auto"/>
              <w:jc w:val="center"/>
              <w:rPr>
                <w:rFonts w:ascii="Calibri" w:eastAsia="Times New Roman" w:hAnsi="Calibri" w:cs="Times New Roman"/>
                <w:b/>
                <w:bCs/>
                <w:color w:val="FFFFFF"/>
                <w:sz w:val="20"/>
                <w:lang w:eastAsia="en-GB"/>
              </w:rPr>
            </w:pPr>
            <w:r w:rsidRPr="00D659CD">
              <w:rPr>
                <w:rFonts w:ascii="Calibri" w:eastAsia="Times New Roman" w:hAnsi="Calibri" w:cs="Times New Roman"/>
                <w:b/>
                <w:bCs/>
                <w:color w:val="FFFFFF"/>
                <w:sz w:val="20"/>
                <w:lang w:eastAsia="en-GB"/>
              </w:rPr>
              <w:t>Total</w:t>
            </w:r>
          </w:p>
        </w:tc>
        <w:tc>
          <w:tcPr>
            <w:tcW w:w="1360" w:type="dxa"/>
            <w:tcBorders>
              <w:top w:val="single" w:sz="4" w:space="0" w:color="auto"/>
              <w:left w:val="single" w:sz="4" w:space="0" w:color="auto"/>
              <w:bottom w:val="single" w:sz="8" w:space="0" w:color="auto"/>
              <w:right w:val="single" w:sz="8" w:space="0" w:color="auto"/>
            </w:tcBorders>
            <w:shd w:val="clear" w:color="auto" w:fill="auto"/>
            <w:vAlign w:val="bottom"/>
            <w:hideMark/>
          </w:tcPr>
          <w:p w:rsidR="006271B8" w:rsidRPr="00D659CD" w:rsidRDefault="006271B8" w:rsidP="006271B8">
            <w:pPr>
              <w:spacing w:after="0" w:line="240" w:lineRule="auto"/>
              <w:jc w:val="center"/>
              <w:rPr>
                <w:rFonts w:ascii="Calibri" w:eastAsia="Times New Roman" w:hAnsi="Calibri" w:cs="Times New Roman"/>
                <w:b/>
                <w:bCs/>
                <w:color w:val="000000"/>
                <w:sz w:val="20"/>
                <w:lang w:eastAsia="en-GB"/>
              </w:rPr>
            </w:pPr>
            <w:r w:rsidRPr="00D659CD">
              <w:rPr>
                <w:rFonts w:ascii="Calibri" w:eastAsia="Times New Roman" w:hAnsi="Calibri" w:cs="Times New Roman"/>
                <w:b/>
                <w:bCs/>
                <w:color w:val="000000"/>
                <w:sz w:val="20"/>
                <w:lang w:eastAsia="en-GB"/>
              </w:rPr>
              <w:t>100</w:t>
            </w:r>
          </w:p>
        </w:tc>
        <w:tc>
          <w:tcPr>
            <w:tcW w:w="5893" w:type="dxa"/>
            <w:tcBorders>
              <w:top w:val="single" w:sz="4" w:space="0" w:color="auto"/>
              <w:left w:val="nil"/>
              <w:bottom w:val="nil"/>
              <w:right w:val="nil"/>
            </w:tcBorders>
            <w:shd w:val="clear" w:color="auto" w:fill="auto"/>
            <w:vAlign w:val="bottom"/>
            <w:hideMark/>
          </w:tcPr>
          <w:p w:rsidR="006271B8" w:rsidRPr="00D659CD" w:rsidRDefault="006271B8" w:rsidP="006271B8">
            <w:pPr>
              <w:spacing w:after="0" w:line="240" w:lineRule="auto"/>
              <w:jc w:val="center"/>
              <w:rPr>
                <w:rFonts w:ascii="Calibri" w:eastAsia="Times New Roman" w:hAnsi="Calibri" w:cs="Times New Roman"/>
                <w:b/>
                <w:bCs/>
                <w:color w:val="000000"/>
                <w:sz w:val="20"/>
                <w:lang w:eastAsia="en-GB"/>
              </w:rPr>
            </w:pPr>
          </w:p>
        </w:tc>
      </w:tr>
    </w:tbl>
    <w:p w:rsidR="0022535F" w:rsidRDefault="0022535F" w:rsidP="0022535F">
      <w:pPr>
        <w:spacing w:after="0"/>
        <w:ind w:left="360"/>
        <w:rPr>
          <w:rFonts w:cs="Arial"/>
          <w:b/>
          <w:sz w:val="28"/>
          <w:szCs w:val="28"/>
        </w:rPr>
      </w:pPr>
    </w:p>
    <w:p w:rsidR="00F8776C" w:rsidRPr="00EB55C2"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F8776C" w:rsidRPr="00EB55C2" w:rsidRDefault="00F8776C" w:rsidP="00FE3C72">
      <w:pPr>
        <w:pStyle w:val="Default"/>
        <w:ind w:left="720"/>
        <w:jc w:val="both"/>
        <w:rPr>
          <w:rFonts w:ascii="Times New Roman" w:hAnsi="Times New Roman" w:cs="Times New Roman"/>
          <w:color w:val="auto"/>
          <w:sz w:val="20"/>
          <w:szCs w:val="20"/>
        </w:rPr>
      </w:pPr>
      <w:r w:rsidRPr="00EB55C2">
        <w:rPr>
          <w:rFonts w:ascii="Times New Roman" w:hAnsi="Times New Roman" w:cs="Times New Roman"/>
          <w:sz w:val="20"/>
          <w:szCs w:val="20"/>
        </w:rPr>
        <w:t xml:space="preserve">The team, using the evaluation criteria indicated above, will collectively determine which proposals are most likely to be most suitable to the Catapult’s requirements. </w:t>
      </w:r>
      <w:r w:rsidRPr="00EB55C2">
        <w:rPr>
          <w:rFonts w:ascii="Times New Roman" w:hAnsi="Times New Roman" w:cs="Times New Roman"/>
          <w:b/>
          <w:sz w:val="20"/>
          <w:szCs w:val="20"/>
        </w:rPr>
        <w:t>A</w:t>
      </w:r>
      <w:r w:rsidRPr="00EB55C2">
        <w:rPr>
          <w:rFonts w:ascii="Times New Roman" w:hAnsi="Times New Roman" w:cs="Times New Roman"/>
          <w:sz w:val="20"/>
          <w:szCs w:val="20"/>
        </w:rPr>
        <w:t xml:space="preserve"> </w:t>
      </w:r>
      <w:r w:rsidRPr="00EB55C2">
        <w:rPr>
          <w:rFonts w:ascii="Times New Roman" w:hAnsi="Times New Roman" w:cs="Times New Roman"/>
          <w:b/>
          <w:bCs/>
          <w:color w:val="auto"/>
          <w:sz w:val="20"/>
          <w:szCs w:val="20"/>
        </w:rPr>
        <w:t>maximum of 5 (five) Respondents will be shortlisted for the final stages of the evaluation</w:t>
      </w:r>
      <w:r w:rsidR="00312F0D">
        <w:rPr>
          <w:rFonts w:ascii="Times New Roman" w:hAnsi="Times New Roman" w:cs="Times New Roman"/>
          <w:b/>
          <w:bCs/>
          <w:color w:val="auto"/>
          <w:sz w:val="20"/>
          <w:szCs w:val="20"/>
        </w:rPr>
        <w:t>.</w:t>
      </w:r>
      <w:r w:rsidRPr="00EB55C2">
        <w:rPr>
          <w:rFonts w:ascii="Times New Roman" w:hAnsi="Times New Roman" w:cs="Times New Roman"/>
          <w:b/>
          <w:bCs/>
          <w:color w:val="auto"/>
          <w:sz w:val="20"/>
          <w:szCs w:val="20"/>
        </w:rPr>
        <w:t xml:space="preserve">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F8776C" w:rsidRPr="00EB55C2" w:rsidRDefault="00F8776C" w:rsidP="00FE3C72">
      <w:pPr>
        <w:pStyle w:val="Default"/>
        <w:ind w:left="720"/>
        <w:jc w:val="both"/>
        <w:rPr>
          <w:rFonts w:ascii="Times New Roman" w:hAnsi="Times New Roman" w:cs="Times New Roman"/>
          <w:color w:val="auto"/>
          <w:sz w:val="20"/>
          <w:szCs w:val="20"/>
        </w:rPr>
      </w:pPr>
      <w:r w:rsidRPr="00EB55C2">
        <w:rPr>
          <w:rFonts w:ascii="Times New Roman" w:hAnsi="Times New Roman" w:cs="Times New Roman"/>
          <w:b/>
          <w:bCs/>
          <w:color w:val="auto"/>
          <w:sz w:val="20"/>
          <w:szCs w:val="20"/>
        </w:rPr>
        <w:t xml:space="preserve">All Tenderers will be advised whether they have been shortlisted or not on </w:t>
      </w:r>
      <w:r w:rsidR="00DD456D" w:rsidRPr="00DD456D">
        <w:rPr>
          <w:rFonts w:ascii="Times New Roman" w:hAnsi="Times New Roman" w:cs="Times New Roman"/>
          <w:b/>
          <w:bCs/>
          <w:color w:val="FF0000"/>
          <w:sz w:val="20"/>
          <w:szCs w:val="20"/>
        </w:rPr>
        <w:t>06 March 2017</w:t>
      </w:r>
      <w:r w:rsidR="00DD456D">
        <w:rPr>
          <w:rFonts w:ascii="Times New Roman" w:hAnsi="Times New Roman" w:cs="Times New Roman"/>
          <w:b/>
          <w:bCs/>
          <w:color w:val="FF0000"/>
          <w:sz w:val="20"/>
          <w:szCs w:val="20"/>
        </w:rPr>
        <w:t>.</w:t>
      </w:r>
    </w:p>
    <w:p w:rsidR="00F8776C" w:rsidRPr="00EB55C2" w:rsidRDefault="00F8776C" w:rsidP="00FE3C72">
      <w:pPr>
        <w:spacing w:after="0"/>
        <w:ind w:left="360"/>
        <w:jc w:val="both"/>
        <w:rPr>
          <w:rFonts w:ascii="Times New Roman" w:hAnsi="Times New Roman" w:cs="Times New Roman"/>
          <w:sz w:val="20"/>
          <w:szCs w:val="20"/>
        </w:rPr>
      </w:pPr>
    </w:p>
    <w:p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Shortlisted Respondents. Exact dates will be agreed as the ITT process progresses</w:t>
      </w:r>
    </w:p>
    <w:p w:rsidR="002C1209" w:rsidRDefault="002C1209" w:rsidP="00FE3C72">
      <w:pPr>
        <w:pStyle w:val="Default"/>
        <w:ind w:left="720"/>
        <w:jc w:val="both"/>
        <w:rPr>
          <w:rFonts w:ascii="Times New Roman" w:hAnsi="Times New Roman" w:cs="Times New Roman"/>
          <w:sz w:val="20"/>
          <w:szCs w:val="20"/>
        </w:rPr>
      </w:pPr>
    </w:p>
    <w:p w:rsidR="002C1209" w:rsidRPr="002C1209" w:rsidRDefault="002C1209" w:rsidP="00FE3C72">
      <w:pPr>
        <w:pStyle w:val="Default"/>
        <w:ind w:left="720"/>
        <w:jc w:val="both"/>
        <w:rPr>
          <w:rFonts w:ascii="Times New Roman" w:hAnsi="Times New Roman" w:cs="Times New Roman"/>
          <w:color w:val="FF0000"/>
          <w:sz w:val="20"/>
          <w:szCs w:val="20"/>
        </w:rPr>
      </w:pPr>
      <w:r w:rsidRPr="002C1209">
        <w:rPr>
          <w:rFonts w:ascii="Times New Roman" w:hAnsi="Times New Roman" w:cs="Times New Roman"/>
          <w:sz w:val="20"/>
          <w:szCs w:val="20"/>
        </w:rPr>
        <w:t xml:space="preserve">It is intended that these presentations will take place on </w:t>
      </w:r>
      <w:r w:rsidR="00DD456D" w:rsidRPr="00DD456D">
        <w:rPr>
          <w:rFonts w:ascii="Times New Roman" w:hAnsi="Times New Roman" w:cs="Times New Roman"/>
          <w:b/>
          <w:bCs/>
          <w:color w:val="FF0000"/>
          <w:sz w:val="20"/>
          <w:szCs w:val="20"/>
        </w:rPr>
        <w:t>09 &amp; 10 March 2017</w:t>
      </w:r>
      <w:r w:rsidR="00DD456D">
        <w:rPr>
          <w:rFonts w:ascii="Times New Roman" w:hAnsi="Times New Roman" w:cs="Times New Roman"/>
          <w:b/>
          <w:bCs/>
          <w:color w:val="FF0000"/>
          <w:sz w:val="20"/>
          <w:szCs w:val="20"/>
        </w:rPr>
        <w:t>.</w:t>
      </w:r>
    </w:p>
    <w:p w:rsidR="002C1209" w:rsidRDefault="002C1209" w:rsidP="00FE3C72">
      <w:pPr>
        <w:pStyle w:val="Default"/>
        <w:ind w:left="720"/>
        <w:jc w:val="both"/>
        <w:rPr>
          <w:rFonts w:ascii="Times New Roman" w:hAnsi="Times New Roman" w:cs="Times New Roman"/>
          <w:sz w:val="20"/>
          <w:szCs w:val="20"/>
        </w:rPr>
      </w:pPr>
    </w:p>
    <w:p w:rsidR="002C1209" w:rsidRPr="002C1209" w:rsidRDefault="002C1209" w:rsidP="00FE3C72">
      <w:pPr>
        <w:pStyle w:val="Default"/>
        <w:ind w:left="720"/>
        <w:jc w:val="both"/>
        <w:rPr>
          <w:rFonts w:ascii="Times New Roman" w:hAnsi="Times New Roman" w:cs="Times New Roman"/>
          <w:sz w:val="20"/>
          <w:szCs w:val="20"/>
        </w:rPr>
      </w:pPr>
      <w:r>
        <w:rPr>
          <w:rFonts w:ascii="Times New Roman" w:hAnsi="Times New Roman" w:cs="Times New Roman"/>
          <w:sz w:val="20"/>
          <w:szCs w:val="20"/>
        </w:rPr>
        <w:t xml:space="preserve">The Catapult </w:t>
      </w:r>
      <w:r w:rsidRPr="002C1209">
        <w:rPr>
          <w:rFonts w:ascii="Times New Roman" w:hAnsi="Times New Roman" w:cs="Times New Roman"/>
          <w:sz w:val="20"/>
          <w:szCs w:val="20"/>
        </w:rPr>
        <w:t xml:space="preserve"> </w:t>
      </w:r>
      <w:r>
        <w:rPr>
          <w:rFonts w:ascii="Times New Roman" w:hAnsi="Times New Roman" w:cs="Times New Roman"/>
          <w:sz w:val="20"/>
          <w:szCs w:val="20"/>
        </w:rPr>
        <w:t>may</w:t>
      </w:r>
      <w:r w:rsidRPr="002C1209">
        <w:rPr>
          <w:rFonts w:ascii="Times New Roman" w:hAnsi="Times New Roman" w:cs="Times New Roman"/>
          <w:sz w:val="20"/>
          <w:szCs w:val="20"/>
        </w:rPr>
        <w:t xml:space="preserve"> provide guidance where it considers it appropriate to do so to each Respondent ahead of this presentation as to any specific queries or issues to be covered in respect of that specific Respondents proposal. </w:t>
      </w:r>
    </w:p>
    <w:p w:rsidR="002C1209" w:rsidRDefault="002C1209" w:rsidP="00FE3C72">
      <w:pPr>
        <w:pStyle w:val="Default"/>
        <w:ind w:left="720"/>
        <w:jc w:val="both"/>
        <w:rPr>
          <w:rFonts w:ascii="Times New Roman" w:hAnsi="Times New Roman" w:cs="Times New Roman"/>
          <w:sz w:val="20"/>
          <w:szCs w:val="20"/>
        </w:rPr>
      </w:pPr>
    </w:p>
    <w:p w:rsidR="002C1209" w:rsidRPr="002C1209" w:rsidRDefault="002C1209" w:rsidP="00FE3C72">
      <w:pPr>
        <w:pStyle w:val="Default"/>
        <w:ind w:left="720"/>
        <w:jc w:val="both"/>
        <w:rPr>
          <w:rFonts w:ascii="Times New Roman" w:hAnsi="Times New Roman" w:cs="Times New Roman"/>
          <w:sz w:val="20"/>
          <w:szCs w:val="20"/>
        </w:rPr>
      </w:pPr>
      <w:r w:rsidRPr="002C1209">
        <w:rPr>
          <w:rFonts w:ascii="Times New Roman" w:hAnsi="Times New Roman" w:cs="Times New Roman"/>
          <w:sz w:val="20"/>
          <w:szCs w:val="20"/>
        </w:rPr>
        <w:t xml:space="preserve">Specific dates, times and locations for presentations will be advised later on in the selection process and if possible notified at least a week in advance. For now, Respondents should assume a </w:t>
      </w:r>
      <w:r w:rsidRPr="00312F0D">
        <w:rPr>
          <w:rFonts w:ascii="Times New Roman" w:hAnsi="Times New Roman" w:cs="Times New Roman"/>
          <w:b/>
          <w:sz w:val="20"/>
          <w:szCs w:val="20"/>
        </w:rPr>
        <w:t>one hour slot, with formal presentations for around thirty minutes followed by questions and answers.</w:t>
      </w:r>
      <w:r w:rsidRPr="002C1209">
        <w:rPr>
          <w:rFonts w:ascii="Times New Roman" w:hAnsi="Times New Roman" w:cs="Times New Roman"/>
          <w:sz w:val="20"/>
          <w:szCs w:val="20"/>
        </w:rPr>
        <w:t xml:space="preserve"> </w:t>
      </w:r>
    </w:p>
    <w:p w:rsidR="002C1209" w:rsidRDefault="002C1209" w:rsidP="00FE3C72">
      <w:pPr>
        <w:pStyle w:val="Default"/>
        <w:ind w:left="720"/>
        <w:jc w:val="both"/>
        <w:rPr>
          <w:rFonts w:ascii="Times New Roman" w:hAnsi="Times New Roman" w:cs="Times New Roman"/>
          <w:sz w:val="20"/>
          <w:szCs w:val="20"/>
        </w:rPr>
      </w:pPr>
    </w:p>
    <w:p w:rsidR="002C1209" w:rsidRPr="002C1209" w:rsidRDefault="002C1209" w:rsidP="00FE3C72">
      <w:pPr>
        <w:pStyle w:val="Default"/>
        <w:ind w:left="720"/>
        <w:jc w:val="both"/>
        <w:rPr>
          <w:rFonts w:ascii="Times New Roman" w:hAnsi="Times New Roman" w:cs="Times New Roman"/>
          <w:sz w:val="20"/>
          <w:szCs w:val="20"/>
        </w:rPr>
      </w:pPr>
      <w:r w:rsidRPr="002C1209">
        <w:rPr>
          <w:rFonts w:ascii="Times New Roman" w:hAnsi="Times New Roman" w:cs="Times New Roman"/>
          <w:sz w:val="20"/>
          <w:szCs w:val="20"/>
        </w:rPr>
        <w:t xml:space="preserve">The presentation must be capable of being delivered on a projector with a PC attached (both of which can be supplied if required). </w:t>
      </w:r>
    </w:p>
    <w:p w:rsidR="002C1209" w:rsidRDefault="002C1209" w:rsidP="00FE3C72">
      <w:pPr>
        <w:pStyle w:val="Default"/>
        <w:ind w:left="720"/>
        <w:jc w:val="both"/>
        <w:rPr>
          <w:rFonts w:ascii="Times New Roman" w:hAnsi="Times New Roman" w:cs="Times New Roman"/>
          <w:sz w:val="20"/>
          <w:szCs w:val="20"/>
        </w:rPr>
      </w:pPr>
    </w:p>
    <w:p w:rsidR="002C1209" w:rsidRPr="002C1209" w:rsidRDefault="002C1209" w:rsidP="00FE3C72">
      <w:pPr>
        <w:pStyle w:val="Default"/>
        <w:ind w:left="720"/>
        <w:jc w:val="both"/>
        <w:rPr>
          <w:rFonts w:ascii="Times New Roman" w:hAnsi="Times New Roman" w:cs="Times New Roman"/>
          <w:sz w:val="20"/>
          <w:szCs w:val="20"/>
        </w:rPr>
      </w:pPr>
      <w:r w:rsidRPr="002C1209">
        <w:rPr>
          <w:rFonts w:ascii="Times New Roman" w:hAnsi="Times New Roman" w:cs="Times New Roman"/>
          <w:sz w:val="20"/>
          <w:szCs w:val="20"/>
        </w:rPr>
        <w:t xml:space="preserve">For each Respondent the senior manager that would be responsible for the contract is required to attend the presentation. Respondents may also be required to make themselves available to attend additional meetings if required. </w:t>
      </w:r>
    </w:p>
    <w:p w:rsidR="002C1209" w:rsidRDefault="002C1209" w:rsidP="00FE3C72">
      <w:pPr>
        <w:spacing w:after="0"/>
        <w:ind w:left="1440"/>
        <w:jc w:val="both"/>
        <w:rPr>
          <w:rFonts w:ascii="Times New Roman" w:hAnsi="Times New Roman" w:cs="Times New Roman"/>
          <w:b/>
          <w:bCs/>
          <w:sz w:val="20"/>
          <w:szCs w:val="20"/>
        </w:rPr>
      </w:pPr>
    </w:p>
    <w:p w:rsidR="008E328A" w:rsidRDefault="002C1209" w:rsidP="00FE3C72">
      <w:pPr>
        <w:spacing w:after="0" w:line="240" w:lineRule="auto"/>
        <w:ind w:left="720"/>
        <w:jc w:val="both"/>
        <w:rPr>
          <w:rFonts w:ascii="Times New Roman" w:hAnsi="Times New Roman" w:cs="Times New Roman"/>
          <w:b/>
          <w:bCs/>
          <w:sz w:val="20"/>
          <w:szCs w:val="20"/>
        </w:rPr>
      </w:pPr>
      <w:r w:rsidRPr="002C1209">
        <w:rPr>
          <w:rFonts w:ascii="Times New Roman" w:hAnsi="Times New Roman" w:cs="Times New Roman"/>
          <w:b/>
          <w:bCs/>
          <w:sz w:val="20"/>
          <w:szCs w:val="20"/>
        </w:rPr>
        <w:t>Following the completion of the Presentation, the Tender Evaluation Panel will review its initial scoring to confirm any areas of information /clarification which come to light in the Presentation stage. These scores will then be submitted to determine the final scores for each shortlisted Respondent.</w:t>
      </w:r>
    </w:p>
    <w:p w:rsidR="002C1209" w:rsidRPr="002C1209" w:rsidRDefault="002C1209" w:rsidP="002C1209">
      <w:pPr>
        <w:spacing w:after="0"/>
        <w:ind w:left="720"/>
        <w:rPr>
          <w:rFonts w:ascii="Times New Roman" w:hAnsi="Times New Roman" w:cs="Times New Roman"/>
          <w:b/>
          <w:sz w:val="28"/>
          <w:szCs w:val="28"/>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12:00hrs 27 Feb</w:t>
      </w:r>
      <w:r w:rsidR="00DD456D">
        <w:rPr>
          <w:rFonts w:ascii="Times New Roman" w:hAnsi="Times New Roman" w:cs="Times New Roman"/>
          <w:b/>
          <w:bCs/>
          <w:color w:val="FF0000"/>
          <w:sz w:val="20"/>
          <w:szCs w:val="20"/>
        </w:rPr>
        <w:t>ruary</w:t>
      </w:r>
      <w:r w:rsidR="00DD456D" w:rsidRPr="00BB34F0">
        <w:rPr>
          <w:rFonts w:ascii="Times New Roman" w:hAnsi="Times New Roman" w:cs="Times New Roman"/>
          <w:b/>
          <w:bCs/>
          <w:color w:val="FF0000"/>
          <w:sz w:val="20"/>
          <w:szCs w:val="20"/>
        </w:rPr>
        <w:t xml:space="preserve"> 2017</w:t>
      </w:r>
      <w:r w:rsidR="008E328A">
        <w:rPr>
          <w:rFonts w:ascii="Times New Roman" w:hAnsi="Times New Roman" w:cs="Times New Roman"/>
          <w:b/>
          <w:sz w:val="20"/>
          <w:szCs w:val="20"/>
        </w:rPr>
        <w:t xml:space="preserve"> 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F65C5C" w:rsidP="000A64AC">
      <w:pPr>
        <w:pStyle w:val="Default"/>
        <w:ind w:left="360"/>
        <w:rPr>
          <w:rFonts w:ascii="Times New Roman" w:hAnsi="Times New Roman" w:cs="Times New Roman"/>
          <w:b/>
          <w:sz w:val="20"/>
          <w:szCs w:val="20"/>
        </w:rPr>
      </w:pPr>
      <w:hyperlink r:id="rId11"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lastRenderedPageBreak/>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Please note, this twenty page limit does not include the requested project plan or pricing schedule.</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2"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12:00hrs 27 Feb</w:t>
      </w:r>
      <w:r w:rsidR="00610638">
        <w:rPr>
          <w:rFonts w:ascii="Times New Roman" w:hAnsi="Times New Roman" w:cs="Times New Roman"/>
          <w:b/>
          <w:bCs/>
          <w:color w:val="FF0000"/>
          <w:sz w:val="20"/>
          <w:szCs w:val="20"/>
        </w:rPr>
        <w:t>ruary</w:t>
      </w:r>
      <w:r w:rsidR="00610638" w:rsidRPr="00BB34F0">
        <w:rPr>
          <w:rFonts w:ascii="Times New Roman" w:hAnsi="Times New Roman" w:cs="Times New Roman"/>
          <w:b/>
          <w:bCs/>
          <w:color w:val="FF0000"/>
          <w:sz w:val="20"/>
          <w:szCs w:val="20"/>
        </w:rPr>
        <w:t xml:space="preserve"> 2017</w:t>
      </w:r>
      <w:r w:rsidR="002A0DA5" w:rsidRPr="00EB1771">
        <w:rPr>
          <w:rFonts w:ascii="Times New Roman" w:hAnsi="Times New Roman" w:cs="Times New Roman"/>
          <w:b/>
          <w:sz w:val="20"/>
          <w:szCs w:val="20"/>
        </w:rPr>
        <w:t xml:space="preserve">. </w:t>
      </w:r>
    </w:p>
    <w:p w:rsidR="0057460C" w:rsidRDefault="0057460C" w:rsidP="00BF6902">
      <w:pPr>
        <w:pStyle w:val="Default"/>
        <w:spacing w:line="276" w:lineRule="auto"/>
        <w:ind w:left="360"/>
        <w:jc w:val="both"/>
        <w:rPr>
          <w:rFonts w:ascii="Times New Roman" w:hAnsi="Times New Roman" w:cs="Times New Roman"/>
          <w:b/>
          <w:sz w:val="20"/>
          <w:szCs w:val="20"/>
        </w:rPr>
      </w:pP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color w:val="FF0000"/>
                <w:sz w:val="20"/>
                <w:szCs w:val="20"/>
              </w:rPr>
            </w:pPr>
            <w:r w:rsidRPr="0022535F">
              <w:rPr>
                <w:rFonts w:ascii="Times New Roman" w:hAnsi="Times New Roman"/>
                <w:color w:val="000000" w:themeColor="text1"/>
                <w:sz w:val="20"/>
                <w:szCs w:val="20"/>
              </w:rPr>
              <w:t>Antonia Jenkinson – CFO/COO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7"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65C5C">
              <w:rPr>
                <w:rFonts w:ascii="Times New Roman" w:eastAsiaTheme="minorEastAsia" w:hAnsi="Times New Roman" w:cs="Times New Roman"/>
                <w:color w:val="000000" w:themeColor="text1"/>
                <w:sz w:val="20"/>
                <w:szCs w:val="20"/>
                <w:lang w:eastAsia="en-GB"/>
              </w:rPr>
            </w:r>
            <w:r w:rsidR="00F65C5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7"/>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65C5C">
              <w:rPr>
                <w:rFonts w:ascii="Times New Roman" w:eastAsiaTheme="minorEastAsia" w:hAnsi="Times New Roman" w:cs="Times New Roman"/>
                <w:color w:val="000000" w:themeColor="text1"/>
                <w:sz w:val="20"/>
                <w:szCs w:val="20"/>
                <w:lang w:eastAsia="en-GB"/>
              </w:rPr>
            </w:r>
            <w:r w:rsidR="00F65C5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65C5C">
              <w:rPr>
                <w:rFonts w:ascii="Times New Roman" w:eastAsiaTheme="minorEastAsia" w:hAnsi="Times New Roman" w:cs="Times New Roman"/>
                <w:color w:val="000000" w:themeColor="text1"/>
                <w:sz w:val="20"/>
                <w:szCs w:val="20"/>
                <w:lang w:eastAsia="en-GB"/>
              </w:rPr>
            </w:r>
            <w:r w:rsidR="00F65C5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lastRenderedPageBreak/>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8" w:name="Check25"/>
            <w:r w:rsidRPr="0022535F">
              <w:rPr>
                <w:rStyle w:val="JBBodyText"/>
                <w:rFonts w:ascii="Times New Roman" w:eastAsiaTheme="minorEastAsia" w:hAnsi="Times New Roman" w:cs="Times New Roman"/>
                <w:sz w:val="20"/>
                <w:szCs w:val="20"/>
                <w:lang w:eastAsia="en-GB"/>
              </w:rPr>
              <w:instrText xml:space="preserve"> FORMCHECKBOX </w:instrText>
            </w:r>
            <w:r w:rsidR="00F65C5C">
              <w:rPr>
                <w:rStyle w:val="JBBodyText"/>
                <w:rFonts w:ascii="Times New Roman" w:eastAsiaTheme="minorEastAsia" w:hAnsi="Times New Roman" w:cs="Times New Roman"/>
                <w:sz w:val="20"/>
                <w:szCs w:val="20"/>
                <w:lang w:eastAsia="en-GB"/>
              </w:rPr>
            </w:r>
            <w:r w:rsidR="00F65C5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8"/>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19" w:name="Check26"/>
            <w:r w:rsidRPr="0022535F">
              <w:rPr>
                <w:rStyle w:val="JBBodyText"/>
                <w:rFonts w:ascii="Times New Roman" w:eastAsiaTheme="minorEastAsia" w:hAnsi="Times New Roman" w:cs="Times New Roman"/>
                <w:sz w:val="20"/>
                <w:szCs w:val="20"/>
                <w:lang w:eastAsia="en-GB"/>
              </w:rPr>
              <w:instrText xml:space="preserve"> FORMCHECKBOX </w:instrText>
            </w:r>
            <w:r w:rsidR="00F65C5C">
              <w:rPr>
                <w:rStyle w:val="JBBodyText"/>
                <w:rFonts w:ascii="Times New Roman" w:eastAsiaTheme="minorEastAsia" w:hAnsi="Times New Roman" w:cs="Times New Roman"/>
                <w:sz w:val="20"/>
                <w:szCs w:val="20"/>
                <w:lang w:eastAsia="en-GB"/>
              </w:rPr>
            </w:r>
            <w:r w:rsidR="00F65C5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0" w:name="Check27"/>
            <w:r w:rsidRPr="0022535F">
              <w:rPr>
                <w:rStyle w:val="JBBodyText"/>
                <w:rFonts w:ascii="Times New Roman" w:eastAsiaTheme="minorEastAsia" w:hAnsi="Times New Roman" w:cs="Times New Roman"/>
                <w:sz w:val="20"/>
                <w:szCs w:val="20"/>
                <w:lang w:eastAsia="en-GB"/>
              </w:rPr>
              <w:instrText xml:space="preserve"> FORMCHECKBOX </w:instrText>
            </w:r>
            <w:r w:rsidR="00F65C5C">
              <w:rPr>
                <w:rStyle w:val="JBBodyText"/>
                <w:rFonts w:ascii="Times New Roman" w:eastAsiaTheme="minorEastAsia" w:hAnsi="Times New Roman" w:cs="Times New Roman"/>
                <w:sz w:val="20"/>
                <w:szCs w:val="20"/>
                <w:lang w:eastAsia="en-GB"/>
              </w:rPr>
            </w:r>
            <w:r w:rsidR="00F65C5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1" w:name="Check28"/>
            <w:r w:rsidRPr="0022535F">
              <w:rPr>
                <w:rStyle w:val="JBBodyText"/>
                <w:rFonts w:ascii="Times New Roman" w:eastAsiaTheme="minorEastAsia" w:hAnsi="Times New Roman" w:cs="Times New Roman"/>
                <w:sz w:val="20"/>
                <w:szCs w:val="20"/>
                <w:lang w:eastAsia="en-GB"/>
              </w:rPr>
              <w:instrText xml:space="preserve"> FORMCHECKBOX </w:instrText>
            </w:r>
            <w:r w:rsidR="00F65C5C">
              <w:rPr>
                <w:rStyle w:val="JBBodyText"/>
                <w:rFonts w:ascii="Times New Roman" w:eastAsiaTheme="minorEastAsia" w:hAnsi="Times New Roman" w:cs="Times New Roman"/>
                <w:sz w:val="20"/>
                <w:szCs w:val="20"/>
                <w:lang w:eastAsia="en-GB"/>
              </w:rPr>
            </w:r>
            <w:r w:rsidR="00F65C5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2" w:name="Check29"/>
            <w:r w:rsidRPr="0022535F">
              <w:rPr>
                <w:rStyle w:val="JBBodyText"/>
                <w:rFonts w:ascii="Times New Roman" w:eastAsiaTheme="minorEastAsia" w:hAnsi="Times New Roman" w:cs="Times New Roman"/>
                <w:sz w:val="20"/>
                <w:szCs w:val="20"/>
                <w:lang w:eastAsia="en-GB"/>
              </w:rPr>
              <w:instrText xml:space="preserve"> FORMCHECKBOX </w:instrText>
            </w:r>
            <w:r w:rsidR="00F65C5C">
              <w:rPr>
                <w:rStyle w:val="JBBodyText"/>
                <w:rFonts w:ascii="Times New Roman" w:eastAsiaTheme="minorEastAsia" w:hAnsi="Times New Roman" w:cs="Times New Roman"/>
                <w:sz w:val="20"/>
                <w:szCs w:val="20"/>
                <w:lang w:eastAsia="en-GB"/>
              </w:rPr>
            </w:r>
            <w:r w:rsidR="00F65C5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3" w:name="Check30"/>
            <w:r w:rsidRPr="0022535F">
              <w:rPr>
                <w:rStyle w:val="JBBodyText"/>
                <w:rFonts w:ascii="Times New Roman" w:eastAsiaTheme="minorEastAsia" w:hAnsi="Times New Roman" w:cs="Times New Roman"/>
                <w:sz w:val="20"/>
                <w:szCs w:val="20"/>
                <w:lang w:eastAsia="en-GB"/>
              </w:rPr>
              <w:instrText xml:space="preserve"> FORMCHECKBOX </w:instrText>
            </w:r>
            <w:r w:rsidR="00F65C5C">
              <w:rPr>
                <w:rStyle w:val="JBBodyText"/>
                <w:rFonts w:ascii="Times New Roman" w:eastAsiaTheme="minorEastAsia" w:hAnsi="Times New Roman" w:cs="Times New Roman"/>
                <w:sz w:val="20"/>
                <w:szCs w:val="20"/>
                <w:lang w:eastAsia="en-GB"/>
              </w:rPr>
            </w:r>
            <w:r w:rsidR="00F65C5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804"/>
        <w:gridCol w:w="1559"/>
      </w:tblGrid>
      <w:tr w:rsidR="00992F74" w:rsidRPr="00CF4CEA" w:rsidTr="0036747E">
        <w:trPr>
          <w:trHeight w:val="284"/>
        </w:trPr>
        <w:tc>
          <w:tcPr>
            <w:tcW w:w="850"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36747E">
        <w:trPr>
          <w:trHeight w:val="238"/>
        </w:trPr>
        <w:tc>
          <w:tcPr>
            <w:tcW w:w="7654"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lastRenderedPageBreak/>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22535F" w:rsidRDefault="0022535F" w:rsidP="00AB2AF5">
      <w:pPr>
        <w:jc w:val="center"/>
        <w:rPr>
          <w:b/>
          <w:sz w:val="24"/>
          <w:szCs w:val="24"/>
        </w:rPr>
      </w:pPr>
      <w:bookmarkStart w:id="24" w:name="_Toc238467464"/>
      <w:bookmarkStart w:id="25" w:name="_Toc238017682"/>
      <w:bookmarkStart w:id="26" w:name="_Toc238017953"/>
      <w:bookmarkEnd w:id="24"/>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F65C5C">
              <w:rPr>
                <w:rFonts w:ascii="Times New Roman" w:hAnsi="Times New Roman" w:cs="Times New Roman"/>
                <w:b/>
                <w:sz w:val="20"/>
                <w:szCs w:val="20"/>
              </w:rPr>
            </w:r>
            <w:r w:rsidR="00F65C5C">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65C5C">
              <w:rPr>
                <w:rFonts w:ascii="Times New Roman" w:hAnsi="Times New Roman" w:cs="Times New Roman"/>
                <w:sz w:val="20"/>
                <w:szCs w:val="20"/>
              </w:rPr>
            </w:r>
            <w:r w:rsidR="00F65C5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5"/>
      <w:bookmarkEnd w:id="26"/>
    </w:tbl>
    <w:p w:rsidR="0057460C" w:rsidRDefault="0057460C" w:rsidP="00A553C5">
      <w:pPr>
        <w:jc w:val="center"/>
        <w:rPr>
          <w:b/>
        </w:rPr>
      </w:pPr>
    </w:p>
    <w:p w:rsidR="00915BE9" w:rsidRDefault="008E7EFC" w:rsidP="00A553C5">
      <w:pPr>
        <w:jc w:val="center"/>
        <w:rPr>
          <w:b/>
        </w:rPr>
      </w:pPr>
      <w:r>
        <w:rPr>
          <w:b/>
        </w:rPr>
        <w:t xml:space="preserve">SECTION </w:t>
      </w:r>
      <w:r w:rsidR="002B5785">
        <w:rPr>
          <w:b/>
        </w:rPr>
        <w:t>D</w:t>
      </w:r>
      <w:r w:rsidR="009D513D" w:rsidRPr="009D513D">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865" w:type="dxa"/>
        <w:tblLook w:val="04A0" w:firstRow="1" w:lastRow="0" w:firstColumn="1" w:lastColumn="0" w:noHBand="0" w:noVBand="1"/>
      </w:tblPr>
      <w:tblGrid>
        <w:gridCol w:w="710"/>
        <w:gridCol w:w="6608"/>
        <w:gridCol w:w="2311"/>
        <w:gridCol w:w="236"/>
      </w:tblGrid>
      <w:tr w:rsidR="007A5081" w:rsidRPr="007A5081" w:rsidTr="00991CA3">
        <w:trPr>
          <w:gridAfter w:val="1"/>
          <w:wAfter w:w="236" w:type="dxa"/>
          <w:trHeight w:val="645"/>
        </w:trPr>
        <w:tc>
          <w:tcPr>
            <w:tcW w:w="710" w:type="dxa"/>
            <w:tcBorders>
              <w:top w:val="single" w:sz="8" w:space="0" w:color="auto"/>
              <w:left w:val="single" w:sz="8" w:space="0" w:color="auto"/>
              <w:bottom w:val="single" w:sz="8" w:space="0" w:color="auto"/>
              <w:right w:val="single" w:sz="4" w:space="0" w:color="auto"/>
            </w:tcBorders>
            <w:shd w:val="clear" w:color="000000" w:fill="FF0000"/>
            <w:noWrap/>
            <w:vAlign w:val="center"/>
            <w:hideMark/>
          </w:tcPr>
          <w:p w:rsidR="007A5081" w:rsidRPr="007A5081" w:rsidRDefault="007A5081" w:rsidP="007A5081">
            <w:pPr>
              <w:spacing w:after="0" w:line="240" w:lineRule="auto"/>
              <w:rPr>
                <w:rFonts w:ascii="Arial" w:eastAsia="Times New Roman" w:hAnsi="Arial" w:cs="Arial"/>
                <w:b/>
                <w:bCs/>
                <w:color w:val="FFFFFF"/>
                <w:sz w:val="24"/>
                <w:szCs w:val="24"/>
                <w:lang w:eastAsia="en-GB"/>
              </w:rPr>
            </w:pPr>
            <w:r w:rsidRPr="007A5081">
              <w:rPr>
                <w:rFonts w:ascii="Arial" w:eastAsia="Times New Roman" w:hAnsi="Arial" w:cs="Arial"/>
                <w:b/>
                <w:bCs/>
                <w:color w:val="FFFFFF"/>
                <w:sz w:val="24"/>
                <w:szCs w:val="24"/>
                <w:lang w:eastAsia="en-GB"/>
              </w:rPr>
              <w:t xml:space="preserve">Item </w:t>
            </w:r>
          </w:p>
        </w:tc>
        <w:tc>
          <w:tcPr>
            <w:tcW w:w="6608" w:type="dxa"/>
            <w:tcBorders>
              <w:top w:val="single" w:sz="8" w:space="0" w:color="auto"/>
              <w:left w:val="single" w:sz="4" w:space="0" w:color="auto"/>
              <w:bottom w:val="single" w:sz="4" w:space="0" w:color="auto"/>
              <w:right w:val="nil"/>
            </w:tcBorders>
            <w:shd w:val="clear" w:color="000000" w:fill="FF0000"/>
            <w:noWrap/>
            <w:vAlign w:val="center"/>
            <w:hideMark/>
          </w:tcPr>
          <w:p w:rsidR="007A5081" w:rsidRPr="007A5081" w:rsidRDefault="007A5081" w:rsidP="007A5081">
            <w:pPr>
              <w:spacing w:after="0" w:line="240" w:lineRule="auto"/>
              <w:rPr>
                <w:rFonts w:ascii="Arial" w:eastAsia="Times New Roman" w:hAnsi="Arial" w:cs="Arial"/>
                <w:b/>
                <w:bCs/>
                <w:color w:val="FFFFFF"/>
                <w:sz w:val="24"/>
                <w:szCs w:val="24"/>
                <w:lang w:eastAsia="en-GB"/>
              </w:rPr>
            </w:pPr>
            <w:r w:rsidRPr="007A5081">
              <w:rPr>
                <w:rFonts w:ascii="Arial" w:eastAsia="Times New Roman" w:hAnsi="Arial" w:cs="Arial"/>
                <w:b/>
                <w:bCs/>
                <w:color w:val="FFFFFF"/>
                <w:sz w:val="24"/>
                <w:szCs w:val="24"/>
                <w:lang w:eastAsia="en-GB"/>
              </w:rPr>
              <w:t xml:space="preserve">Description </w:t>
            </w:r>
          </w:p>
        </w:tc>
        <w:tc>
          <w:tcPr>
            <w:tcW w:w="2311" w:type="dxa"/>
            <w:tcBorders>
              <w:top w:val="single" w:sz="8" w:space="0" w:color="auto"/>
              <w:left w:val="nil"/>
              <w:bottom w:val="single" w:sz="4" w:space="0" w:color="auto"/>
              <w:right w:val="single" w:sz="8" w:space="0" w:color="auto"/>
            </w:tcBorders>
            <w:shd w:val="clear" w:color="000000" w:fill="FF0000"/>
            <w:vAlign w:val="center"/>
            <w:hideMark/>
          </w:tcPr>
          <w:p w:rsidR="007A5081" w:rsidRPr="007A5081" w:rsidRDefault="007A5081" w:rsidP="007A5081">
            <w:pPr>
              <w:spacing w:after="0" w:line="240" w:lineRule="auto"/>
              <w:jc w:val="center"/>
              <w:rPr>
                <w:rFonts w:ascii="Arial" w:eastAsia="Times New Roman" w:hAnsi="Arial" w:cs="Arial"/>
                <w:b/>
                <w:bCs/>
                <w:color w:val="FFFFFF"/>
                <w:sz w:val="24"/>
                <w:szCs w:val="24"/>
                <w:lang w:eastAsia="en-GB"/>
              </w:rPr>
            </w:pPr>
            <w:r w:rsidRPr="007A5081">
              <w:rPr>
                <w:rFonts w:ascii="Arial" w:eastAsia="Times New Roman" w:hAnsi="Arial" w:cs="Arial"/>
                <w:b/>
                <w:bCs/>
                <w:color w:val="FFFFFF"/>
                <w:sz w:val="24"/>
                <w:szCs w:val="24"/>
                <w:lang w:eastAsia="en-GB"/>
              </w:rPr>
              <w:t xml:space="preserve">Deliverable Total </w:t>
            </w:r>
          </w:p>
        </w:tc>
      </w:tr>
      <w:tr w:rsidR="007A5081" w:rsidRPr="007A5081" w:rsidTr="00991CA3">
        <w:trPr>
          <w:gridAfter w:val="1"/>
          <w:wAfter w:w="236" w:type="dxa"/>
          <w:trHeight w:val="3225"/>
        </w:trPr>
        <w:tc>
          <w:tcPr>
            <w:tcW w:w="71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1</w:t>
            </w:r>
          </w:p>
        </w:tc>
        <w:tc>
          <w:tcPr>
            <w:tcW w:w="6608" w:type="dxa"/>
            <w:tcBorders>
              <w:top w:val="single" w:sz="4" w:space="0" w:color="auto"/>
              <w:left w:val="single" w:sz="4" w:space="0" w:color="auto"/>
              <w:bottom w:val="single" w:sz="4" w:space="0" w:color="auto"/>
              <w:right w:val="nil"/>
            </w:tcBorders>
            <w:shd w:val="clear" w:color="000000" w:fill="F2F2F2"/>
            <w:vAlign w:val="center"/>
            <w:hideMark/>
          </w:tcPr>
          <w:p w:rsidR="007A5081" w:rsidRPr="00EB1771" w:rsidRDefault="007A5081" w:rsidP="00EB1771">
            <w:pPr>
              <w:pStyle w:val="ListParagraph"/>
              <w:numPr>
                <w:ilvl w:val="0"/>
                <w:numId w:val="21"/>
              </w:numPr>
              <w:spacing w:after="0" w:line="240" w:lineRule="auto"/>
              <w:rPr>
                <w:rFonts w:ascii="Times New Roman" w:eastAsia="Times New Roman" w:hAnsi="Times New Roman" w:cs="Times New Roman"/>
                <w:color w:val="000000"/>
                <w:sz w:val="20"/>
                <w:szCs w:val="20"/>
                <w:lang w:eastAsia="en-GB"/>
              </w:rPr>
            </w:pPr>
            <w:r w:rsidRPr="00EB1771">
              <w:rPr>
                <w:rFonts w:ascii="Times New Roman" w:eastAsia="Times New Roman" w:hAnsi="Times New Roman" w:cs="Times New Roman"/>
                <w:color w:val="000000"/>
                <w:sz w:val="20"/>
                <w:szCs w:val="20"/>
                <w:lang w:eastAsia="en-GB"/>
              </w:rPr>
              <w:t>Monitoring &amp; Evaluation Plan which will include:</w:t>
            </w:r>
            <w:r w:rsidRPr="00EB1771">
              <w:rPr>
                <w:rFonts w:ascii="Times New Roman" w:eastAsia="Times New Roman" w:hAnsi="Times New Roman" w:cs="Times New Roman"/>
                <w:color w:val="000000"/>
                <w:sz w:val="20"/>
                <w:szCs w:val="20"/>
                <w:lang w:eastAsia="en-GB"/>
              </w:rPr>
              <w:br/>
            </w:r>
            <w:r w:rsidRPr="00EB1771">
              <w:rPr>
                <w:rFonts w:ascii="Times New Roman" w:eastAsia="Times New Roman" w:hAnsi="Times New Roman" w:cs="Times New Roman"/>
                <w:color w:val="000000"/>
                <w:sz w:val="20"/>
                <w:szCs w:val="20"/>
                <w:lang w:eastAsia="en-GB"/>
              </w:rPr>
              <w:br/>
              <w:t xml:space="preserve">a. A review of, and potential updates to, the Theory of Change and Logframe, </w:t>
            </w:r>
            <w:r w:rsidRPr="00EB1771">
              <w:rPr>
                <w:rFonts w:ascii="Times New Roman" w:eastAsia="Times New Roman" w:hAnsi="Times New Roman" w:cs="Times New Roman"/>
                <w:color w:val="000000"/>
                <w:sz w:val="20"/>
                <w:szCs w:val="20"/>
                <w:lang w:eastAsia="en-GB"/>
              </w:rPr>
              <w:br/>
              <w:t>b. Data collection plan for LogFrame indicators</w:t>
            </w:r>
            <w:r w:rsidRPr="00EB1771">
              <w:rPr>
                <w:rFonts w:ascii="Times New Roman" w:eastAsia="Times New Roman" w:hAnsi="Times New Roman" w:cs="Times New Roman"/>
                <w:color w:val="000000"/>
                <w:sz w:val="20"/>
                <w:szCs w:val="20"/>
                <w:lang w:eastAsia="en-GB"/>
              </w:rPr>
              <w:br/>
              <w:t>c.</w:t>
            </w:r>
            <w:r w:rsidR="00235EAB">
              <w:rPr>
                <w:rFonts w:ascii="Times New Roman" w:eastAsia="Times New Roman" w:hAnsi="Times New Roman" w:cs="Times New Roman"/>
                <w:color w:val="000000"/>
                <w:sz w:val="20"/>
                <w:szCs w:val="20"/>
                <w:lang w:eastAsia="en-GB"/>
              </w:rPr>
              <w:t xml:space="preserve"> </w:t>
            </w:r>
            <w:r w:rsidRPr="00EB1771">
              <w:rPr>
                <w:rFonts w:ascii="Times New Roman" w:eastAsia="Times New Roman" w:hAnsi="Times New Roman" w:cs="Times New Roman"/>
                <w:color w:val="000000"/>
                <w:sz w:val="20"/>
                <w:szCs w:val="20"/>
                <w:lang w:eastAsia="en-GB"/>
              </w:rPr>
              <w:t>Identification of the audiences, and their uses for the M&amp;E outputs</w:t>
            </w:r>
            <w:r w:rsidRPr="00EB1771">
              <w:rPr>
                <w:rFonts w:ascii="Times New Roman" w:eastAsia="Times New Roman" w:hAnsi="Times New Roman" w:cs="Times New Roman"/>
                <w:color w:val="000000"/>
                <w:sz w:val="20"/>
                <w:szCs w:val="20"/>
                <w:lang w:eastAsia="en-GB"/>
              </w:rPr>
              <w:br/>
              <w:t>d. Evaluation questions that the midline and endline evaluations will answer</w:t>
            </w:r>
            <w:r w:rsidRPr="00EB1771">
              <w:rPr>
                <w:rFonts w:ascii="Times New Roman" w:eastAsia="Times New Roman" w:hAnsi="Times New Roman" w:cs="Times New Roman"/>
                <w:color w:val="000000"/>
                <w:sz w:val="20"/>
                <w:szCs w:val="20"/>
                <w:lang w:eastAsia="en-GB"/>
              </w:rPr>
              <w:br/>
              <w:t>e. Evaluation framework including discussion of different evaluation methods, with reasoning, including process, impact and economic evaluation</w:t>
            </w:r>
            <w:r w:rsidRPr="00EB1771">
              <w:rPr>
                <w:rFonts w:ascii="Times New Roman" w:eastAsia="Times New Roman" w:hAnsi="Times New Roman" w:cs="Times New Roman"/>
                <w:color w:val="000000"/>
                <w:sz w:val="20"/>
                <w:szCs w:val="20"/>
                <w:lang w:eastAsia="en-GB"/>
              </w:rPr>
              <w:br/>
              <w:t>f. Identification of potential counterfactuals that could be used as part of the evaluation</w:t>
            </w:r>
            <w:r w:rsidRPr="00EB1771">
              <w:rPr>
                <w:rFonts w:ascii="Times New Roman" w:eastAsia="Times New Roman" w:hAnsi="Times New Roman" w:cs="Times New Roman"/>
                <w:color w:val="000000"/>
                <w:sz w:val="20"/>
                <w:szCs w:val="20"/>
                <w:lang w:eastAsia="en-GB"/>
              </w:rPr>
              <w:br/>
              <w:t>g. Plan to conduct a cost effectiveness analysis</w:t>
            </w:r>
            <w:r w:rsidRPr="00EB1771">
              <w:rPr>
                <w:rFonts w:ascii="Times New Roman" w:eastAsia="Times New Roman" w:hAnsi="Times New Roman" w:cs="Times New Roman"/>
                <w:color w:val="000000"/>
                <w:sz w:val="20"/>
                <w:szCs w:val="20"/>
                <w:lang w:eastAsia="en-GB"/>
              </w:rPr>
              <w:br/>
              <w:t>h. Demonstration of OECD-DAC compliance.</w:t>
            </w:r>
          </w:p>
          <w:p w:rsidR="00EB1771" w:rsidRDefault="00EB1771" w:rsidP="00EB1771">
            <w:pPr>
              <w:spacing w:after="0" w:line="240" w:lineRule="auto"/>
              <w:rPr>
                <w:rFonts w:ascii="Times New Roman" w:eastAsia="Times New Roman" w:hAnsi="Times New Roman" w:cs="Times New Roman"/>
                <w:color w:val="000000"/>
                <w:sz w:val="20"/>
                <w:szCs w:val="20"/>
                <w:lang w:eastAsia="en-GB"/>
              </w:rPr>
            </w:pPr>
          </w:p>
          <w:p w:rsidR="00EB1771" w:rsidRPr="00EB1771" w:rsidRDefault="00EB1771" w:rsidP="00EB1771">
            <w:pPr>
              <w:spacing w:after="0" w:line="240" w:lineRule="auto"/>
              <w:rPr>
                <w:rFonts w:ascii="Times New Roman" w:eastAsia="Times New Roman" w:hAnsi="Times New Roman" w:cs="Times New Roman"/>
                <w:color w:val="000000"/>
                <w:sz w:val="20"/>
                <w:szCs w:val="20"/>
                <w:lang w:eastAsia="en-GB"/>
              </w:rPr>
            </w:pPr>
          </w:p>
        </w:tc>
        <w:tc>
          <w:tcPr>
            <w:tcW w:w="2311" w:type="dxa"/>
            <w:tcBorders>
              <w:top w:val="single" w:sz="4" w:space="0" w:color="auto"/>
              <w:left w:val="nil"/>
              <w:bottom w:val="single" w:sz="4" w:space="0" w:color="auto"/>
              <w:right w:val="single" w:sz="4" w:space="0" w:color="auto"/>
            </w:tcBorders>
            <w:shd w:val="clear" w:color="000000" w:fill="F2F2F2"/>
            <w:vAlign w:val="bottom"/>
            <w:hideMark/>
          </w:tcPr>
          <w:p w:rsidR="007A5081" w:rsidRPr="007A5081" w:rsidRDefault="007A5081" w:rsidP="007A5081">
            <w:pPr>
              <w:spacing w:after="0" w:line="240" w:lineRule="auto"/>
              <w:rPr>
                <w:rFonts w:ascii="Calibri" w:eastAsia="Times New Roman" w:hAnsi="Calibri" w:cs="Times New Roman"/>
                <w:color w:val="000000"/>
                <w:lang w:eastAsia="en-GB"/>
              </w:rPr>
            </w:pPr>
            <w:r w:rsidRPr="007A5081">
              <w:rPr>
                <w:rFonts w:ascii="Calibri" w:eastAsia="Times New Roman" w:hAnsi="Calibri" w:cs="Times New Roman"/>
                <w:color w:val="000000"/>
                <w:lang w:eastAsia="en-GB"/>
              </w:rPr>
              <w:t> </w:t>
            </w:r>
          </w:p>
        </w:tc>
      </w:tr>
      <w:tr w:rsidR="007A5081" w:rsidRPr="007A5081" w:rsidTr="00991CA3">
        <w:trPr>
          <w:gridAfter w:val="1"/>
          <w:wAfter w:w="236" w:type="dxa"/>
          <w:trHeight w:val="315"/>
        </w:trPr>
        <w:tc>
          <w:tcPr>
            <w:tcW w:w="710" w:type="dxa"/>
            <w:tcBorders>
              <w:top w:val="single" w:sz="4" w:space="0" w:color="auto"/>
              <w:left w:val="single" w:sz="4"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Team Resources - Please detail*</w:t>
            </w:r>
          </w:p>
        </w:tc>
        <w:tc>
          <w:tcPr>
            <w:tcW w:w="2311" w:type="dxa"/>
            <w:tcBorders>
              <w:top w:val="single" w:sz="4" w:space="0" w:color="auto"/>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991CA3">
        <w:trPr>
          <w:gridAfter w:val="1"/>
          <w:wAfter w:w="236" w:type="dxa"/>
          <w:trHeight w:val="315"/>
        </w:trPr>
        <w:tc>
          <w:tcPr>
            <w:tcW w:w="710" w:type="dxa"/>
            <w:tcBorders>
              <w:top w:val="nil"/>
              <w:left w:val="single" w:sz="4"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Materials - Please detail</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991CA3">
        <w:trPr>
          <w:gridAfter w:val="1"/>
          <w:wAfter w:w="236" w:type="dxa"/>
          <w:trHeight w:val="315"/>
        </w:trPr>
        <w:tc>
          <w:tcPr>
            <w:tcW w:w="710" w:type="dxa"/>
            <w:tcBorders>
              <w:top w:val="nil"/>
              <w:left w:val="single" w:sz="4"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Travel &amp; Expenses- Please detail </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991CA3">
        <w:trPr>
          <w:gridAfter w:val="1"/>
          <w:wAfter w:w="236" w:type="dxa"/>
          <w:trHeight w:val="330"/>
        </w:trPr>
        <w:tc>
          <w:tcPr>
            <w:tcW w:w="710" w:type="dxa"/>
            <w:tcBorders>
              <w:top w:val="nil"/>
              <w:left w:val="single" w:sz="4"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Proposed Sub-contracts - Please detail</w:t>
            </w:r>
          </w:p>
        </w:tc>
        <w:tc>
          <w:tcPr>
            <w:tcW w:w="2311" w:type="dxa"/>
            <w:tcBorders>
              <w:top w:val="nil"/>
              <w:left w:val="nil"/>
              <w:bottom w:val="nil"/>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991CA3">
        <w:trPr>
          <w:gridAfter w:val="1"/>
          <w:wAfter w:w="236" w:type="dxa"/>
          <w:trHeight w:val="330"/>
        </w:trPr>
        <w:tc>
          <w:tcPr>
            <w:tcW w:w="710" w:type="dxa"/>
            <w:tcBorders>
              <w:top w:val="nil"/>
              <w:left w:val="single" w:sz="4" w:space="0" w:color="auto"/>
              <w:bottom w:val="single" w:sz="4" w:space="0" w:color="auto"/>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Other costs - Please detail </w:t>
            </w:r>
          </w:p>
        </w:tc>
        <w:tc>
          <w:tcPr>
            <w:tcW w:w="231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A5081" w:rsidRPr="007A5081" w:rsidRDefault="007A5081" w:rsidP="007A5081">
            <w:pPr>
              <w:spacing w:after="0" w:line="240" w:lineRule="auto"/>
              <w:jc w:val="right"/>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£0.00</w:t>
            </w:r>
          </w:p>
        </w:tc>
      </w:tr>
      <w:tr w:rsidR="007A5081" w:rsidRPr="007A5081" w:rsidTr="00991CA3">
        <w:trPr>
          <w:gridAfter w:val="1"/>
          <w:wAfter w:w="236" w:type="dxa"/>
          <w:trHeight w:val="525"/>
        </w:trPr>
        <w:tc>
          <w:tcPr>
            <w:tcW w:w="710" w:type="dxa"/>
            <w:tcBorders>
              <w:top w:val="single" w:sz="4" w:space="0" w:color="auto"/>
              <w:left w:val="single" w:sz="8" w:space="0" w:color="auto"/>
              <w:bottom w:val="nil"/>
              <w:right w:val="single" w:sz="8" w:space="0" w:color="auto"/>
            </w:tcBorders>
            <w:shd w:val="clear" w:color="000000" w:fill="F2F2F2"/>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2</w:t>
            </w:r>
          </w:p>
        </w:tc>
        <w:tc>
          <w:tcPr>
            <w:tcW w:w="6608" w:type="dxa"/>
            <w:tcBorders>
              <w:top w:val="single" w:sz="8" w:space="0" w:color="auto"/>
              <w:left w:val="nil"/>
              <w:bottom w:val="nil"/>
              <w:right w:val="nil"/>
            </w:tcBorders>
            <w:shd w:val="clear" w:color="000000" w:fill="F2F2F2"/>
            <w:vAlign w:val="center"/>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Baseline report with assessment of current status of indicators against which future impact will be measured.</w:t>
            </w:r>
          </w:p>
        </w:tc>
        <w:tc>
          <w:tcPr>
            <w:tcW w:w="2311" w:type="dxa"/>
            <w:tcBorders>
              <w:top w:val="nil"/>
              <w:left w:val="nil"/>
              <w:bottom w:val="nil"/>
              <w:right w:val="single" w:sz="8" w:space="0" w:color="auto"/>
            </w:tcBorders>
            <w:shd w:val="clear" w:color="000000" w:fill="F2F2F2"/>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85349C">
        <w:trPr>
          <w:gridAfter w:val="1"/>
          <w:wAfter w:w="236" w:type="dxa"/>
          <w:trHeight w:val="315"/>
        </w:trPr>
        <w:tc>
          <w:tcPr>
            <w:tcW w:w="710" w:type="dxa"/>
            <w:tcBorders>
              <w:top w:val="single" w:sz="4" w:space="0" w:color="auto"/>
              <w:left w:val="single" w:sz="8" w:space="0" w:color="auto"/>
              <w:bottom w:val="nil"/>
              <w:right w:val="single" w:sz="4" w:space="0" w:color="auto"/>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single" w:sz="4" w:space="0" w:color="auto"/>
              <w:left w:val="nil"/>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Team Resources - Please detail*</w:t>
            </w:r>
          </w:p>
        </w:tc>
        <w:tc>
          <w:tcPr>
            <w:tcW w:w="2311" w:type="dxa"/>
            <w:tcBorders>
              <w:top w:val="single" w:sz="4" w:space="0" w:color="auto"/>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85349C">
        <w:trPr>
          <w:gridAfter w:val="1"/>
          <w:wAfter w:w="236" w:type="dxa"/>
          <w:trHeight w:val="315"/>
        </w:trPr>
        <w:tc>
          <w:tcPr>
            <w:tcW w:w="710" w:type="dxa"/>
            <w:tcBorders>
              <w:top w:val="nil"/>
              <w:left w:val="single" w:sz="8" w:space="0" w:color="auto"/>
              <w:bottom w:val="nil"/>
              <w:right w:val="single" w:sz="4" w:space="0" w:color="auto"/>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nil"/>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Materials - Please detail</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85349C">
        <w:trPr>
          <w:gridAfter w:val="1"/>
          <w:wAfter w:w="236" w:type="dxa"/>
          <w:trHeight w:val="315"/>
        </w:trPr>
        <w:tc>
          <w:tcPr>
            <w:tcW w:w="710" w:type="dxa"/>
            <w:tcBorders>
              <w:top w:val="nil"/>
              <w:left w:val="single" w:sz="8" w:space="0" w:color="auto"/>
              <w:bottom w:val="nil"/>
              <w:right w:val="single" w:sz="4" w:space="0" w:color="auto"/>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nil"/>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Travel &amp; Expenses- Please detail </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85349C">
        <w:trPr>
          <w:gridAfter w:val="1"/>
          <w:wAfter w:w="236" w:type="dxa"/>
          <w:trHeight w:val="330"/>
        </w:trPr>
        <w:tc>
          <w:tcPr>
            <w:tcW w:w="710" w:type="dxa"/>
            <w:tcBorders>
              <w:top w:val="nil"/>
              <w:left w:val="single" w:sz="8" w:space="0" w:color="auto"/>
              <w:bottom w:val="nil"/>
              <w:right w:val="single" w:sz="4" w:space="0" w:color="auto"/>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nil"/>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Proposed Sub-contracts - Please detail</w:t>
            </w:r>
          </w:p>
        </w:tc>
        <w:tc>
          <w:tcPr>
            <w:tcW w:w="2311" w:type="dxa"/>
            <w:tcBorders>
              <w:top w:val="nil"/>
              <w:left w:val="nil"/>
              <w:bottom w:val="nil"/>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1938EB">
        <w:trPr>
          <w:gridAfter w:val="1"/>
          <w:wAfter w:w="236" w:type="dxa"/>
          <w:trHeight w:val="330"/>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nil"/>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Other costs - Please detail </w:t>
            </w:r>
          </w:p>
        </w:tc>
        <w:tc>
          <w:tcPr>
            <w:tcW w:w="231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jc w:val="right"/>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£0.00</w:t>
            </w:r>
          </w:p>
        </w:tc>
      </w:tr>
      <w:tr w:rsidR="007A5081" w:rsidRPr="007A5081" w:rsidTr="001938EB">
        <w:trPr>
          <w:gridAfter w:val="1"/>
          <w:wAfter w:w="236" w:type="dxa"/>
          <w:trHeight w:val="510"/>
        </w:trPr>
        <w:tc>
          <w:tcPr>
            <w:tcW w:w="71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3</w:t>
            </w:r>
          </w:p>
        </w:tc>
        <w:tc>
          <w:tcPr>
            <w:tcW w:w="660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 Interim evaluation report 2.5/3 years after the start of the project to provide evidence of the progress against the targets agreed in (1).</w:t>
            </w:r>
          </w:p>
        </w:tc>
        <w:tc>
          <w:tcPr>
            <w:tcW w:w="2311"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1938EB">
        <w:trPr>
          <w:gridAfter w:val="1"/>
          <w:wAfter w:w="236" w:type="dxa"/>
          <w:trHeight w:val="315"/>
        </w:trPr>
        <w:tc>
          <w:tcPr>
            <w:tcW w:w="710" w:type="dxa"/>
            <w:tcBorders>
              <w:top w:val="single" w:sz="4" w:space="0" w:color="auto"/>
              <w:left w:val="single" w:sz="8"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Team Resources - Please detail</w:t>
            </w:r>
          </w:p>
        </w:tc>
        <w:tc>
          <w:tcPr>
            <w:tcW w:w="2311" w:type="dxa"/>
            <w:tcBorders>
              <w:top w:val="single" w:sz="4" w:space="0" w:color="auto"/>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85349C">
        <w:trPr>
          <w:gridAfter w:val="1"/>
          <w:wAfter w:w="236" w:type="dxa"/>
          <w:trHeight w:val="315"/>
        </w:trPr>
        <w:tc>
          <w:tcPr>
            <w:tcW w:w="710" w:type="dxa"/>
            <w:tcBorders>
              <w:top w:val="nil"/>
              <w:left w:val="single" w:sz="8"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Materials - Please detail</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85349C">
        <w:trPr>
          <w:gridAfter w:val="1"/>
          <w:wAfter w:w="236" w:type="dxa"/>
          <w:trHeight w:val="315"/>
        </w:trPr>
        <w:tc>
          <w:tcPr>
            <w:tcW w:w="710" w:type="dxa"/>
            <w:tcBorders>
              <w:top w:val="nil"/>
              <w:left w:val="single" w:sz="8"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Travel &amp; Expenses- Please detail </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85349C">
        <w:trPr>
          <w:gridAfter w:val="1"/>
          <w:wAfter w:w="236" w:type="dxa"/>
          <w:trHeight w:val="315"/>
        </w:trPr>
        <w:tc>
          <w:tcPr>
            <w:tcW w:w="710" w:type="dxa"/>
            <w:tcBorders>
              <w:top w:val="nil"/>
              <w:left w:val="single" w:sz="8"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Proposed Sub-contracts - Please detail</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1938EB">
        <w:trPr>
          <w:gridAfter w:val="1"/>
          <w:wAfter w:w="236" w:type="dxa"/>
          <w:trHeight w:val="330"/>
        </w:trPr>
        <w:tc>
          <w:tcPr>
            <w:tcW w:w="710" w:type="dxa"/>
            <w:tcBorders>
              <w:top w:val="nil"/>
              <w:left w:val="single" w:sz="8" w:space="0" w:color="auto"/>
              <w:bottom w:val="single" w:sz="8" w:space="0" w:color="auto"/>
              <w:right w:val="nil"/>
            </w:tcBorders>
            <w:shd w:val="clear" w:color="auto" w:fill="auto"/>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Other costs - Please detail </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jc w:val="right"/>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£0.00</w:t>
            </w:r>
          </w:p>
        </w:tc>
      </w:tr>
      <w:tr w:rsidR="007A5081" w:rsidRPr="007A5081" w:rsidTr="001938EB">
        <w:trPr>
          <w:gridAfter w:val="1"/>
          <w:wAfter w:w="236" w:type="dxa"/>
          <w:trHeight w:val="765"/>
        </w:trPr>
        <w:tc>
          <w:tcPr>
            <w:tcW w:w="710" w:type="dxa"/>
            <w:tcBorders>
              <w:top w:val="single" w:sz="8" w:space="0" w:color="auto"/>
              <w:left w:val="single" w:sz="8" w:space="0" w:color="auto"/>
              <w:bottom w:val="single" w:sz="4" w:space="0" w:color="auto"/>
              <w:right w:val="single" w:sz="8" w:space="0" w:color="auto"/>
            </w:tcBorders>
            <w:shd w:val="clear" w:color="000000" w:fill="F2F2F2"/>
            <w:noWrap/>
            <w:vAlign w:val="center"/>
            <w:hideMark/>
          </w:tcPr>
          <w:p w:rsidR="007A5081" w:rsidRPr="007A5081" w:rsidRDefault="007A5081" w:rsidP="007A5081">
            <w:pPr>
              <w:spacing w:after="0" w:line="240" w:lineRule="auto"/>
              <w:jc w:val="center"/>
              <w:rPr>
                <w:rFonts w:ascii="Times New Roman" w:eastAsia="Times New Roman" w:hAnsi="Times New Roman" w:cs="Times New Roman"/>
                <w:b/>
                <w:bCs/>
                <w:color w:val="000000"/>
                <w:sz w:val="20"/>
                <w:szCs w:val="20"/>
                <w:lang w:eastAsia="en-GB"/>
              </w:rPr>
            </w:pPr>
            <w:r w:rsidRPr="007A5081">
              <w:rPr>
                <w:rFonts w:ascii="Times New Roman" w:eastAsia="Times New Roman" w:hAnsi="Times New Roman" w:cs="Times New Roman"/>
                <w:b/>
                <w:bCs/>
                <w:color w:val="000000"/>
                <w:sz w:val="20"/>
                <w:szCs w:val="20"/>
                <w:lang w:eastAsia="en-GB"/>
              </w:rPr>
              <w:t>4</w:t>
            </w:r>
          </w:p>
        </w:tc>
        <w:tc>
          <w:tcPr>
            <w:tcW w:w="6608" w:type="dxa"/>
            <w:tcBorders>
              <w:top w:val="nil"/>
              <w:left w:val="nil"/>
              <w:bottom w:val="nil"/>
              <w:right w:val="nil"/>
            </w:tcBorders>
            <w:shd w:val="clear" w:color="000000" w:fill="F2F2F2"/>
            <w:vAlign w:val="center"/>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xml:space="preserve"> Final evaluation report 5 years after the start of the project for Satellite Applications Catapult and UK Space Agency to evidence the impact of the EASOS programme.</w:t>
            </w:r>
          </w:p>
        </w:tc>
        <w:tc>
          <w:tcPr>
            <w:tcW w:w="2311" w:type="dxa"/>
            <w:tcBorders>
              <w:top w:val="nil"/>
              <w:left w:val="nil"/>
              <w:bottom w:val="nil"/>
              <w:right w:val="single" w:sz="8" w:space="0" w:color="auto"/>
            </w:tcBorders>
            <w:shd w:val="clear" w:color="000000" w:fill="F2F2F2"/>
            <w:vAlign w:val="bottom"/>
            <w:hideMark/>
          </w:tcPr>
          <w:p w:rsidR="007A5081" w:rsidRPr="007A5081" w:rsidRDefault="007A5081" w:rsidP="007A5081">
            <w:pPr>
              <w:spacing w:after="0" w:line="240" w:lineRule="auto"/>
              <w:rPr>
                <w:rFonts w:ascii="Times New Roman" w:eastAsia="Times New Roman" w:hAnsi="Times New Roman" w:cs="Times New Roman"/>
                <w:color w:val="000000"/>
                <w:sz w:val="20"/>
                <w:szCs w:val="20"/>
                <w:lang w:eastAsia="en-GB"/>
              </w:rPr>
            </w:pPr>
            <w:r w:rsidRPr="007A5081">
              <w:rPr>
                <w:rFonts w:ascii="Times New Roman" w:eastAsia="Times New Roman" w:hAnsi="Times New Roman" w:cs="Times New Roman"/>
                <w:color w:val="000000"/>
                <w:sz w:val="20"/>
                <w:szCs w:val="20"/>
                <w:lang w:eastAsia="en-GB"/>
              </w:rPr>
              <w:t> </w:t>
            </w:r>
          </w:p>
        </w:tc>
      </w:tr>
      <w:tr w:rsidR="007A5081" w:rsidRPr="007A5081" w:rsidTr="001938EB">
        <w:trPr>
          <w:gridAfter w:val="1"/>
          <w:wAfter w:w="236" w:type="dxa"/>
          <w:trHeight w:val="315"/>
        </w:trPr>
        <w:tc>
          <w:tcPr>
            <w:tcW w:w="710" w:type="dxa"/>
            <w:tcBorders>
              <w:top w:val="single" w:sz="4" w:space="0" w:color="auto"/>
              <w:left w:val="single" w:sz="8"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Arial" w:eastAsia="Times New Roman" w:hAnsi="Arial" w:cs="Arial"/>
                <w:b/>
                <w:bCs/>
                <w:color w:val="000000"/>
                <w:sz w:val="24"/>
                <w:szCs w:val="24"/>
                <w:lang w:eastAsia="en-GB"/>
              </w:rPr>
            </w:pPr>
            <w:r w:rsidRPr="007A5081">
              <w:rPr>
                <w:rFonts w:ascii="Arial" w:eastAsia="Times New Roman" w:hAnsi="Arial" w:cs="Arial"/>
                <w:b/>
                <w:bCs/>
                <w:color w:val="000000"/>
                <w:sz w:val="24"/>
                <w:szCs w:val="24"/>
                <w:lang w:eastAsia="en-GB"/>
              </w:rPr>
              <w:t> </w:t>
            </w:r>
          </w:p>
        </w:tc>
        <w:tc>
          <w:tcPr>
            <w:tcW w:w="6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81" w:rsidRPr="00EB55C2"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EB55C2">
              <w:rPr>
                <w:rFonts w:ascii="Times New Roman" w:eastAsia="Times New Roman" w:hAnsi="Times New Roman" w:cs="Times New Roman"/>
                <w:color w:val="000000"/>
                <w:sz w:val="20"/>
                <w:szCs w:val="20"/>
                <w:lang w:eastAsia="en-GB"/>
              </w:rPr>
              <w:t>Team Resources - Please detail</w:t>
            </w:r>
          </w:p>
        </w:tc>
        <w:tc>
          <w:tcPr>
            <w:tcW w:w="2311" w:type="dxa"/>
            <w:tcBorders>
              <w:top w:val="single" w:sz="4" w:space="0" w:color="auto"/>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Calibri" w:eastAsia="Times New Roman" w:hAnsi="Calibri" w:cs="Times New Roman"/>
                <w:color w:val="000000"/>
                <w:sz w:val="20"/>
                <w:szCs w:val="20"/>
                <w:lang w:eastAsia="en-GB"/>
              </w:rPr>
            </w:pPr>
            <w:r w:rsidRPr="007A5081">
              <w:rPr>
                <w:rFonts w:ascii="Calibri" w:eastAsia="Times New Roman" w:hAnsi="Calibri" w:cs="Times New Roman"/>
                <w:color w:val="000000"/>
                <w:sz w:val="20"/>
                <w:szCs w:val="20"/>
                <w:lang w:eastAsia="en-GB"/>
              </w:rPr>
              <w:t> </w:t>
            </w:r>
          </w:p>
        </w:tc>
      </w:tr>
      <w:tr w:rsidR="007A5081" w:rsidRPr="007A5081" w:rsidTr="0085349C">
        <w:trPr>
          <w:gridAfter w:val="1"/>
          <w:wAfter w:w="236" w:type="dxa"/>
          <w:trHeight w:val="315"/>
        </w:trPr>
        <w:tc>
          <w:tcPr>
            <w:tcW w:w="710" w:type="dxa"/>
            <w:tcBorders>
              <w:top w:val="nil"/>
              <w:left w:val="single" w:sz="8"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Arial" w:eastAsia="Times New Roman" w:hAnsi="Arial" w:cs="Arial"/>
                <w:b/>
                <w:bCs/>
                <w:color w:val="000000"/>
                <w:sz w:val="24"/>
                <w:szCs w:val="24"/>
                <w:lang w:eastAsia="en-GB"/>
              </w:rPr>
            </w:pPr>
            <w:r w:rsidRPr="007A5081">
              <w:rPr>
                <w:rFonts w:ascii="Arial" w:eastAsia="Times New Roman" w:hAnsi="Arial" w:cs="Arial"/>
                <w:b/>
                <w:bCs/>
                <w:color w:val="000000"/>
                <w:sz w:val="24"/>
                <w:szCs w:val="24"/>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EB55C2"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EB55C2">
              <w:rPr>
                <w:rFonts w:ascii="Times New Roman" w:eastAsia="Times New Roman" w:hAnsi="Times New Roman" w:cs="Times New Roman"/>
                <w:color w:val="000000"/>
                <w:sz w:val="20"/>
                <w:szCs w:val="20"/>
                <w:lang w:eastAsia="en-GB"/>
              </w:rPr>
              <w:t>Materials - Please detail</w:t>
            </w:r>
          </w:p>
        </w:tc>
        <w:tc>
          <w:tcPr>
            <w:tcW w:w="2311" w:type="dxa"/>
            <w:tcBorders>
              <w:top w:val="nil"/>
              <w:left w:val="nil"/>
              <w:bottom w:val="single" w:sz="4" w:space="0" w:color="auto"/>
              <w:right w:val="single" w:sz="8" w:space="0" w:color="auto"/>
            </w:tcBorders>
            <w:shd w:val="clear" w:color="auto" w:fill="auto"/>
            <w:vAlign w:val="bottom"/>
            <w:hideMark/>
          </w:tcPr>
          <w:p w:rsidR="007A5081" w:rsidRPr="007A5081" w:rsidRDefault="007A5081" w:rsidP="007A5081">
            <w:pPr>
              <w:spacing w:after="0" w:line="240" w:lineRule="auto"/>
              <w:rPr>
                <w:rFonts w:ascii="Calibri" w:eastAsia="Times New Roman" w:hAnsi="Calibri" w:cs="Times New Roman"/>
                <w:color w:val="000000"/>
                <w:sz w:val="20"/>
                <w:szCs w:val="20"/>
                <w:lang w:eastAsia="en-GB"/>
              </w:rPr>
            </w:pPr>
            <w:r w:rsidRPr="007A5081">
              <w:rPr>
                <w:rFonts w:ascii="Calibri" w:eastAsia="Times New Roman" w:hAnsi="Calibri" w:cs="Times New Roman"/>
                <w:color w:val="000000"/>
                <w:sz w:val="20"/>
                <w:szCs w:val="20"/>
                <w:lang w:eastAsia="en-GB"/>
              </w:rPr>
              <w:t> </w:t>
            </w:r>
          </w:p>
        </w:tc>
      </w:tr>
      <w:tr w:rsidR="007A5081" w:rsidRPr="007A5081" w:rsidTr="0085349C">
        <w:trPr>
          <w:gridAfter w:val="1"/>
          <w:wAfter w:w="236" w:type="dxa"/>
          <w:trHeight w:val="315"/>
        </w:trPr>
        <w:tc>
          <w:tcPr>
            <w:tcW w:w="710" w:type="dxa"/>
            <w:tcBorders>
              <w:top w:val="nil"/>
              <w:left w:val="single" w:sz="8" w:space="0" w:color="auto"/>
              <w:bottom w:val="nil"/>
              <w:right w:val="nil"/>
            </w:tcBorders>
            <w:shd w:val="clear" w:color="auto" w:fill="auto"/>
            <w:noWrap/>
            <w:vAlign w:val="center"/>
            <w:hideMark/>
          </w:tcPr>
          <w:p w:rsidR="007A5081" w:rsidRPr="007A5081" w:rsidRDefault="007A5081" w:rsidP="007A5081">
            <w:pPr>
              <w:spacing w:after="0" w:line="240" w:lineRule="auto"/>
              <w:jc w:val="center"/>
              <w:rPr>
                <w:rFonts w:ascii="Arial" w:eastAsia="Times New Roman" w:hAnsi="Arial" w:cs="Arial"/>
                <w:b/>
                <w:bCs/>
                <w:color w:val="000000"/>
                <w:sz w:val="24"/>
                <w:szCs w:val="24"/>
                <w:lang w:eastAsia="en-GB"/>
              </w:rPr>
            </w:pPr>
            <w:r w:rsidRPr="007A5081">
              <w:rPr>
                <w:rFonts w:ascii="Arial" w:eastAsia="Times New Roman" w:hAnsi="Arial" w:cs="Arial"/>
                <w:b/>
                <w:bCs/>
                <w:color w:val="000000"/>
                <w:sz w:val="24"/>
                <w:szCs w:val="24"/>
                <w:lang w:eastAsia="en-GB"/>
              </w:rPr>
              <w:t> </w:t>
            </w:r>
          </w:p>
        </w:tc>
        <w:tc>
          <w:tcPr>
            <w:tcW w:w="6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81" w:rsidRPr="00EB55C2"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EB55C2">
              <w:rPr>
                <w:rFonts w:ascii="Times New Roman" w:eastAsia="Times New Roman" w:hAnsi="Times New Roman" w:cs="Times New Roman"/>
                <w:color w:val="000000"/>
                <w:sz w:val="20"/>
                <w:szCs w:val="20"/>
                <w:lang w:eastAsia="en-GB"/>
              </w:rPr>
              <w:t xml:space="preserve">Travel &amp; Expenses- Please detail </w:t>
            </w:r>
          </w:p>
        </w:tc>
        <w:tc>
          <w:tcPr>
            <w:tcW w:w="2311" w:type="dxa"/>
            <w:tcBorders>
              <w:top w:val="single" w:sz="4" w:space="0" w:color="auto"/>
              <w:left w:val="nil"/>
              <w:bottom w:val="single" w:sz="4" w:space="0" w:color="auto"/>
              <w:right w:val="single" w:sz="4" w:space="0" w:color="auto"/>
            </w:tcBorders>
            <w:shd w:val="clear" w:color="auto" w:fill="auto"/>
            <w:vAlign w:val="bottom"/>
            <w:hideMark/>
          </w:tcPr>
          <w:p w:rsidR="007A5081" w:rsidRPr="007A5081" w:rsidRDefault="007A5081" w:rsidP="007A5081">
            <w:pPr>
              <w:spacing w:after="0" w:line="240" w:lineRule="auto"/>
              <w:rPr>
                <w:rFonts w:ascii="Calibri" w:eastAsia="Times New Roman" w:hAnsi="Calibri" w:cs="Times New Roman"/>
                <w:color w:val="000000"/>
                <w:sz w:val="20"/>
                <w:szCs w:val="20"/>
                <w:lang w:eastAsia="en-GB"/>
              </w:rPr>
            </w:pPr>
            <w:r w:rsidRPr="007A5081">
              <w:rPr>
                <w:rFonts w:ascii="Calibri" w:eastAsia="Times New Roman" w:hAnsi="Calibri" w:cs="Times New Roman"/>
                <w:color w:val="000000"/>
                <w:sz w:val="20"/>
                <w:szCs w:val="20"/>
                <w:lang w:eastAsia="en-GB"/>
              </w:rPr>
              <w:t> </w:t>
            </w:r>
          </w:p>
        </w:tc>
      </w:tr>
      <w:tr w:rsidR="007A5081" w:rsidRPr="007A5081" w:rsidTr="0085349C">
        <w:trPr>
          <w:gridAfter w:val="1"/>
          <w:wAfter w:w="236" w:type="dxa"/>
          <w:trHeight w:val="330"/>
        </w:trPr>
        <w:tc>
          <w:tcPr>
            <w:tcW w:w="710" w:type="dxa"/>
            <w:tcBorders>
              <w:top w:val="nil"/>
              <w:left w:val="single" w:sz="8" w:space="0" w:color="auto"/>
              <w:bottom w:val="single" w:sz="4" w:space="0" w:color="auto"/>
              <w:right w:val="nil"/>
            </w:tcBorders>
            <w:shd w:val="clear" w:color="auto" w:fill="auto"/>
            <w:noWrap/>
            <w:vAlign w:val="center"/>
            <w:hideMark/>
          </w:tcPr>
          <w:p w:rsidR="007A5081" w:rsidRPr="007A5081" w:rsidRDefault="007A5081" w:rsidP="007A5081">
            <w:pPr>
              <w:spacing w:after="0" w:line="240" w:lineRule="auto"/>
              <w:jc w:val="center"/>
              <w:rPr>
                <w:rFonts w:ascii="Arial" w:eastAsia="Times New Roman" w:hAnsi="Arial" w:cs="Arial"/>
                <w:b/>
                <w:bCs/>
                <w:color w:val="000000"/>
                <w:sz w:val="24"/>
                <w:szCs w:val="24"/>
                <w:lang w:eastAsia="en-GB"/>
              </w:rPr>
            </w:pPr>
            <w:r w:rsidRPr="007A5081">
              <w:rPr>
                <w:rFonts w:ascii="Arial" w:eastAsia="Times New Roman" w:hAnsi="Arial" w:cs="Arial"/>
                <w:b/>
                <w:bCs/>
                <w:color w:val="000000"/>
                <w:sz w:val="24"/>
                <w:szCs w:val="24"/>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center"/>
            <w:hideMark/>
          </w:tcPr>
          <w:p w:rsidR="007A5081" w:rsidRPr="00EB55C2"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EB55C2">
              <w:rPr>
                <w:rFonts w:ascii="Times New Roman" w:eastAsia="Times New Roman" w:hAnsi="Times New Roman" w:cs="Times New Roman"/>
                <w:color w:val="000000"/>
                <w:sz w:val="20"/>
                <w:szCs w:val="20"/>
                <w:lang w:eastAsia="en-GB"/>
              </w:rPr>
              <w:t>Proposed Sub-contracts - Please detail</w:t>
            </w:r>
          </w:p>
        </w:tc>
        <w:tc>
          <w:tcPr>
            <w:tcW w:w="2311" w:type="dxa"/>
            <w:tcBorders>
              <w:top w:val="nil"/>
              <w:left w:val="nil"/>
              <w:bottom w:val="nil"/>
              <w:right w:val="single" w:sz="8" w:space="0" w:color="auto"/>
            </w:tcBorders>
            <w:shd w:val="clear" w:color="auto" w:fill="auto"/>
            <w:vAlign w:val="bottom"/>
            <w:hideMark/>
          </w:tcPr>
          <w:p w:rsidR="007A5081" w:rsidRPr="007A5081" w:rsidRDefault="007A5081" w:rsidP="007A5081">
            <w:pPr>
              <w:spacing w:after="0" w:line="240" w:lineRule="auto"/>
              <w:rPr>
                <w:rFonts w:ascii="Calibri" w:eastAsia="Times New Roman" w:hAnsi="Calibri" w:cs="Times New Roman"/>
                <w:color w:val="000000"/>
                <w:sz w:val="20"/>
                <w:szCs w:val="20"/>
                <w:lang w:eastAsia="en-GB"/>
              </w:rPr>
            </w:pPr>
            <w:r w:rsidRPr="007A5081">
              <w:rPr>
                <w:rFonts w:ascii="Calibri" w:eastAsia="Times New Roman" w:hAnsi="Calibri" w:cs="Times New Roman"/>
                <w:color w:val="000000"/>
                <w:sz w:val="20"/>
                <w:szCs w:val="20"/>
                <w:lang w:eastAsia="en-GB"/>
              </w:rPr>
              <w:t> </w:t>
            </w:r>
          </w:p>
        </w:tc>
      </w:tr>
      <w:tr w:rsidR="007A5081" w:rsidRPr="007A5081" w:rsidTr="0085349C">
        <w:trPr>
          <w:gridAfter w:val="1"/>
          <w:wAfter w:w="236"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81" w:rsidRPr="007A5081" w:rsidRDefault="007A5081" w:rsidP="007A5081">
            <w:pPr>
              <w:spacing w:after="0" w:line="240" w:lineRule="auto"/>
              <w:jc w:val="center"/>
              <w:rPr>
                <w:rFonts w:ascii="Arial" w:eastAsia="Times New Roman" w:hAnsi="Arial" w:cs="Arial"/>
                <w:b/>
                <w:bCs/>
                <w:color w:val="000000"/>
                <w:sz w:val="24"/>
                <w:szCs w:val="24"/>
                <w:lang w:eastAsia="en-GB"/>
              </w:rPr>
            </w:pPr>
            <w:r w:rsidRPr="007A5081">
              <w:rPr>
                <w:rFonts w:ascii="Arial" w:eastAsia="Times New Roman" w:hAnsi="Arial" w:cs="Arial"/>
                <w:b/>
                <w:bCs/>
                <w:color w:val="000000"/>
                <w:sz w:val="24"/>
                <w:szCs w:val="24"/>
                <w:lang w:eastAsia="en-GB"/>
              </w:rPr>
              <w:t> </w:t>
            </w:r>
          </w:p>
        </w:tc>
        <w:tc>
          <w:tcPr>
            <w:tcW w:w="6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81" w:rsidRPr="00EB55C2" w:rsidRDefault="007A5081" w:rsidP="007A5081">
            <w:pPr>
              <w:spacing w:after="0" w:line="240" w:lineRule="auto"/>
              <w:jc w:val="both"/>
              <w:rPr>
                <w:rFonts w:ascii="Times New Roman" w:eastAsia="Times New Roman" w:hAnsi="Times New Roman" w:cs="Times New Roman"/>
                <w:color w:val="000000"/>
                <w:sz w:val="20"/>
                <w:szCs w:val="20"/>
                <w:lang w:eastAsia="en-GB"/>
              </w:rPr>
            </w:pPr>
            <w:r w:rsidRPr="00EB55C2">
              <w:rPr>
                <w:rFonts w:ascii="Times New Roman" w:eastAsia="Times New Roman" w:hAnsi="Times New Roman" w:cs="Times New Roman"/>
                <w:color w:val="000000"/>
                <w:sz w:val="20"/>
                <w:szCs w:val="20"/>
                <w:lang w:eastAsia="en-GB"/>
              </w:rPr>
              <w:t xml:space="preserve">Other costs - Please detail </w:t>
            </w:r>
          </w:p>
        </w:tc>
        <w:tc>
          <w:tcPr>
            <w:tcW w:w="2311"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7A5081" w:rsidRPr="007A5081" w:rsidRDefault="007A5081" w:rsidP="007A5081">
            <w:pPr>
              <w:spacing w:after="0" w:line="240" w:lineRule="auto"/>
              <w:jc w:val="right"/>
              <w:rPr>
                <w:rFonts w:ascii="Calibri" w:eastAsia="Times New Roman" w:hAnsi="Calibri" w:cs="Times New Roman"/>
                <w:color w:val="000000"/>
                <w:sz w:val="20"/>
                <w:szCs w:val="20"/>
                <w:lang w:eastAsia="en-GB"/>
              </w:rPr>
            </w:pPr>
            <w:r w:rsidRPr="007A5081">
              <w:rPr>
                <w:rFonts w:ascii="Calibri" w:eastAsia="Times New Roman" w:hAnsi="Calibri" w:cs="Times New Roman"/>
                <w:color w:val="000000"/>
                <w:sz w:val="20"/>
                <w:szCs w:val="20"/>
                <w:lang w:eastAsia="en-GB"/>
              </w:rPr>
              <w:t>£0.00</w:t>
            </w:r>
          </w:p>
        </w:tc>
      </w:tr>
      <w:tr w:rsidR="007A5081" w:rsidRPr="00187C02" w:rsidTr="0085349C">
        <w:trPr>
          <w:gridAfter w:val="1"/>
          <w:wAfter w:w="236" w:type="dxa"/>
          <w:trHeight w:val="193"/>
        </w:trPr>
        <w:tc>
          <w:tcPr>
            <w:tcW w:w="7318" w:type="dxa"/>
            <w:gridSpan w:val="2"/>
            <w:tcBorders>
              <w:top w:val="single" w:sz="4" w:space="0" w:color="auto"/>
              <w:left w:val="single" w:sz="8" w:space="0" w:color="auto"/>
              <w:bottom w:val="single" w:sz="8" w:space="0" w:color="auto"/>
              <w:right w:val="nil"/>
            </w:tcBorders>
            <w:shd w:val="clear" w:color="000000" w:fill="FF0000"/>
            <w:noWrap/>
            <w:vAlign w:val="bottom"/>
            <w:hideMark/>
          </w:tcPr>
          <w:p w:rsidR="007A5081" w:rsidRPr="00187C02" w:rsidRDefault="007A5081" w:rsidP="007A5081">
            <w:pPr>
              <w:spacing w:after="0" w:line="240" w:lineRule="auto"/>
              <w:rPr>
                <w:rFonts w:ascii="Arial" w:eastAsia="Times New Roman" w:hAnsi="Arial" w:cs="Arial"/>
                <w:b/>
                <w:bCs/>
                <w:color w:val="FFFFFF"/>
                <w:sz w:val="24"/>
                <w:szCs w:val="24"/>
                <w:lang w:eastAsia="en-GB"/>
              </w:rPr>
            </w:pPr>
            <w:r w:rsidRPr="00187C02">
              <w:rPr>
                <w:rFonts w:ascii="Arial" w:eastAsia="Times New Roman" w:hAnsi="Arial" w:cs="Arial"/>
                <w:b/>
                <w:bCs/>
                <w:color w:val="FFFFFF"/>
                <w:sz w:val="24"/>
                <w:szCs w:val="24"/>
                <w:lang w:eastAsia="en-GB"/>
              </w:rPr>
              <w:t>Total proposed Cost**</w:t>
            </w:r>
          </w:p>
        </w:tc>
        <w:tc>
          <w:tcPr>
            <w:tcW w:w="2311" w:type="dxa"/>
            <w:tcBorders>
              <w:top w:val="nil"/>
              <w:left w:val="nil"/>
              <w:bottom w:val="single" w:sz="8" w:space="0" w:color="auto"/>
              <w:right w:val="single" w:sz="8" w:space="0" w:color="auto"/>
            </w:tcBorders>
            <w:shd w:val="clear" w:color="000000" w:fill="FF0000"/>
            <w:noWrap/>
            <w:vAlign w:val="bottom"/>
            <w:hideMark/>
          </w:tcPr>
          <w:p w:rsidR="007A5081" w:rsidRPr="00187C02" w:rsidRDefault="007A5081" w:rsidP="007A5081">
            <w:pPr>
              <w:spacing w:after="0" w:line="240" w:lineRule="auto"/>
              <w:jc w:val="right"/>
              <w:rPr>
                <w:rFonts w:ascii="Arial" w:eastAsia="Times New Roman" w:hAnsi="Arial" w:cs="Arial"/>
                <w:b/>
                <w:bCs/>
                <w:color w:val="FFFFFF"/>
                <w:sz w:val="24"/>
                <w:szCs w:val="24"/>
                <w:lang w:eastAsia="en-GB"/>
              </w:rPr>
            </w:pPr>
            <w:r w:rsidRPr="00187C02">
              <w:rPr>
                <w:rFonts w:ascii="Arial" w:eastAsia="Times New Roman" w:hAnsi="Arial" w:cs="Arial"/>
                <w:b/>
                <w:bCs/>
                <w:color w:val="FFFFFF"/>
                <w:sz w:val="24"/>
                <w:szCs w:val="24"/>
                <w:lang w:eastAsia="en-GB"/>
              </w:rPr>
              <w:t>£0.00</w:t>
            </w:r>
          </w:p>
        </w:tc>
      </w:tr>
      <w:tr w:rsidR="007A5081" w:rsidRPr="007A5081" w:rsidTr="0085349C">
        <w:trPr>
          <w:gridAfter w:val="1"/>
          <w:wAfter w:w="236" w:type="dxa"/>
          <w:trHeight w:val="300"/>
        </w:trPr>
        <w:tc>
          <w:tcPr>
            <w:tcW w:w="7318" w:type="dxa"/>
            <w:gridSpan w:val="2"/>
            <w:tcBorders>
              <w:top w:val="nil"/>
              <w:left w:val="nil"/>
              <w:bottom w:val="nil"/>
              <w:right w:val="nil"/>
            </w:tcBorders>
            <w:shd w:val="clear" w:color="auto" w:fill="auto"/>
            <w:noWrap/>
            <w:vAlign w:val="bottom"/>
            <w:hideMark/>
          </w:tcPr>
          <w:p w:rsidR="007A5081" w:rsidRPr="007A5081" w:rsidRDefault="007A5081" w:rsidP="007A5081">
            <w:pPr>
              <w:spacing w:after="0" w:line="240" w:lineRule="auto"/>
              <w:rPr>
                <w:rFonts w:ascii="Calibri" w:eastAsia="Times New Roman" w:hAnsi="Calibri" w:cs="Times New Roman"/>
                <w:b/>
                <w:bCs/>
                <w:color w:val="000000"/>
                <w:u w:val="single"/>
                <w:lang w:eastAsia="en-GB"/>
              </w:rPr>
            </w:pPr>
            <w:r w:rsidRPr="007A5081">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7A5081" w:rsidRPr="007A5081" w:rsidRDefault="007A5081" w:rsidP="007A5081">
            <w:pPr>
              <w:spacing w:after="0" w:line="240" w:lineRule="auto"/>
              <w:rPr>
                <w:rFonts w:ascii="Calibri" w:eastAsia="Times New Roman" w:hAnsi="Calibri" w:cs="Times New Roman"/>
                <w:b/>
                <w:bCs/>
                <w:color w:val="000000"/>
                <w:u w:val="single"/>
                <w:lang w:eastAsia="en-GB"/>
              </w:rPr>
            </w:pPr>
          </w:p>
        </w:tc>
      </w:tr>
      <w:tr w:rsidR="007A5081" w:rsidRPr="007A5081" w:rsidTr="0085349C">
        <w:trPr>
          <w:gridAfter w:val="1"/>
          <w:wAfter w:w="236" w:type="dxa"/>
          <w:trHeight w:val="300"/>
        </w:trPr>
        <w:tc>
          <w:tcPr>
            <w:tcW w:w="710" w:type="dxa"/>
            <w:tcBorders>
              <w:top w:val="nil"/>
              <w:left w:val="nil"/>
              <w:bottom w:val="nil"/>
              <w:right w:val="nil"/>
            </w:tcBorders>
            <w:shd w:val="clear" w:color="auto" w:fill="auto"/>
            <w:noWrap/>
            <w:vAlign w:val="bottom"/>
            <w:hideMark/>
          </w:tcPr>
          <w:p w:rsidR="007A5081" w:rsidRPr="007A5081" w:rsidRDefault="007A5081" w:rsidP="007A5081">
            <w:pPr>
              <w:spacing w:after="0" w:line="240" w:lineRule="auto"/>
              <w:jc w:val="center"/>
              <w:rPr>
                <w:rFonts w:ascii="Calibri" w:eastAsia="Times New Roman" w:hAnsi="Calibri" w:cs="Times New Roman"/>
                <w:color w:val="000000"/>
                <w:lang w:eastAsia="en-GB"/>
              </w:rPr>
            </w:pPr>
            <w:r w:rsidRPr="007A5081">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7A5081" w:rsidRPr="007A5081" w:rsidRDefault="007A5081" w:rsidP="001001AC">
            <w:pPr>
              <w:spacing w:after="0" w:line="240" w:lineRule="auto"/>
              <w:jc w:val="both"/>
              <w:rPr>
                <w:rFonts w:ascii="Calibri" w:eastAsia="Times New Roman" w:hAnsi="Calibri" w:cs="Times New Roman"/>
                <w:color w:val="000000"/>
                <w:sz w:val="20"/>
                <w:szCs w:val="20"/>
                <w:lang w:eastAsia="en-GB"/>
              </w:rPr>
            </w:pPr>
            <w:r w:rsidRPr="007A5081">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7A5081" w:rsidRPr="007A5081" w:rsidTr="0085349C">
        <w:trPr>
          <w:gridAfter w:val="1"/>
          <w:wAfter w:w="236" w:type="dxa"/>
          <w:trHeight w:val="585"/>
        </w:trPr>
        <w:tc>
          <w:tcPr>
            <w:tcW w:w="710" w:type="dxa"/>
            <w:tcBorders>
              <w:top w:val="nil"/>
              <w:left w:val="nil"/>
              <w:bottom w:val="nil"/>
              <w:right w:val="nil"/>
            </w:tcBorders>
            <w:shd w:val="clear" w:color="auto" w:fill="auto"/>
            <w:noWrap/>
            <w:hideMark/>
          </w:tcPr>
          <w:p w:rsidR="007A5081" w:rsidRPr="007A5081" w:rsidRDefault="007A5081" w:rsidP="007A5081">
            <w:pPr>
              <w:spacing w:after="0" w:line="240" w:lineRule="auto"/>
              <w:jc w:val="center"/>
              <w:rPr>
                <w:rFonts w:ascii="Calibri" w:eastAsia="Times New Roman" w:hAnsi="Calibri" w:cs="Times New Roman"/>
                <w:color w:val="000000"/>
                <w:lang w:eastAsia="en-GB"/>
              </w:rPr>
            </w:pPr>
            <w:r w:rsidRPr="007A5081">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7A5081" w:rsidRPr="007A5081" w:rsidRDefault="007A5081" w:rsidP="001001AC">
            <w:pPr>
              <w:spacing w:after="0" w:line="240" w:lineRule="auto"/>
              <w:jc w:val="both"/>
              <w:rPr>
                <w:rFonts w:ascii="Calibri" w:eastAsia="Times New Roman" w:hAnsi="Calibri" w:cs="Times New Roman"/>
                <w:color w:val="000000"/>
                <w:sz w:val="20"/>
                <w:szCs w:val="20"/>
                <w:lang w:eastAsia="en-GB"/>
              </w:rPr>
            </w:pPr>
            <w:r w:rsidRPr="007A5081">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r w:rsidR="007A5081" w:rsidRPr="007A5081" w:rsidTr="001938EB">
        <w:trPr>
          <w:gridAfter w:val="1"/>
          <w:wAfter w:w="236" w:type="dxa"/>
          <w:trHeight w:val="330"/>
        </w:trPr>
        <w:tc>
          <w:tcPr>
            <w:tcW w:w="7318" w:type="dxa"/>
            <w:gridSpan w:val="2"/>
            <w:tcBorders>
              <w:top w:val="single" w:sz="8" w:space="0" w:color="auto"/>
              <w:left w:val="single" w:sz="8" w:space="0" w:color="auto"/>
              <w:bottom w:val="single" w:sz="4" w:space="0" w:color="auto"/>
              <w:right w:val="nil"/>
            </w:tcBorders>
            <w:shd w:val="clear" w:color="000000" w:fill="FF0000"/>
            <w:noWrap/>
            <w:vAlign w:val="bottom"/>
            <w:hideMark/>
          </w:tcPr>
          <w:p w:rsidR="007A5081" w:rsidRPr="007A5081" w:rsidRDefault="007A5081" w:rsidP="007A5081">
            <w:pPr>
              <w:spacing w:after="0" w:line="240" w:lineRule="auto"/>
              <w:rPr>
                <w:rFonts w:ascii="Arial" w:eastAsia="Times New Roman" w:hAnsi="Arial" w:cs="Arial"/>
                <w:b/>
                <w:bCs/>
                <w:color w:val="FFFFFF"/>
                <w:sz w:val="24"/>
                <w:szCs w:val="24"/>
                <w:lang w:eastAsia="en-GB"/>
              </w:rPr>
            </w:pPr>
            <w:r w:rsidRPr="007A5081">
              <w:rPr>
                <w:rFonts w:ascii="Arial" w:eastAsia="Times New Roman" w:hAnsi="Arial" w:cs="Arial"/>
                <w:b/>
                <w:bCs/>
                <w:color w:val="FFFFFF"/>
                <w:sz w:val="24"/>
                <w:szCs w:val="24"/>
                <w:lang w:eastAsia="en-GB"/>
              </w:rPr>
              <w:t xml:space="preserve">Schedule of day rates for additional activities. </w:t>
            </w:r>
          </w:p>
        </w:tc>
        <w:tc>
          <w:tcPr>
            <w:tcW w:w="2311" w:type="dxa"/>
            <w:tcBorders>
              <w:top w:val="single" w:sz="8" w:space="0" w:color="auto"/>
              <w:left w:val="nil"/>
              <w:bottom w:val="single" w:sz="4" w:space="0" w:color="auto"/>
              <w:right w:val="single" w:sz="8" w:space="0" w:color="auto"/>
            </w:tcBorders>
            <w:shd w:val="clear" w:color="000000" w:fill="FF0000"/>
            <w:vAlign w:val="bottom"/>
            <w:hideMark/>
          </w:tcPr>
          <w:p w:rsidR="007A5081" w:rsidRPr="007A5081" w:rsidRDefault="007A5081" w:rsidP="007A5081">
            <w:pPr>
              <w:spacing w:after="0" w:line="240" w:lineRule="auto"/>
              <w:rPr>
                <w:rFonts w:ascii="Calibri" w:eastAsia="Times New Roman" w:hAnsi="Calibri" w:cs="Times New Roman"/>
                <w:color w:val="FFFFFF"/>
                <w:lang w:eastAsia="en-GB"/>
              </w:rPr>
            </w:pPr>
            <w:r w:rsidRPr="007A5081">
              <w:rPr>
                <w:rFonts w:ascii="Calibri" w:eastAsia="Times New Roman" w:hAnsi="Calibri" w:cs="Times New Roman"/>
                <w:color w:val="FFFFFF"/>
                <w:lang w:eastAsia="en-GB"/>
              </w:rPr>
              <w:t> </w:t>
            </w:r>
          </w:p>
        </w:tc>
      </w:tr>
      <w:tr w:rsidR="007A5081" w:rsidRPr="007A5081" w:rsidTr="001938EB">
        <w:trPr>
          <w:gridAfter w:val="1"/>
          <w:wAfter w:w="236" w:type="dxa"/>
          <w:trHeight w:val="451"/>
        </w:trPr>
        <w:tc>
          <w:tcPr>
            <w:tcW w:w="9629"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rsidR="007A5081" w:rsidRPr="00EB55C2" w:rsidRDefault="007A5081" w:rsidP="007A5081">
            <w:pPr>
              <w:spacing w:after="0" w:line="240" w:lineRule="auto"/>
              <w:rPr>
                <w:rFonts w:ascii="Times New Roman" w:eastAsia="Times New Roman" w:hAnsi="Times New Roman" w:cs="Times New Roman"/>
                <w:b/>
                <w:bCs/>
                <w:color w:val="000000"/>
                <w:sz w:val="20"/>
                <w:szCs w:val="20"/>
                <w:lang w:eastAsia="en-GB"/>
              </w:rPr>
            </w:pPr>
            <w:r w:rsidRPr="00EB55C2">
              <w:rPr>
                <w:rFonts w:ascii="Times New Roman" w:eastAsia="Times New Roman" w:hAnsi="Times New Roman" w:cs="Times New Roman"/>
                <w:b/>
                <w:bCs/>
                <w:color w:val="000000"/>
                <w:sz w:val="20"/>
                <w:szCs w:val="20"/>
                <w:lang w:eastAsia="en-GB"/>
              </w:rPr>
              <w:t xml:space="preserve">Tenderers should identify day rates for various </w:t>
            </w:r>
            <w:r w:rsidR="001648FC" w:rsidRPr="00EB55C2">
              <w:rPr>
                <w:rFonts w:ascii="Times New Roman" w:eastAsia="Times New Roman" w:hAnsi="Times New Roman" w:cs="Times New Roman"/>
                <w:b/>
                <w:bCs/>
                <w:color w:val="000000"/>
                <w:sz w:val="20"/>
                <w:szCs w:val="20"/>
                <w:lang w:eastAsia="en-GB"/>
              </w:rPr>
              <w:t>resources</w:t>
            </w:r>
            <w:r w:rsidRPr="00EB55C2">
              <w:rPr>
                <w:rFonts w:ascii="Times New Roman" w:eastAsia="Times New Roman" w:hAnsi="Times New Roman" w:cs="Times New Roman"/>
                <w:b/>
                <w:bCs/>
                <w:color w:val="000000"/>
                <w:sz w:val="20"/>
                <w:szCs w:val="20"/>
                <w:lang w:eastAsia="en-GB"/>
              </w:rPr>
              <w:t xml:space="preserve"> which may be required over and above the </w:t>
            </w:r>
            <w:r w:rsidR="00EB55C2" w:rsidRPr="00EB55C2">
              <w:rPr>
                <w:rFonts w:ascii="Times New Roman" w:eastAsia="Times New Roman" w:hAnsi="Times New Roman" w:cs="Times New Roman"/>
                <w:b/>
                <w:bCs/>
                <w:color w:val="000000"/>
                <w:sz w:val="20"/>
                <w:szCs w:val="20"/>
                <w:lang w:eastAsia="en-GB"/>
              </w:rPr>
              <w:t>agreed</w:t>
            </w:r>
            <w:r w:rsidRPr="00EB55C2">
              <w:rPr>
                <w:rFonts w:ascii="Times New Roman" w:eastAsia="Times New Roman" w:hAnsi="Times New Roman" w:cs="Times New Roman"/>
                <w:b/>
                <w:bCs/>
                <w:color w:val="000000"/>
                <w:sz w:val="20"/>
                <w:szCs w:val="20"/>
                <w:lang w:eastAsia="en-GB"/>
              </w:rPr>
              <w:t xml:space="preserve"> contract scope*</w:t>
            </w:r>
            <w:r w:rsidR="00EB55C2">
              <w:rPr>
                <w:rFonts w:ascii="Times New Roman" w:eastAsia="Times New Roman" w:hAnsi="Times New Roman" w:cs="Times New Roman"/>
                <w:b/>
                <w:bCs/>
                <w:color w:val="000000"/>
                <w:sz w:val="20"/>
                <w:szCs w:val="20"/>
                <w:lang w:eastAsia="en-GB"/>
              </w:rPr>
              <w:t>**</w:t>
            </w:r>
            <w:r w:rsidRPr="00EB55C2">
              <w:rPr>
                <w:rFonts w:ascii="Times New Roman" w:eastAsia="Times New Roman" w:hAnsi="Times New Roman" w:cs="Times New Roman"/>
                <w:b/>
                <w:bCs/>
                <w:color w:val="000000"/>
                <w:sz w:val="20"/>
                <w:szCs w:val="20"/>
                <w:lang w:eastAsia="en-GB"/>
              </w:rPr>
              <w:t>:</w:t>
            </w:r>
          </w:p>
        </w:tc>
      </w:tr>
      <w:tr w:rsidR="007A5081" w:rsidRPr="00187C02" w:rsidTr="004A28BB">
        <w:trPr>
          <w:gridAfter w:val="1"/>
          <w:wAfter w:w="236" w:type="dxa"/>
          <w:trHeight w:val="163"/>
        </w:trPr>
        <w:tc>
          <w:tcPr>
            <w:tcW w:w="710" w:type="dxa"/>
            <w:tcBorders>
              <w:top w:val="single" w:sz="4" w:space="0" w:color="auto"/>
              <w:left w:val="single" w:sz="8" w:space="0" w:color="auto"/>
              <w:bottom w:val="single" w:sz="4" w:space="0" w:color="auto"/>
              <w:right w:val="single" w:sz="4" w:space="0" w:color="auto"/>
            </w:tcBorders>
            <w:shd w:val="clear" w:color="000000" w:fill="FF0000"/>
            <w:noWrap/>
            <w:vAlign w:val="bottom"/>
            <w:hideMark/>
          </w:tcPr>
          <w:p w:rsidR="007A5081" w:rsidRPr="00187C02" w:rsidRDefault="007A5081" w:rsidP="007A5081">
            <w:pPr>
              <w:spacing w:after="0" w:line="240" w:lineRule="auto"/>
              <w:rPr>
                <w:rFonts w:ascii="Arial" w:eastAsia="Times New Roman" w:hAnsi="Arial" w:cs="Arial"/>
                <w:b/>
                <w:bCs/>
                <w:color w:val="FFFFFF"/>
                <w:sz w:val="24"/>
                <w:szCs w:val="24"/>
                <w:lang w:eastAsia="en-GB"/>
              </w:rPr>
            </w:pPr>
            <w:r w:rsidRPr="00187C02">
              <w:rPr>
                <w:rFonts w:ascii="Arial" w:eastAsia="Times New Roman" w:hAnsi="Arial" w:cs="Arial"/>
                <w:b/>
                <w:bCs/>
                <w:color w:val="FFFFFF"/>
                <w:sz w:val="24"/>
                <w:szCs w:val="24"/>
                <w:lang w:eastAsia="en-GB"/>
              </w:rPr>
              <w:t> </w:t>
            </w:r>
          </w:p>
        </w:tc>
        <w:tc>
          <w:tcPr>
            <w:tcW w:w="660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7A5081" w:rsidRPr="00187C02" w:rsidRDefault="007A5081" w:rsidP="007A5081">
            <w:pPr>
              <w:spacing w:after="0" w:line="240" w:lineRule="auto"/>
              <w:rPr>
                <w:rFonts w:ascii="Arial" w:eastAsia="Times New Roman" w:hAnsi="Arial" w:cs="Arial"/>
                <w:b/>
                <w:bCs/>
                <w:color w:val="FFFFFF"/>
                <w:sz w:val="24"/>
                <w:szCs w:val="24"/>
                <w:lang w:eastAsia="en-GB"/>
              </w:rPr>
            </w:pPr>
            <w:r w:rsidRPr="00187C02">
              <w:rPr>
                <w:rFonts w:ascii="Arial" w:eastAsia="Times New Roman" w:hAnsi="Arial" w:cs="Arial"/>
                <w:b/>
                <w:bCs/>
                <w:color w:val="FFFFFF"/>
                <w:sz w:val="24"/>
                <w:szCs w:val="24"/>
                <w:lang w:eastAsia="en-GB"/>
              </w:rPr>
              <w:t>Resource Level:</w:t>
            </w:r>
          </w:p>
        </w:tc>
        <w:tc>
          <w:tcPr>
            <w:tcW w:w="2311" w:type="dxa"/>
            <w:tcBorders>
              <w:top w:val="single" w:sz="4" w:space="0" w:color="auto"/>
              <w:left w:val="single" w:sz="4" w:space="0" w:color="auto"/>
              <w:bottom w:val="single" w:sz="4" w:space="0" w:color="auto"/>
              <w:right w:val="single" w:sz="8" w:space="0" w:color="auto"/>
            </w:tcBorders>
            <w:shd w:val="clear" w:color="000000" w:fill="FF0000"/>
            <w:noWrap/>
            <w:vAlign w:val="bottom"/>
            <w:hideMark/>
          </w:tcPr>
          <w:p w:rsidR="007A5081" w:rsidRPr="00187C02" w:rsidRDefault="007A5081" w:rsidP="007A5081">
            <w:pPr>
              <w:spacing w:after="0" w:line="240" w:lineRule="auto"/>
              <w:rPr>
                <w:rFonts w:ascii="Arial" w:eastAsia="Times New Roman" w:hAnsi="Arial" w:cs="Arial"/>
                <w:b/>
                <w:bCs/>
                <w:color w:val="FFFFFF"/>
                <w:sz w:val="24"/>
                <w:szCs w:val="24"/>
                <w:lang w:eastAsia="en-GB"/>
              </w:rPr>
            </w:pPr>
            <w:r w:rsidRPr="00187C02">
              <w:rPr>
                <w:rFonts w:ascii="Arial" w:eastAsia="Times New Roman" w:hAnsi="Arial" w:cs="Arial"/>
                <w:b/>
                <w:bCs/>
                <w:color w:val="FFFFFF"/>
                <w:sz w:val="24"/>
                <w:szCs w:val="24"/>
                <w:lang w:eastAsia="en-GB"/>
              </w:rPr>
              <w:t>Day rate</w:t>
            </w:r>
          </w:p>
        </w:tc>
      </w:tr>
      <w:tr w:rsidR="007A5081" w:rsidRPr="007A5081" w:rsidTr="004A28BB">
        <w:trPr>
          <w:gridAfter w:val="1"/>
          <w:wAfter w:w="236" w:type="dxa"/>
          <w:trHeight w:val="300"/>
        </w:trPr>
        <w:tc>
          <w:tcPr>
            <w:tcW w:w="710" w:type="dxa"/>
            <w:tcBorders>
              <w:top w:val="single" w:sz="4" w:space="0" w:color="auto"/>
              <w:left w:val="single" w:sz="8" w:space="0" w:color="auto"/>
              <w:bottom w:val="nil"/>
              <w:right w:val="nil"/>
            </w:tcBorders>
            <w:shd w:val="clear" w:color="auto" w:fill="auto"/>
            <w:noWrap/>
            <w:vAlign w:val="bottom"/>
            <w:hideMark/>
          </w:tcPr>
          <w:p w:rsidR="007A5081" w:rsidRPr="007A5081" w:rsidRDefault="007A5081" w:rsidP="007A5081">
            <w:pPr>
              <w:spacing w:after="0" w:line="240" w:lineRule="auto"/>
              <w:rPr>
                <w:rFonts w:ascii="Calibri" w:eastAsia="Times New Roman" w:hAnsi="Calibri" w:cs="Times New Roman"/>
                <w:b/>
                <w:bCs/>
                <w:color w:val="000000"/>
                <w:lang w:eastAsia="en-GB"/>
              </w:rPr>
            </w:pPr>
            <w:r w:rsidRPr="007A5081">
              <w:rPr>
                <w:rFonts w:ascii="Calibri" w:eastAsia="Times New Roman" w:hAnsi="Calibri" w:cs="Times New Roman"/>
                <w:b/>
                <w:bCs/>
                <w:color w:val="000000"/>
                <w:lang w:eastAsia="en-GB"/>
              </w:rPr>
              <w:t> </w:t>
            </w:r>
          </w:p>
        </w:tc>
        <w:tc>
          <w:tcPr>
            <w:tcW w:w="6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081" w:rsidRPr="00187C02" w:rsidRDefault="007A5081" w:rsidP="007A5081">
            <w:pPr>
              <w:spacing w:after="0" w:line="240" w:lineRule="auto"/>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Partner</w:t>
            </w:r>
          </w:p>
        </w:tc>
        <w:tc>
          <w:tcPr>
            <w:tcW w:w="231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A5081" w:rsidRPr="00187C02" w:rsidRDefault="007A5081" w:rsidP="007A5081">
            <w:pPr>
              <w:spacing w:after="0" w:line="240" w:lineRule="auto"/>
              <w:jc w:val="right"/>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£0.00</w:t>
            </w:r>
          </w:p>
        </w:tc>
      </w:tr>
      <w:tr w:rsidR="007A5081" w:rsidRPr="007A5081" w:rsidTr="004A28BB">
        <w:trPr>
          <w:gridAfter w:val="1"/>
          <w:wAfter w:w="236" w:type="dxa"/>
          <w:trHeight w:val="300"/>
        </w:trPr>
        <w:tc>
          <w:tcPr>
            <w:tcW w:w="710" w:type="dxa"/>
            <w:tcBorders>
              <w:top w:val="nil"/>
              <w:left w:val="single" w:sz="8" w:space="0" w:color="auto"/>
              <w:bottom w:val="nil"/>
              <w:right w:val="nil"/>
            </w:tcBorders>
            <w:shd w:val="clear" w:color="auto" w:fill="auto"/>
            <w:noWrap/>
            <w:vAlign w:val="bottom"/>
            <w:hideMark/>
          </w:tcPr>
          <w:p w:rsidR="007A5081" w:rsidRPr="007A5081" w:rsidRDefault="007A5081" w:rsidP="007A5081">
            <w:pPr>
              <w:spacing w:after="0" w:line="240" w:lineRule="auto"/>
              <w:rPr>
                <w:rFonts w:ascii="Calibri" w:eastAsia="Times New Roman" w:hAnsi="Calibri" w:cs="Times New Roman"/>
                <w:color w:val="000000"/>
                <w:lang w:eastAsia="en-GB"/>
              </w:rPr>
            </w:pPr>
            <w:r w:rsidRPr="007A5081">
              <w:rPr>
                <w:rFonts w:ascii="Calibri" w:eastAsia="Times New Roman" w:hAnsi="Calibri" w:cs="Times New Roman"/>
                <w:color w:val="00000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bottom"/>
            <w:hideMark/>
          </w:tcPr>
          <w:p w:rsidR="007A5081" w:rsidRPr="00187C02" w:rsidRDefault="007A5081" w:rsidP="007A5081">
            <w:pPr>
              <w:spacing w:after="0" w:line="240" w:lineRule="auto"/>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Associate</w:t>
            </w:r>
          </w:p>
        </w:tc>
        <w:tc>
          <w:tcPr>
            <w:tcW w:w="231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A5081" w:rsidRPr="00187C02" w:rsidRDefault="007A5081" w:rsidP="007A5081">
            <w:pPr>
              <w:spacing w:after="0" w:line="240" w:lineRule="auto"/>
              <w:jc w:val="right"/>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£0.00</w:t>
            </w:r>
          </w:p>
        </w:tc>
      </w:tr>
      <w:tr w:rsidR="007A5081" w:rsidRPr="007A5081" w:rsidTr="004A28BB">
        <w:trPr>
          <w:gridAfter w:val="1"/>
          <w:wAfter w:w="236" w:type="dxa"/>
          <w:trHeight w:val="300"/>
        </w:trPr>
        <w:tc>
          <w:tcPr>
            <w:tcW w:w="710" w:type="dxa"/>
            <w:tcBorders>
              <w:top w:val="nil"/>
              <w:left w:val="single" w:sz="8" w:space="0" w:color="auto"/>
              <w:bottom w:val="nil"/>
              <w:right w:val="nil"/>
            </w:tcBorders>
            <w:shd w:val="clear" w:color="auto" w:fill="auto"/>
            <w:noWrap/>
            <w:vAlign w:val="bottom"/>
            <w:hideMark/>
          </w:tcPr>
          <w:p w:rsidR="007A5081" w:rsidRPr="007A5081" w:rsidRDefault="007A5081" w:rsidP="007A5081">
            <w:pPr>
              <w:spacing w:after="0" w:line="240" w:lineRule="auto"/>
              <w:rPr>
                <w:rFonts w:ascii="Calibri" w:eastAsia="Times New Roman" w:hAnsi="Calibri" w:cs="Times New Roman"/>
                <w:color w:val="000000"/>
                <w:lang w:eastAsia="en-GB"/>
              </w:rPr>
            </w:pPr>
            <w:r w:rsidRPr="007A5081">
              <w:rPr>
                <w:rFonts w:ascii="Calibri" w:eastAsia="Times New Roman" w:hAnsi="Calibri" w:cs="Times New Roman"/>
                <w:color w:val="00000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bottom"/>
            <w:hideMark/>
          </w:tcPr>
          <w:p w:rsidR="007A5081" w:rsidRPr="00187C02" w:rsidRDefault="007A5081" w:rsidP="007A5081">
            <w:pPr>
              <w:spacing w:after="0" w:line="240" w:lineRule="auto"/>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Analyst</w:t>
            </w:r>
          </w:p>
        </w:tc>
        <w:tc>
          <w:tcPr>
            <w:tcW w:w="231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A5081" w:rsidRPr="00187C02" w:rsidRDefault="007A5081" w:rsidP="007A5081">
            <w:pPr>
              <w:spacing w:after="0" w:line="240" w:lineRule="auto"/>
              <w:jc w:val="right"/>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£0.00</w:t>
            </w:r>
          </w:p>
        </w:tc>
      </w:tr>
      <w:tr w:rsidR="007A5081" w:rsidRPr="007A5081" w:rsidTr="004A28BB">
        <w:trPr>
          <w:gridAfter w:val="1"/>
          <w:wAfter w:w="236" w:type="dxa"/>
          <w:trHeight w:val="300"/>
        </w:trPr>
        <w:tc>
          <w:tcPr>
            <w:tcW w:w="710" w:type="dxa"/>
            <w:tcBorders>
              <w:top w:val="nil"/>
              <w:left w:val="single" w:sz="8" w:space="0" w:color="auto"/>
              <w:bottom w:val="nil"/>
              <w:right w:val="nil"/>
            </w:tcBorders>
            <w:shd w:val="clear" w:color="auto" w:fill="auto"/>
            <w:noWrap/>
            <w:vAlign w:val="bottom"/>
            <w:hideMark/>
          </w:tcPr>
          <w:p w:rsidR="007A5081" w:rsidRPr="007A5081" w:rsidRDefault="007A5081" w:rsidP="007A5081">
            <w:pPr>
              <w:spacing w:after="0" w:line="240" w:lineRule="auto"/>
              <w:rPr>
                <w:rFonts w:ascii="Calibri" w:eastAsia="Times New Roman" w:hAnsi="Calibri" w:cs="Times New Roman"/>
                <w:color w:val="000000"/>
                <w:lang w:eastAsia="en-GB"/>
              </w:rPr>
            </w:pPr>
            <w:r w:rsidRPr="007A5081">
              <w:rPr>
                <w:rFonts w:ascii="Calibri" w:eastAsia="Times New Roman" w:hAnsi="Calibri" w:cs="Times New Roman"/>
                <w:color w:val="000000"/>
                <w:lang w:eastAsia="en-GB"/>
              </w:rPr>
              <w:t> </w:t>
            </w:r>
          </w:p>
        </w:tc>
        <w:tc>
          <w:tcPr>
            <w:tcW w:w="6608" w:type="dxa"/>
            <w:tcBorders>
              <w:top w:val="nil"/>
              <w:left w:val="single" w:sz="4" w:space="0" w:color="auto"/>
              <w:bottom w:val="single" w:sz="4" w:space="0" w:color="auto"/>
              <w:right w:val="single" w:sz="4" w:space="0" w:color="auto"/>
            </w:tcBorders>
            <w:shd w:val="clear" w:color="auto" w:fill="auto"/>
            <w:noWrap/>
            <w:vAlign w:val="bottom"/>
            <w:hideMark/>
          </w:tcPr>
          <w:p w:rsidR="007A5081" w:rsidRPr="00187C02" w:rsidRDefault="007A5081" w:rsidP="007A5081">
            <w:pPr>
              <w:spacing w:after="0" w:line="240" w:lineRule="auto"/>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Admin support</w:t>
            </w:r>
          </w:p>
        </w:tc>
        <w:tc>
          <w:tcPr>
            <w:tcW w:w="231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A5081" w:rsidRPr="00187C02" w:rsidRDefault="007A5081" w:rsidP="007A5081">
            <w:pPr>
              <w:spacing w:after="0" w:line="240" w:lineRule="auto"/>
              <w:jc w:val="right"/>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£0.00</w:t>
            </w:r>
          </w:p>
        </w:tc>
      </w:tr>
      <w:tr w:rsidR="007A5081" w:rsidRPr="007A5081" w:rsidTr="0085349C">
        <w:trPr>
          <w:gridAfter w:val="1"/>
          <w:wAfter w:w="236" w:type="dxa"/>
          <w:trHeight w:val="300"/>
        </w:trPr>
        <w:tc>
          <w:tcPr>
            <w:tcW w:w="9629" w:type="dxa"/>
            <w:gridSpan w:val="3"/>
            <w:tcBorders>
              <w:top w:val="nil"/>
              <w:left w:val="single" w:sz="8" w:space="0" w:color="auto"/>
              <w:bottom w:val="nil"/>
              <w:right w:val="single" w:sz="8" w:space="0" w:color="000000"/>
            </w:tcBorders>
            <w:shd w:val="clear" w:color="auto" w:fill="auto"/>
            <w:noWrap/>
            <w:vAlign w:val="bottom"/>
            <w:hideMark/>
          </w:tcPr>
          <w:p w:rsidR="007A5081" w:rsidRPr="00187C02" w:rsidRDefault="00187C02" w:rsidP="007A5081">
            <w:pPr>
              <w:spacing w:after="0" w:line="240" w:lineRule="auto"/>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w:t>
            </w:r>
            <w:r w:rsidR="007A5081" w:rsidRPr="00187C02">
              <w:rPr>
                <w:rFonts w:ascii="Times New Roman" w:eastAsia="Times New Roman" w:hAnsi="Times New Roman" w:cs="Times New Roman"/>
                <w:color w:val="000000"/>
                <w:sz w:val="20"/>
                <w:szCs w:val="20"/>
                <w:lang w:eastAsia="en-GB"/>
              </w:rPr>
              <w:t xml:space="preserve">Pricing for inputs will be increased by the rate of CPI for each year of the contract </w:t>
            </w:r>
          </w:p>
        </w:tc>
      </w:tr>
      <w:tr w:rsidR="007A5081" w:rsidRPr="007A5081" w:rsidTr="0085349C">
        <w:trPr>
          <w:trHeight w:val="315"/>
        </w:trPr>
        <w:tc>
          <w:tcPr>
            <w:tcW w:w="710" w:type="dxa"/>
            <w:tcBorders>
              <w:top w:val="nil"/>
              <w:left w:val="single" w:sz="8" w:space="0" w:color="auto"/>
              <w:bottom w:val="single" w:sz="8" w:space="0" w:color="auto"/>
              <w:right w:val="nil"/>
            </w:tcBorders>
            <w:shd w:val="clear" w:color="auto" w:fill="auto"/>
            <w:noWrap/>
            <w:vAlign w:val="bottom"/>
            <w:hideMark/>
          </w:tcPr>
          <w:p w:rsidR="007A5081" w:rsidRPr="007A5081" w:rsidRDefault="007A5081" w:rsidP="007A5081">
            <w:pPr>
              <w:spacing w:after="0" w:line="240" w:lineRule="auto"/>
              <w:rPr>
                <w:rFonts w:ascii="Calibri" w:eastAsia="Times New Roman" w:hAnsi="Calibri" w:cs="Times New Roman"/>
                <w:color w:val="000000"/>
                <w:lang w:eastAsia="en-GB"/>
              </w:rPr>
            </w:pPr>
            <w:r w:rsidRPr="007A5081">
              <w:rPr>
                <w:rFonts w:ascii="Calibri" w:eastAsia="Times New Roman" w:hAnsi="Calibri" w:cs="Times New Roman"/>
                <w:color w:val="000000"/>
                <w:lang w:eastAsia="en-GB"/>
              </w:rPr>
              <w:t> </w:t>
            </w:r>
          </w:p>
        </w:tc>
        <w:tc>
          <w:tcPr>
            <w:tcW w:w="6608" w:type="dxa"/>
            <w:tcBorders>
              <w:top w:val="nil"/>
              <w:left w:val="nil"/>
              <w:bottom w:val="single" w:sz="8" w:space="0" w:color="auto"/>
              <w:right w:val="nil"/>
            </w:tcBorders>
            <w:shd w:val="clear" w:color="auto" w:fill="auto"/>
            <w:noWrap/>
            <w:vAlign w:val="bottom"/>
            <w:hideMark/>
          </w:tcPr>
          <w:p w:rsidR="007A5081" w:rsidRPr="00187C02" w:rsidRDefault="007A5081" w:rsidP="007A5081">
            <w:pPr>
              <w:spacing w:after="0" w:line="240" w:lineRule="auto"/>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 </w:t>
            </w:r>
          </w:p>
        </w:tc>
        <w:tc>
          <w:tcPr>
            <w:tcW w:w="2311" w:type="dxa"/>
            <w:tcBorders>
              <w:top w:val="nil"/>
              <w:left w:val="nil"/>
              <w:bottom w:val="single" w:sz="8" w:space="0" w:color="auto"/>
              <w:right w:val="single" w:sz="8" w:space="0" w:color="auto"/>
            </w:tcBorders>
            <w:shd w:val="clear" w:color="auto" w:fill="auto"/>
            <w:vAlign w:val="bottom"/>
            <w:hideMark/>
          </w:tcPr>
          <w:p w:rsidR="007A5081" w:rsidRPr="00187C02" w:rsidRDefault="007A5081" w:rsidP="007A5081">
            <w:pPr>
              <w:spacing w:after="0" w:line="240" w:lineRule="auto"/>
              <w:rPr>
                <w:rFonts w:ascii="Times New Roman" w:eastAsia="Times New Roman" w:hAnsi="Times New Roman" w:cs="Times New Roman"/>
                <w:color w:val="000000"/>
                <w:sz w:val="20"/>
                <w:szCs w:val="20"/>
                <w:lang w:eastAsia="en-GB"/>
              </w:rPr>
            </w:pPr>
            <w:r w:rsidRPr="00187C02">
              <w:rPr>
                <w:rFonts w:ascii="Times New Roman" w:eastAsia="Times New Roman" w:hAnsi="Times New Roman" w:cs="Times New Roman"/>
                <w:color w:val="000000"/>
                <w:sz w:val="20"/>
                <w:szCs w:val="20"/>
                <w:lang w:eastAsia="en-GB"/>
              </w:rPr>
              <w:t> </w:t>
            </w:r>
          </w:p>
        </w:tc>
        <w:tc>
          <w:tcPr>
            <w:tcW w:w="236" w:type="dxa"/>
            <w:vAlign w:val="center"/>
            <w:hideMark/>
          </w:tcPr>
          <w:p w:rsidR="007A5081" w:rsidRPr="007A5081" w:rsidRDefault="007A5081" w:rsidP="007A5081">
            <w:pPr>
              <w:spacing w:after="0" w:line="240" w:lineRule="auto"/>
              <w:rPr>
                <w:rFonts w:ascii="Times New Roman" w:eastAsia="Times New Roman" w:hAnsi="Times New Roman" w:cs="Times New Roman"/>
                <w:sz w:val="20"/>
                <w:szCs w:val="20"/>
                <w:lang w:eastAsia="en-GB"/>
              </w:rPr>
            </w:pPr>
          </w:p>
        </w:tc>
      </w:tr>
    </w:tbl>
    <w:p w:rsidR="00C25225" w:rsidRDefault="00C25225"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7" w:name="_Toc238467467"/>
            <w:r w:rsidRPr="008C654B">
              <w:rPr>
                <w:color w:val="FFFFFF"/>
              </w:rPr>
              <w:lastRenderedPageBreak/>
              <w:t>UNDERTAKING</w:t>
            </w:r>
            <w:bookmarkEnd w:id="27"/>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roofErr w:type="gramStart"/>
      <w:r w:rsidR="00F30A4C" w:rsidRPr="001648FC">
        <w:rPr>
          <w:rFonts w:ascii="Times New Roman" w:hAnsi="Times New Roman" w:cs="Times New Roman"/>
          <w:sz w:val="20"/>
          <w:szCs w:val="20"/>
        </w:rPr>
        <w:t>;</w:t>
      </w:r>
      <w:proofErr w:type="gramEnd"/>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A - EASOS Programme Abstract</w:t>
      </w:r>
    </w:p>
    <w:p w:rsidR="005604DB"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5604DB" w:rsidRPr="005604DB">
        <w:rPr>
          <w:rFonts w:ascii="Times New Roman" w:hAnsi="Times New Roman" w:cs="Times New Roman"/>
          <w:sz w:val="20"/>
          <w:szCs w:val="20"/>
        </w:rPr>
        <w:t>EASOS Theory of Change and Logframe (as at 3 Jan 2017)</w:t>
      </w:r>
    </w:p>
    <w:p w:rsidR="000A64AC" w:rsidRPr="001648FC" w:rsidRDefault="005604DB" w:rsidP="0066519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0A64AC" w:rsidRPr="001648FC">
        <w:rPr>
          <w:rFonts w:ascii="Times New Roman" w:hAnsi="Times New Roman" w:cs="Times New Roman"/>
          <w:sz w:val="20"/>
          <w:szCs w:val="20"/>
        </w:rPr>
        <w:t>Non Disclosure Agreement</w:t>
      </w:r>
    </w:p>
    <w:p w:rsidR="000A64AC"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w:t>
      </w:r>
      <w:r w:rsidR="005604DB">
        <w:rPr>
          <w:rFonts w:ascii="Times New Roman" w:hAnsi="Times New Roman" w:cs="Times New Roman"/>
          <w:sz w:val="20"/>
          <w:szCs w:val="20"/>
        </w:rPr>
        <w:t>D</w:t>
      </w:r>
      <w:r w:rsidRPr="001648FC">
        <w:rPr>
          <w:rFonts w:ascii="Times New Roman" w:hAnsi="Times New Roman" w:cs="Times New Roman"/>
          <w:sz w:val="20"/>
          <w:szCs w:val="20"/>
        </w:rPr>
        <w:t xml:space="preserve">  - Satellite Application Terms and Conditions</w:t>
      </w:r>
    </w:p>
    <w:p w:rsidR="000A64A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w:t>
      </w:r>
      <w:r w:rsidR="005604DB">
        <w:rPr>
          <w:rFonts w:ascii="Times New Roman" w:hAnsi="Times New Roman" w:cs="Times New Roman"/>
          <w:sz w:val="20"/>
          <w:szCs w:val="20"/>
        </w:rPr>
        <w:t>E</w:t>
      </w:r>
      <w:r w:rsidRPr="001648FC">
        <w:rPr>
          <w:rFonts w:ascii="Times New Roman" w:hAnsi="Times New Roman" w:cs="Times New Roman"/>
          <w:sz w:val="20"/>
          <w:szCs w:val="20"/>
        </w:rPr>
        <w:t xml:space="preserve"> – Acknowledgement Letter</w:t>
      </w:r>
    </w:p>
    <w:p w:rsidR="005604DB" w:rsidRDefault="005604DB"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57460C" w:rsidRDefault="0057460C" w:rsidP="001648FC">
      <w:pPr>
        <w:spacing w:after="0" w:line="240" w:lineRule="auto"/>
        <w:rPr>
          <w:rFonts w:ascii="Times New Roman" w:hAnsi="Times New Roman" w:cs="Times New Roman"/>
          <w:sz w:val="20"/>
          <w:szCs w:val="20"/>
        </w:rPr>
      </w:pPr>
    </w:p>
    <w:p w:rsidR="00610638" w:rsidRDefault="00610638" w:rsidP="001648FC">
      <w:pPr>
        <w:spacing w:after="0" w:line="240" w:lineRule="auto"/>
        <w:rPr>
          <w:rFonts w:ascii="Times New Roman" w:hAnsi="Times New Roman" w:cs="Times New Roman"/>
          <w:sz w:val="20"/>
          <w:szCs w:val="20"/>
        </w:rPr>
      </w:pPr>
    </w:p>
    <w:p w:rsidR="00610638" w:rsidRDefault="00610638" w:rsidP="001648FC">
      <w:pPr>
        <w:spacing w:after="0" w:line="240" w:lineRule="auto"/>
        <w:rPr>
          <w:rFonts w:ascii="Times New Roman" w:hAnsi="Times New Roman" w:cs="Times New Roman"/>
          <w:sz w:val="20"/>
          <w:szCs w:val="20"/>
        </w:rPr>
      </w:pPr>
    </w:p>
    <w:p w:rsidR="00610638" w:rsidRDefault="00610638" w:rsidP="001648FC">
      <w:pPr>
        <w:spacing w:after="0" w:line="240" w:lineRule="auto"/>
        <w:rPr>
          <w:rFonts w:ascii="Times New Roman" w:hAnsi="Times New Roman" w:cs="Times New Roman"/>
          <w:sz w:val="20"/>
          <w:szCs w:val="20"/>
        </w:rPr>
      </w:pPr>
    </w:p>
    <w:p w:rsidR="00610638" w:rsidRDefault="00610638" w:rsidP="001648FC">
      <w:pPr>
        <w:spacing w:after="0" w:line="240" w:lineRule="auto"/>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rsid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EASOS Programme Abstract</w:t>
      </w:r>
    </w:p>
    <w:p w:rsidR="00E50A34" w:rsidRDefault="00E50A34" w:rsidP="001648FC">
      <w:pPr>
        <w:pStyle w:val="ListParagraph"/>
        <w:spacing w:after="0" w:line="240" w:lineRule="auto"/>
        <w:ind w:left="360"/>
        <w:jc w:val="center"/>
        <w:rPr>
          <w:rFonts w:ascii="Times New Roman" w:hAnsi="Times New Roman" w:cs="Times New Roman"/>
          <w:b/>
          <w:sz w:val="20"/>
          <w:szCs w:val="20"/>
        </w:rPr>
      </w:pPr>
    </w:p>
    <w:tbl>
      <w:tblPr>
        <w:tblStyle w:val="TableGrid"/>
        <w:tblW w:w="0" w:type="auto"/>
        <w:shd w:val="clear" w:color="auto" w:fill="FF0000"/>
        <w:tblLook w:val="04A0" w:firstRow="1" w:lastRow="0" w:firstColumn="1" w:lastColumn="0" w:noHBand="0" w:noVBand="1"/>
      </w:tblPr>
      <w:tblGrid>
        <w:gridCol w:w="9016"/>
      </w:tblGrid>
      <w:tr w:rsidR="00E50A34" w:rsidRPr="00E50A34" w:rsidTr="00E50A34">
        <w:tc>
          <w:tcPr>
            <w:tcW w:w="9016" w:type="dxa"/>
            <w:shd w:val="clear" w:color="auto" w:fill="FF0000"/>
          </w:tcPr>
          <w:p w:rsidR="00E50A34" w:rsidRPr="00E50A34" w:rsidRDefault="00E50A34" w:rsidP="00E50A34">
            <w:pPr>
              <w:spacing w:before="100" w:beforeAutospacing="1" w:after="100" w:afterAutospacing="1"/>
              <w:rPr>
                <w:rFonts w:ascii="Times New Roman" w:eastAsia="Times New Roman" w:hAnsi="Times New Roman" w:cs="Times New Roman"/>
                <w:b/>
                <w:color w:val="FFFFFF" w:themeColor="background1"/>
                <w:sz w:val="27"/>
                <w:szCs w:val="27"/>
                <w:lang w:eastAsia="en-GB"/>
              </w:rPr>
            </w:pPr>
            <w:r w:rsidRPr="00E50A34">
              <w:rPr>
                <w:rFonts w:ascii="Times New Roman" w:eastAsia="Times New Roman" w:hAnsi="Times New Roman" w:cs="Times New Roman"/>
                <w:b/>
                <w:color w:val="FFFFFF" w:themeColor="background1"/>
                <w:sz w:val="27"/>
                <w:szCs w:val="27"/>
                <w:lang w:eastAsia="en-GB"/>
              </w:rPr>
              <w:t>Abstract</w:t>
            </w:r>
          </w:p>
        </w:tc>
      </w:tr>
    </w:tbl>
    <w:p w:rsidR="00E50A34" w:rsidRPr="00E50A34" w:rsidRDefault="00E50A34" w:rsidP="00200139">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E50A34">
        <w:rPr>
          <w:rFonts w:ascii="Times New Roman" w:eastAsia="Times New Roman" w:hAnsi="Times New Roman" w:cs="Times New Roman"/>
          <w:color w:val="000000"/>
          <w:sz w:val="20"/>
          <w:szCs w:val="20"/>
          <w:lang w:eastAsia="en-GB"/>
        </w:rPr>
        <w:t>Environmental challenges present a serious social and economic threat to the Malaysian people. In 2014 alone, the combined impact on the Malaysian economy of flooding, marine pollution and illegal logging was estimated at more than $12.5Bn, and the government has consequently identified these three major challenges as critically important priorities to be addressed.</w:t>
      </w:r>
    </w:p>
    <w:p w:rsidR="00E50A34" w:rsidRPr="00E50A34" w:rsidRDefault="00E50A34" w:rsidP="00200139">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E50A34">
        <w:rPr>
          <w:rFonts w:ascii="Times New Roman" w:eastAsia="Times New Roman" w:hAnsi="Times New Roman" w:cs="Times New Roman"/>
          <w:color w:val="000000"/>
          <w:sz w:val="20"/>
          <w:szCs w:val="20"/>
          <w:lang w:eastAsia="en-GB"/>
        </w:rPr>
        <w:t>Malaysia is keen to develop a multi-agency coordinated approach to such environmental challenges and the National Defence University of Malaysia (NDUM) is working closely with the Malaysia Space Agency (ANGKASA) and Disaster Monitoring Agency (NADMA) to assess the needs of all 24 affected departments, and to establish this programme of work.</w:t>
      </w:r>
    </w:p>
    <w:p w:rsidR="00E50A34" w:rsidRPr="00E50A34" w:rsidRDefault="00E50A34" w:rsidP="00200139">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E50A34">
        <w:rPr>
          <w:rFonts w:ascii="Times New Roman" w:eastAsia="Times New Roman" w:hAnsi="Times New Roman" w:cs="Times New Roman"/>
          <w:color w:val="000000"/>
          <w:sz w:val="20"/>
          <w:szCs w:val="20"/>
          <w:lang w:eastAsia="en-GB"/>
        </w:rPr>
        <w:t>Building on the excellent relationship that UK business Janus TCD has established with the key actors, Malaysia is keen to bring in UK expertise through the UKSA IPP competition with the Satellite Applications Catapult bringing together a broad consortium to address the various challenges.</w:t>
      </w:r>
    </w:p>
    <w:p w:rsidR="00E50A34" w:rsidRPr="00E50A34" w:rsidRDefault="00E50A34" w:rsidP="00200139">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E50A34">
        <w:rPr>
          <w:rFonts w:ascii="Times New Roman" w:eastAsia="Times New Roman" w:hAnsi="Times New Roman" w:cs="Times New Roman"/>
          <w:color w:val="000000"/>
          <w:sz w:val="20"/>
          <w:szCs w:val="20"/>
          <w:lang w:eastAsia="en-GB"/>
        </w:rPr>
        <w:t xml:space="preserve">Whilst the challenges of flooding, marine pollution and illegal logging are quite different, there are many common factors between them and all would benefit from wide-area situational awareness. Providing relevant government departments with information-driven decision support tools will foster enhanced preventative measures and post-event response to these challenges. The Earth And Sea Observation System (EASOS) programme will deliver, trial and evaluate each of the solutions with the respective Malaysian government departments, encouraging common information sharing and applications support infrastructure. This will create sustainable, long-term operations capability in-country, and deliver </w:t>
      </w:r>
      <w:proofErr w:type="gramStart"/>
      <w:r w:rsidRPr="00E50A34">
        <w:rPr>
          <w:rFonts w:ascii="Times New Roman" w:eastAsia="Times New Roman" w:hAnsi="Times New Roman" w:cs="Times New Roman"/>
          <w:color w:val="000000"/>
          <w:sz w:val="20"/>
          <w:szCs w:val="20"/>
          <w:lang w:eastAsia="en-GB"/>
        </w:rPr>
        <w:t>economic</w:t>
      </w:r>
      <w:r w:rsidR="00200139">
        <w:rPr>
          <w:rFonts w:ascii="Times New Roman" w:eastAsia="Times New Roman" w:hAnsi="Times New Roman" w:cs="Times New Roman"/>
          <w:color w:val="000000"/>
          <w:sz w:val="20"/>
          <w:szCs w:val="20"/>
          <w:lang w:eastAsia="en-GB"/>
        </w:rPr>
        <w:t xml:space="preserve"> </w:t>
      </w:r>
      <w:r w:rsidRPr="00E50A34">
        <w:rPr>
          <w:rFonts w:ascii="Times New Roman" w:eastAsia="Times New Roman" w:hAnsi="Times New Roman" w:cs="Times New Roman"/>
          <w:color w:val="000000"/>
          <w:sz w:val="20"/>
          <w:szCs w:val="20"/>
          <w:lang w:eastAsia="en-GB"/>
        </w:rPr>
        <w:t xml:space="preserve"> returns</w:t>
      </w:r>
      <w:proofErr w:type="gramEnd"/>
      <w:r w:rsidRPr="00E50A34">
        <w:rPr>
          <w:rFonts w:ascii="Times New Roman" w:eastAsia="Times New Roman" w:hAnsi="Times New Roman" w:cs="Times New Roman"/>
          <w:color w:val="000000"/>
          <w:sz w:val="20"/>
          <w:szCs w:val="20"/>
          <w:lang w:eastAsia="en-GB"/>
        </w:rPr>
        <w:t xml:space="preserve"> to the Malaysian government and improved quality of life to its people.</w:t>
      </w:r>
    </w:p>
    <w:p w:rsidR="00F95059" w:rsidRDefault="00F95059">
      <w:pPr>
        <w:rPr>
          <w:rFonts w:ascii="Times New Roman" w:hAnsi="Times New Roman" w:cs="Times New Roman"/>
          <w:b/>
          <w:sz w:val="20"/>
          <w:szCs w:val="20"/>
        </w:rPr>
        <w:sectPr w:rsidR="00F95059" w:rsidSect="00794E2F">
          <w:headerReference w:type="default" r:id="rId13"/>
          <w:footerReference w:type="default" r:id="rId14"/>
          <w:pgSz w:w="11906" w:h="16838"/>
          <w:pgMar w:top="1843" w:right="1440" w:bottom="510" w:left="1440" w:header="709" w:footer="709" w:gutter="0"/>
          <w:cols w:space="708"/>
          <w:docGrid w:linePitch="360"/>
        </w:sectPr>
      </w:pPr>
    </w:p>
    <w:p w:rsidR="00E50A34" w:rsidRDefault="00E50A34">
      <w:pPr>
        <w:rPr>
          <w:rFonts w:ascii="Times New Roman" w:hAnsi="Times New Roman" w:cs="Times New Roman"/>
          <w:b/>
          <w:sz w:val="20"/>
          <w:szCs w:val="20"/>
        </w:rPr>
      </w:pPr>
    </w:p>
    <w:p w:rsidR="00E50A34" w:rsidRPr="00E50A34" w:rsidRDefault="00E50A34" w:rsidP="00E50A34">
      <w:pPr>
        <w:spacing w:before="100" w:beforeAutospacing="1" w:after="100" w:afterAutospacing="1" w:line="240" w:lineRule="auto"/>
        <w:jc w:val="center"/>
        <w:rPr>
          <w:rFonts w:ascii="Times New Roman" w:eastAsia="Times New Roman" w:hAnsi="Times New Roman" w:cs="Times New Roman"/>
          <w:b/>
          <w:color w:val="000000"/>
          <w:sz w:val="20"/>
          <w:szCs w:val="20"/>
          <w:lang w:eastAsia="en-GB"/>
        </w:rPr>
      </w:pPr>
      <w:r w:rsidRPr="00E50A34">
        <w:rPr>
          <w:rFonts w:ascii="Times New Roman" w:eastAsia="Times New Roman" w:hAnsi="Times New Roman" w:cs="Times New Roman"/>
          <w:b/>
          <w:color w:val="000000"/>
          <w:sz w:val="20"/>
          <w:szCs w:val="20"/>
          <w:lang w:eastAsia="en-GB"/>
        </w:rPr>
        <w:t>Annex B</w:t>
      </w:r>
    </w:p>
    <w:p w:rsidR="00E50A34" w:rsidRPr="008E328A" w:rsidRDefault="00E50A34" w:rsidP="00E50A34">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8E328A">
        <w:rPr>
          <w:rFonts w:ascii="Times New Roman" w:eastAsia="Times New Roman" w:hAnsi="Times New Roman" w:cs="Times New Roman"/>
          <w:color w:val="000000"/>
          <w:sz w:val="20"/>
          <w:szCs w:val="20"/>
          <w:lang w:eastAsia="en-GB"/>
        </w:rPr>
        <w:t>EASOS Theory of Change and Logframe (as at 3 Jan 2017)</w:t>
      </w:r>
    </w:p>
    <w:p w:rsidR="00E50A34" w:rsidRPr="008E328A" w:rsidRDefault="00E50A34" w:rsidP="00E50A34">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8E328A">
        <w:rPr>
          <w:rFonts w:ascii="Times New Roman" w:eastAsia="Times New Roman" w:hAnsi="Times New Roman" w:cs="Times New Roman"/>
          <w:color w:val="000000"/>
          <w:sz w:val="20"/>
          <w:szCs w:val="20"/>
          <w:lang w:eastAsia="en-GB"/>
        </w:rPr>
        <w:t>Please note that this LogFrame remains subject to change as the M&amp;E plan is developed prior to establishing an a baseline agreed with UKSA.</w:t>
      </w:r>
    </w:p>
    <w:p w:rsidR="00E50A34" w:rsidRDefault="00E50A34"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tbl>
      <w:tblPr>
        <w:tblStyle w:val="TableGrid"/>
        <w:tblW w:w="13932" w:type="dxa"/>
        <w:tblLayout w:type="fixed"/>
        <w:tblLook w:val="04A0" w:firstRow="1" w:lastRow="0" w:firstColumn="1" w:lastColumn="0" w:noHBand="0" w:noVBand="1"/>
      </w:tblPr>
      <w:tblGrid>
        <w:gridCol w:w="13932"/>
      </w:tblGrid>
      <w:tr w:rsidR="00F95059" w:rsidRPr="00A5569C" w:rsidTr="00006A1B">
        <w:trPr>
          <w:trHeight w:val="673"/>
        </w:trPr>
        <w:tc>
          <w:tcPr>
            <w:tcW w:w="5000" w:type="pct"/>
          </w:tcPr>
          <w:p w:rsidR="00F95059" w:rsidRPr="00F95059" w:rsidRDefault="00F95059" w:rsidP="004F68CF">
            <w:pPr>
              <w:jc w:val="center"/>
              <w:rPr>
                <w:rFonts w:eastAsia="Calibri" w:cs="Calibri"/>
                <w:b/>
                <w:sz w:val="18"/>
                <w:szCs w:val="20"/>
              </w:rPr>
            </w:pPr>
            <w:r w:rsidRPr="00F95059">
              <w:rPr>
                <w:rFonts w:eastAsia="Calibri" w:cs="Calibri"/>
                <w:b/>
                <w:bCs/>
                <w:sz w:val="18"/>
                <w:szCs w:val="20"/>
              </w:rPr>
              <w:lastRenderedPageBreak/>
              <w:t>Theory of Change: Diagram</w:t>
            </w:r>
          </w:p>
          <w:p w:rsidR="00F95059" w:rsidRPr="00F95059" w:rsidRDefault="00F95059" w:rsidP="004F68CF">
            <w:pPr>
              <w:jc w:val="center"/>
              <w:rPr>
                <w:rFonts w:eastAsia="Calibri" w:cs="Calibri"/>
                <w:b/>
                <w:sz w:val="18"/>
                <w:szCs w:val="20"/>
              </w:rPr>
            </w:pPr>
            <w:r w:rsidRPr="00F95059">
              <w:rPr>
                <w:rFonts w:eastAsia="Calibri" w:cs="Calibri"/>
                <w:b/>
                <w:bCs/>
                <w:sz w:val="18"/>
                <w:szCs w:val="20"/>
              </w:rPr>
              <w:t>Improve the social and economic prospects of Malaysia by making it more environmentally resilient.</w:t>
            </w:r>
          </w:p>
          <w:p w:rsidR="00F95059" w:rsidRPr="00EA4DCC" w:rsidRDefault="00F95059" w:rsidP="004F68CF">
            <w:pPr>
              <w:jc w:val="center"/>
              <w:rPr>
                <w:rFonts w:eastAsia="Calibri" w:cs="Calibri"/>
                <w:b/>
                <w:sz w:val="20"/>
                <w:szCs w:val="20"/>
              </w:rPr>
            </w:pPr>
            <w:r w:rsidRPr="00F95059">
              <w:rPr>
                <w:rFonts w:eastAsia="Calibri" w:cs="Calibri"/>
                <w:b/>
                <w:bCs/>
                <w:sz w:val="18"/>
                <w:szCs w:val="20"/>
              </w:rPr>
              <w:t>Cross-cutting contribution to national progress towards SDGs 3, 11, 14 and 15</w:t>
            </w:r>
          </w:p>
        </w:tc>
      </w:tr>
      <w:tr w:rsidR="00F95059" w:rsidRPr="00A5569C" w:rsidTr="00006A1B">
        <w:trPr>
          <w:trHeight w:val="7237"/>
        </w:trPr>
        <w:tc>
          <w:tcPr>
            <w:tcW w:w="5000" w:type="pct"/>
          </w:tcPr>
          <w:p w:rsidR="00F95059" w:rsidRPr="001B3EF3" w:rsidRDefault="00F95059" w:rsidP="004F68CF">
            <w:pPr>
              <w:spacing w:before="240"/>
              <w:jc w:val="center"/>
              <w:rPr>
                <w:sz w:val="20"/>
                <w:szCs w:val="20"/>
              </w:rPr>
            </w:pPr>
            <w:r>
              <w:rPr>
                <w:noProof/>
                <w:sz w:val="20"/>
                <w:szCs w:val="20"/>
                <w:lang w:eastAsia="en-GB"/>
              </w:rPr>
              <w:drawing>
                <wp:inline distT="0" distB="0" distL="0" distR="0" wp14:anchorId="40CCE4E1" wp14:editId="0F75552C">
                  <wp:extent cx="8181975" cy="4291831"/>
                  <wp:effectExtent l="0" t="0" r="0" b="0"/>
                  <wp:docPr id="32823" name="Picture 3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81975" cy="4291831"/>
                          </a:xfrm>
                          <a:prstGeom prst="rect">
                            <a:avLst/>
                          </a:prstGeom>
                          <a:noFill/>
                        </pic:spPr>
                      </pic:pic>
                    </a:graphicData>
                  </a:graphic>
                </wp:inline>
              </w:drawing>
            </w:r>
          </w:p>
        </w:tc>
      </w:tr>
      <w:tr w:rsidR="00F95059" w:rsidRPr="00A5569C" w:rsidTr="00006A1B">
        <w:trPr>
          <w:trHeight w:val="817"/>
        </w:trPr>
        <w:tc>
          <w:tcPr>
            <w:tcW w:w="5000" w:type="pct"/>
          </w:tcPr>
          <w:p w:rsidR="00F95059" w:rsidRPr="001B3EF3" w:rsidRDefault="00F95059" w:rsidP="004F68CF">
            <w:pPr>
              <w:jc w:val="center"/>
              <w:rPr>
                <w:rFonts w:eastAsia="Calibri" w:cs="Calibri"/>
                <w:b/>
                <w:sz w:val="20"/>
                <w:szCs w:val="20"/>
              </w:rPr>
            </w:pPr>
            <w:r w:rsidRPr="001B3EF3">
              <w:rPr>
                <w:rFonts w:eastAsia="Calibri" w:cs="Calibri"/>
                <w:b/>
                <w:bCs/>
                <w:sz w:val="20"/>
                <w:szCs w:val="20"/>
              </w:rPr>
              <w:t>Theory of Change: Narrative</w:t>
            </w:r>
          </w:p>
          <w:p w:rsidR="00F95059" w:rsidRPr="001B3EF3" w:rsidRDefault="00F95059" w:rsidP="004F68CF">
            <w:pPr>
              <w:jc w:val="center"/>
              <w:rPr>
                <w:rFonts w:eastAsia="Calibri" w:cs="Calibri"/>
                <w:b/>
                <w:sz w:val="20"/>
                <w:szCs w:val="20"/>
              </w:rPr>
            </w:pPr>
            <w:r w:rsidRPr="001B3EF3">
              <w:rPr>
                <w:rFonts w:eastAsia="Calibri" w:cs="Calibri"/>
                <w:b/>
                <w:bCs/>
                <w:sz w:val="20"/>
                <w:szCs w:val="20"/>
              </w:rPr>
              <w:t>Improve the social and economic prospects of Malaysia by making it more environmentally resilient.</w:t>
            </w:r>
          </w:p>
          <w:p w:rsidR="00F95059" w:rsidRPr="007705EC" w:rsidRDefault="00F95059" w:rsidP="004F68CF">
            <w:pPr>
              <w:jc w:val="center"/>
              <w:rPr>
                <w:rFonts w:eastAsia="Calibri" w:cs="Calibri"/>
                <w:b/>
                <w:sz w:val="20"/>
                <w:szCs w:val="20"/>
              </w:rPr>
            </w:pPr>
            <w:r w:rsidRPr="001B3EF3">
              <w:rPr>
                <w:rFonts w:eastAsia="Calibri" w:cs="Calibri"/>
                <w:b/>
                <w:bCs/>
                <w:sz w:val="20"/>
                <w:szCs w:val="20"/>
              </w:rPr>
              <w:t>Cross-cutting contribution to national progress towards SDGs 3, 11, 14 and 15</w:t>
            </w:r>
          </w:p>
        </w:tc>
      </w:tr>
      <w:tr w:rsidR="00F95059" w:rsidRPr="00A5569C" w:rsidTr="00006A1B">
        <w:trPr>
          <w:trHeight w:val="72"/>
        </w:trPr>
        <w:tc>
          <w:tcPr>
            <w:tcW w:w="5000" w:type="pct"/>
          </w:tcPr>
          <w:p w:rsidR="00F95059" w:rsidRPr="00F95059" w:rsidRDefault="00F95059" w:rsidP="004F68CF">
            <w:pPr>
              <w:rPr>
                <w:rFonts w:eastAsia="Calibri" w:cs="Calibri"/>
                <w:sz w:val="18"/>
                <w:szCs w:val="20"/>
              </w:rPr>
            </w:pPr>
            <w:r w:rsidRPr="00F95059">
              <w:rPr>
                <w:rFonts w:eastAsia="Calibri" w:cs="Calibri"/>
                <w:sz w:val="18"/>
                <w:szCs w:val="20"/>
              </w:rPr>
              <w:t xml:space="preserve">The </w:t>
            </w:r>
            <w:r w:rsidRPr="00F95059">
              <w:rPr>
                <w:rFonts w:eastAsia="Calibri" w:cs="Calibri"/>
                <w:b/>
                <w:bCs/>
                <w:sz w:val="18"/>
                <w:szCs w:val="20"/>
              </w:rPr>
              <w:t>context</w:t>
            </w:r>
            <w:r w:rsidRPr="00F95059">
              <w:rPr>
                <w:rFonts w:eastAsia="Calibri" w:cs="Calibri"/>
                <w:sz w:val="18"/>
                <w:szCs w:val="20"/>
              </w:rPr>
              <w:t xml:space="preserve"> for this project is that Malaysia has a number of social, environmental and economic problems related to marine pollution, illegal logging and flood events. For example, the mangrove areas are under threat from marine pollution which is leading to depleted fish stocks and coastal erosion which affects communities, particularly during flood events; illegal logging is impacting protected species in the ‘Heart of Borneo’ and impacting communities. Combined with flood events during the monsoon season the estimated to cost the Malaysian economy is US</w:t>
            </w:r>
            <w:r w:rsidRPr="00F95059">
              <w:rPr>
                <w:sz w:val="18"/>
                <w:szCs w:val="20"/>
              </w:rPr>
              <w:t xml:space="preserve">$12.5 billion per year. Currently the Malaysian Government has a set of disparate systems with data in multiple places. </w:t>
            </w:r>
            <w:r w:rsidRPr="00F95059">
              <w:rPr>
                <w:rFonts w:eastAsia="Calibri" w:cs="Calibri"/>
                <w:sz w:val="18"/>
                <w:szCs w:val="20"/>
              </w:rPr>
              <w:t>Finding solutions to locate marine pollution and illegal logging on a timely basis is essential in tackling the problems and better information on potential flood events should reduce the impact of them. Malaysian enforcement agencies do not currently have access to state-of-the-art satellite applications which could help increase the rate of detection of marine pollution and illegal logging, as well as the prediction of flood events. UK has considerable strengths in satellite applications, and could apply these capabilities to these problems in a single, easy to use system with one common dashboard based on a scalable consistent platform.</w:t>
            </w:r>
          </w:p>
          <w:p w:rsidR="00F95059" w:rsidRPr="00F35141" w:rsidRDefault="00F95059" w:rsidP="004F68CF">
            <w:pPr>
              <w:rPr>
                <w:sz w:val="10"/>
                <w:szCs w:val="20"/>
              </w:rPr>
            </w:pPr>
          </w:p>
          <w:p w:rsidR="00F95059" w:rsidRPr="00F95059" w:rsidRDefault="00F95059" w:rsidP="004F68CF">
            <w:pPr>
              <w:rPr>
                <w:sz w:val="18"/>
                <w:szCs w:val="20"/>
              </w:rPr>
            </w:pPr>
            <w:r w:rsidRPr="00F95059">
              <w:rPr>
                <w:rFonts w:eastAsia="Calibri" w:cs="Calibri"/>
                <w:sz w:val="18"/>
                <w:szCs w:val="20"/>
              </w:rPr>
              <w:t xml:space="preserve">In response to this challenge, we have developed a project which involves </w:t>
            </w:r>
            <w:r w:rsidRPr="00F95059">
              <w:rPr>
                <w:rFonts w:eastAsia="Calibri" w:cs="Calibri"/>
                <w:b/>
                <w:bCs/>
                <w:sz w:val="18"/>
                <w:szCs w:val="20"/>
              </w:rPr>
              <w:t>inputs</w:t>
            </w:r>
            <w:r w:rsidRPr="00F95059">
              <w:rPr>
                <w:rFonts w:eastAsia="Calibri" w:cs="Calibri"/>
                <w:sz w:val="18"/>
                <w:szCs w:val="20"/>
              </w:rPr>
              <w:t xml:space="preserve"> of £8,253k from UKSA’s International Partnership Programme, and in-kind contributions of £3,148k from UK partners and £6.6 million from Malaysian partners. The consortium draws on the considerable combined expertise of the Satellite Applications Catapult, 10 UK-based SMEs (Janus TCD, Ambiental, Stevenson Astrosat, Sterling Geo, Geocento, Most Autonomous Vessels, Plymouth Marine Laboratories, RiskAware, Telespaizio Vega, Earth Observation Ltd) and 2 UK universities (University of Oxford, University of Leicester). </w:t>
            </w:r>
          </w:p>
          <w:p w:rsidR="00F95059" w:rsidRPr="00F95059" w:rsidRDefault="00F95059" w:rsidP="004F68CF">
            <w:pPr>
              <w:rPr>
                <w:sz w:val="6"/>
                <w:szCs w:val="20"/>
              </w:rPr>
            </w:pPr>
          </w:p>
          <w:p w:rsidR="00F95059" w:rsidRPr="00F95059" w:rsidRDefault="00F95059" w:rsidP="004F68CF">
            <w:pPr>
              <w:rPr>
                <w:sz w:val="18"/>
                <w:szCs w:val="20"/>
              </w:rPr>
            </w:pPr>
            <w:r w:rsidRPr="00F95059">
              <w:rPr>
                <w:rFonts w:eastAsia="Calibri" w:cs="Calibri"/>
                <w:sz w:val="18"/>
                <w:szCs w:val="20"/>
              </w:rPr>
              <w:t xml:space="preserve">The project’s </w:t>
            </w:r>
            <w:r w:rsidRPr="00F95059">
              <w:rPr>
                <w:rFonts w:eastAsia="Calibri" w:cs="Calibri"/>
                <w:b/>
                <w:bCs/>
                <w:sz w:val="18"/>
                <w:szCs w:val="20"/>
              </w:rPr>
              <w:t>activities</w:t>
            </w:r>
            <w:r w:rsidRPr="00F95059">
              <w:rPr>
                <w:rFonts w:eastAsia="Calibri" w:cs="Calibri"/>
                <w:sz w:val="18"/>
                <w:szCs w:val="20"/>
              </w:rPr>
              <w:t xml:space="preserve"> will start with a detailed requirements capture phase and then develop a common dashboard for tools, based on Earth Observation data and incorporate Malaysian data sources. By having the three underlying services to monitor marine pollution, illegal logging and predict flood events together in a common project we will ensure that the underlying architecture of the satellite derived services are common and consistent. This means only bringing in external data, such as satellite imagery, once for use by many. </w:t>
            </w:r>
          </w:p>
          <w:p w:rsidR="00F95059" w:rsidRPr="00F95059" w:rsidRDefault="00F95059" w:rsidP="004F68CF">
            <w:pPr>
              <w:rPr>
                <w:sz w:val="6"/>
                <w:szCs w:val="20"/>
              </w:rPr>
            </w:pPr>
          </w:p>
          <w:p w:rsidR="00F95059" w:rsidRPr="00F95059" w:rsidRDefault="00F95059" w:rsidP="004F68CF">
            <w:pPr>
              <w:rPr>
                <w:rFonts w:eastAsia="Calibri" w:cs="Calibri"/>
                <w:sz w:val="18"/>
                <w:szCs w:val="20"/>
              </w:rPr>
            </w:pPr>
            <w:r w:rsidRPr="00F95059">
              <w:rPr>
                <w:rFonts w:eastAsia="Calibri" w:cs="Calibri"/>
                <w:sz w:val="18"/>
                <w:szCs w:val="20"/>
              </w:rPr>
              <w:t xml:space="preserve">The intended </w:t>
            </w:r>
            <w:r w:rsidRPr="00F95059">
              <w:rPr>
                <w:rFonts w:eastAsia="Calibri" w:cs="Calibri"/>
                <w:b/>
                <w:bCs/>
                <w:sz w:val="18"/>
                <w:szCs w:val="20"/>
              </w:rPr>
              <w:t>outputs</w:t>
            </w:r>
            <w:r w:rsidRPr="00F95059">
              <w:rPr>
                <w:rFonts w:eastAsia="Calibri" w:cs="Calibri"/>
                <w:sz w:val="18"/>
                <w:szCs w:val="20"/>
              </w:rPr>
              <w:t xml:space="preserve"> can be summarised as: a working scalable platform, with three environmental services each operational in two regions, handed over to the in-country team; documentation and sufficient training; a business plan including validation data for the environmental services and the commercial business model for the ongoing service and extension to the whole of Malaysia; three M&amp;E reports – a baseline and evaluation framework, interim evaluation and a final impact evaluation. </w:t>
            </w:r>
          </w:p>
          <w:p w:rsidR="00F95059" w:rsidRPr="00F95059" w:rsidRDefault="00F95059" w:rsidP="004F68CF">
            <w:pPr>
              <w:rPr>
                <w:rFonts w:eastAsia="Calibri" w:cs="Calibri"/>
                <w:sz w:val="6"/>
                <w:szCs w:val="20"/>
              </w:rPr>
            </w:pPr>
          </w:p>
          <w:p w:rsidR="00F95059" w:rsidRPr="00F95059" w:rsidRDefault="00F95059" w:rsidP="004F68CF">
            <w:pPr>
              <w:rPr>
                <w:sz w:val="18"/>
                <w:szCs w:val="20"/>
              </w:rPr>
            </w:pPr>
            <w:r w:rsidRPr="00F95059">
              <w:rPr>
                <w:rFonts w:eastAsia="Calibri" w:cs="Calibri"/>
                <w:sz w:val="18"/>
                <w:szCs w:val="20"/>
              </w:rPr>
              <w:t xml:space="preserve">These outputs are intended to lead to the following </w:t>
            </w:r>
            <w:r w:rsidRPr="00F95059">
              <w:rPr>
                <w:rFonts w:eastAsia="Calibri" w:cs="Calibri"/>
                <w:b/>
                <w:bCs/>
                <w:sz w:val="18"/>
                <w:szCs w:val="20"/>
              </w:rPr>
              <w:t>outcomes</w:t>
            </w:r>
            <w:r w:rsidRPr="00F95059">
              <w:rPr>
                <w:rFonts w:eastAsia="Calibri" w:cs="Calibri"/>
                <w:sz w:val="18"/>
                <w:szCs w:val="20"/>
              </w:rPr>
              <w:t>: an increased rate of detection of illegal logging and marine pollution events in the two regions specified during the requirements capture phase; this will discourage these activities as a result of increased threat of detection; improved flood event management due to earlier alerts and prevention due to better information used for planning. For the regions initially targeted, expect a 10% reduction in the economic cost of these events.</w:t>
            </w:r>
          </w:p>
          <w:p w:rsidR="00F95059" w:rsidRPr="00F95059" w:rsidRDefault="00F95059" w:rsidP="004F68CF">
            <w:pPr>
              <w:rPr>
                <w:sz w:val="6"/>
                <w:szCs w:val="20"/>
              </w:rPr>
            </w:pPr>
          </w:p>
          <w:p w:rsidR="00F95059" w:rsidRPr="001B3EF3" w:rsidRDefault="00F95059" w:rsidP="004F68CF">
            <w:pPr>
              <w:rPr>
                <w:sz w:val="20"/>
                <w:szCs w:val="20"/>
              </w:rPr>
            </w:pPr>
            <w:r w:rsidRPr="00F95059">
              <w:rPr>
                <w:rFonts w:eastAsia="Calibri" w:cs="Calibri"/>
                <w:sz w:val="18"/>
                <w:szCs w:val="20"/>
              </w:rPr>
              <w:t xml:space="preserve">If those outcomes are successfully achieved, we envisage that the </w:t>
            </w:r>
            <w:r w:rsidRPr="00F95059">
              <w:rPr>
                <w:rFonts w:eastAsia="Calibri" w:cs="Calibri"/>
                <w:b/>
                <w:bCs/>
                <w:sz w:val="18"/>
                <w:szCs w:val="20"/>
              </w:rPr>
              <w:t>impacts</w:t>
            </w:r>
            <w:r w:rsidRPr="00F95059">
              <w:rPr>
                <w:rFonts w:eastAsia="Calibri" w:cs="Calibri"/>
                <w:sz w:val="18"/>
                <w:szCs w:val="20"/>
              </w:rPr>
              <w:t xml:space="preserve"> from ongoing use of the service in the initial regions and elsewhere will include: a reduction of the harmful environmental and social impacts associated with illegal logging; reduced marine pollution improving the mangrove areas and coastal economies; and improved flood event management all of which will lead to a significant economic impact on the Malaysian economy. From a UK perspective, the impacts will include economic benefits from a strengthened satellite supply chain, with participating UK partners able to leverage the knowledge and credentials developed through the project around the world.</w:t>
            </w:r>
          </w:p>
        </w:tc>
      </w:tr>
    </w:tbl>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tbl>
      <w:tblPr>
        <w:tblStyle w:val="TableGrid"/>
        <w:tblW w:w="14179" w:type="dxa"/>
        <w:tblLayout w:type="fixed"/>
        <w:tblLook w:val="04A0" w:firstRow="1" w:lastRow="0" w:firstColumn="1" w:lastColumn="0" w:noHBand="0" w:noVBand="1"/>
      </w:tblPr>
      <w:tblGrid>
        <w:gridCol w:w="1098"/>
        <w:gridCol w:w="3919"/>
        <w:gridCol w:w="4347"/>
        <w:gridCol w:w="1767"/>
        <w:gridCol w:w="3048"/>
      </w:tblGrid>
      <w:tr w:rsidR="00535335" w:rsidRPr="00A5569C" w:rsidTr="004F68CF">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5335" w:rsidRPr="001B3EF3" w:rsidRDefault="00535335" w:rsidP="004F68CF">
            <w:pPr>
              <w:spacing w:before="120" w:after="120"/>
              <w:rPr>
                <w:b/>
                <w:bCs/>
                <w:sz w:val="20"/>
                <w:szCs w:val="20"/>
              </w:rPr>
            </w:pPr>
          </w:p>
        </w:tc>
        <w:tc>
          <w:tcPr>
            <w:tcW w:w="4613" w:type="pct"/>
            <w:gridSpan w:val="4"/>
            <w:tcBorders>
              <w:left w:val="single" w:sz="4" w:space="0" w:color="auto"/>
            </w:tcBorders>
            <w:shd w:val="clear" w:color="auto" w:fill="D9D9D9" w:themeFill="background1" w:themeFillShade="D9"/>
          </w:tcPr>
          <w:p w:rsidR="00535335" w:rsidRPr="001B3EF3" w:rsidRDefault="00535335" w:rsidP="004F68CF">
            <w:pPr>
              <w:spacing w:before="240"/>
              <w:jc w:val="center"/>
              <w:rPr>
                <w:b/>
                <w:bCs/>
                <w:sz w:val="20"/>
                <w:szCs w:val="20"/>
              </w:rPr>
            </w:pPr>
            <w:r w:rsidRPr="001B3EF3">
              <w:rPr>
                <w:b/>
                <w:bCs/>
                <w:sz w:val="20"/>
                <w:szCs w:val="20"/>
              </w:rPr>
              <w:t xml:space="preserve">Increasingly resilient Malaysia through Satellite-enabled Surveillance of Illegal Logging, Marine Pollution and Flood Events </w:t>
            </w:r>
          </w:p>
          <w:p w:rsidR="00535335" w:rsidRPr="001B3EF3" w:rsidRDefault="00535335" w:rsidP="004F68CF">
            <w:pPr>
              <w:rPr>
                <w:b/>
                <w:sz w:val="20"/>
                <w:szCs w:val="20"/>
              </w:rPr>
            </w:pPr>
            <w:r w:rsidRPr="001B3EF3">
              <w:rPr>
                <w:rFonts w:eastAsia="Calibri" w:cs="Calibri"/>
                <w:b/>
                <w:bCs/>
                <w:sz w:val="20"/>
                <w:szCs w:val="20"/>
              </w:rPr>
              <w:t xml:space="preserve">IMPACT: </w:t>
            </w:r>
          </w:p>
          <w:p w:rsidR="00535335" w:rsidRPr="001B3EF3" w:rsidRDefault="00535335" w:rsidP="00535335">
            <w:pPr>
              <w:pStyle w:val="ListParagraph"/>
              <w:numPr>
                <w:ilvl w:val="0"/>
                <w:numId w:val="19"/>
              </w:numPr>
              <w:suppressAutoHyphens/>
              <w:rPr>
                <w:rFonts w:eastAsia="Calibri" w:cs="Calibri"/>
                <w:b/>
                <w:bCs/>
                <w:sz w:val="20"/>
                <w:szCs w:val="20"/>
              </w:rPr>
            </w:pPr>
            <w:r w:rsidRPr="001B3EF3">
              <w:rPr>
                <w:rFonts w:eastAsia="Calibri" w:cs="Calibri"/>
                <w:b/>
                <w:bCs/>
                <w:sz w:val="20"/>
                <w:szCs w:val="20"/>
              </w:rPr>
              <w:t>Contribution to SDG 15 by preventing illegal logging and protecting forest ecosystems for local populations and fauna</w:t>
            </w:r>
          </w:p>
          <w:p w:rsidR="00535335" w:rsidRPr="001B3EF3" w:rsidRDefault="00535335" w:rsidP="00535335">
            <w:pPr>
              <w:pStyle w:val="ListParagraph"/>
              <w:numPr>
                <w:ilvl w:val="0"/>
                <w:numId w:val="19"/>
              </w:numPr>
              <w:suppressAutoHyphens/>
              <w:rPr>
                <w:rFonts w:eastAsia="Calibri" w:cs="Calibri"/>
                <w:b/>
                <w:bCs/>
                <w:sz w:val="20"/>
                <w:szCs w:val="20"/>
              </w:rPr>
            </w:pPr>
            <w:r w:rsidRPr="001B3EF3">
              <w:rPr>
                <w:rFonts w:eastAsia="Calibri" w:cs="Calibri"/>
                <w:b/>
                <w:bCs/>
                <w:sz w:val="20"/>
                <w:szCs w:val="20"/>
              </w:rPr>
              <w:t>Contribution to SDG 14 by leading to a reduction in marine pollution, sustainable management and protection of coastal ecosystems</w:t>
            </w:r>
          </w:p>
          <w:p w:rsidR="00535335" w:rsidRPr="001B3EF3" w:rsidRDefault="00535335" w:rsidP="00535335">
            <w:pPr>
              <w:pStyle w:val="ListParagraph"/>
              <w:numPr>
                <w:ilvl w:val="0"/>
                <w:numId w:val="19"/>
              </w:numPr>
              <w:suppressAutoHyphens/>
              <w:rPr>
                <w:rFonts w:eastAsia="Calibri" w:cs="Calibri"/>
                <w:b/>
                <w:bCs/>
                <w:sz w:val="20"/>
                <w:szCs w:val="20"/>
              </w:rPr>
            </w:pPr>
            <w:r w:rsidRPr="001B3EF3">
              <w:rPr>
                <w:rFonts w:eastAsia="Calibri" w:cs="Calibri"/>
                <w:b/>
                <w:bCs/>
                <w:sz w:val="20"/>
                <w:szCs w:val="20"/>
              </w:rPr>
              <w:t>Contribution to SDGs 3 and 11 by acting pre-emptively to reduce preventable loss of lives and assets from flooding</w:t>
            </w:r>
          </w:p>
        </w:tc>
      </w:tr>
      <w:tr w:rsidR="00535335" w:rsidRPr="00A5569C" w:rsidTr="004F68CF">
        <w:trPr>
          <w:trHeight w:val="227"/>
        </w:trPr>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5335" w:rsidRPr="001B3EF3" w:rsidRDefault="00535335" w:rsidP="004F68CF">
            <w:pPr>
              <w:rPr>
                <w:b/>
                <w:bCs/>
                <w:sz w:val="20"/>
                <w:szCs w:val="20"/>
              </w:rPr>
            </w:pPr>
          </w:p>
        </w:tc>
        <w:tc>
          <w:tcPr>
            <w:tcW w:w="1382" w:type="pct"/>
            <w:tcBorders>
              <w:left w:val="single" w:sz="4" w:space="0" w:color="auto"/>
            </w:tcBorders>
            <w:shd w:val="clear" w:color="auto" w:fill="D9D9D9" w:themeFill="background1" w:themeFillShade="D9"/>
          </w:tcPr>
          <w:p w:rsidR="00535335" w:rsidRPr="001B3EF3" w:rsidRDefault="00535335" w:rsidP="004F68CF">
            <w:pPr>
              <w:jc w:val="center"/>
              <w:rPr>
                <w:b/>
                <w:bCs/>
                <w:sz w:val="20"/>
                <w:szCs w:val="20"/>
              </w:rPr>
            </w:pPr>
            <w:r w:rsidRPr="001B3EF3">
              <w:rPr>
                <w:b/>
                <w:bCs/>
                <w:sz w:val="20"/>
                <w:szCs w:val="20"/>
              </w:rPr>
              <w:t>Summary of quantified SMART targets for each level</w:t>
            </w:r>
          </w:p>
        </w:tc>
        <w:tc>
          <w:tcPr>
            <w:tcW w:w="1533" w:type="pct"/>
            <w:shd w:val="clear" w:color="auto" w:fill="D9D9D9" w:themeFill="background1" w:themeFillShade="D9"/>
          </w:tcPr>
          <w:p w:rsidR="00535335" w:rsidRPr="001B3EF3" w:rsidRDefault="00535335" w:rsidP="004F68CF">
            <w:pPr>
              <w:jc w:val="center"/>
              <w:rPr>
                <w:b/>
                <w:bCs/>
                <w:sz w:val="20"/>
                <w:szCs w:val="20"/>
              </w:rPr>
            </w:pPr>
            <w:r w:rsidRPr="001B3EF3">
              <w:rPr>
                <w:b/>
                <w:bCs/>
                <w:sz w:val="20"/>
                <w:szCs w:val="20"/>
              </w:rPr>
              <w:t>Indicators (quantitative and qualitative)</w:t>
            </w:r>
          </w:p>
        </w:tc>
        <w:tc>
          <w:tcPr>
            <w:tcW w:w="623" w:type="pct"/>
            <w:shd w:val="clear" w:color="auto" w:fill="D9D9D9" w:themeFill="background1" w:themeFillShade="D9"/>
          </w:tcPr>
          <w:p w:rsidR="00535335" w:rsidRPr="001B3EF3" w:rsidRDefault="00535335" w:rsidP="004F68CF">
            <w:pPr>
              <w:jc w:val="center"/>
              <w:rPr>
                <w:b/>
                <w:bCs/>
                <w:sz w:val="20"/>
                <w:szCs w:val="20"/>
              </w:rPr>
            </w:pPr>
            <w:r w:rsidRPr="001B3EF3">
              <w:rPr>
                <w:b/>
                <w:bCs/>
                <w:sz w:val="20"/>
                <w:szCs w:val="20"/>
              </w:rPr>
              <w:t>Means of Verification</w:t>
            </w:r>
          </w:p>
        </w:tc>
        <w:tc>
          <w:tcPr>
            <w:tcW w:w="1076" w:type="pct"/>
            <w:shd w:val="clear" w:color="auto" w:fill="D9D9D9" w:themeFill="background1" w:themeFillShade="D9"/>
          </w:tcPr>
          <w:p w:rsidR="00535335" w:rsidRPr="001B3EF3" w:rsidRDefault="00535335" w:rsidP="004F68CF">
            <w:pPr>
              <w:jc w:val="center"/>
              <w:rPr>
                <w:b/>
                <w:bCs/>
                <w:sz w:val="20"/>
                <w:szCs w:val="20"/>
              </w:rPr>
            </w:pPr>
            <w:r w:rsidRPr="001B3EF3">
              <w:rPr>
                <w:b/>
                <w:bCs/>
                <w:sz w:val="20"/>
                <w:szCs w:val="20"/>
              </w:rPr>
              <w:t>Assumptions</w:t>
            </w:r>
          </w:p>
        </w:tc>
      </w:tr>
      <w:tr w:rsidR="00535335" w:rsidRPr="00A5569C" w:rsidTr="004F68CF">
        <w:tc>
          <w:tcPr>
            <w:tcW w:w="387" w:type="pct"/>
            <w:tcBorders>
              <w:top w:val="single" w:sz="4" w:space="0" w:color="auto"/>
            </w:tcBorders>
            <w:shd w:val="clear" w:color="auto" w:fill="D9D9D9" w:themeFill="background1" w:themeFillShade="D9"/>
          </w:tcPr>
          <w:p w:rsidR="00535335" w:rsidRPr="001B3EF3" w:rsidRDefault="00535335" w:rsidP="004F68CF">
            <w:pPr>
              <w:spacing w:before="120" w:after="120"/>
              <w:rPr>
                <w:b/>
                <w:bCs/>
                <w:sz w:val="20"/>
                <w:szCs w:val="20"/>
              </w:rPr>
            </w:pPr>
            <w:r w:rsidRPr="001B3EF3">
              <w:rPr>
                <w:b/>
                <w:bCs/>
                <w:sz w:val="20"/>
                <w:szCs w:val="20"/>
              </w:rPr>
              <w:t>Impacts at 5 years</w:t>
            </w:r>
          </w:p>
        </w:tc>
        <w:tc>
          <w:tcPr>
            <w:tcW w:w="1382"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Reduction of the harmful environmental and social impacts associated with illegal logging, marine pollution and flood events in Malaysia.</w:t>
            </w:r>
          </w:p>
          <w:p w:rsidR="00535335" w:rsidRPr="001B3EF3" w:rsidRDefault="00535335" w:rsidP="004F68CF">
            <w:pPr>
              <w:spacing w:before="120" w:after="120"/>
              <w:rPr>
                <w:rFonts w:cs="Arial"/>
                <w:sz w:val="20"/>
                <w:szCs w:val="20"/>
              </w:rPr>
            </w:pPr>
            <w:r w:rsidRPr="001B3EF3">
              <w:rPr>
                <w:rFonts w:eastAsia="Arial" w:cs="Arial"/>
                <w:sz w:val="20"/>
                <w:szCs w:val="20"/>
              </w:rPr>
              <w:t xml:space="preserve">Increased economic benefits and savings to Malaysia from identifying legal logging, marine pollution and flood events. </w:t>
            </w:r>
          </w:p>
          <w:p w:rsidR="00535335" w:rsidRPr="001B3EF3" w:rsidRDefault="00535335" w:rsidP="004F68CF">
            <w:pPr>
              <w:spacing w:before="120" w:after="120"/>
              <w:rPr>
                <w:rFonts w:cs="Arial"/>
                <w:sz w:val="20"/>
                <w:szCs w:val="20"/>
              </w:rPr>
            </w:pPr>
            <w:r w:rsidRPr="001B3EF3">
              <w:rPr>
                <w:rFonts w:eastAsia="Arial" w:cs="Arial"/>
                <w:sz w:val="20"/>
                <w:szCs w:val="20"/>
              </w:rPr>
              <w:t>Economic benefits to the UK from strengthened satellite supply chain to Malaysia and beyond</w:t>
            </w:r>
            <w:r w:rsidRPr="00A5569C">
              <w:rPr>
                <w:rFonts w:eastAsia="Arial" w:cs="Arial"/>
                <w:sz w:val="20"/>
                <w:szCs w:val="20"/>
              </w:rPr>
              <w:t xml:space="preserve"> through export opportunities for related services</w:t>
            </w:r>
            <w:r w:rsidRPr="001B3EF3">
              <w:rPr>
                <w:rFonts w:eastAsia="Arial" w:cs="Arial"/>
                <w:sz w:val="20"/>
                <w:szCs w:val="20"/>
              </w:rPr>
              <w:t>.</w:t>
            </w:r>
          </w:p>
        </w:tc>
        <w:tc>
          <w:tcPr>
            <w:tcW w:w="1533"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 xml:space="preserve">Number of illegal logging and marine pollution activities investigated. </w:t>
            </w:r>
          </w:p>
          <w:p w:rsidR="00535335" w:rsidRPr="001B3EF3" w:rsidRDefault="00535335" w:rsidP="004F68CF">
            <w:pPr>
              <w:spacing w:before="120" w:after="120"/>
              <w:rPr>
                <w:rFonts w:cs="Arial"/>
                <w:sz w:val="20"/>
                <w:szCs w:val="20"/>
              </w:rPr>
            </w:pPr>
            <w:r w:rsidRPr="001B3EF3">
              <w:rPr>
                <w:rFonts w:eastAsia="Arial" w:cs="Arial"/>
                <w:sz w:val="20"/>
                <w:szCs w:val="20"/>
              </w:rPr>
              <w:t>Increased tax revenue from legal logging.</w:t>
            </w:r>
          </w:p>
          <w:p w:rsidR="00535335" w:rsidRPr="001B3EF3" w:rsidRDefault="00535335" w:rsidP="004F68CF">
            <w:pPr>
              <w:spacing w:before="120" w:after="120"/>
              <w:rPr>
                <w:rFonts w:cs="Arial"/>
                <w:sz w:val="20"/>
                <w:szCs w:val="20"/>
              </w:rPr>
            </w:pPr>
            <w:r>
              <w:rPr>
                <w:rFonts w:eastAsia="Arial" w:cs="Arial"/>
                <w:sz w:val="20"/>
                <w:szCs w:val="20"/>
              </w:rPr>
              <w:t>10% reduction in the e</w:t>
            </w:r>
            <w:r w:rsidRPr="001B3EF3">
              <w:rPr>
                <w:rFonts w:eastAsia="Arial" w:cs="Arial"/>
                <w:sz w:val="20"/>
                <w:szCs w:val="20"/>
              </w:rPr>
              <w:t xml:space="preserve">conomic cost </w:t>
            </w:r>
            <w:r>
              <w:rPr>
                <w:rFonts w:eastAsia="Arial" w:cs="Arial"/>
                <w:sz w:val="20"/>
                <w:szCs w:val="20"/>
              </w:rPr>
              <w:t>from these environmental events</w:t>
            </w:r>
            <w:r w:rsidRPr="001B3EF3">
              <w:rPr>
                <w:rFonts w:eastAsia="Arial" w:cs="Arial"/>
                <w:sz w:val="20"/>
                <w:szCs w:val="20"/>
              </w:rPr>
              <w:t>.</w:t>
            </w:r>
            <w:r>
              <w:rPr>
                <w:rFonts w:eastAsia="Arial" w:cs="Arial"/>
                <w:sz w:val="20"/>
                <w:szCs w:val="20"/>
              </w:rPr>
              <w:t xml:space="preserve"> </w:t>
            </w:r>
          </w:p>
          <w:p w:rsidR="00535335" w:rsidRPr="001B3EF3" w:rsidRDefault="00535335" w:rsidP="004F68CF">
            <w:pPr>
              <w:spacing w:before="120" w:after="120"/>
              <w:rPr>
                <w:rFonts w:cs="Arial"/>
                <w:sz w:val="20"/>
                <w:szCs w:val="20"/>
              </w:rPr>
            </w:pPr>
            <w:r w:rsidRPr="001B3EF3">
              <w:rPr>
                <w:rFonts w:eastAsia="Arial" w:cs="Arial"/>
                <w:sz w:val="20"/>
                <w:szCs w:val="20"/>
              </w:rPr>
              <w:t>Further contracts for UK organisations attributable to their involvement in the project.</w:t>
            </w:r>
          </w:p>
        </w:tc>
        <w:tc>
          <w:tcPr>
            <w:tcW w:w="623"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 xml:space="preserve">Malaysian Government provided statistics. </w:t>
            </w:r>
          </w:p>
          <w:p w:rsidR="00535335" w:rsidRPr="001B3EF3" w:rsidRDefault="00535335" w:rsidP="004F68CF">
            <w:pPr>
              <w:spacing w:before="120" w:after="120"/>
              <w:rPr>
                <w:rFonts w:cs="Arial"/>
                <w:sz w:val="20"/>
                <w:szCs w:val="20"/>
              </w:rPr>
            </w:pPr>
            <w:r w:rsidRPr="001B3EF3">
              <w:rPr>
                <w:rFonts w:eastAsia="Times New Roman" w:cs="Times New Roman"/>
                <w:sz w:val="20"/>
                <w:szCs w:val="20"/>
                <w:lang w:eastAsia="en-GB"/>
              </w:rPr>
              <w:t>Independent evaluation conducted at 5 years after project start</w:t>
            </w:r>
            <w:r w:rsidRPr="001B3EF3">
              <w:rPr>
                <w:rFonts w:eastAsia="Times New Roman" w:cs="Times New Roman"/>
                <w:i/>
                <w:iCs/>
                <w:sz w:val="20"/>
                <w:szCs w:val="20"/>
                <w:lang w:eastAsia="en-GB"/>
              </w:rPr>
              <w:t> </w:t>
            </w:r>
          </w:p>
        </w:tc>
        <w:tc>
          <w:tcPr>
            <w:tcW w:w="1076"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Malaysian Government willing to share data on tax revenues and investigations into illegal logging and marine pollution.</w:t>
            </w:r>
          </w:p>
          <w:p w:rsidR="00535335" w:rsidRPr="001B3EF3" w:rsidRDefault="00535335" w:rsidP="004F68CF">
            <w:pPr>
              <w:spacing w:before="120" w:after="120"/>
              <w:rPr>
                <w:rFonts w:cs="Arial"/>
                <w:sz w:val="20"/>
                <w:szCs w:val="20"/>
              </w:rPr>
            </w:pPr>
            <w:r w:rsidRPr="001B3EF3">
              <w:rPr>
                <w:rFonts w:eastAsia="Arial" w:cs="Arial"/>
                <w:sz w:val="20"/>
                <w:szCs w:val="20"/>
              </w:rPr>
              <w:t xml:space="preserve">Assumes that </w:t>
            </w:r>
            <w:r w:rsidRPr="00A5569C">
              <w:rPr>
                <w:rFonts w:eastAsia="Arial" w:cs="Arial"/>
                <w:sz w:val="20"/>
                <w:szCs w:val="20"/>
              </w:rPr>
              <w:t xml:space="preserve">the service is applied </w:t>
            </w:r>
            <w:r w:rsidRPr="001B3EF3">
              <w:rPr>
                <w:rFonts w:eastAsia="Arial" w:cs="Arial"/>
                <w:sz w:val="20"/>
                <w:szCs w:val="20"/>
              </w:rPr>
              <w:t>to regions in Malaysia beyond the scope of this project.</w:t>
            </w:r>
          </w:p>
        </w:tc>
      </w:tr>
      <w:tr w:rsidR="00535335" w:rsidRPr="00A5569C" w:rsidTr="004F68CF">
        <w:tc>
          <w:tcPr>
            <w:tcW w:w="387" w:type="pct"/>
            <w:shd w:val="clear" w:color="auto" w:fill="D9D9D9" w:themeFill="background1" w:themeFillShade="D9"/>
          </w:tcPr>
          <w:p w:rsidR="00535335" w:rsidRPr="001B3EF3" w:rsidRDefault="00535335" w:rsidP="004F68CF">
            <w:pPr>
              <w:spacing w:before="120" w:after="120"/>
              <w:rPr>
                <w:b/>
                <w:bCs/>
                <w:sz w:val="20"/>
                <w:szCs w:val="20"/>
              </w:rPr>
            </w:pPr>
            <w:r w:rsidRPr="001B3EF3">
              <w:rPr>
                <w:b/>
                <w:bCs/>
                <w:sz w:val="20"/>
                <w:szCs w:val="20"/>
              </w:rPr>
              <w:t>Outcomes at 2.5 years</w:t>
            </w:r>
          </w:p>
        </w:tc>
        <w:tc>
          <w:tcPr>
            <w:tcW w:w="1382"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Increased rate of detection of illegal logging in</w:t>
            </w:r>
            <w:r w:rsidRPr="00A5569C">
              <w:rPr>
                <w:rFonts w:eastAsia="Arial" w:cs="Arial"/>
                <w:sz w:val="20"/>
                <w:szCs w:val="20"/>
              </w:rPr>
              <w:t xml:space="preserve"> 2</w:t>
            </w:r>
            <w:r w:rsidRPr="001B3EF3">
              <w:rPr>
                <w:rFonts w:eastAsia="Arial" w:cs="Arial"/>
                <w:sz w:val="20"/>
                <w:szCs w:val="20"/>
              </w:rPr>
              <w:t xml:space="preserve"> region</w:t>
            </w:r>
            <w:r w:rsidRPr="00A5569C">
              <w:rPr>
                <w:rFonts w:eastAsia="Arial" w:cs="Arial"/>
                <w:sz w:val="20"/>
                <w:szCs w:val="20"/>
              </w:rPr>
              <w:t>s</w:t>
            </w:r>
            <w:r w:rsidRPr="001B3EF3">
              <w:rPr>
                <w:rFonts w:eastAsia="Arial" w:cs="Arial"/>
                <w:sz w:val="20"/>
                <w:szCs w:val="20"/>
              </w:rPr>
              <w:t xml:space="preserve"> of Malaysia. </w:t>
            </w:r>
          </w:p>
          <w:p w:rsidR="00535335" w:rsidRPr="001B3EF3" w:rsidRDefault="00535335" w:rsidP="004F68CF">
            <w:pPr>
              <w:spacing w:before="120" w:after="120"/>
              <w:rPr>
                <w:rFonts w:cs="Arial"/>
                <w:sz w:val="20"/>
                <w:szCs w:val="20"/>
              </w:rPr>
            </w:pPr>
            <w:r w:rsidRPr="001B3EF3">
              <w:rPr>
                <w:rFonts w:eastAsia="Arial" w:cs="Arial"/>
                <w:sz w:val="20"/>
                <w:szCs w:val="20"/>
              </w:rPr>
              <w:t xml:space="preserve">Increased rate of detection of marine pollution in </w:t>
            </w:r>
            <w:r w:rsidRPr="00A5569C">
              <w:rPr>
                <w:rFonts w:eastAsia="Arial" w:cs="Arial"/>
                <w:sz w:val="20"/>
                <w:szCs w:val="20"/>
              </w:rPr>
              <w:t xml:space="preserve">two sectors of </w:t>
            </w:r>
            <w:r w:rsidRPr="001B3EF3">
              <w:rPr>
                <w:rFonts w:eastAsia="Arial" w:cs="Arial"/>
                <w:sz w:val="20"/>
                <w:szCs w:val="20"/>
              </w:rPr>
              <w:t xml:space="preserve">the Malacca Straits as </w:t>
            </w:r>
            <w:r w:rsidRPr="00A5569C">
              <w:rPr>
                <w:rFonts w:eastAsia="Arial" w:cs="Arial"/>
                <w:sz w:val="20"/>
                <w:szCs w:val="20"/>
              </w:rPr>
              <w:t xml:space="preserve">the </w:t>
            </w:r>
            <w:r w:rsidRPr="001B3EF3">
              <w:rPr>
                <w:rFonts w:eastAsia="Arial" w:cs="Arial"/>
                <w:sz w:val="20"/>
                <w:szCs w:val="20"/>
              </w:rPr>
              <w:t>Coastguard has increased capability</w:t>
            </w:r>
            <w:r w:rsidRPr="00A5569C">
              <w:rPr>
                <w:rFonts w:eastAsia="Arial" w:cs="Arial"/>
                <w:sz w:val="20"/>
                <w:szCs w:val="20"/>
              </w:rPr>
              <w:t xml:space="preserve"> for identification</w:t>
            </w:r>
            <w:r w:rsidRPr="001B3EF3">
              <w:rPr>
                <w:rFonts w:eastAsia="Arial" w:cs="Arial"/>
                <w:sz w:val="20"/>
                <w:szCs w:val="20"/>
              </w:rPr>
              <w:t>.</w:t>
            </w:r>
          </w:p>
          <w:p w:rsidR="00535335" w:rsidRPr="001B3EF3" w:rsidRDefault="00535335" w:rsidP="004F68CF">
            <w:pPr>
              <w:spacing w:before="120" w:after="120"/>
              <w:rPr>
                <w:rFonts w:cs="Arial"/>
                <w:sz w:val="20"/>
                <w:szCs w:val="20"/>
              </w:rPr>
            </w:pPr>
            <w:r w:rsidRPr="001B3EF3">
              <w:rPr>
                <w:rFonts w:eastAsia="Arial" w:cs="Arial"/>
                <w:sz w:val="20"/>
                <w:szCs w:val="20"/>
              </w:rPr>
              <w:t>Illegal loggers and marine pollutants discouraged as a result of increased threat of detection.</w:t>
            </w:r>
          </w:p>
          <w:p w:rsidR="00535335" w:rsidRPr="001B3EF3" w:rsidRDefault="00535335" w:rsidP="004F68CF">
            <w:pPr>
              <w:spacing w:before="120" w:after="120"/>
              <w:rPr>
                <w:rFonts w:cs="Arial"/>
                <w:sz w:val="20"/>
                <w:szCs w:val="20"/>
              </w:rPr>
            </w:pPr>
            <w:r w:rsidRPr="001B3EF3">
              <w:rPr>
                <w:rFonts w:eastAsia="Arial" w:cs="Arial"/>
                <w:sz w:val="20"/>
                <w:szCs w:val="20"/>
              </w:rPr>
              <w:lastRenderedPageBreak/>
              <w:t>Improved handling of flood events and preventative measures considered.</w:t>
            </w:r>
          </w:p>
          <w:p w:rsidR="00535335" w:rsidRPr="001B3EF3" w:rsidRDefault="00535335" w:rsidP="004F68CF">
            <w:pPr>
              <w:spacing w:before="120" w:after="120"/>
              <w:rPr>
                <w:rFonts w:cs="Arial"/>
                <w:sz w:val="20"/>
                <w:szCs w:val="20"/>
              </w:rPr>
            </w:pPr>
            <w:r w:rsidRPr="001B3EF3">
              <w:rPr>
                <w:rFonts w:eastAsia="Arial" w:cs="Arial"/>
                <w:sz w:val="20"/>
                <w:szCs w:val="20"/>
              </w:rPr>
              <w:t xml:space="preserve">Malaysian Government licences service for ongoing use </w:t>
            </w:r>
            <w:r w:rsidRPr="00A5569C">
              <w:rPr>
                <w:rFonts w:eastAsia="Arial" w:cs="Arial"/>
                <w:sz w:val="20"/>
                <w:szCs w:val="20"/>
              </w:rPr>
              <w:t>across Malaysia</w:t>
            </w:r>
            <w:r w:rsidRPr="001B3EF3">
              <w:rPr>
                <w:rFonts w:eastAsia="Arial" w:cs="Arial"/>
                <w:sz w:val="20"/>
                <w:szCs w:val="20"/>
              </w:rPr>
              <w:t xml:space="preserve">, post project. </w:t>
            </w:r>
          </w:p>
        </w:tc>
        <w:tc>
          <w:tcPr>
            <w:tcW w:w="1533"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lastRenderedPageBreak/>
              <w:t>Number of illegal logging areas detected p.a. before and after service implementation for the two regions and comparator region</w:t>
            </w:r>
            <w:r w:rsidRPr="00A5569C">
              <w:rPr>
                <w:rFonts w:eastAsia="Arial" w:cs="Arial"/>
                <w:sz w:val="20"/>
                <w:szCs w:val="20"/>
              </w:rPr>
              <w:t>s</w:t>
            </w:r>
            <w:r w:rsidRPr="001B3EF3">
              <w:rPr>
                <w:rFonts w:eastAsia="Arial" w:cs="Arial"/>
                <w:sz w:val="20"/>
                <w:szCs w:val="20"/>
              </w:rPr>
              <w:t>.</w:t>
            </w:r>
          </w:p>
          <w:p w:rsidR="00535335" w:rsidRPr="001B3EF3" w:rsidRDefault="00535335" w:rsidP="004F68CF">
            <w:pPr>
              <w:spacing w:before="120" w:after="120"/>
              <w:rPr>
                <w:rFonts w:cs="Arial"/>
                <w:sz w:val="20"/>
                <w:szCs w:val="20"/>
              </w:rPr>
            </w:pPr>
            <w:r w:rsidRPr="001B3EF3">
              <w:rPr>
                <w:rFonts w:eastAsia="Arial" w:cs="Arial"/>
                <w:sz w:val="20"/>
                <w:szCs w:val="20"/>
              </w:rPr>
              <w:t xml:space="preserve">Number of marine pollution events detected p.a. before and after service </w:t>
            </w:r>
            <w:r w:rsidRPr="00A5569C">
              <w:rPr>
                <w:rFonts w:eastAsia="Arial" w:cs="Arial"/>
                <w:sz w:val="20"/>
                <w:szCs w:val="20"/>
              </w:rPr>
              <w:t>i</w:t>
            </w:r>
            <w:r w:rsidRPr="001B3EF3">
              <w:rPr>
                <w:rFonts w:eastAsia="Arial" w:cs="Arial"/>
                <w:sz w:val="20"/>
                <w:szCs w:val="20"/>
              </w:rPr>
              <w:t>mplementation.</w:t>
            </w:r>
          </w:p>
          <w:p w:rsidR="00535335" w:rsidRPr="001B3EF3" w:rsidRDefault="00535335" w:rsidP="004F68CF">
            <w:pPr>
              <w:spacing w:before="120" w:after="120"/>
              <w:rPr>
                <w:rFonts w:cs="Arial"/>
                <w:sz w:val="20"/>
                <w:szCs w:val="20"/>
              </w:rPr>
            </w:pPr>
            <w:r w:rsidRPr="001B3EF3">
              <w:rPr>
                <w:rFonts w:eastAsia="Arial" w:cs="Arial"/>
                <w:sz w:val="20"/>
                <w:szCs w:val="20"/>
              </w:rPr>
              <w:t>Government feedback and usage of flood event system.</w:t>
            </w:r>
          </w:p>
          <w:p w:rsidR="00535335" w:rsidRPr="001B3EF3" w:rsidRDefault="00535335" w:rsidP="004F68CF">
            <w:pPr>
              <w:spacing w:before="120" w:after="120"/>
              <w:rPr>
                <w:rFonts w:cs="Arial"/>
                <w:sz w:val="20"/>
                <w:szCs w:val="20"/>
              </w:rPr>
            </w:pPr>
            <w:r w:rsidRPr="001B3EF3">
              <w:rPr>
                <w:rFonts w:eastAsia="Arial" w:cs="Arial"/>
                <w:sz w:val="20"/>
                <w:szCs w:val="20"/>
              </w:rPr>
              <w:t>Contract(s) with Malaysian Government for ongoing service, post project.</w:t>
            </w:r>
          </w:p>
        </w:tc>
        <w:tc>
          <w:tcPr>
            <w:tcW w:w="623"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 xml:space="preserve">Government personnel visits to verify illegal logging activities and marine pollution events. </w:t>
            </w:r>
          </w:p>
          <w:p w:rsidR="00535335" w:rsidRPr="001B3EF3" w:rsidRDefault="00535335" w:rsidP="004F68CF">
            <w:pPr>
              <w:spacing w:before="120" w:after="120"/>
              <w:rPr>
                <w:rFonts w:cs="Arial"/>
                <w:sz w:val="20"/>
                <w:szCs w:val="20"/>
              </w:rPr>
            </w:pPr>
            <w:r w:rsidRPr="001B3EF3">
              <w:rPr>
                <w:rFonts w:eastAsia="Arial" w:cs="Arial"/>
                <w:sz w:val="20"/>
                <w:szCs w:val="20"/>
              </w:rPr>
              <w:t>Contract or letter of intent from Malaysian Government.</w:t>
            </w:r>
          </w:p>
          <w:p w:rsidR="00535335" w:rsidRPr="001B3EF3" w:rsidRDefault="00535335" w:rsidP="004F68CF">
            <w:pPr>
              <w:spacing w:before="120" w:after="120"/>
              <w:rPr>
                <w:rFonts w:cs="Arial"/>
                <w:sz w:val="20"/>
                <w:szCs w:val="20"/>
              </w:rPr>
            </w:pPr>
            <w:r w:rsidRPr="001B3EF3">
              <w:rPr>
                <w:rFonts w:eastAsia="Arial" w:cs="Arial"/>
                <w:sz w:val="20"/>
                <w:szCs w:val="20"/>
              </w:rPr>
              <w:lastRenderedPageBreak/>
              <w:t>Independent evaluation at 2.5 years after project start.</w:t>
            </w:r>
          </w:p>
        </w:tc>
        <w:tc>
          <w:tcPr>
            <w:tcW w:w="1076"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lastRenderedPageBreak/>
              <w:t>Assumes that an appropriate comparator region can be identified for a difference-in-difference analysis on illegal logging.</w:t>
            </w:r>
          </w:p>
          <w:p w:rsidR="00535335" w:rsidRPr="001B3EF3" w:rsidRDefault="00535335" w:rsidP="004F68CF">
            <w:pPr>
              <w:spacing w:before="120" w:after="120"/>
              <w:rPr>
                <w:rFonts w:cs="Arial"/>
                <w:sz w:val="20"/>
                <w:szCs w:val="20"/>
              </w:rPr>
            </w:pPr>
            <w:r w:rsidRPr="001B3EF3">
              <w:rPr>
                <w:rFonts w:eastAsia="Arial" w:cs="Arial"/>
                <w:sz w:val="20"/>
                <w:szCs w:val="20"/>
              </w:rPr>
              <w:t>Assumes that the Malaysian Government will commit sufficient resources to investigating illegal logging and marine pollution alerts.</w:t>
            </w:r>
          </w:p>
          <w:p w:rsidR="00535335" w:rsidRPr="001B3EF3" w:rsidRDefault="00535335" w:rsidP="004F68CF">
            <w:pPr>
              <w:spacing w:before="120" w:after="120"/>
              <w:rPr>
                <w:rFonts w:cs="Arial"/>
                <w:sz w:val="20"/>
                <w:szCs w:val="20"/>
              </w:rPr>
            </w:pPr>
            <w:r w:rsidRPr="001B3EF3">
              <w:rPr>
                <w:rFonts w:eastAsia="Arial" w:cs="Arial"/>
                <w:sz w:val="20"/>
                <w:szCs w:val="20"/>
              </w:rPr>
              <w:lastRenderedPageBreak/>
              <w:t>Assumes that the Malaysian Government will publicise that the service is operational in order to deter illegal logging and marine pollution.</w:t>
            </w:r>
          </w:p>
        </w:tc>
      </w:tr>
      <w:tr w:rsidR="00535335" w:rsidRPr="00A5569C" w:rsidTr="004F68CF">
        <w:tc>
          <w:tcPr>
            <w:tcW w:w="387" w:type="pct"/>
            <w:shd w:val="clear" w:color="auto" w:fill="D9D9D9" w:themeFill="background1" w:themeFillShade="D9"/>
          </w:tcPr>
          <w:p w:rsidR="00535335" w:rsidRPr="001B3EF3" w:rsidRDefault="00535335" w:rsidP="004F68CF">
            <w:pPr>
              <w:spacing w:before="120" w:after="120"/>
              <w:rPr>
                <w:b/>
                <w:bCs/>
                <w:sz w:val="20"/>
                <w:szCs w:val="20"/>
              </w:rPr>
            </w:pPr>
          </w:p>
        </w:tc>
        <w:tc>
          <w:tcPr>
            <w:tcW w:w="4613" w:type="pct"/>
            <w:gridSpan w:val="4"/>
            <w:shd w:val="clear" w:color="auto" w:fill="D9D9D9" w:themeFill="background1" w:themeFillShade="D9"/>
          </w:tcPr>
          <w:p w:rsidR="00535335" w:rsidRPr="001B3EF3" w:rsidRDefault="00535335" w:rsidP="004F68CF">
            <w:pPr>
              <w:spacing w:before="120" w:after="120"/>
              <w:jc w:val="center"/>
              <w:rPr>
                <w:b/>
                <w:bCs/>
                <w:sz w:val="20"/>
                <w:szCs w:val="20"/>
              </w:rPr>
            </w:pPr>
            <w:r w:rsidRPr="001B3EF3">
              <w:rPr>
                <w:b/>
                <w:bCs/>
                <w:sz w:val="20"/>
                <w:szCs w:val="20"/>
              </w:rPr>
              <w:t>Increasingly resilient Malaysia through Satellite-enabled Surveillance of Illegal Logging, Marine Pollution and Flood Events (cont.)</w:t>
            </w:r>
          </w:p>
        </w:tc>
      </w:tr>
      <w:tr w:rsidR="00535335" w:rsidRPr="00A5569C" w:rsidTr="004F68CF">
        <w:tc>
          <w:tcPr>
            <w:tcW w:w="387" w:type="pct"/>
            <w:shd w:val="clear" w:color="auto" w:fill="D9D9D9" w:themeFill="background1" w:themeFillShade="D9"/>
          </w:tcPr>
          <w:p w:rsidR="00535335" w:rsidRPr="001B3EF3" w:rsidRDefault="00535335" w:rsidP="004F68CF">
            <w:pPr>
              <w:spacing w:before="120" w:after="120"/>
              <w:rPr>
                <w:b/>
                <w:bCs/>
                <w:sz w:val="20"/>
                <w:szCs w:val="20"/>
              </w:rPr>
            </w:pPr>
          </w:p>
        </w:tc>
        <w:tc>
          <w:tcPr>
            <w:tcW w:w="1382" w:type="pct"/>
            <w:shd w:val="clear" w:color="auto" w:fill="D9D9D9" w:themeFill="background1" w:themeFillShade="D9"/>
          </w:tcPr>
          <w:p w:rsidR="00535335" w:rsidRPr="00A5569C" w:rsidRDefault="00535335" w:rsidP="004F68CF">
            <w:pPr>
              <w:spacing w:before="120" w:after="120"/>
              <w:jc w:val="center"/>
              <w:rPr>
                <w:rFonts w:eastAsia="Arial" w:cs="Arial"/>
                <w:sz w:val="20"/>
                <w:szCs w:val="20"/>
              </w:rPr>
            </w:pPr>
            <w:r w:rsidRPr="001B3EF3">
              <w:rPr>
                <w:b/>
                <w:bCs/>
                <w:sz w:val="20"/>
                <w:szCs w:val="20"/>
              </w:rPr>
              <w:t>Summary of quantified SMART targets for each level</w:t>
            </w:r>
          </w:p>
        </w:tc>
        <w:tc>
          <w:tcPr>
            <w:tcW w:w="1533" w:type="pct"/>
            <w:shd w:val="clear" w:color="auto" w:fill="D9D9D9" w:themeFill="background1" w:themeFillShade="D9"/>
          </w:tcPr>
          <w:p w:rsidR="00535335" w:rsidRPr="00A5569C" w:rsidRDefault="00535335" w:rsidP="004F68CF">
            <w:pPr>
              <w:spacing w:before="120" w:after="120"/>
              <w:jc w:val="center"/>
              <w:rPr>
                <w:rFonts w:eastAsia="Arial" w:cs="Arial"/>
                <w:sz w:val="20"/>
                <w:szCs w:val="20"/>
              </w:rPr>
            </w:pPr>
            <w:r w:rsidRPr="001B3EF3">
              <w:rPr>
                <w:b/>
                <w:bCs/>
                <w:sz w:val="20"/>
                <w:szCs w:val="20"/>
              </w:rPr>
              <w:t>Indicators (quantitative and qualitative)</w:t>
            </w:r>
          </w:p>
        </w:tc>
        <w:tc>
          <w:tcPr>
            <w:tcW w:w="623" w:type="pct"/>
            <w:shd w:val="clear" w:color="auto" w:fill="D9D9D9" w:themeFill="background1" w:themeFillShade="D9"/>
          </w:tcPr>
          <w:p w:rsidR="00535335" w:rsidRPr="00A5569C" w:rsidRDefault="00535335" w:rsidP="004F68CF">
            <w:pPr>
              <w:spacing w:before="120" w:after="120"/>
              <w:jc w:val="center"/>
              <w:rPr>
                <w:rFonts w:eastAsia="Arial" w:cs="Arial"/>
                <w:sz w:val="20"/>
                <w:szCs w:val="20"/>
              </w:rPr>
            </w:pPr>
            <w:r w:rsidRPr="001B3EF3">
              <w:rPr>
                <w:b/>
                <w:bCs/>
                <w:sz w:val="20"/>
                <w:szCs w:val="20"/>
              </w:rPr>
              <w:t>Means of Verification</w:t>
            </w:r>
          </w:p>
        </w:tc>
        <w:tc>
          <w:tcPr>
            <w:tcW w:w="1076" w:type="pct"/>
            <w:shd w:val="clear" w:color="auto" w:fill="D9D9D9" w:themeFill="background1" w:themeFillShade="D9"/>
          </w:tcPr>
          <w:p w:rsidR="00535335" w:rsidRPr="00A5569C" w:rsidRDefault="00535335" w:rsidP="004F68CF">
            <w:pPr>
              <w:spacing w:before="120" w:after="120"/>
              <w:jc w:val="center"/>
              <w:rPr>
                <w:rFonts w:eastAsia="Arial" w:cs="Arial"/>
                <w:sz w:val="20"/>
                <w:szCs w:val="20"/>
              </w:rPr>
            </w:pPr>
            <w:r w:rsidRPr="001B3EF3">
              <w:rPr>
                <w:b/>
                <w:bCs/>
                <w:sz w:val="20"/>
                <w:szCs w:val="20"/>
              </w:rPr>
              <w:t>Assumptions</w:t>
            </w:r>
          </w:p>
        </w:tc>
      </w:tr>
      <w:tr w:rsidR="00535335" w:rsidRPr="00A5569C" w:rsidTr="004F68CF">
        <w:tc>
          <w:tcPr>
            <w:tcW w:w="387" w:type="pct"/>
            <w:shd w:val="clear" w:color="auto" w:fill="D9D9D9" w:themeFill="background1" w:themeFillShade="D9"/>
          </w:tcPr>
          <w:p w:rsidR="00535335" w:rsidRPr="001B3EF3" w:rsidRDefault="00535335" w:rsidP="004F68CF">
            <w:pPr>
              <w:spacing w:before="120" w:after="120"/>
              <w:rPr>
                <w:b/>
                <w:bCs/>
                <w:sz w:val="20"/>
                <w:szCs w:val="20"/>
              </w:rPr>
            </w:pPr>
            <w:r w:rsidRPr="001B3EF3">
              <w:rPr>
                <w:b/>
                <w:bCs/>
                <w:sz w:val="20"/>
                <w:szCs w:val="20"/>
              </w:rPr>
              <w:t>Outputs at 18 months</w:t>
            </w:r>
          </w:p>
        </w:tc>
        <w:tc>
          <w:tcPr>
            <w:tcW w:w="1382" w:type="pct"/>
            <w:shd w:val="clear" w:color="auto" w:fill="FFFFFF" w:themeFill="background1"/>
          </w:tcPr>
          <w:p w:rsidR="00535335" w:rsidRPr="001B3EF3" w:rsidRDefault="00535335" w:rsidP="004F68CF">
            <w:pPr>
              <w:spacing w:before="120" w:after="120"/>
              <w:rPr>
                <w:rFonts w:eastAsia="Arial" w:cs="Arial"/>
                <w:sz w:val="20"/>
                <w:szCs w:val="20"/>
              </w:rPr>
            </w:pPr>
            <w:r w:rsidRPr="00A5569C">
              <w:rPr>
                <w:rFonts w:eastAsia="Arial" w:cs="Arial"/>
                <w:sz w:val="20"/>
                <w:szCs w:val="20"/>
              </w:rPr>
              <w:t xml:space="preserve">Scalable </w:t>
            </w:r>
            <w:r w:rsidRPr="001B3EF3">
              <w:rPr>
                <w:rFonts w:eastAsia="Arial" w:cs="Arial"/>
                <w:sz w:val="20"/>
                <w:szCs w:val="20"/>
              </w:rPr>
              <w:t>platform delivered to in-country team</w:t>
            </w:r>
            <w:r w:rsidRPr="00A5569C">
              <w:rPr>
                <w:rFonts w:eastAsia="Arial" w:cs="Arial"/>
                <w:sz w:val="20"/>
                <w:szCs w:val="20"/>
              </w:rPr>
              <w:t>, with each of the three environmental services operational in two regions</w:t>
            </w:r>
            <w:r w:rsidRPr="001B3EF3">
              <w:rPr>
                <w:rFonts w:eastAsia="Arial" w:cs="Arial"/>
                <w:sz w:val="20"/>
                <w:szCs w:val="20"/>
              </w:rPr>
              <w:t>, with handover documentation and sufficient training.</w:t>
            </w:r>
          </w:p>
          <w:p w:rsidR="00535335" w:rsidRPr="001B3EF3" w:rsidRDefault="00535335" w:rsidP="004F68CF">
            <w:pPr>
              <w:spacing w:before="120" w:after="120"/>
              <w:rPr>
                <w:rFonts w:cs="Arial"/>
                <w:sz w:val="20"/>
                <w:szCs w:val="20"/>
              </w:rPr>
            </w:pPr>
            <w:r w:rsidRPr="001B3EF3">
              <w:rPr>
                <w:rFonts w:eastAsia="Arial" w:cs="Arial"/>
                <w:sz w:val="20"/>
                <w:szCs w:val="20"/>
              </w:rPr>
              <w:t>Business plan.</w:t>
            </w:r>
          </w:p>
          <w:p w:rsidR="00535335" w:rsidRPr="001B3EF3" w:rsidRDefault="00535335" w:rsidP="004F68CF">
            <w:pPr>
              <w:spacing w:before="120" w:after="120"/>
              <w:rPr>
                <w:rFonts w:cs="Arial"/>
                <w:sz w:val="20"/>
                <w:szCs w:val="20"/>
              </w:rPr>
            </w:pPr>
            <w:r w:rsidRPr="001B3EF3">
              <w:rPr>
                <w:rFonts w:eastAsia="Arial" w:cs="Arial"/>
                <w:sz w:val="20"/>
                <w:szCs w:val="20"/>
              </w:rPr>
              <w:t>Baseline data and evaluation reports.</w:t>
            </w:r>
          </w:p>
          <w:p w:rsidR="00535335" w:rsidRPr="001B3EF3" w:rsidRDefault="00535335" w:rsidP="004F68CF">
            <w:pPr>
              <w:spacing w:before="120" w:after="120"/>
              <w:rPr>
                <w:rFonts w:cs="Arial"/>
                <w:sz w:val="20"/>
                <w:szCs w:val="20"/>
              </w:rPr>
            </w:pPr>
          </w:p>
        </w:tc>
        <w:tc>
          <w:tcPr>
            <w:tcW w:w="1533"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Use of the platform throughout the project lifetime</w:t>
            </w:r>
            <w:r w:rsidRPr="00A5569C">
              <w:rPr>
                <w:rFonts w:eastAsia="Arial" w:cs="Arial"/>
                <w:sz w:val="20"/>
                <w:szCs w:val="20"/>
              </w:rPr>
              <w:t xml:space="preserve"> at more than ten of the </w:t>
            </w:r>
            <w:r>
              <w:rPr>
                <w:rFonts w:eastAsia="Arial" w:cs="Arial"/>
                <w:sz w:val="20"/>
                <w:szCs w:val="20"/>
              </w:rPr>
              <w:t>24</w:t>
            </w:r>
            <w:r w:rsidRPr="00A5569C">
              <w:rPr>
                <w:rFonts w:eastAsia="Arial" w:cs="Arial"/>
                <w:sz w:val="20"/>
                <w:szCs w:val="20"/>
              </w:rPr>
              <w:t xml:space="preserve"> Government agencies.</w:t>
            </w:r>
            <w:r>
              <w:rPr>
                <w:rFonts w:eastAsia="Arial" w:cs="Arial"/>
                <w:sz w:val="20"/>
                <w:szCs w:val="20"/>
              </w:rPr>
              <w:t xml:space="preserve"> </w:t>
            </w:r>
          </w:p>
          <w:p w:rsidR="00535335" w:rsidRPr="001B3EF3" w:rsidRDefault="00535335" w:rsidP="004F68CF">
            <w:pPr>
              <w:spacing w:before="120" w:after="120"/>
              <w:rPr>
                <w:rFonts w:cs="Arial"/>
                <w:sz w:val="20"/>
                <w:szCs w:val="20"/>
              </w:rPr>
            </w:pPr>
            <w:r w:rsidRPr="001B3EF3">
              <w:rPr>
                <w:rFonts w:eastAsia="Arial" w:cs="Arial"/>
                <w:sz w:val="20"/>
                <w:szCs w:val="20"/>
              </w:rPr>
              <w:t xml:space="preserve">Business plan sign-off from all contributing partners </w:t>
            </w:r>
          </w:p>
          <w:p w:rsidR="00535335" w:rsidRPr="00A5569C" w:rsidRDefault="00535335" w:rsidP="004F68CF">
            <w:pPr>
              <w:spacing w:before="120" w:after="120"/>
              <w:rPr>
                <w:rFonts w:eastAsia="Arial" w:cs="Arial"/>
                <w:sz w:val="20"/>
                <w:szCs w:val="20"/>
              </w:rPr>
            </w:pPr>
            <w:r w:rsidRPr="001B3EF3">
              <w:rPr>
                <w:rFonts w:eastAsia="Arial" w:cs="Arial"/>
                <w:sz w:val="20"/>
                <w:szCs w:val="20"/>
              </w:rPr>
              <w:t>3 M&amp;E reports delivered: baseline and M&amp;E framework; interim evaluation and final evaluation.</w:t>
            </w:r>
          </w:p>
          <w:p w:rsidR="00535335" w:rsidRDefault="00535335" w:rsidP="004F68CF">
            <w:pPr>
              <w:spacing w:before="120" w:after="120"/>
              <w:rPr>
                <w:rFonts w:eastAsia="Arial" w:cs="Arial"/>
                <w:sz w:val="20"/>
                <w:szCs w:val="20"/>
              </w:rPr>
            </w:pPr>
            <w:r>
              <w:rPr>
                <w:rFonts w:eastAsia="Arial" w:cs="Arial"/>
                <w:sz w:val="20"/>
                <w:szCs w:val="20"/>
              </w:rPr>
              <w:t>KPIs: (see main proposal for full details).  Reporting will be monthly for the first 3 months of reportable data and quarterly thereafter.</w:t>
            </w:r>
          </w:p>
          <w:p w:rsidR="00535335" w:rsidRPr="008B41EB" w:rsidRDefault="00535335" w:rsidP="004F68CF">
            <w:pPr>
              <w:pStyle w:val="ListParagraph"/>
              <w:spacing w:before="120" w:after="120"/>
              <w:rPr>
                <w:rFonts w:cs="Arial"/>
                <w:sz w:val="20"/>
                <w:szCs w:val="20"/>
                <w:u w:val="single"/>
              </w:rPr>
            </w:pPr>
            <w:r>
              <w:rPr>
                <w:rFonts w:cs="Arial"/>
                <w:sz w:val="20"/>
                <w:szCs w:val="20"/>
                <w:u w:val="single"/>
              </w:rPr>
              <w:t>Dashboard</w:t>
            </w:r>
          </w:p>
          <w:p w:rsidR="00535335" w:rsidRDefault="00535335" w:rsidP="00535335">
            <w:pPr>
              <w:pStyle w:val="ListParagraph"/>
              <w:numPr>
                <w:ilvl w:val="0"/>
                <w:numId w:val="20"/>
              </w:numPr>
              <w:spacing w:before="120" w:after="120"/>
              <w:rPr>
                <w:rFonts w:cs="Arial"/>
                <w:sz w:val="20"/>
                <w:szCs w:val="20"/>
              </w:rPr>
            </w:pPr>
            <w:r>
              <w:rPr>
                <w:rFonts w:cs="Arial"/>
                <w:sz w:val="20"/>
                <w:szCs w:val="20"/>
              </w:rPr>
              <w:t>Number of active users of the dashboard</w:t>
            </w:r>
          </w:p>
          <w:p w:rsidR="00535335" w:rsidRPr="008B41EB" w:rsidRDefault="00535335" w:rsidP="004F68CF">
            <w:pPr>
              <w:pStyle w:val="ListParagraph"/>
              <w:spacing w:before="120" w:after="120"/>
              <w:rPr>
                <w:rFonts w:cs="Arial"/>
                <w:sz w:val="20"/>
                <w:szCs w:val="20"/>
                <w:u w:val="single"/>
              </w:rPr>
            </w:pPr>
            <w:r>
              <w:rPr>
                <w:rFonts w:cs="Arial"/>
                <w:sz w:val="20"/>
                <w:szCs w:val="20"/>
                <w:u w:val="single"/>
              </w:rPr>
              <w:t>Flooding</w:t>
            </w:r>
          </w:p>
          <w:p w:rsidR="00535335" w:rsidRDefault="00535335" w:rsidP="00535335">
            <w:pPr>
              <w:pStyle w:val="ListParagraph"/>
              <w:numPr>
                <w:ilvl w:val="0"/>
                <w:numId w:val="20"/>
              </w:numPr>
              <w:spacing w:before="120" w:after="120"/>
              <w:rPr>
                <w:rFonts w:cs="Arial"/>
                <w:sz w:val="20"/>
                <w:szCs w:val="20"/>
              </w:rPr>
            </w:pPr>
            <w:r>
              <w:rPr>
                <w:rFonts w:cs="Arial"/>
                <w:sz w:val="20"/>
                <w:szCs w:val="20"/>
              </w:rPr>
              <w:t>Number of forecast flood alerts</w:t>
            </w:r>
          </w:p>
          <w:p w:rsidR="00535335" w:rsidRDefault="00535335" w:rsidP="00535335">
            <w:pPr>
              <w:pStyle w:val="ListParagraph"/>
              <w:numPr>
                <w:ilvl w:val="0"/>
                <w:numId w:val="20"/>
              </w:numPr>
              <w:spacing w:before="120" w:after="120"/>
              <w:rPr>
                <w:rFonts w:cs="Arial"/>
                <w:sz w:val="20"/>
                <w:szCs w:val="20"/>
              </w:rPr>
            </w:pPr>
            <w:r>
              <w:rPr>
                <w:rFonts w:cs="Arial"/>
                <w:sz w:val="20"/>
                <w:szCs w:val="20"/>
              </w:rPr>
              <w:t>Accuracy of flood alerts</w:t>
            </w:r>
          </w:p>
          <w:p w:rsidR="00535335" w:rsidRDefault="00535335" w:rsidP="00535335">
            <w:pPr>
              <w:pStyle w:val="ListParagraph"/>
              <w:numPr>
                <w:ilvl w:val="0"/>
                <w:numId w:val="20"/>
              </w:numPr>
              <w:spacing w:before="120" w:after="120"/>
              <w:rPr>
                <w:rFonts w:cs="Arial"/>
                <w:sz w:val="20"/>
                <w:szCs w:val="20"/>
              </w:rPr>
            </w:pPr>
            <w:r>
              <w:rPr>
                <w:rFonts w:cs="Arial"/>
                <w:sz w:val="20"/>
                <w:szCs w:val="20"/>
              </w:rPr>
              <w:t>Number of views of risk exposure maps</w:t>
            </w:r>
            <w:r>
              <w:rPr>
                <w:rFonts w:cs="Arial"/>
                <w:sz w:val="20"/>
                <w:szCs w:val="20"/>
              </w:rPr>
              <w:br/>
            </w:r>
            <w:r>
              <w:rPr>
                <w:rFonts w:cs="Arial"/>
                <w:sz w:val="20"/>
                <w:szCs w:val="20"/>
                <w:u w:val="single"/>
              </w:rPr>
              <w:t>Marine Pollution</w:t>
            </w:r>
          </w:p>
          <w:p w:rsidR="00535335" w:rsidRDefault="00535335" w:rsidP="00535335">
            <w:pPr>
              <w:pStyle w:val="ListParagraph"/>
              <w:numPr>
                <w:ilvl w:val="0"/>
                <w:numId w:val="20"/>
              </w:numPr>
              <w:spacing w:before="120" w:after="120"/>
              <w:rPr>
                <w:rFonts w:cs="Arial"/>
                <w:sz w:val="20"/>
                <w:szCs w:val="20"/>
              </w:rPr>
            </w:pPr>
            <w:r>
              <w:rPr>
                <w:rFonts w:cs="Arial"/>
                <w:sz w:val="20"/>
                <w:szCs w:val="20"/>
              </w:rPr>
              <w:t>Number of marine pollution events identified</w:t>
            </w:r>
          </w:p>
          <w:p w:rsidR="00535335" w:rsidRDefault="00535335" w:rsidP="00535335">
            <w:pPr>
              <w:pStyle w:val="ListParagraph"/>
              <w:numPr>
                <w:ilvl w:val="0"/>
                <w:numId w:val="20"/>
              </w:numPr>
              <w:spacing w:before="120" w:after="120"/>
              <w:rPr>
                <w:rFonts w:cs="Arial"/>
                <w:sz w:val="20"/>
                <w:szCs w:val="20"/>
              </w:rPr>
            </w:pPr>
            <w:r>
              <w:rPr>
                <w:rFonts w:cs="Arial"/>
                <w:sz w:val="20"/>
                <w:szCs w:val="20"/>
              </w:rPr>
              <w:lastRenderedPageBreak/>
              <w:t>Number of false positives</w:t>
            </w:r>
          </w:p>
          <w:p w:rsidR="00535335" w:rsidRDefault="00535335" w:rsidP="00535335">
            <w:pPr>
              <w:pStyle w:val="ListParagraph"/>
              <w:numPr>
                <w:ilvl w:val="0"/>
                <w:numId w:val="20"/>
              </w:numPr>
              <w:spacing w:before="120" w:after="120"/>
              <w:rPr>
                <w:rFonts w:cs="Arial"/>
                <w:sz w:val="20"/>
                <w:szCs w:val="20"/>
              </w:rPr>
            </w:pPr>
            <w:r>
              <w:rPr>
                <w:rFonts w:cs="Arial"/>
                <w:sz w:val="20"/>
                <w:szCs w:val="20"/>
              </w:rPr>
              <w:t>Number of ships identified as pollutants</w:t>
            </w:r>
          </w:p>
          <w:p w:rsidR="00535335" w:rsidRDefault="00535335" w:rsidP="00535335">
            <w:pPr>
              <w:pStyle w:val="ListParagraph"/>
              <w:numPr>
                <w:ilvl w:val="0"/>
                <w:numId w:val="20"/>
              </w:numPr>
              <w:spacing w:before="120" w:after="120"/>
              <w:rPr>
                <w:rFonts w:cs="Arial"/>
                <w:sz w:val="20"/>
                <w:szCs w:val="20"/>
              </w:rPr>
            </w:pPr>
            <w:r>
              <w:rPr>
                <w:rFonts w:cs="Arial"/>
                <w:sz w:val="20"/>
                <w:szCs w:val="20"/>
              </w:rPr>
              <w:t>Correct prediction of oil slick arrival position 12 hours before arrival</w:t>
            </w:r>
          </w:p>
          <w:p w:rsidR="00535335" w:rsidRPr="008B41EB" w:rsidRDefault="00535335" w:rsidP="004F68CF">
            <w:pPr>
              <w:pStyle w:val="ListParagraph"/>
              <w:spacing w:before="120" w:after="120"/>
              <w:rPr>
                <w:rFonts w:cs="Arial"/>
                <w:sz w:val="20"/>
                <w:szCs w:val="20"/>
                <w:u w:val="single"/>
              </w:rPr>
            </w:pPr>
            <w:r>
              <w:rPr>
                <w:rFonts w:cs="Arial"/>
                <w:sz w:val="20"/>
                <w:szCs w:val="20"/>
                <w:u w:val="single"/>
              </w:rPr>
              <w:t>Illegal Logging</w:t>
            </w:r>
          </w:p>
          <w:p w:rsidR="00535335" w:rsidRDefault="00535335" w:rsidP="00535335">
            <w:pPr>
              <w:pStyle w:val="ListParagraph"/>
              <w:numPr>
                <w:ilvl w:val="0"/>
                <w:numId w:val="20"/>
              </w:numPr>
              <w:spacing w:before="120" w:after="120"/>
              <w:rPr>
                <w:rFonts w:cs="Arial"/>
                <w:sz w:val="20"/>
                <w:szCs w:val="20"/>
              </w:rPr>
            </w:pPr>
            <w:r>
              <w:rPr>
                <w:rFonts w:cs="Arial"/>
                <w:sz w:val="20"/>
                <w:szCs w:val="20"/>
              </w:rPr>
              <w:t>Number of illegal logging alerts made</w:t>
            </w:r>
          </w:p>
          <w:p w:rsidR="00535335" w:rsidRPr="003C680D" w:rsidRDefault="00535335" w:rsidP="00535335">
            <w:pPr>
              <w:pStyle w:val="ListParagraph"/>
              <w:numPr>
                <w:ilvl w:val="0"/>
                <w:numId w:val="20"/>
              </w:numPr>
              <w:spacing w:before="120" w:after="120"/>
              <w:rPr>
                <w:rFonts w:cs="Arial"/>
                <w:sz w:val="20"/>
                <w:szCs w:val="20"/>
              </w:rPr>
            </w:pPr>
            <w:r>
              <w:rPr>
                <w:rFonts w:cs="Arial"/>
                <w:sz w:val="20"/>
                <w:szCs w:val="20"/>
              </w:rPr>
              <w:t>Percentage of false positives</w:t>
            </w:r>
          </w:p>
        </w:tc>
        <w:tc>
          <w:tcPr>
            <w:tcW w:w="623"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lastRenderedPageBreak/>
              <w:t>User Acceptance Testing by in-country team</w:t>
            </w:r>
          </w:p>
          <w:p w:rsidR="00535335" w:rsidRPr="001B3EF3" w:rsidRDefault="00535335" w:rsidP="004F68CF">
            <w:pPr>
              <w:spacing w:before="120" w:after="120"/>
              <w:rPr>
                <w:rFonts w:cs="Arial"/>
                <w:sz w:val="20"/>
                <w:szCs w:val="20"/>
              </w:rPr>
            </w:pPr>
            <w:r w:rsidRPr="001B3EF3">
              <w:rPr>
                <w:rFonts w:eastAsia="Arial" w:cs="Arial"/>
                <w:sz w:val="20"/>
                <w:szCs w:val="20"/>
              </w:rPr>
              <w:t>Funding agreements in place</w:t>
            </w:r>
          </w:p>
          <w:p w:rsidR="00535335" w:rsidRPr="00A5569C" w:rsidRDefault="00535335" w:rsidP="004F68CF">
            <w:pPr>
              <w:spacing w:before="120" w:after="120"/>
              <w:rPr>
                <w:rFonts w:eastAsia="Arial" w:cs="Arial"/>
                <w:sz w:val="20"/>
                <w:szCs w:val="20"/>
              </w:rPr>
            </w:pPr>
            <w:r w:rsidRPr="001B3EF3">
              <w:rPr>
                <w:rFonts w:eastAsia="Arial" w:cs="Arial"/>
                <w:sz w:val="20"/>
                <w:szCs w:val="20"/>
              </w:rPr>
              <w:t>Client sign-off for M&amp;E reports</w:t>
            </w:r>
          </w:p>
          <w:p w:rsidR="00535335" w:rsidRPr="001B3EF3" w:rsidRDefault="00535335" w:rsidP="004F68CF">
            <w:pPr>
              <w:spacing w:before="120" w:after="120"/>
              <w:rPr>
                <w:rFonts w:cs="Arial"/>
                <w:sz w:val="20"/>
                <w:szCs w:val="20"/>
              </w:rPr>
            </w:pPr>
            <w:r w:rsidRPr="00A5569C">
              <w:rPr>
                <w:rFonts w:eastAsia="Arial" w:cs="Arial"/>
                <w:sz w:val="20"/>
                <w:szCs w:val="20"/>
              </w:rPr>
              <w:t>UKSA sign off on indicators.</w:t>
            </w:r>
          </w:p>
        </w:tc>
        <w:tc>
          <w:tcPr>
            <w:tcW w:w="1076" w:type="pct"/>
            <w:shd w:val="clear" w:color="auto" w:fill="FFFFFF" w:themeFill="background1"/>
          </w:tcPr>
          <w:p w:rsidR="00535335" w:rsidRPr="001B3EF3" w:rsidRDefault="00535335" w:rsidP="004F68CF">
            <w:pPr>
              <w:spacing w:before="120" w:after="120"/>
              <w:rPr>
                <w:rFonts w:cs="Arial"/>
                <w:sz w:val="20"/>
                <w:szCs w:val="20"/>
              </w:rPr>
            </w:pPr>
            <w:r w:rsidRPr="001B3EF3">
              <w:rPr>
                <w:rFonts w:eastAsia="Arial" w:cs="Arial"/>
                <w:sz w:val="20"/>
                <w:szCs w:val="20"/>
              </w:rPr>
              <w:t>Assumes that the platform gives an acceptable rate of false positives.</w:t>
            </w:r>
          </w:p>
          <w:p w:rsidR="00535335" w:rsidRPr="001B3EF3" w:rsidRDefault="00535335" w:rsidP="004F68CF">
            <w:pPr>
              <w:spacing w:before="120" w:after="120"/>
              <w:rPr>
                <w:rFonts w:cs="Arial"/>
                <w:sz w:val="20"/>
                <w:szCs w:val="20"/>
              </w:rPr>
            </w:pPr>
            <w:r w:rsidRPr="001B3EF3">
              <w:rPr>
                <w:rFonts w:eastAsia="Arial" w:cs="Arial"/>
                <w:sz w:val="20"/>
                <w:szCs w:val="20"/>
              </w:rPr>
              <w:t>Assumes continuing engagement from the Malaysian Government.</w:t>
            </w:r>
          </w:p>
          <w:p w:rsidR="00535335" w:rsidRPr="001B3EF3" w:rsidRDefault="00535335" w:rsidP="004F68CF">
            <w:pPr>
              <w:spacing w:before="120" w:after="120"/>
              <w:rPr>
                <w:rFonts w:cs="Arial"/>
                <w:sz w:val="20"/>
                <w:szCs w:val="20"/>
              </w:rPr>
            </w:pPr>
            <w:r w:rsidRPr="001B3EF3">
              <w:rPr>
                <w:rFonts w:eastAsia="Arial" w:cs="Arial"/>
                <w:sz w:val="20"/>
                <w:szCs w:val="20"/>
              </w:rPr>
              <w:t>Assumes partners can agree on the type and accuracy of baseline data.</w:t>
            </w:r>
          </w:p>
        </w:tc>
      </w:tr>
      <w:tr w:rsidR="00535335" w:rsidRPr="00A5569C" w:rsidTr="004F68CF">
        <w:tc>
          <w:tcPr>
            <w:tcW w:w="387" w:type="pct"/>
            <w:shd w:val="clear" w:color="auto" w:fill="D9D9D9" w:themeFill="background1" w:themeFillShade="D9"/>
          </w:tcPr>
          <w:p w:rsidR="00535335" w:rsidRPr="001B3EF3" w:rsidRDefault="00535335" w:rsidP="004F68CF">
            <w:pPr>
              <w:spacing w:before="120" w:after="120"/>
              <w:rPr>
                <w:b/>
                <w:bCs/>
                <w:sz w:val="20"/>
                <w:szCs w:val="20"/>
              </w:rPr>
            </w:pPr>
            <w:r w:rsidRPr="001B3EF3">
              <w:rPr>
                <w:b/>
                <w:bCs/>
                <w:sz w:val="20"/>
                <w:szCs w:val="20"/>
              </w:rPr>
              <w:t>Activities during 18 months</w:t>
            </w:r>
          </w:p>
        </w:tc>
        <w:tc>
          <w:tcPr>
            <w:tcW w:w="4613" w:type="pct"/>
            <w:gridSpan w:val="4"/>
            <w:shd w:val="clear" w:color="auto" w:fill="FFFFFF" w:themeFill="background1"/>
          </w:tcPr>
          <w:p w:rsidR="00535335" w:rsidRPr="001B3EF3" w:rsidRDefault="00535335" w:rsidP="004F68CF">
            <w:pPr>
              <w:rPr>
                <w:rFonts w:cs="Arial"/>
                <w:sz w:val="20"/>
                <w:szCs w:val="20"/>
              </w:rPr>
            </w:pPr>
            <w:r w:rsidRPr="001B3EF3">
              <w:rPr>
                <w:rFonts w:eastAsia="Arial" w:cs="Arial"/>
                <w:sz w:val="20"/>
                <w:szCs w:val="20"/>
              </w:rPr>
              <w:t>Develop &amp; deliver a system (including equipment and architecture) with a common dashboard that contains three services:</w:t>
            </w:r>
          </w:p>
          <w:p w:rsidR="00535335" w:rsidRPr="001B3EF3" w:rsidRDefault="00535335" w:rsidP="00535335">
            <w:pPr>
              <w:pStyle w:val="ListParagraph"/>
              <w:numPr>
                <w:ilvl w:val="0"/>
                <w:numId w:val="19"/>
              </w:numPr>
              <w:suppressAutoHyphens/>
              <w:rPr>
                <w:rFonts w:eastAsia="Arial" w:cs="Arial"/>
                <w:sz w:val="20"/>
                <w:szCs w:val="20"/>
              </w:rPr>
            </w:pPr>
            <w:r w:rsidRPr="001B3EF3">
              <w:rPr>
                <w:rFonts w:eastAsia="Arial" w:cs="Arial"/>
                <w:sz w:val="20"/>
                <w:szCs w:val="20"/>
              </w:rPr>
              <w:t xml:space="preserve">Monitor deforestation to provide alerts that identify incidents of illegal logging of areas over 50 </w:t>
            </w:r>
            <w:r w:rsidR="00235EAB" w:rsidRPr="001B3EF3">
              <w:rPr>
                <w:rFonts w:eastAsia="Arial" w:cs="Arial"/>
                <w:sz w:val="20"/>
                <w:szCs w:val="20"/>
              </w:rPr>
              <w:t>sq.</w:t>
            </w:r>
            <w:r w:rsidRPr="001B3EF3">
              <w:rPr>
                <w:rFonts w:eastAsia="Arial" w:cs="Arial"/>
                <w:sz w:val="20"/>
                <w:szCs w:val="20"/>
              </w:rPr>
              <w:t xml:space="preserve"> metres, for</w:t>
            </w:r>
            <w:r w:rsidRPr="00A5569C">
              <w:rPr>
                <w:rFonts w:eastAsia="Arial" w:cs="Arial"/>
                <w:sz w:val="20"/>
                <w:szCs w:val="20"/>
              </w:rPr>
              <w:t xml:space="preserve"> two regions in Malaysia</w:t>
            </w:r>
            <w:r w:rsidRPr="001B3EF3">
              <w:rPr>
                <w:rFonts w:eastAsia="Arial" w:cs="Arial"/>
                <w:sz w:val="20"/>
                <w:szCs w:val="20"/>
              </w:rPr>
              <w:t>.</w:t>
            </w:r>
          </w:p>
          <w:p w:rsidR="00535335" w:rsidRPr="001B3EF3" w:rsidRDefault="00535335" w:rsidP="00535335">
            <w:pPr>
              <w:pStyle w:val="ListParagraph"/>
              <w:numPr>
                <w:ilvl w:val="0"/>
                <w:numId w:val="19"/>
              </w:numPr>
              <w:suppressAutoHyphens/>
              <w:rPr>
                <w:rFonts w:eastAsia="Arial" w:cs="Arial"/>
                <w:sz w:val="20"/>
                <w:szCs w:val="20"/>
              </w:rPr>
            </w:pPr>
            <w:r w:rsidRPr="001B3EF3">
              <w:rPr>
                <w:rFonts w:eastAsia="Arial" w:cs="Arial"/>
                <w:sz w:val="20"/>
                <w:szCs w:val="20"/>
              </w:rPr>
              <w:t>Monitor t</w:t>
            </w:r>
            <w:r w:rsidRPr="00A5569C">
              <w:rPr>
                <w:rFonts w:eastAsia="Arial" w:cs="Arial"/>
                <w:sz w:val="20"/>
                <w:szCs w:val="20"/>
              </w:rPr>
              <w:t>wo sectors of the</w:t>
            </w:r>
            <w:r w:rsidRPr="001B3EF3">
              <w:rPr>
                <w:rFonts w:eastAsia="Arial" w:cs="Arial"/>
                <w:sz w:val="20"/>
                <w:szCs w:val="20"/>
              </w:rPr>
              <w:t xml:space="preserve"> Malacca Straits for incidents of marine pollution, including where they derived from and prediction of end points for oil slicks.</w:t>
            </w:r>
          </w:p>
          <w:p w:rsidR="00535335" w:rsidRPr="001B3EF3" w:rsidRDefault="00535335" w:rsidP="00535335">
            <w:pPr>
              <w:pStyle w:val="ListParagraph"/>
              <w:numPr>
                <w:ilvl w:val="0"/>
                <w:numId w:val="19"/>
              </w:numPr>
              <w:suppressAutoHyphens/>
              <w:rPr>
                <w:rFonts w:eastAsia="Arial" w:cs="Arial"/>
                <w:sz w:val="20"/>
                <w:szCs w:val="20"/>
              </w:rPr>
            </w:pPr>
            <w:r w:rsidRPr="001B3EF3">
              <w:rPr>
                <w:rFonts w:eastAsia="Arial" w:cs="Arial"/>
                <w:sz w:val="20"/>
                <w:szCs w:val="20"/>
              </w:rPr>
              <w:t xml:space="preserve">Provide </w:t>
            </w:r>
            <w:r w:rsidRPr="00A5569C">
              <w:rPr>
                <w:rFonts w:eastAsia="Arial" w:cs="Arial"/>
                <w:sz w:val="20"/>
                <w:szCs w:val="20"/>
              </w:rPr>
              <w:t>probability based alerts for</w:t>
            </w:r>
            <w:r w:rsidRPr="001B3EF3">
              <w:rPr>
                <w:rFonts w:eastAsia="Arial" w:cs="Arial"/>
                <w:sz w:val="20"/>
                <w:szCs w:val="20"/>
              </w:rPr>
              <w:t xml:space="preserve"> flood events</w:t>
            </w:r>
            <w:r w:rsidRPr="00A5569C">
              <w:rPr>
                <w:rFonts w:eastAsia="Arial" w:cs="Arial"/>
                <w:sz w:val="20"/>
                <w:szCs w:val="20"/>
              </w:rPr>
              <w:t xml:space="preserve"> to improve management of events and limit losses caused. The underlying risk exposure maps will be available to inform planning for new in</w:t>
            </w:r>
            <w:r>
              <w:rPr>
                <w:rFonts w:eastAsia="Arial" w:cs="Arial"/>
                <w:sz w:val="20"/>
                <w:szCs w:val="20"/>
              </w:rPr>
              <w:t>frastructure, settlements, etc.</w:t>
            </w:r>
          </w:p>
          <w:p w:rsidR="00535335" w:rsidRPr="001B3EF3" w:rsidRDefault="00535335" w:rsidP="004F68CF">
            <w:pPr>
              <w:rPr>
                <w:rFonts w:cs="Arial"/>
                <w:sz w:val="20"/>
                <w:szCs w:val="20"/>
              </w:rPr>
            </w:pPr>
            <w:r w:rsidRPr="001B3EF3">
              <w:rPr>
                <w:rFonts w:eastAsia="Arial" w:cs="Arial"/>
                <w:sz w:val="20"/>
                <w:szCs w:val="20"/>
              </w:rPr>
              <w:t xml:space="preserve">Work with in country partners to gather end user (government and mining companies) requirements and evaluate the potential business model. </w:t>
            </w:r>
          </w:p>
          <w:p w:rsidR="00535335" w:rsidRPr="001B3EF3" w:rsidRDefault="00535335" w:rsidP="004F68CF">
            <w:pPr>
              <w:rPr>
                <w:rFonts w:cs="Arial"/>
                <w:sz w:val="20"/>
                <w:szCs w:val="20"/>
              </w:rPr>
            </w:pPr>
            <w:r w:rsidRPr="00A5569C">
              <w:rPr>
                <w:rFonts w:cs="Arial"/>
                <w:sz w:val="20"/>
                <w:szCs w:val="20"/>
              </w:rPr>
              <w:t>Provide in-country training and awareness raising.</w:t>
            </w:r>
          </w:p>
          <w:p w:rsidR="00535335" w:rsidRPr="001B3EF3" w:rsidRDefault="00535335" w:rsidP="004F68CF">
            <w:pPr>
              <w:rPr>
                <w:rFonts w:cs="Arial"/>
                <w:sz w:val="20"/>
                <w:szCs w:val="20"/>
              </w:rPr>
            </w:pPr>
            <w:r w:rsidRPr="001B3EF3">
              <w:rPr>
                <w:rFonts w:eastAsia="Arial" w:cs="Arial"/>
                <w:sz w:val="20"/>
                <w:szCs w:val="20"/>
              </w:rPr>
              <w:t>M&amp;E: Develop baseline and evaluation framework; undertake final impact evaluation.</w:t>
            </w:r>
          </w:p>
        </w:tc>
      </w:tr>
      <w:tr w:rsidR="00535335" w:rsidRPr="00A5569C" w:rsidTr="004F68CF">
        <w:trPr>
          <w:trHeight w:val="274"/>
        </w:trPr>
        <w:tc>
          <w:tcPr>
            <w:tcW w:w="387" w:type="pct"/>
            <w:shd w:val="clear" w:color="auto" w:fill="D9D9D9" w:themeFill="background1" w:themeFillShade="D9"/>
          </w:tcPr>
          <w:p w:rsidR="00535335" w:rsidRPr="001B3EF3" w:rsidRDefault="00535335" w:rsidP="004F68CF">
            <w:pPr>
              <w:spacing w:before="120" w:after="120"/>
              <w:rPr>
                <w:b/>
                <w:bCs/>
                <w:sz w:val="20"/>
                <w:szCs w:val="20"/>
              </w:rPr>
            </w:pPr>
            <w:r w:rsidRPr="001B3EF3">
              <w:rPr>
                <w:b/>
                <w:bCs/>
                <w:sz w:val="20"/>
                <w:szCs w:val="20"/>
              </w:rPr>
              <w:t>Inputs</w:t>
            </w:r>
          </w:p>
        </w:tc>
        <w:tc>
          <w:tcPr>
            <w:tcW w:w="4613" w:type="pct"/>
            <w:gridSpan w:val="4"/>
            <w:shd w:val="clear" w:color="auto" w:fill="FFFFFF" w:themeFill="background1"/>
          </w:tcPr>
          <w:p w:rsidR="00535335" w:rsidRPr="001B3EF3" w:rsidRDefault="00535335" w:rsidP="004F68CF">
            <w:pPr>
              <w:rPr>
                <w:rFonts w:cs="Arial"/>
                <w:sz w:val="20"/>
                <w:szCs w:val="20"/>
              </w:rPr>
            </w:pPr>
            <w:r w:rsidRPr="001B3EF3">
              <w:rPr>
                <w:rFonts w:eastAsia="Arial" w:cs="Arial"/>
                <w:sz w:val="20"/>
                <w:szCs w:val="20"/>
              </w:rPr>
              <w:t>IPP funding of GBP £</w:t>
            </w:r>
            <w:r>
              <w:rPr>
                <w:rFonts w:eastAsia="Arial" w:cs="Arial"/>
                <w:sz w:val="20"/>
                <w:szCs w:val="20"/>
              </w:rPr>
              <w:t>8.253</w:t>
            </w:r>
            <w:r w:rsidRPr="001B3EF3">
              <w:rPr>
                <w:rFonts w:eastAsia="Arial" w:cs="Arial"/>
                <w:sz w:val="20"/>
                <w:szCs w:val="20"/>
              </w:rPr>
              <w:t>m; Malaysian co-investment of £6.</w:t>
            </w:r>
            <w:r w:rsidRPr="00A5569C">
              <w:rPr>
                <w:rFonts w:eastAsia="Arial" w:cs="Arial"/>
                <w:sz w:val="20"/>
                <w:szCs w:val="20"/>
              </w:rPr>
              <w:t>6</w:t>
            </w:r>
            <w:r w:rsidRPr="001B3EF3">
              <w:rPr>
                <w:rFonts w:eastAsia="Arial" w:cs="Arial"/>
                <w:sz w:val="20"/>
                <w:szCs w:val="20"/>
              </w:rPr>
              <w:t>m; In kind contributions</w:t>
            </w:r>
            <w:r>
              <w:rPr>
                <w:rFonts w:eastAsia="Arial" w:cs="Arial"/>
                <w:sz w:val="20"/>
                <w:szCs w:val="20"/>
              </w:rPr>
              <w:t xml:space="preserve"> of £3.148m</w:t>
            </w:r>
            <w:r w:rsidRPr="001B3EF3">
              <w:rPr>
                <w:rFonts w:eastAsia="Arial" w:cs="Arial"/>
                <w:sz w:val="20"/>
                <w:szCs w:val="20"/>
              </w:rPr>
              <w:t>.</w:t>
            </w:r>
          </w:p>
          <w:p w:rsidR="00535335" w:rsidRPr="00A5569C" w:rsidRDefault="00535335" w:rsidP="004F68CF">
            <w:pPr>
              <w:rPr>
                <w:rFonts w:eastAsia="Arial" w:cs="Arial"/>
                <w:sz w:val="20"/>
                <w:szCs w:val="20"/>
              </w:rPr>
            </w:pPr>
            <w:r w:rsidRPr="001B3EF3">
              <w:rPr>
                <w:rFonts w:eastAsia="Arial" w:cs="Arial"/>
                <w:sz w:val="20"/>
                <w:szCs w:val="20"/>
              </w:rPr>
              <w:t>Human capital</w:t>
            </w:r>
            <w:r w:rsidRPr="00A5569C">
              <w:rPr>
                <w:rFonts w:eastAsia="Arial" w:cs="Arial"/>
                <w:sz w:val="20"/>
                <w:szCs w:val="20"/>
              </w:rPr>
              <w:t>:</w:t>
            </w:r>
            <w:r w:rsidRPr="001B3EF3">
              <w:rPr>
                <w:rFonts w:eastAsia="Arial" w:cs="Arial"/>
                <w:sz w:val="20"/>
                <w:szCs w:val="20"/>
              </w:rPr>
              <w:t xml:space="preserve"> </w:t>
            </w:r>
            <w:r w:rsidRPr="00A5569C">
              <w:rPr>
                <w:rFonts w:eastAsia="Arial" w:cs="Arial"/>
                <w:sz w:val="20"/>
                <w:szCs w:val="20"/>
              </w:rPr>
              <w:t xml:space="preserve">Satellite Applications </w:t>
            </w:r>
            <w:r w:rsidRPr="001B3EF3">
              <w:rPr>
                <w:rFonts w:eastAsia="Arial" w:cs="Arial"/>
                <w:sz w:val="20"/>
                <w:szCs w:val="20"/>
              </w:rPr>
              <w:t xml:space="preserve">Catapult, </w:t>
            </w:r>
            <w:r w:rsidRPr="001B3EF3">
              <w:rPr>
                <w:rFonts w:eastAsia="Calibri" w:cs="Calibri"/>
                <w:sz w:val="20"/>
                <w:szCs w:val="20"/>
              </w:rPr>
              <w:t>10 UK-based SMEs (Janus TCD, Ambiental, Stevenson Astrosat, Sterling Geo, Geocento, Most Autonomous Vessels, Plymouth Marine Laboratories, RiskAware, Telespaizio Vega, Earth Observation Ltd) and 2 UK universities (University of Oxford, University of Leicester)</w:t>
            </w:r>
          </w:p>
          <w:p w:rsidR="00535335" w:rsidRPr="00A5569C" w:rsidRDefault="00535335" w:rsidP="004F68CF">
            <w:pPr>
              <w:rPr>
                <w:rFonts w:eastAsia="Arial" w:cs="Arial"/>
                <w:sz w:val="20"/>
                <w:szCs w:val="20"/>
              </w:rPr>
            </w:pPr>
            <w:r w:rsidRPr="00A5569C">
              <w:rPr>
                <w:rFonts w:eastAsia="Arial" w:cs="Arial"/>
                <w:sz w:val="20"/>
                <w:szCs w:val="20"/>
              </w:rPr>
              <w:t>Satellite</w:t>
            </w:r>
            <w:r w:rsidRPr="001B3EF3">
              <w:rPr>
                <w:rFonts w:eastAsia="Arial" w:cs="Arial"/>
                <w:sz w:val="20"/>
                <w:szCs w:val="20"/>
              </w:rPr>
              <w:t xml:space="preserve"> data and IP including proprietary tools, commercial software and models. </w:t>
            </w:r>
          </w:p>
          <w:p w:rsidR="00535335" w:rsidRPr="001B3EF3" w:rsidRDefault="00535335" w:rsidP="004F68CF">
            <w:pPr>
              <w:rPr>
                <w:rFonts w:cs="Arial"/>
                <w:sz w:val="20"/>
                <w:szCs w:val="20"/>
              </w:rPr>
            </w:pPr>
            <w:r w:rsidRPr="00A5569C">
              <w:rPr>
                <w:rFonts w:eastAsia="Arial" w:cs="Arial"/>
                <w:sz w:val="20"/>
                <w:szCs w:val="20"/>
              </w:rPr>
              <w:t>Malaysian data sources including local in-situ and other geospatial data.</w:t>
            </w:r>
          </w:p>
        </w:tc>
      </w:tr>
    </w:tbl>
    <w:p w:rsidR="00535335" w:rsidRPr="001B3EF3" w:rsidRDefault="00535335" w:rsidP="00535335">
      <w:pPr>
        <w:rPr>
          <w:sz w:val="20"/>
          <w:szCs w:val="20"/>
        </w:rPr>
      </w:pPr>
    </w:p>
    <w:p w:rsidR="00535335" w:rsidRPr="00DB0559" w:rsidRDefault="00535335" w:rsidP="00535335">
      <w:pPr>
        <w:pStyle w:val="Heading3"/>
        <w:ind w:left="720" w:hanging="720"/>
      </w:pPr>
    </w:p>
    <w:p w:rsidR="00535335" w:rsidRDefault="00535335" w:rsidP="001648FC">
      <w:pPr>
        <w:pStyle w:val="ListParagraph"/>
        <w:spacing w:after="0" w:line="240" w:lineRule="auto"/>
        <w:ind w:left="360"/>
        <w:jc w:val="center"/>
        <w:rPr>
          <w:rFonts w:ascii="Times New Roman" w:hAnsi="Times New Roman" w:cs="Times New Roman"/>
          <w:b/>
          <w:sz w:val="20"/>
          <w:szCs w:val="20"/>
        </w:rPr>
        <w:sectPr w:rsidR="00535335" w:rsidSect="00F95059">
          <w:pgSz w:w="16838" w:h="11906" w:orient="landscape"/>
          <w:pgMar w:top="1440" w:right="1843" w:bottom="1440" w:left="510" w:header="709" w:footer="709" w:gutter="0"/>
          <w:cols w:space="708"/>
          <w:docGrid w:linePitch="360"/>
        </w:sectPr>
      </w:pPr>
    </w:p>
    <w:p w:rsidR="005604DB" w:rsidRPr="00952E83" w:rsidRDefault="005604DB" w:rsidP="005604DB">
      <w:pPr>
        <w:spacing w:after="0" w:line="240" w:lineRule="auto"/>
        <w:jc w:val="center"/>
        <w:rPr>
          <w:rFonts w:ascii="Times New Roman" w:hAnsi="Times New Roman" w:cs="Times New Roman"/>
          <w:b/>
          <w:sz w:val="20"/>
          <w:szCs w:val="20"/>
        </w:rPr>
      </w:pPr>
      <w:r w:rsidRPr="00952E83">
        <w:rPr>
          <w:rFonts w:ascii="Times New Roman" w:hAnsi="Times New Roman" w:cs="Times New Roman"/>
          <w:b/>
          <w:sz w:val="20"/>
          <w:szCs w:val="20"/>
        </w:rPr>
        <w:lastRenderedPageBreak/>
        <w:t>Annex C</w:t>
      </w:r>
    </w:p>
    <w:p w:rsidR="005604DB" w:rsidRDefault="005604DB" w:rsidP="005604DB">
      <w:pPr>
        <w:spacing w:after="0" w:line="240" w:lineRule="auto"/>
        <w:jc w:val="center"/>
        <w:rPr>
          <w:rFonts w:ascii="Times New Roman" w:hAnsi="Times New Roman" w:cs="Times New Roman"/>
          <w:b/>
          <w:sz w:val="20"/>
          <w:szCs w:val="20"/>
        </w:rPr>
      </w:pPr>
      <w:r w:rsidRPr="00952E83">
        <w:rPr>
          <w:rFonts w:ascii="Times New Roman" w:hAnsi="Times New Roman" w:cs="Times New Roman"/>
          <w:b/>
          <w:sz w:val="20"/>
          <w:szCs w:val="20"/>
        </w:rPr>
        <w:t xml:space="preserve"> </w:t>
      </w:r>
      <w:r w:rsidR="00187C02" w:rsidRPr="00952E83">
        <w:rPr>
          <w:rFonts w:ascii="Times New Roman" w:hAnsi="Times New Roman" w:cs="Times New Roman"/>
          <w:b/>
          <w:sz w:val="20"/>
          <w:szCs w:val="20"/>
        </w:rPr>
        <w:t>Non-Disclosure</w:t>
      </w:r>
      <w:r w:rsidRPr="00952E83">
        <w:rPr>
          <w:rFonts w:ascii="Times New Roman" w:hAnsi="Times New Roman" w:cs="Times New Roman"/>
          <w:b/>
          <w:sz w:val="20"/>
          <w:szCs w:val="20"/>
        </w:rPr>
        <w:t xml:space="preserve"> Agreement</w:t>
      </w:r>
    </w:p>
    <w:p w:rsidR="00EB1771" w:rsidRDefault="00EB1771" w:rsidP="005604DB">
      <w:pPr>
        <w:spacing w:after="0" w:line="240" w:lineRule="auto"/>
        <w:jc w:val="center"/>
        <w:rPr>
          <w:rFonts w:ascii="Times New Roman" w:hAnsi="Times New Roman" w:cs="Times New Roman"/>
          <w:b/>
          <w:sz w:val="20"/>
          <w:szCs w:val="20"/>
        </w:rPr>
      </w:pPr>
    </w:p>
    <w:p w:rsidR="00EB1771" w:rsidRPr="00EB1771" w:rsidRDefault="00BD31AC" w:rsidP="005604DB">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See separate attachment</w:t>
      </w: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8E328A" w:rsidRDefault="008E328A"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Pr="00952E83" w:rsidRDefault="005604DB" w:rsidP="005604DB">
      <w:pPr>
        <w:spacing w:after="0" w:line="240" w:lineRule="auto"/>
        <w:jc w:val="center"/>
        <w:rPr>
          <w:rFonts w:ascii="Times New Roman" w:hAnsi="Times New Roman" w:cs="Times New Roman"/>
          <w:b/>
          <w:sz w:val="20"/>
          <w:szCs w:val="20"/>
        </w:rPr>
      </w:pPr>
      <w:r w:rsidRPr="00952E83">
        <w:rPr>
          <w:rFonts w:ascii="Times New Roman" w:hAnsi="Times New Roman" w:cs="Times New Roman"/>
          <w:b/>
          <w:sz w:val="20"/>
          <w:szCs w:val="20"/>
        </w:rPr>
        <w:t>Annex D</w:t>
      </w:r>
    </w:p>
    <w:p w:rsidR="005604DB" w:rsidRPr="00952E83" w:rsidRDefault="005604DB" w:rsidP="005604DB">
      <w:pPr>
        <w:spacing w:after="0" w:line="240" w:lineRule="auto"/>
        <w:jc w:val="center"/>
        <w:rPr>
          <w:rFonts w:ascii="Times New Roman" w:hAnsi="Times New Roman" w:cs="Times New Roman"/>
          <w:b/>
          <w:sz w:val="20"/>
          <w:szCs w:val="20"/>
        </w:rPr>
      </w:pPr>
      <w:r w:rsidRPr="00952E83">
        <w:rPr>
          <w:rFonts w:ascii="Times New Roman" w:hAnsi="Times New Roman" w:cs="Times New Roman"/>
          <w:b/>
          <w:sz w:val="20"/>
          <w:szCs w:val="20"/>
        </w:rPr>
        <w:t>Satellite Application Terms and Conditions</w:t>
      </w: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D659CD" w:rsidRPr="00EB1771" w:rsidRDefault="00D659CD" w:rsidP="00D659CD">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FF0000"/>
          <w:sz w:val="20"/>
          <w:szCs w:val="20"/>
        </w:rPr>
        <w:t>See separate attachment</w:t>
      </w: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Default="005604DB" w:rsidP="005604DB">
      <w:pPr>
        <w:spacing w:after="0" w:line="240" w:lineRule="auto"/>
        <w:jc w:val="center"/>
        <w:rPr>
          <w:rFonts w:ascii="Times New Roman" w:hAnsi="Times New Roman" w:cs="Times New Roman"/>
          <w:sz w:val="20"/>
          <w:szCs w:val="20"/>
        </w:rPr>
      </w:pPr>
    </w:p>
    <w:p w:rsidR="005604DB" w:rsidRPr="005604DB" w:rsidRDefault="005604DB" w:rsidP="005604DB">
      <w:pPr>
        <w:pStyle w:val="ListParagraph"/>
        <w:spacing w:after="0" w:line="240" w:lineRule="auto"/>
        <w:ind w:left="360"/>
        <w:jc w:val="center"/>
        <w:rPr>
          <w:rFonts w:ascii="Times New Roman" w:hAnsi="Times New Roman" w:cs="Times New Roman"/>
          <w:b/>
          <w:sz w:val="20"/>
          <w:szCs w:val="20"/>
        </w:rPr>
      </w:pPr>
      <w:r w:rsidRPr="005604DB">
        <w:rPr>
          <w:rFonts w:ascii="Times New Roman" w:hAnsi="Times New Roman" w:cs="Times New Roman"/>
          <w:b/>
          <w:sz w:val="20"/>
          <w:szCs w:val="20"/>
        </w:rPr>
        <w:lastRenderedPageBreak/>
        <w:t>Annex E</w:t>
      </w:r>
    </w:p>
    <w:p w:rsidR="00E50A34" w:rsidRPr="005604DB" w:rsidRDefault="005604DB" w:rsidP="005604DB">
      <w:pPr>
        <w:pStyle w:val="ListParagraph"/>
        <w:spacing w:after="0" w:line="240" w:lineRule="auto"/>
        <w:ind w:left="360"/>
        <w:jc w:val="center"/>
        <w:rPr>
          <w:rFonts w:ascii="Times New Roman" w:hAnsi="Times New Roman" w:cs="Times New Roman"/>
          <w:b/>
          <w:sz w:val="20"/>
          <w:szCs w:val="20"/>
        </w:rPr>
      </w:pPr>
      <w:r w:rsidRPr="005604DB">
        <w:rPr>
          <w:rFonts w:ascii="Times New Roman" w:hAnsi="Times New Roman" w:cs="Times New Roman"/>
          <w:b/>
          <w:sz w:val="20"/>
          <w:szCs w:val="20"/>
        </w:rPr>
        <w:t>Acknowledgement Letter</w:t>
      </w:r>
    </w:p>
    <w:p w:rsidR="00E50A34" w:rsidRDefault="00E50A34" w:rsidP="001648FC">
      <w:pPr>
        <w:pStyle w:val="ListParagraph"/>
        <w:spacing w:after="0" w:line="240" w:lineRule="auto"/>
        <w:ind w:left="360"/>
        <w:jc w:val="center"/>
        <w:rPr>
          <w:rFonts w:ascii="Times New Roman" w:hAnsi="Times New Roman" w:cs="Times New Roman"/>
          <w:b/>
          <w:sz w:val="20"/>
          <w:szCs w:val="20"/>
        </w:rPr>
      </w:pPr>
    </w:p>
    <w:p w:rsidR="005604DB" w:rsidRPr="00252BBF" w:rsidRDefault="005604DB" w:rsidP="005604DB">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 xml:space="preserve">Satellite Applications Catapult </w:t>
      </w:r>
      <w:r w:rsidR="00F65C5C">
        <w:rPr>
          <w:sz w:val="20"/>
          <w:szCs w:val="20"/>
        </w:rPr>
        <w:t>Ltd</w:t>
      </w:r>
    </w:p>
    <w:p w:rsidR="005604DB" w:rsidRDefault="005604DB" w:rsidP="005604DB">
      <w:pPr>
        <w:pStyle w:val="CM42"/>
        <w:spacing w:after="0" w:line="276" w:lineRule="auto"/>
        <w:ind w:left="713" w:hanging="712"/>
        <w:rPr>
          <w:sz w:val="20"/>
          <w:szCs w:val="20"/>
        </w:rPr>
      </w:pPr>
    </w:p>
    <w:p w:rsidR="005604DB" w:rsidRPr="00252BBF" w:rsidRDefault="005604DB" w:rsidP="005604DB">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008E328A">
        <w:rPr>
          <w:color w:val="FF0000"/>
          <w:sz w:val="20"/>
          <w:szCs w:val="20"/>
        </w:rPr>
        <w:t>Procurement Department</w:t>
      </w:r>
      <w:r w:rsidRPr="00252BBF">
        <w:rPr>
          <w:sz w:val="20"/>
          <w:szCs w:val="20"/>
        </w:rPr>
        <w:t xml:space="preserve">  </w:t>
      </w:r>
    </w:p>
    <w:p w:rsidR="005604DB" w:rsidRDefault="005604DB" w:rsidP="005604DB">
      <w:pPr>
        <w:pStyle w:val="CM42"/>
        <w:spacing w:after="0" w:line="276" w:lineRule="auto"/>
        <w:rPr>
          <w:sz w:val="20"/>
          <w:szCs w:val="20"/>
        </w:rPr>
      </w:pPr>
    </w:p>
    <w:p w:rsidR="005604DB" w:rsidRPr="00252BBF" w:rsidRDefault="005604DB" w:rsidP="005604DB">
      <w:pPr>
        <w:pStyle w:val="CM42"/>
        <w:spacing w:after="0" w:line="276" w:lineRule="auto"/>
        <w:rPr>
          <w:sz w:val="20"/>
          <w:szCs w:val="20"/>
        </w:rPr>
      </w:pPr>
      <w:r w:rsidRPr="00252BBF">
        <w:rPr>
          <w:sz w:val="20"/>
          <w:szCs w:val="20"/>
        </w:rPr>
        <w:t xml:space="preserve">From (Company who will bid): </w:t>
      </w:r>
    </w:p>
    <w:p w:rsidR="005604DB" w:rsidRPr="00252BBF" w:rsidRDefault="005604DB" w:rsidP="005604DB">
      <w:pPr>
        <w:pStyle w:val="CM42"/>
        <w:spacing w:after="0" w:line="276" w:lineRule="auto"/>
        <w:rPr>
          <w:b/>
          <w:bCs/>
          <w:sz w:val="20"/>
          <w:szCs w:val="20"/>
        </w:rPr>
      </w:pPr>
    </w:p>
    <w:p w:rsidR="005604DB" w:rsidRPr="00187C02" w:rsidRDefault="005604DB" w:rsidP="005604DB">
      <w:pPr>
        <w:pStyle w:val="CM42"/>
        <w:spacing w:after="0" w:line="276" w:lineRule="auto"/>
        <w:jc w:val="both"/>
        <w:rPr>
          <w:b/>
          <w:bCs/>
          <w:sz w:val="20"/>
          <w:szCs w:val="20"/>
        </w:rPr>
      </w:pPr>
      <w:r>
        <w:rPr>
          <w:b/>
          <w:bCs/>
          <w:sz w:val="20"/>
          <w:szCs w:val="20"/>
        </w:rPr>
        <w:t>Invitation t</w:t>
      </w:r>
      <w:r w:rsidRPr="00252BBF">
        <w:rPr>
          <w:b/>
          <w:bCs/>
          <w:sz w:val="20"/>
          <w:szCs w:val="20"/>
        </w:rPr>
        <w:t xml:space="preserve">o Tender – </w:t>
      </w:r>
      <w:r w:rsidR="008E328A" w:rsidRPr="00187C02">
        <w:rPr>
          <w:b/>
          <w:bCs/>
          <w:sz w:val="20"/>
          <w:szCs w:val="20"/>
        </w:rPr>
        <w:t>MONITORING AND EVALUATION OF THE EARTH AND SEA OBSERVATION SYSTEM (EASOS) PROGRAMME FUNDED BY THE UK SPACE AGENCY INTERNATIONAL PARTNERSHIP PROGRAMME</w:t>
      </w:r>
    </w:p>
    <w:p w:rsidR="005604DB" w:rsidRPr="00C87FEC" w:rsidRDefault="005604DB" w:rsidP="005604DB">
      <w:pPr>
        <w:pStyle w:val="Default"/>
      </w:pPr>
    </w:p>
    <w:p w:rsidR="005604DB" w:rsidRDefault="005604DB" w:rsidP="005604DB">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5604DB" w:rsidRPr="00C87FEC" w:rsidRDefault="005604DB" w:rsidP="005604DB">
      <w:pPr>
        <w:pStyle w:val="Default"/>
      </w:pPr>
    </w:p>
    <w:p w:rsidR="005604DB" w:rsidRPr="00252BBF" w:rsidRDefault="005604DB" w:rsidP="005604DB">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5604DB" w:rsidRPr="00252BBF" w:rsidRDefault="005604DB" w:rsidP="005604DB">
      <w:pPr>
        <w:pStyle w:val="Default"/>
        <w:spacing w:line="276" w:lineRule="auto"/>
        <w:jc w:val="both"/>
        <w:rPr>
          <w:color w:val="auto"/>
          <w:sz w:val="20"/>
          <w:szCs w:val="20"/>
        </w:rPr>
      </w:pPr>
    </w:p>
    <w:p w:rsidR="005604DB" w:rsidRDefault="005F6CC7" w:rsidP="005F6CC7">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sidR="00952E83">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5604DB" w:rsidRDefault="005604DB" w:rsidP="005604DB">
      <w:pPr>
        <w:pStyle w:val="ListParagraph"/>
        <w:rPr>
          <w:sz w:val="20"/>
          <w:szCs w:val="20"/>
        </w:rPr>
      </w:pPr>
      <w:r>
        <w:rPr>
          <w:sz w:val="20"/>
          <w:szCs w:val="20"/>
        </w:rPr>
        <w:t xml:space="preserve">Or, </w:t>
      </w:r>
    </w:p>
    <w:p w:rsidR="005604DB" w:rsidRPr="00252BBF" w:rsidRDefault="005604DB" w:rsidP="005604DB">
      <w:pPr>
        <w:pStyle w:val="Default"/>
        <w:widowControl w:val="0"/>
        <w:numPr>
          <w:ilvl w:val="0"/>
          <w:numId w:val="18"/>
        </w:numPr>
        <w:spacing w:line="276" w:lineRule="auto"/>
        <w:jc w:val="both"/>
        <w:rPr>
          <w:color w:val="auto"/>
          <w:sz w:val="20"/>
          <w:szCs w:val="20"/>
        </w:rPr>
      </w:pPr>
      <w:r w:rsidRPr="00252BBF">
        <w:rPr>
          <w:color w:val="auto"/>
          <w:sz w:val="20"/>
          <w:szCs w:val="20"/>
        </w:rPr>
        <w:t xml:space="preserve">We shall not submit a bid.  We confirm that all paper copies have been destroyed, that all electronic copies have been erased in their entirety from our systems </w:t>
      </w:r>
    </w:p>
    <w:p w:rsidR="005604DB" w:rsidRPr="00252BBF" w:rsidRDefault="005604DB" w:rsidP="005604DB">
      <w:pPr>
        <w:pStyle w:val="ListParagraph"/>
        <w:jc w:val="both"/>
        <w:rPr>
          <w:rFonts w:ascii="Arial" w:hAnsi="Arial" w:cs="Arial"/>
        </w:rPr>
      </w:pPr>
    </w:p>
    <w:p w:rsidR="005604DB" w:rsidRPr="00252BBF" w:rsidRDefault="005604DB" w:rsidP="005F6CC7">
      <w:pPr>
        <w:pStyle w:val="Default"/>
        <w:widowControl w:val="0"/>
        <w:spacing w:line="276" w:lineRule="auto"/>
        <w:jc w:val="both"/>
        <w:rPr>
          <w:color w:val="auto"/>
          <w:sz w:val="20"/>
          <w:szCs w:val="20"/>
        </w:rPr>
      </w:pPr>
      <w:r>
        <w:rPr>
          <w:color w:val="auto"/>
          <w:sz w:val="20"/>
          <w:szCs w:val="20"/>
        </w:rPr>
        <w:t>(Respondent to delete item</w:t>
      </w:r>
      <w:r w:rsidRPr="00252BBF">
        <w:rPr>
          <w:color w:val="auto"/>
          <w:sz w:val="20"/>
          <w:szCs w:val="20"/>
        </w:rPr>
        <w:t xml:space="preserve"> as applicable). </w:t>
      </w:r>
    </w:p>
    <w:p w:rsidR="005604DB" w:rsidRPr="00252BBF" w:rsidRDefault="005604DB" w:rsidP="005604DB">
      <w:pPr>
        <w:pStyle w:val="Default"/>
        <w:spacing w:line="276" w:lineRule="auto"/>
        <w:jc w:val="both"/>
        <w:rPr>
          <w:color w:val="auto"/>
          <w:sz w:val="20"/>
          <w:szCs w:val="20"/>
        </w:rPr>
      </w:pPr>
    </w:p>
    <w:p w:rsidR="005604DB" w:rsidRDefault="005604DB" w:rsidP="005604DB">
      <w:pPr>
        <w:pStyle w:val="CM53"/>
        <w:spacing w:after="0" w:line="276" w:lineRule="auto"/>
        <w:ind w:right="4053"/>
        <w:jc w:val="both"/>
        <w:rPr>
          <w:sz w:val="20"/>
          <w:szCs w:val="20"/>
        </w:rPr>
      </w:pPr>
    </w:p>
    <w:p w:rsidR="005604DB" w:rsidRDefault="005604DB" w:rsidP="005604DB">
      <w:pPr>
        <w:pStyle w:val="CM53"/>
        <w:spacing w:after="0" w:line="276" w:lineRule="auto"/>
        <w:ind w:right="4053"/>
        <w:jc w:val="both"/>
        <w:rPr>
          <w:sz w:val="20"/>
          <w:szCs w:val="20"/>
        </w:rPr>
      </w:pPr>
      <w:r w:rsidRPr="00252BBF">
        <w:rPr>
          <w:sz w:val="20"/>
          <w:szCs w:val="20"/>
        </w:rPr>
        <w:t xml:space="preserve">Our primary point of contact in connection with this bid </w:t>
      </w:r>
      <w:r>
        <w:rPr>
          <w:sz w:val="20"/>
          <w:szCs w:val="20"/>
        </w:rPr>
        <w:t>is</w:t>
      </w:r>
      <w:r w:rsidRPr="00252BBF">
        <w:rPr>
          <w:sz w:val="20"/>
          <w:szCs w:val="20"/>
        </w:rPr>
        <w:t>:-</w:t>
      </w:r>
    </w:p>
    <w:p w:rsidR="005604DB" w:rsidRDefault="005604DB" w:rsidP="005604DB">
      <w:pPr>
        <w:pStyle w:val="Default"/>
      </w:pPr>
    </w:p>
    <w:p w:rsidR="005604DB" w:rsidRDefault="005604DB" w:rsidP="005604DB">
      <w:pPr>
        <w:pStyle w:val="Default"/>
      </w:pPr>
    </w:p>
    <w:p w:rsidR="005604DB" w:rsidRPr="00C87FEC" w:rsidRDefault="005604DB" w:rsidP="005604DB">
      <w:pPr>
        <w:pStyle w:val="Default"/>
      </w:pPr>
    </w:p>
    <w:p w:rsidR="005604DB" w:rsidRDefault="005604DB" w:rsidP="005604DB">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5604DB" w:rsidRDefault="005604DB" w:rsidP="005604DB">
      <w:pPr>
        <w:pStyle w:val="Default"/>
        <w:spacing w:line="276" w:lineRule="auto"/>
        <w:rPr>
          <w:color w:val="auto"/>
          <w:sz w:val="20"/>
          <w:szCs w:val="20"/>
        </w:rPr>
      </w:pPr>
      <w:r>
        <w:rPr>
          <w:color w:val="auto"/>
          <w:sz w:val="20"/>
          <w:szCs w:val="20"/>
        </w:rPr>
        <w:t>(Signature &amp; Title)</w:t>
      </w:r>
      <w:proofErr w:type="gramStart"/>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F65C5C" w:rsidRDefault="00F65C5C" w:rsidP="005604DB">
      <w:pPr>
        <w:pStyle w:val="Default"/>
        <w:spacing w:line="276" w:lineRule="auto"/>
        <w:rPr>
          <w:color w:val="auto"/>
          <w:sz w:val="20"/>
          <w:szCs w:val="20"/>
        </w:rPr>
      </w:pPr>
    </w:p>
    <w:p w:rsidR="005604DB" w:rsidRDefault="005604DB" w:rsidP="005604DB">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F65C5C" w:rsidRDefault="00F65C5C" w:rsidP="005604DB">
      <w:pPr>
        <w:pStyle w:val="Default"/>
        <w:spacing w:line="276" w:lineRule="auto"/>
        <w:rPr>
          <w:color w:val="auto"/>
          <w:sz w:val="20"/>
          <w:szCs w:val="20"/>
        </w:rPr>
      </w:pPr>
    </w:p>
    <w:p w:rsidR="005604DB" w:rsidRPr="00252BBF" w:rsidRDefault="005604DB" w:rsidP="005604DB">
      <w:pPr>
        <w:pStyle w:val="Default"/>
        <w:spacing w:line="276" w:lineRule="auto"/>
        <w:rPr>
          <w:color w:val="auto"/>
          <w:sz w:val="20"/>
          <w:szCs w:val="20"/>
        </w:rPr>
      </w:pPr>
      <w:r>
        <w:rPr>
          <w:color w:val="auto"/>
          <w:sz w:val="20"/>
          <w:szCs w:val="20"/>
        </w:rPr>
        <w:t>(Company)</w:t>
      </w:r>
      <w:proofErr w:type="gramStart"/>
      <w:r w:rsidRPr="00252BBF">
        <w:rPr>
          <w:color w:val="auto"/>
          <w:sz w:val="20"/>
          <w:szCs w:val="20"/>
        </w:rPr>
        <w:t>:…………………</w:t>
      </w:r>
      <w:bookmarkStart w:id="28" w:name="_GoBack"/>
      <w:bookmarkEnd w:id="28"/>
      <w:r w:rsidRPr="00252BBF">
        <w:rPr>
          <w:color w:val="auto"/>
          <w:sz w:val="20"/>
          <w:szCs w:val="20"/>
        </w:rPr>
        <w:t>…………………………………..</w:t>
      </w:r>
      <w:proofErr w:type="gramEnd"/>
      <w:r w:rsidRPr="00252BBF">
        <w:rPr>
          <w:color w:val="auto"/>
          <w:sz w:val="20"/>
          <w:szCs w:val="20"/>
        </w:rPr>
        <w:t xml:space="preserve"> </w:t>
      </w:r>
    </w:p>
    <w:sectPr w:rsidR="005604DB" w:rsidRPr="00252BBF" w:rsidSect="0053533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0D" w:rsidRDefault="00312F0D" w:rsidP="00AB3FA7">
      <w:pPr>
        <w:spacing w:after="0" w:line="240" w:lineRule="auto"/>
      </w:pPr>
      <w:r>
        <w:separator/>
      </w:r>
    </w:p>
  </w:endnote>
  <w:endnote w:type="continuationSeparator" w:id="0">
    <w:p w:rsidR="00312F0D" w:rsidRDefault="00312F0D"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0D" w:rsidRDefault="00312F0D" w:rsidP="00E10B15">
    <w:pPr>
      <w:pStyle w:val="Footer"/>
      <w:jc w:val="right"/>
    </w:pPr>
    <w:r w:rsidRPr="00E10B15">
      <w:rPr>
        <w:sz w:val="18"/>
        <w:szCs w:val="18"/>
      </w:rPr>
      <w:t>ITT</w:t>
    </w:r>
    <w:r>
      <w:t xml:space="preserve"> Response V1.0</w:t>
    </w:r>
  </w:p>
  <w:p w:rsidR="00312F0D" w:rsidRDefault="00312F0D"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0D" w:rsidRDefault="00312F0D" w:rsidP="00AB3FA7">
      <w:pPr>
        <w:spacing w:after="0" w:line="240" w:lineRule="auto"/>
      </w:pPr>
      <w:r>
        <w:separator/>
      </w:r>
    </w:p>
  </w:footnote>
  <w:footnote w:type="continuationSeparator" w:id="0">
    <w:p w:rsidR="00312F0D" w:rsidRDefault="00312F0D" w:rsidP="00AB3FA7">
      <w:pPr>
        <w:spacing w:after="0" w:line="240" w:lineRule="auto"/>
      </w:pPr>
      <w:r>
        <w:continuationSeparator/>
      </w:r>
    </w:p>
  </w:footnote>
  <w:footnote w:id="1">
    <w:p w:rsidR="00312F0D" w:rsidRDefault="00312F0D">
      <w:pPr>
        <w:pStyle w:val="FootnoteText"/>
      </w:pPr>
      <w:r>
        <w:rPr>
          <w:rStyle w:val="FootnoteReference"/>
        </w:rPr>
        <w:footnoteRef/>
      </w:r>
      <w:r>
        <w:t xml:space="preserve"> </w:t>
      </w:r>
      <w:r w:rsidRPr="00AF39CF">
        <w:rPr>
          <w:color w:val="000000"/>
        </w:rPr>
        <w:t>https://www.gov.uk/guidance/apply-for-funding-academic-community-and-educational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312F0D" w:rsidRPr="009D6567" w:rsidTr="00EC6307">
      <w:trPr>
        <w:trHeight w:val="366"/>
      </w:trPr>
      <w:tc>
        <w:tcPr>
          <w:tcW w:w="2693" w:type="dxa"/>
          <w:vMerge w:val="restart"/>
          <w:vAlign w:val="center"/>
        </w:tcPr>
        <w:p w:rsidR="00312F0D" w:rsidRPr="00083CA6" w:rsidRDefault="00312F0D"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312F0D" w:rsidRDefault="00312F0D" w:rsidP="000D5CAF">
          <w:pPr>
            <w:tabs>
              <w:tab w:val="center" w:pos="4513"/>
              <w:tab w:val="right" w:pos="9026"/>
            </w:tabs>
            <w:jc w:val="center"/>
            <w:rPr>
              <w:rFonts w:ascii="Arial" w:hAnsi="Arial" w:cs="Arial"/>
              <w:smallCaps/>
            </w:rPr>
          </w:pPr>
          <w:r>
            <w:rPr>
              <w:rFonts w:ascii="Arial" w:hAnsi="Arial" w:cs="Arial"/>
              <w:smallCaps/>
            </w:rPr>
            <w:t>Invitation  to Tender</w:t>
          </w:r>
        </w:p>
        <w:p w:rsidR="00312F0D" w:rsidRDefault="00312F0D" w:rsidP="00EC0494">
          <w:pPr>
            <w:tabs>
              <w:tab w:val="center" w:pos="4513"/>
              <w:tab w:val="right" w:pos="9026"/>
            </w:tabs>
            <w:jc w:val="center"/>
            <w:rPr>
              <w:rFonts w:ascii="Arial" w:hAnsi="Arial" w:cs="Arial"/>
              <w:smallCaps/>
            </w:rPr>
          </w:pPr>
        </w:p>
        <w:p w:rsidR="00312F0D" w:rsidRPr="009D6567" w:rsidRDefault="00312F0D"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312F0D" w:rsidRPr="009D6567" w:rsidRDefault="00312F0D" w:rsidP="000708E2">
          <w:pPr>
            <w:tabs>
              <w:tab w:val="center" w:pos="4513"/>
              <w:tab w:val="right" w:pos="9026"/>
            </w:tabs>
            <w:ind w:right="34"/>
            <w:jc w:val="center"/>
            <w:rPr>
              <w:rFonts w:ascii="Arial" w:hAnsi="Arial" w:cs="Arial"/>
            </w:rPr>
          </w:pPr>
          <w:r>
            <w:rPr>
              <w:rFonts w:ascii="Arial" w:hAnsi="Arial" w:cs="Arial"/>
            </w:rPr>
            <w:t>PRO-ITT-01</w:t>
          </w:r>
        </w:p>
      </w:tc>
    </w:tr>
    <w:tr w:rsidR="00312F0D" w:rsidRPr="009D6567" w:rsidTr="00EC6307">
      <w:trPr>
        <w:trHeight w:val="336"/>
      </w:trPr>
      <w:tc>
        <w:tcPr>
          <w:tcW w:w="2693" w:type="dxa"/>
          <w:vMerge/>
          <w:vAlign w:val="center"/>
        </w:tcPr>
        <w:p w:rsidR="00312F0D" w:rsidRPr="00083CA6" w:rsidRDefault="00312F0D" w:rsidP="00EC0494">
          <w:pPr>
            <w:tabs>
              <w:tab w:val="center" w:pos="4513"/>
              <w:tab w:val="right" w:pos="9026"/>
            </w:tabs>
            <w:jc w:val="center"/>
            <w:rPr>
              <w:noProof/>
              <w:lang w:eastAsia="en-GB"/>
            </w:rPr>
          </w:pPr>
        </w:p>
      </w:tc>
      <w:tc>
        <w:tcPr>
          <w:tcW w:w="5812" w:type="dxa"/>
          <w:gridSpan w:val="2"/>
          <w:vMerge/>
          <w:vAlign w:val="center"/>
        </w:tcPr>
        <w:p w:rsidR="00312F0D" w:rsidRPr="009D6567" w:rsidRDefault="00312F0D" w:rsidP="00EC0494">
          <w:pPr>
            <w:tabs>
              <w:tab w:val="center" w:pos="4513"/>
              <w:tab w:val="right" w:pos="9026"/>
            </w:tabs>
            <w:jc w:val="center"/>
            <w:rPr>
              <w:rFonts w:ascii="Arial" w:hAnsi="Arial" w:cs="Arial"/>
            </w:rPr>
          </w:pPr>
        </w:p>
      </w:tc>
      <w:tc>
        <w:tcPr>
          <w:tcW w:w="1560" w:type="dxa"/>
          <w:vAlign w:val="center"/>
        </w:tcPr>
        <w:p w:rsidR="00312F0D" w:rsidRPr="009D6567" w:rsidRDefault="00312F0D" w:rsidP="00EC0494">
          <w:pPr>
            <w:tabs>
              <w:tab w:val="center" w:pos="4513"/>
              <w:tab w:val="right" w:pos="9026"/>
            </w:tabs>
            <w:ind w:right="34"/>
            <w:jc w:val="center"/>
            <w:rPr>
              <w:rFonts w:ascii="Arial" w:hAnsi="Arial" w:cs="Arial"/>
            </w:rPr>
          </w:pPr>
          <w:r>
            <w:rPr>
              <w:rFonts w:ascii="Arial" w:hAnsi="Arial" w:cs="Arial"/>
            </w:rPr>
            <w:t>Version 1.0</w:t>
          </w:r>
        </w:p>
      </w:tc>
    </w:tr>
    <w:tr w:rsidR="00312F0D" w:rsidRPr="009D6567" w:rsidTr="00EC6307">
      <w:trPr>
        <w:trHeight w:val="426"/>
      </w:trPr>
      <w:tc>
        <w:tcPr>
          <w:tcW w:w="2693" w:type="dxa"/>
          <w:vMerge/>
        </w:tcPr>
        <w:p w:rsidR="00312F0D" w:rsidRPr="00083CA6" w:rsidRDefault="00312F0D" w:rsidP="00EC0494">
          <w:pPr>
            <w:tabs>
              <w:tab w:val="center" w:pos="4513"/>
              <w:tab w:val="right" w:pos="9026"/>
            </w:tabs>
            <w:ind w:firstLine="720"/>
          </w:pPr>
        </w:p>
      </w:tc>
      <w:tc>
        <w:tcPr>
          <w:tcW w:w="2694" w:type="dxa"/>
          <w:vAlign w:val="center"/>
        </w:tcPr>
        <w:p w:rsidR="00312F0D" w:rsidRPr="009D6567" w:rsidRDefault="00312F0D"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312F0D" w:rsidRDefault="00312F0D" w:rsidP="00BB34F0">
          <w:pPr>
            <w:tabs>
              <w:tab w:val="center" w:pos="4513"/>
              <w:tab w:val="right" w:pos="9026"/>
            </w:tabs>
            <w:rPr>
              <w:rFonts w:ascii="Arial" w:hAnsi="Arial" w:cs="Arial"/>
              <w:color w:val="FF0000"/>
            </w:rPr>
          </w:pPr>
          <w:r>
            <w:rPr>
              <w:rFonts w:ascii="Arial" w:hAnsi="Arial" w:cs="Arial"/>
            </w:rPr>
            <w:t xml:space="preserve">Completion Date: </w:t>
          </w:r>
          <w:r>
            <w:rPr>
              <w:rFonts w:ascii="Arial" w:hAnsi="Arial" w:cs="Arial"/>
              <w:color w:val="FF0000"/>
            </w:rPr>
            <w:t>27-02-2017</w:t>
          </w:r>
        </w:p>
        <w:p w:rsidR="00312F0D" w:rsidRPr="009D6567" w:rsidRDefault="00312F0D" w:rsidP="00BB34F0">
          <w:pPr>
            <w:tabs>
              <w:tab w:val="center" w:pos="4513"/>
              <w:tab w:val="right" w:pos="9026"/>
            </w:tabs>
            <w:rPr>
              <w:rFonts w:ascii="Arial" w:hAnsi="Arial" w:cs="Arial"/>
            </w:rPr>
          </w:pPr>
        </w:p>
      </w:tc>
      <w:tc>
        <w:tcPr>
          <w:tcW w:w="1560" w:type="dxa"/>
          <w:vAlign w:val="center"/>
        </w:tcPr>
        <w:p w:rsidR="00312F0D" w:rsidRPr="009D6567" w:rsidRDefault="00312F0D"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F65C5C">
            <w:rPr>
              <w:rFonts w:ascii="Arial" w:hAnsi="Arial" w:cs="Arial"/>
              <w:noProof/>
            </w:rPr>
            <w:t>26</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F65C5C">
            <w:rPr>
              <w:rFonts w:ascii="Arial" w:hAnsi="Arial" w:cs="Arial"/>
              <w:noProof/>
            </w:rPr>
            <w:t>27</w:t>
          </w:r>
          <w:r w:rsidRPr="009D6567">
            <w:rPr>
              <w:rFonts w:ascii="Arial" w:hAnsi="Arial" w:cs="Arial"/>
            </w:rPr>
            <w:fldChar w:fldCharType="end"/>
          </w:r>
        </w:p>
      </w:tc>
    </w:tr>
  </w:tbl>
  <w:p w:rsidR="00312F0D" w:rsidRPr="000920C8" w:rsidRDefault="00312F0D">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9"/>
  </w:num>
  <w:num w:numId="4">
    <w:abstractNumId w:val="14"/>
  </w:num>
  <w:num w:numId="5">
    <w:abstractNumId w:val="4"/>
  </w:num>
  <w:num w:numId="6">
    <w:abstractNumId w:val="11"/>
  </w:num>
  <w:num w:numId="7">
    <w:abstractNumId w:val="11"/>
  </w:num>
  <w:num w:numId="8">
    <w:abstractNumId w:val="7"/>
  </w:num>
  <w:num w:numId="9">
    <w:abstractNumId w:val="5"/>
  </w:num>
  <w:num w:numId="10">
    <w:abstractNumId w:val="12"/>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3"/>
  </w:num>
  <w:num w:numId="18">
    <w:abstractNumId w:val="8"/>
  </w:num>
  <w:num w:numId="19">
    <w:abstractNumId w:val="20"/>
  </w:num>
  <w:num w:numId="20">
    <w:abstractNumId w:val="1"/>
  </w:num>
  <w:num w:numId="21">
    <w:abstractNumId w:val="17"/>
  </w:num>
  <w:num w:numId="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58A5"/>
    <w:rsid w:val="00055522"/>
    <w:rsid w:val="0005583D"/>
    <w:rsid w:val="00064247"/>
    <w:rsid w:val="000708E2"/>
    <w:rsid w:val="0007130A"/>
    <w:rsid w:val="00081CFC"/>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62B1"/>
    <w:rsid w:val="001D5DE9"/>
    <w:rsid w:val="001D738A"/>
    <w:rsid w:val="001E2D89"/>
    <w:rsid w:val="001E4FFD"/>
    <w:rsid w:val="001E784E"/>
    <w:rsid w:val="00200139"/>
    <w:rsid w:val="00204007"/>
    <w:rsid w:val="00212E34"/>
    <w:rsid w:val="002132A6"/>
    <w:rsid w:val="00217BF2"/>
    <w:rsid w:val="0022535F"/>
    <w:rsid w:val="00235EAB"/>
    <w:rsid w:val="002362D0"/>
    <w:rsid w:val="00240A32"/>
    <w:rsid w:val="0024683F"/>
    <w:rsid w:val="00253839"/>
    <w:rsid w:val="00254B57"/>
    <w:rsid w:val="00254EAB"/>
    <w:rsid w:val="002552EC"/>
    <w:rsid w:val="00256E50"/>
    <w:rsid w:val="00285631"/>
    <w:rsid w:val="002856B0"/>
    <w:rsid w:val="002878A8"/>
    <w:rsid w:val="0029125F"/>
    <w:rsid w:val="002920BE"/>
    <w:rsid w:val="002925EF"/>
    <w:rsid w:val="002A02E5"/>
    <w:rsid w:val="002A0DA5"/>
    <w:rsid w:val="002B5785"/>
    <w:rsid w:val="002C1209"/>
    <w:rsid w:val="002C1F90"/>
    <w:rsid w:val="002D4D0A"/>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B0DF0"/>
    <w:rsid w:val="003D5980"/>
    <w:rsid w:val="003E02E3"/>
    <w:rsid w:val="003E241E"/>
    <w:rsid w:val="003F657D"/>
    <w:rsid w:val="003F669D"/>
    <w:rsid w:val="00403DAD"/>
    <w:rsid w:val="00412C3C"/>
    <w:rsid w:val="00414C09"/>
    <w:rsid w:val="00423F84"/>
    <w:rsid w:val="00425A35"/>
    <w:rsid w:val="0043116A"/>
    <w:rsid w:val="00434398"/>
    <w:rsid w:val="004423C6"/>
    <w:rsid w:val="00443D55"/>
    <w:rsid w:val="00450D30"/>
    <w:rsid w:val="00452EB0"/>
    <w:rsid w:val="004635D2"/>
    <w:rsid w:val="00466F9D"/>
    <w:rsid w:val="00486ECF"/>
    <w:rsid w:val="00493ED3"/>
    <w:rsid w:val="004A28BB"/>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389"/>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65AE"/>
    <w:rsid w:val="005C1F2E"/>
    <w:rsid w:val="005C2824"/>
    <w:rsid w:val="005C56B8"/>
    <w:rsid w:val="005D3B0E"/>
    <w:rsid w:val="005D5C40"/>
    <w:rsid w:val="005E0E86"/>
    <w:rsid w:val="005E2286"/>
    <w:rsid w:val="005E364A"/>
    <w:rsid w:val="005E3A8D"/>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D0716"/>
    <w:rsid w:val="006D2768"/>
    <w:rsid w:val="006D7BB2"/>
    <w:rsid w:val="006D7DD9"/>
    <w:rsid w:val="006E5280"/>
    <w:rsid w:val="006F6001"/>
    <w:rsid w:val="007004D6"/>
    <w:rsid w:val="0070144B"/>
    <w:rsid w:val="00705BDD"/>
    <w:rsid w:val="00716F32"/>
    <w:rsid w:val="00717DDF"/>
    <w:rsid w:val="00722694"/>
    <w:rsid w:val="00735FB8"/>
    <w:rsid w:val="00747A36"/>
    <w:rsid w:val="00763C7B"/>
    <w:rsid w:val="00764239"/>
    <w:rsid w:val="007644E6"/>
    <w:rsid w:val="00766080"/>
    <w:rsid w:val="00766C2D"/>
    <w:rsid w:val="00772103"/>
    <w:rsid w:val="00772F35"/>
    <w:rsid w:val="00775CBE"/>
    <w:rsid w:val="00794E2F"/>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334F"/>
    <w:rsid w:val="008912B2"/>
    <w:rsid w:val="008B108F"/>
    <w:rsid w:val="008B1477"/>
    <w:rsid w:val="008B62D4"/>
    <w:rsid w:val="008C1BE3"/>
    <w:rsid w:val="008C7979"/>
    <w:rsid w:val="008D655B"/>
    <w:rsid w:val="008E2080"/>
    <w:rsid w:val="008E328A"/>
    <w:rsid w:val="008E7EFC"/>
    <w:rsid w:val="008F0311"/>
    <w:rsid w:val="008F39B7"/>
    <w:rsid w:val="008F4BD5"/>
    <w:rsid w:val="008F4FE5"/>
    <w:rsid w:val="0090379E"/>
    <w:rsid w:val="00907EA1"/>
    <w:rsid w:val="009103FF"/>
    <w:rsid w:val="00915BE9"/>
    <w:rsid w:val="0093672F"/>
    <w:rsid w:val="00944404"/>
    <w:rsid w:val="00945320"/>
    <w:rsid w:val="00946E1C"/>
    <w:rsid w:val="009470DF"/>
    <w:rsid w:val="00952E83"/>
    <w:rsid w:val="00953CAC"/>
    <w:rsid w:val="00966A5E"/>
    <w:rsid w:val="009717F5"/>
    <w:rsid w:val="0097667E"/>
    <w:rsid w:val="00991CA3"/>
    <w:rsid w:val="00992F74"/>
    <w:rsid w:val="00994968"/>
    <w:rsid w:val="009A4DEA"/>
    <w:rsid w:val="009A5189"/>
    <w:rsid w:val="009A55AE"/>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603"/>
    <w:rsid w:val="00A964D0"/>
    <w:rsid w:val="00AA4EBA"/>
    <w:rsid w:val="00AB2AF5"/>
    <w:rsid w:val="00AB3FA7"/>
    <w:rsid w:val="00AB59CB"/>
    <w:rsid w:val="00AD12AE"/>
    <w:rsid w:val="00AE46AE"/>
    <w:rsid w:val="00AF0C10"/>
    <w:rsid w:val="00AF39CF"/>
    <w:rsid w:val="00AF7000"/>
    <w:rsid w:val="00B029EC"/>
    <w:rsid w:val="00B10686"/>
    <w:rsid w:val="00B23266"/>
    <w:rsid w:val="00B448AB"/>
    <w:rsid w:val="00B47D85"/>
    <w:rsid w:val="00B5164E"/>
    <w:rsid w:val="00B572CE"/>
    <w:rsid w:val="00B622D9"/>
    <w:rsid w:val="00B91104"/>
    <w:rsid w:val="00B95B0F"/>
    <w:rsid w:val="00B97CD5"/>
    <w:rsid w:val="00BA14A5"/>
    <w:rsid w:val="00BA349F"/>
    <w:rsid w:val="00BA5A69"/>
    <w:rsid w:val="00BA6386"/>
    <w:rsid w:val="00BB0174"/>
    <w:rsid w:val="00BB1792"/>
    <w:rsid w:val="00BB34F0"/>
    <w:rsid w:val="00BC1539"/>
    <w:rsid w:val="00BC70FB"/>
    <w:rsid w:val="00BD31AC"/>
    <w:rsid w:val="00BD587D"/>
    <w:rsid w:val="00BF01FC"/>
    <w:rsid w:val="00BF558D"/>
    <w:rsid w:val="00BF6902"/>
    <w:rsid w:val="00BF72E3"/>
    <w:rsid w:val="00C0727D"/>
    <w:rsid w:val="00C10924"/>
    <w:rsid w:val="00C20EAA"/>
    <w:rsid w:val="00C25225"/>
    <w:rsid w:val="00C34717"/>
    <w:rsid w:val="00C57B73"/>
    <w:rsid w:val="00C731B8"/>
    <w:rsid w:val="00C95593"/>
    <w:rsid w:val="00CB3396"/>
    <w:rsid w:val="00CB51C1"/>
    <w:rsid w:val="00CC2D78"/>
    <w:rsid w:val="00CC484A"/>
    <w:rsid w:val="00CC6B8E"/>
    <w:rsid w:val="00CD0790"/>
    <w:rsid w:val="00CD7001"/>
    <w:rsid w:val="00CE13BF"/>
    <w:rsid w:val="00CF19A5"/>
    <w:rsid w:val="00CF1A92"/>
    <w:rsid w:val="00CF4CEA"/>
    <w:rsid w:val="00CF77EA"/>
    <w:rsid w:val="00D00DF3"/>
    <w:rsid w:val="00D33EF3"/>
    <w:rsid w:val="00D34F10"/>
    <w:rsid w:val="00D43426"/>
    <w:rsid w:val="00D50F9B"/>
    <w:rsid w:val="00D56E3B"/>
    <w:rsid w:val="00D600AE"/>
    <w:rsid w:val="00D6015A"/>
    <w:rsid w:val="00D659CD"/>
    <w:rsid w:val="00D673C3"/>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3212"/>
    <w:rsid w:val="00E578A9"/>
    <w:rsid w:val="00E62707"/>
    <w:rsid w:val="00E64441"/>
    <w:rsid w:val="00E64A39"/>
    <w:rsid w:val="00E77DEF"/>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F045F5"/>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5169D13"/>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ltherapycatapult@evershed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catapult.org.u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64399-FF0A-4167-8204-B54D1E74B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7814</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Lorraine Hoult</cp:lastModifiedBy>
  <cp:revision>35</cp:revision>
  <cp:lastPrinted>2015-04-27T11:50:00Z</cp:lastPrinted>
  <dcterms:created xsi:type="dcterms:W3CDTF">2017-01-31T14:35:00Z</dcterms:created>
  <dcterms:modified xsi:type="dcterms:W3CDTF">2017-01-31T15:28:00Z</dcterms:modified>
</cp:coreProperties>
</file>